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32563" w14:textId="07761C7C" w:rsidR="00BF10E6" w:rsidRDefault="00020E20" w:rsidP="00D33940">
      <w:pPr>
        <w:pStyle w:val="StandardRisoluzionedelConsigliodiStato"/>
        <w:ind w:right="-1"/>
        <w:rPr>
          <w:b/>
          <w:sz w:val="28"/>
          <w:szCs w:val="28"/>
        </w:rPr>
      </w:pPr>
      <w:bookmarkStart w:id="0" w:name="_GoBack"/>
      <w:bookmarkEnd w:id="0"/>
      <w:r>
        <w:rPr>
          <w:b/>
          <w:sz w:val="28"/>
          <w:szCs w:val="28"/>
        </w:rPr>
        <w:t>d</w:t>
      </w:r>
      <w:r w:rsidR="00BF10E6">
        <w:rPr>
          <w:b/>
          <w:sz w:val="28"/>
          <w:szCs w:val="28"/>
        </w:rPr>
        <w:t xml:space="preserve">ella Commissione </w:t>
      </w:r>
      <w:r>
        <w:rPr>
          <w:b/>
          <w:sz w:val="28"/>
          <w:szCs w:val="28"/>
        </w:rPr>
        <w:t>g</w:t>
      </w:r>
      <w:r w:rsidR="00BF10E6">
        <w:rPr>
          <w:b/>
          <w:sz w:val="28"/>
          <w:szCs w:val="28"/>
        </w:rPr>
        <w:t xml:space="preserve">estione e </w:t>
      </w:r>
      <w:r>
        <w:rPr>
          <w:b/>
          <w:sz w:val="28"/>
          <w:szCs w:val="28"/>
        </w:rPr>
        <w:t>f</w:t>
      </w:r>
      <w:r w:rsidR="00BF10E6">
        <w:rPr>
          <w:b/>
          <w:sz w:val="28"/>
          <w:szCs w:val="28"/>
        </w:rPr>
        <w:t>inanze</w:t>
      </w:r>
    </w:p>
    <w:p w14:paraId="6B2C9F3E" w14:textId="04D6409E" w:rsidR="008F52AF" w:rsidRPr="008B2468" w:rsidRDefault="00020E20" w:rsidP="00D33940">
      <w:pPr>
        <w:pStyle w:val="StandardRisoluzionedelConsigliodiStato"/>
        <w:ind w:right="-1"/>
        <w:rPr>
          <w:b/>
          <w:sz w:val="28"/>
          <w:szCs w:val="28"/>
        </w:rPr>
      </w:pPr>
      <w:r>
        <w:rPr>
          <w:b/>
          <w:sz w:val="28"/>
          <w:szCs w:val="28"/>
        </w:rPr>
        <w:t>sul</w:t>
      </w:r>
      <w:r w:rsidR="008A0AC3">
        <w:rPr>
          <w:b/>
          <w:sz w:val="28"/>
          <w:szCs w:val="28"/>
        </w:rPr>
        <w:t xml:space="preserve"> messaggio 12 luglio 2023 concernente </w:t>
      </w:r>
      <w:r>
        <w:rPr>
          <w:b/>
          <w:sz w:val="28"/>
          <w:szCs w:val="28"/>
        </w:rPr>
        <w:t xml:space="preserve">la </w:t>
      </w:r>
      <w:r w:rsidR="00BF10E6">
        <w:rPr>
          <w:b/>
          <w:sz w:val="28"/>
          <w:szCs w:val="28"/>
        </w:rPr>
        <w:t>r</w:t>
      </w:r>
      <w:r w:rsidR="00634676" w:rsidRPr="008B2468">
        <w:rPr>
          <w:b/>
          <w:sz w:val="28"/>
          <w:szCs w:val="28"/>
        </w:rPr>
        <w:t>ichiesta di un credito di 18</w:t>
      </w:r>
      <w:r w:rsidR="00E632C6">
        <w:rPr>
          <w:b/>
          <w:sz w:val="28"/>
          <w:szCs w:val="28"/>
        </w:rPr>
        <w:t>'215’300</w:t>
      </w:r>
      <w:r w:rsidR="00634676" w:rsidRPr="008B2468">
        <w:rPr>
          <w:b/>
          <w:sz w:val="28"/>
          <w:szCs w:val="28"/>
        </w:rPr>
        <w:t xml:space="preserve"> franchi per il finanziamento di mancati introiti a causa della </w:t>
      </w:r>
      <w:r w:rsidR="00E632C6">
        <w:rPr>
          <w:b/>
          <w:sz w:val="28"/>
          <w:szCs w:val="28"/>
        </w:rPr>
        <w:t>p</w:t>
      </w:r>
      <w:r w:rsidR="00634676" w:rsidRPr="008B2468">
        <w:rPr>
          <w:b/>
          <w:sz w:val="28"/>
          <w:szCs w:val="28"/>
        </w:rPr>
        <w:t xml:space="preserve">andemia da COVID-19 in ambito ospedaliero </w:t>
      </w:r>
    </w:p>
    <w:p w14:paraId="77D1FF86" w14:textId="3A8BC4B3" w:rsidR="00E632C6" w:rsidRDefault="00E632C6" w:rsidP="00D33940">
      <w:pPr>
        <w:pStyle w:val="StandardRisoluzionedelConsigliodiStato"/>
        <w:ind w:right="-1"/>
      </w:pPr>
    </w:p>
    <w:p w14:paraId="1C9510D0" w14:textId="243FBFB2" w:rsidR="00C770FC" w:rsidRPr="008B2468" w:rsidRDefault="00C770FC" w:rsidP="00D33940">
      <w:pPr>
        <w:pStyle w:val="StandardRisoluzionedelConsigliodiStato"/>
        <w:ind w:right="-1"/>
      </w:pPr>
    </w:p>
    <w:p w14:paraId="5313C97B" w14:textId="64A179DC" w:rsidR="00BF10E6" w:rsidRPr="00C770FC" w:rsidRDefault="00C770FC" w:rsidP="00C770FC">
      <w:pPr>
        <w:pStyle w:val="Titolo1"/>
        <w:tabs>
          <w:tab w:val="left" w:pos="0"/>
        </w:tabs>
        <w:suppressAutoHyphens w:val="0"/>
        <w:spacing w:before="0"/>
        <w:jc w:val="both"/>
        <w:rPr>
          <w:rFonts w:ascii="Arial" w:eastAsia="Calibri" w:hAnsi="Arial" w:cs="Times New Roman"/>
          <w:caps/>
          <w:sz w:val="24"/>
          <w:szCs w:val="24"/>
          <w:lang w:val="it-IT" w:eastAsia="it-IT"/>
        </w:rPr>
      </w:pPr>
      <w:r>
        <w:rPr>
          <w:rFonts w:ascii="Arial" w:eastAsia="Calibri" w:hAnsi="Arial" w:cs="Times New Roman"/>
          <w:caps/>
          <w:sz w:val="24"/>
          <w:szCs w:val="24"/>
          <w:lang w:val="it-IT" w:eastAsia="it-IT"/>
        </w:rPr>
        <w:t>I.</w:t>
      </w:r>
      <w:r>
        <w:rPr>
          <w:rFonts w:ascii="Arial" w:eastAsia="Calibri" w:hAnsi="Arial" w:cs="Times New Roman"/>
          <w:caps/>
          <w:sz w:val="24"/>
          <w:szCs w:val="24"/>
          <w:lang w:val="it-IT" w:eastAsia="it-IT"/>
        </w:rPr>
        <w:tab/>
      </w:r>
      <w:r w:rsidR="00BF10E6" w:rsidRPr="00C770FC">
        <w:rPr>
          <w:rFonts w:ascii="Arial" w:eastAsia="Calibri" w:hAnsi="Arial" w:cs="Times New Roman"/>
          <w:caps/>
          <w:sz w:val="24"/>
          <w:szCs w:val="24"/>
          <w:lang w:val="it-IT" w:eastAsia="it-IT"/>
        </w:rPr>
        <w:t>PREMESSE</w:t>
      </w:r>
    </w:p>
    <w:p w14:paraId="298210B2" w14:textId="17F2FE7D" w:rsidR="00A74A42" w:rsidRPr="0030798C" w:rsidRDefault="00BF10E6" w:rsidP="00C770FC">
      <w:pPr>
        <w:rPr>
          <w:sz w:val="24"/>
        </w:rPr>
      </w:pPr>
      <w:r w:rsidRPr="0030798C">
        <w:rPr>
          <w:sz w:val="24"/>
        </w:rPr>
        <w:t xml:space="preserve">L’ </w:t>
      </w:r>
      <w:r w:rsidR="0032240A" w:rsidRPr="0030798C">
        <w:rPr>
          <w:sz w:val="24"/>
        </w:rPr>
        <w:t>“</w:t>
      </w:r>
      <w:r w:rsidR="00A74A42" w:rsidRPr="0030798C">
        <w:rPr>
          <w:sz w:val="24"/>
        </w:rPr>
        <w:t xml:space="preserve">emergenza sanitaria pubblica di </w:t>
      </w:r>
      <w:r w:rsidR="00E632C6" w:rsidRPr="0030798C">
        <w:rPr>
          <w:sz w:val="24"/>
        </w:rPr>
        <w:t xml:space="preserve">portata </w:t>
      </w:r>
      <w:r w:rsidR="00A74A42" w:rsidRPr="0030798C">
        <w:rPr>
          <w:sz w:val="24"/>
        </w:rPr>
        <w:t>internazionale”,</w:t>
      </w:r>
      <w:r w:rsidRPr="0030798C">
        <w:rPr>
          <w:sz w:val="24"/>
        </w:rPr>
        <w:t xml:space="preserve"> proclamata la prima volta al COVID-19 il 30 gennaio 2020 è cessata il 5 maggio 2003 per il tramite di una risoluzione dell’Organizzazione mondiale della sanità (OMS).</w:t>
      </w:r>
    </w:p>
    <w:p w14:paraId="4D3E48A7" w14:textId="32A8E3AE" w:rsidR="00BF10E6" w:rsidRPr="0030798C" w:rsidRDefault="00BF10E6" w:rsidP="00C770FC">
      <w:pPr>
        <w:rPr>
          <w:sz w:val="24"/>
        </w:rPr>
      </w:pPr>
      <w:r w:rsidRPr="0030798C">
        <w:rPr>
          <w:sz w:val="24"/>
        </w:rPr>
        <w:t>La memoria di quanto avvenuto anche in Ticino è ancora viva.</w:t>
      </w:r>
    </w:p>
    <w:p w14:paraId="7DC74963" w14:textId="77777777" w:rsidR="00A74A42" w:rsidRPr="0030798C" w:rsidRDefault="00A74A42" w:rsidP="00C770FC">
      <w:pPr>
        <w:rPr>
          <w:sz w:val="24"/>
        </w:rPr>
      </w:pPr>
    </w:p>
    <w:p w14:paraId="61575B2A" w14:textId="2113EEBD" w:rsidR="00A74A42" w:rsidRPr="0030798C" w:rsidRDefault="00BF10E6" w:rsidP="00C770FC">
      <w:pPr>
        <w:rPr>
          <w:sz w:val="24"/>
        </w:rPr>
      </w:pPr>
      <w:r w:rsidRPr="0030798C">
        <w:rPr>
          <w:sz w:val="24"/>
        </w:rPr>
        <w:t xml:space="preserve">Il </w:t>
      </w:r>
      <w:r w:rsidR="00A74A42" w:rsidRPr="0030798C">
        <w:rPr>
          <w:sz w:val="24"/>
        </w:rPr>
        <w:t xml:space="preserve">messaggio </w:t>
      </w:r>
      <w:r w:rsidRPr="0030798C">
        <w:rPr>
          <w:sz w:val="24"/>
        </w:rPr>
        <w:t xml:space="preserve">in oggetto ambisce pertanto a </w:t>
      </w:r>
      <w:r w:rsidR="00C0079A" w:rsidRPr="0030798C">
        <w:rPr>
          <w:sz w:val="24"/>
        </w:rPr>
        <w:t>chiudere</w:t>
      </w:r>
      <w:r w:rsidRPr="0030798C">
        <w:rPr>
          <w:sz w:val="24"/>
        </w:rPr>
        <w:t xml:space="preserve"> </w:t>
      </w:r>
      <w:r w:rsidR="00A74A42" w:rsidRPr="0030798C">
        <w:rPr>
          <w:sz w:val="24"/>
        </w:rPr>
        <w:t xml:space="preserve">un periodo </w:t>
      </w:r>
      <w:r w:rsidR="00E63332" w:rsidRPr="0030798C">
        <w:rPr>
          <w:sz w:val="24"/>
        </w:rPr>
        <w:t xml:space="preserve">straordinario ed imprevedibile, ad ogni livello e ambito della società. La gestione dei pazienti affetti da COVID-19, congiuntamente ed in aggiunta al trattamento delle altre patologie, </w:t>
      </w:r>
      <w:r w:rsidR="00A74A42" w:rsidRPr="0030798C">
        <w:rPr>
          <w:sz w:val="24"/>
        </w:rPr>
        <w:t>ha richiesto</w:t>
      </w:r>
      <w:r w:rsidR="00E63332" w:rsidRPr="0030798C">
        <w:rPr>
          <w:sz w:val="24"/>
        </w:rPr>
        <w:t xml:space="preserve"> a tutti gli attori del sistema sanitario</w:t>
      </w:r>
      <w:r w:rsidR="00A74A42" w:rsidRPr="0030798C">
        <w:rPr>
          <w:sz w:val="24"/>
        </w:rPr>
        <w:t xml:space="preserve"> </w:t>
      </w:r>
      <w:r w:rsidR="00E63332" w:rsidRPr="0030798C">
        <w:rPr>
          <w:sz w:val="24"/>
        </w:rPr>
        <w:t xml:space="preserve">e specificatamente </w:t>
      </w:r>
      <w:r w:rsidR="00A74A42" w:rsidRPr="0030798C">
        <w:rPr>
          <w:sz w:val="24"/>
        </w:rPr>
        <w:t>agli istituti ospedalieri una flessibilità organizzativa, una generosità reciproca (logistica, tecnica, umana ed economica) e una determinazione</w:t>
      </w:r>
      <w:r w:rsidR="00E63332" w:rsidRPr="0030798C">
        <w:rPr>
          <w:sz w:val="24"/>
        </w:rPr>
        <w:t xml:space="preserve"> operativa</w:t>
      </w:r>
      <w:r w:rsidR="00A74A42" w:rsidRPr="0030798C">
        <w:rPr>
          <w:sz w:val="24"/>
        </w:rPr>
        <w:t>, mai sperimentate prima.</w:t>
      </w:r>
    </w:p>
    <w:p w14:paraId="52305144" w14:textId="1204B5AD" w:rsidR="00BF10E6" w:rsidRPr="0030798C" w:rsidRDefault="00BF10E6" w:rsidP="00C770FC">
      <w:pPr>
        <w:rPr>
          <w:sz w:val="24"/>
        </w:rPr>
      </w:pPr>
      <w:r w:rsidRPr="0030798C">
        <w:rPr>
          <w:sz w:val="24"/>
        </w:rPr>
        <w:t>Su questi elementi il Gran Consiglio ha fatto dalla fine del gennaio 2020 ad oggi la sua parte adottando diverse risoluzioni e crediti anche reagendo in tempi rapidi. Al pari di ciò anche il riconoscimento ai vari attori per l’impegno profuso a livello umano ed organizzativo è stato da più parti ribadito e sottolineato con forza.</w:t>
      </w:r>
    </w:p>
    <w:p w14:paraId="61259CF0" w14:textId="77777777" w:rsidR="00BF10E6" w:rsidRPr="0030798C" w:rsidRDefault="00BF10E6" w:rsidP="00C770FC">
      <w:pPr>
        <w:rPr>
          <w:sz w:val="24"/>
        </w:rPr>
      </w:pPr>
    </w:p>
    <w:p w14:paraId="2E5D0F59" w14:textId="0E78A247" w:rsidR="00BF10E6" w:rsidRPr="0030798C" w:rsidRDefault="00BF10E6" w:rsidP="00C770FC">
      <w:pPr>
        <w:rPr>
          <w:sz w:val="24"/>
        </w:rPr>
      </w:pPr>
      <w:r w:rsidRPr="0030798C">
        <w:rPr>
          <w:sz w:val="24"/>
        </w:rPr>
        <w:t xml:space="preserve">Ora si tratta anche di guardare agli aspetti finanziari riconoscendo e descrivendo di seguito </w:t>
      </w:r>
    </w:p>
    <w:p w14:paraId="3D5DD60A" w14:textId="17FADA28" w:rsidR="009C626B" w:rsidRDefault="00A74A42" w:rsidP="00C770FC">
      <w:pPr>
        <w:rPr>
          <w:sz w:val="24"/>
        </w:rPr>
      </w:pPr>
      <w:r w:rsidRPr="0030798C">
        <w:rPr>
          <w:sz w:val="24"/>
        </w:rPr>
        <w:t xml:space="preserve">le modalità e l’entità del sostegno finanziario che il Canton Ticino ha assicurato agli istituti ospedalieri </w:t>
      </w:r>
      <w:r w:rsidR="00C0079A" w:rsidRPr="0030798C">
        <w:rPr>
          <w:sz w:val="24"/>
        </w:rPr>
        <w:t xml:space="preserve">per la gestione della pandemia </w:t>
      </w:r>
      <w:r w:rsidR="009C626B" w:rsidRPr="0030798C">
        <w:rPr>
          <w:sz w:val="24"/>
        </w:rPr>
        <w:t>nonché, a seguire, quali sono i finanziamenti per i mancati introiti delle varie strutture che si vedranno limitatamente al periodo 17 marzo 2020 – 26 aprile 2020, durante il quale vigeva il blocco dei trattamenti, degli esami e degli interventi decretato con l’Ordinanza 2 COVID-19 del 16 marzo 2020.</w:t>
      </w:r>
    </w:p>
    <w:p w14:paraId="0D8FE775" w14:textId="77777777" w:rsidR="00C770FC" w:rsidRPr="0030798C" w:rsidRDefault="00C770FC" w:rsidP="00C770FC">
      <w:pPr>
        <w:rPr>
          <w:sz w:val="24"/>
        </w:rPr>
      </w:pPr>
    </w:p>
    <w:p w14:paraId="1DD1C082" w14:textId="3BA4FEC0" w:rsidR="00C0079A" w:rsidRPr="0030798C" w:rsidRDefault="009C626B" w:rsidP="00C0079A">
      <w:pPr>
        <w:spacing w:after="60"/>
        <w:rPr>
          <w:sz w:val="24"/>
        </w:rPr>
      </w:pPr>
      <w:r w:rsidRPr="0030798C">
        <w:rPr>
          <w:sz w:val="24"/>
        </w:rPr>
        <w:t>I sostegni sono avvenuti in particolare nei seguenti ambiti</w:t>
      </w:r>
    </w:p>
    <w:p w14:paraId="12D3057C" w14:textId="77777777" w:rsidR="00C0079A" w:rsidRPr="0030798C" w:rsidRDefault="00A74A42" w:rsidP="00C770FC">
      <w:pPr>
        <w:pStyle w:val="Paragrafoelenco"/>
        <w:numPr>
          <w:ilvl w:val="0"/>
          <w:numId w:val="43"/>
        </w:numPr>
        <w:spacing w:after="60"/>
        <w:ind w:left="284" w:hanging="284"/>
        <w:contextualSpacing w:val="0"/>
        <w:rPr>
          <w:sz w:val="24"/>
        </w:rPr>
      </w:pPr>
      <w:r w:rsidRPr="0030798C">
        <w:rPr>
          <w:sz w:val="24"/>
        </w:rPr>
        <w:t xml:space="preserve">a parziale copertura dei costi imputabili alla gestione della pandemia </w:t>
      </w:r>
      <w:r w:rsidR="00C0079A" w:rsidRPr="0030798C">
        <w:rPr>
          <w:sz w:val="24"/>
        </w:rPr>
        <w:t>nel periodo che va da gennaio 2020 a dicembre 2021;</w:t>
      </w:r>
    </w:p>
    <w:p w14:paraId="17C3C2C2" w14:textId="5675D1E4" w:rsidR="00E31BC3" w:rsidRPr="0030798C" w:rsidRDefault="00C0079A" w:rsidP="00C770FC">
      <w:pPr>
        <w:pStyle w:val="Paragrafoelenco"/>
        <w:numPr>
          <w:ilvl w:val="0"/>
          <w:numId w:val="43"/>
        </w:numPr>
        <w:spacing w:after="60"/>
        <w:ind w:left="284" w:hanging="284"/>
        <w:rPr>
          <w:sz w:val="24"/>
        </w:rPr>
      </w:pPr>
      <w:r w:rsidRPr="0030798C">
        <w:rPr>
          <w:sz w:val="24"/>
        </w:rPr>
        <w:t>a copertura del costo per il mantenimento presso l’</w:t>
      </w:r>
      <w:r w:rsidR="001D5162" w:rsidRPr="0030798C">
        <w:rPr>
          <w:sz w:val="24"/>
        </w:rPr>
        <w:t>E</w:t>
      </w:r>
      <w:r w:rsidRPr="0030798C">
        <w:rPr>
          <w:sz w:val="24"/>
        </w:rPr>
        <w:t xml:space="preserve">nte Ospedaliero Cantonale (EOC) e presso la Clinica Luganese Moncucco SA, fino a 10 letti rispettivamente 4 letti </w:t>
      </w:r>
      <w:r w:rsidR="00E63332" w:rsidRPr="0030798C">
        <w:rPr>
          <w:sz w:val="24"/>
        </w:rPr>
        <w:t xml:space="preserve">supplementari </w:t>
      </w:r>
      <w:r w:rsidRPr="0030798C">
        <w:rPr>
          <w:sz w:val="24"/>
        </w:rPr>
        <w:t xml:space="preserve">di cure intense nel periodo dal 1° </w:t>
      </w:r>
      <w:r w:rsidR="00C770FC">
        <w:rPr>
          <w:sz w:val="24"/>
        </w:rPr>
        <w:t>luglio 2021 al 30 giugno 2022 (m</w:t>
      </w:r>
      <w:r w:rsidR="00E63332" w:rsidRPr="0030798C">
        <w:rPr>
          <w:sz w:val="24"/>
        </w:rPr>
        <w:t xml:space="preserve">essaggio n. </w:t>
      </w:r>
      <w:r w:rsidRPr="0030798C">
        <w:rPr>
          <w:sz w:val="24"/>
        </w:rPr>
        <w:t xml:space="preserve">8031 del 5 agosto 2021 e </w:t>
      </w:r>
      <w:r w:rsidR="001D5162" w:rsidRPr="0030798C">
        <w:rPr>
          <w:sz w:val="24"/>
        </w:rPr>
        <w:t xml:space="preserve">DL </w:t>
      </w:r>
      <w:r w:rsidRPr="0030798C">
        <w:rPr>
          <w:sz w:val="24"/>
        </w:rPr>
        <w:t>urgente del 20 ottobre 2021)</w:t>
      </w:r>
      <w:r w:rsidR="009C626B" w:rsidRPr="0030798C">
        <w:rPr>
          <w:sz w:val="24"/>
        </w:rPr>
        <w:t>.</w:t>
      </w:r>
    </w:p>
    <w:p w14:paraId="4C135BD3" w14:textId="77777777" w:rsidR="00C0079A" w:rsidRPr="0030798C" w:rsidRDefault="00C0079A" w:rsidP="00993310">
      <w:pPr>
        <w:rPr>
          <w:sz w:val="24"/>
        </w:rPr>
      </w:pPr>
    </w:p>
    <w:p w14:paraId="7D30531F" w14:textId="21750FF1" w:rsidR="009C626B" w:rsidRPr="0030798C" w:rsidRDefault="009C626B" w:rsidP="00993310">
      <w:pPr>
        <w:rPr>
          <w:sz w:val="24"/>
        </w:rPr>
      </w:pPr>
      <w:r w:rsidRPr="0030798C">
        <w:rPr>
          <w:sz w:val="24"/>
        </w:rPr>
        <w:t xml:space="preserve">Ovviamente non è questo il contesto per ricordare anche le altre tipologie di aiuti forniti alle aziende e alla popolazione, segnatamente a livello federale e cantonale con, per </w:t>
      </w:r>
      <w:r w:rsidRPr="0030798C">
        <w:rPr>
          <w:sz w:val="24"/>
        </w:rPr>
        <w:lastRenderedPageBreak/>
        <w:t xml:space="preserve">ricordarne solo alcune, il meccanismo per finanziare i casi di rigore, le indennità lavoro ridotto, i crediti </w:t>
      </w:r>
      <w:r w:rsidR="00073535" w:rsidRPr="0030798C">
        <w:rPr>
          <w:sz w:val="24"/>
        </w:rPr>
        <w:t>C</w:t>
      </w:r>
      <w:r w:rsidRPr="0030798C">
        <w:rPr>
          <w:sz w:val="24"/>
        </w:rPr>
        <w:t>ovid-19, ecc.</w:t>
      </w:r>
    </w:p>
    <w:p w14:paraId="1DB69535" w14:textId="2D1CA1C5" w:rsidR="008B2468" w:rsidRPr="00C770FC" w:rsidRDefault="008B2468" w:rsidP="00993310">
      <w:pPr>
        <w:rPr>
          <w:sz w:val="24"/>
          <w:szCs w:val="24"/>
        </w:rPr>
      </w:pPr>
    </w:p>
    <w:p w14:paraId="3A508E4B" w14:textId="54D82FC5" w:rsidR="00C770FC" w:rsidRPr="00C770FC" w:rsidRDefault="00C770FC" w:rsidP="00993310">
      <w:pPr>
        <w:rPr>
          <w:sz w:val="24"/>
          <w:szCs w:val="24"/>
        </w:rPr>
      </w:pPr>
    </w:p>
    <w:p w14:paraId="6338953B" w14:textId="5EA8162B" w:rsidR="00BF10E6" w:rsidRPr="00C770FC" w:rsidRDefault="00BF10E6" w:rsidP="00C770FC">
      <w:pPr>
        <w:pStyle w:val="Titolo1"/>
        <w:tabs>
          <w:tab w:val="left" w:pos="0"/>
        </w:tabs>
        <w:suppressAutoHyphens w:val="0"/>
        <w:spacing w:before="0"/>
        <w:jc w:val="both"/>
        <w:rPr>
          <w:rFonts w:ascii="Arial" w:eastAsia="Calibri" w:hAnsi="Arial" w:cs="Times New Roman"/>
          <w:caps/>
          <w:sz w:val="24"/>
          <w:szCs w:val="24"/>
          <w:lang w:val="it-IT" w:eastAsia="it-IT"/>
        </w:rPr>
      </w:pPr>
      <w:r w:rsidRPr="00C770FC">
        <w:rPr>
          <w:rFonts w:ascii="Arial" w:eastAsia="Calibri" w:hAnsi="Arial" w:cs="Times New Roman"/>
          <w:caps/>
          <w:sz w:val="24"/>
          <w:szCs w:val="24"/>
          <w:lang w:val="it-IT" w:eastAsia="it-IT"/>
        </w:rPr>
        <w:t xml:space="preserve"> </w:t>
      </w:r>
      <w:r w:rsidR="00C770FC">
        <w:rPr>
          <w:rFonts w:ascii="Arial" w:eastAsia="Calibri" w:hAnsi="Arial" w:cs="Times New Roman"/>
          <w:caps/>
          <w:sz w:val="24"/>
          <w:szCs w:val="24"/>
          <w:lang w:val="it-IT" w:eastAsia="it-IT"/>
        </w:rPr>
        <w:t>II.</w:t>
      </w:r>
      <w:r w:rsidR="00C770FC">
        <w:rPr>
          <w:rFonts w:ascii="Arial" w:eastAsia="Calibri" w:hAnsi="Arial" w:cs="Times New Roman"/>
          <w:caps/>
          <w:sz w:val="24"/>
          <w:szCs w:val="24"/>
          <w:lang w:val="it-IT" w:eastAsia="it-IT"/>
        </w:rPr>
        <w:tab/>
      </w:r>
      <w:r w:rsidRPr="00C770FC">
        <w:rPr>
          <w:rFonts w:ascii="Arial" w:eastAsia="Calibri" w:hAnsi="Arial" w:cs="Times New Roman"/>
          <w:caps/>
          <w:sz w:val="24"/>
          <w:szCs w:val="24"/>
          <w:lang w:val="it-IT" w:eastAsia="it-IT"/>
        </w:rPr>
        <w:t>IL MESSAGGIO</w:t>
      </w:r>
    </w:p>
    <w:p w14:paraId="74FFA62A" w14:textId="048C2CD6" w:rsidR="00C0079A" w:rsidRPr="0030798C" w:rsidRDefault="009C626B" w:rsidP="00993310">
      <w:pPr>
        <w:rPr>
          <w:sz w:val="24"/>
        </w:rPr>
      </w:pPr>
      <w:r w:rsidRPr="0030798C">
        <w:rPr>
          <w:bCs/>
          <w:sz w:val="24"/>
        </w:rPr>
        <w:t>Nell’int</w:t>
      </w:r>
      <w:r w:rsidR="00C770FC">
        <w:rPr>
          <w:bCs/>
          <w:sz w:val="24"/>
        </w:rPr>
        <w:t>roduzione al m</w:t>
      </w:r>
      <w:r w:rsidRPr="0030798C">
        <w:rPr>
          <w:bCs/>
          <w:sz w:val="24"/>
        </w:rPr>
        <w:t>essaggio il Governo esplicita che</w:t>
      </w:r>
      <w:r w:rsidRPr="0030798C">
        <w:rPr>
          <w:b/>
          <w:sz w:val="24"/>
        </w:rPr>
        <w:t xml:space="preserve"> </w:t>
      </w:r>
      <w:r w:rsidRPr="0030798C">
        <w:rPr>
          <w:sz w:val="24"/>
        </w:rPr>
        <w:t>l</w:t>
      </w:r>
      <w:r w:rsidR="00C0079A" w:rsidRPr="0030798C">
        <w:rPr>
          <w:sz w:val="24"/>
        </w:rPr>
        <w:t>’intervento del Cantone oggetto del</w:t>
      </w:r>
      <w:r w:rsidRPr="0030798C">
        <w:rPr>
          <w:sz w:val="24"/>
        </w:rPr>
        <w:t xml:space="preserve"> presente rapporto</w:t>
      </w:r>
      <w:r w:rsidR="00C0079A" w:rsidRPr="0030798C">
        <w:rPr>
          <w:sz w:val="24"/>
        </w:rPr>
        <w:t xml:space="preserve"> </w:t>
      </w:r>
      <w:r w:rsidR="000F543B" w:rsidRPr="0030798C">
        <w:rPr>
          <w:sz w:val="24"/>
        </w:rPr>
        <w:t>è ritenuto necessario dopo che</w:t>
      </w:r>
      <w:r w:rsidR="00C0079A" w:rsidRPr="0030798C">
        <w:rPr>
          <w:sz w:val="24"/>
        </w:rPr>
        <w:t xml:space="preserve"> la Confederazione ha escluso </w:t>
      </w:r>
      <w:r w:rsidR="00E31BC3" w:rsidRPr="0030798C">
        <w:rPr>
          <w:sz w:val="24"/>
        </w:rPr>
        <w:t xml:space="preserve">una </w:t>
      </w:r>
      <w:r w:rsidR="00C0079A" w:rsidRPr="0030798C">
        <w:rPr>
          <w:sz w:val="24"/>
        </w:rPr>
        <w:t xml:space="preserve">sua </w:t>
      </w:r>
      <w:r w:rsidR="00E31BC3" w:rsidRPr="0030798C">
        <w:rPr>
          <w:sz w:val="24"/>
        </w:rPr>
        <w:t>partecipazione</w:t>
      </w:r>
      <w:r w:rsidR="000F543B" w:rsidRPr="0030798C">
        <w:rPr>
          <w:sz w:val="24"/>
        </w:rPr>
        <w:t xml:space="preserve"> finanziari</w:t>
      </w:r>
      <w:r w:rsidR="00E31BC3" w:rsidRPr="0030798C">
        <w:rPr>
          <w:sz w:val="24"/>
        </w:rPr>
        <w:t xml:space="preserve">a sia a parziale copertura dei costi COVID, sia </w:t>
      </w:r>
      <w:r w:rsidR="000F543B" w:rsidRPr="0030798C">
        <w:rPr>
          <w:sz w:val="24"/>
        </w:rPr>
        <w:t>a titolo di compensazione per il blocco dei trattamenti, degli esami e degli interventi</w:t>
      </w:r>
      <w:r w:rsidR="00E632C6" w:rsidRPr="0030798C">
        <w:rPr>
          <w:sz w:val="24"/>
        </w:rPr>
        <w:t xml:space="preserve"> non urgenti</w:t>
      </w:r>
      <w:r w:rsidR="00E63332" w:rsidRPr="0030798C">
        <w:rPr>
          <w:sz w:val="24"/>
        </w:rPr>
        <w:t>,</w:t>
      </w:r>
      <w:r w:rsidR="000F543B" w:rsidRPr="0030798C">
        <w:rPr>
          <w:sz w:val="24"/>
        </w:rPr>
        <w:t xml:space="preserve"> decretato</w:t>
      </w:r>
      <w:r w:rsidR="00E31BC3" w:rsidRPr="0030798C">
        <w:rPr>
          <w:sz w:val="24"/>
        </w:rPr>
        <w:t xml:space="preserve"> con l’Ordinanza </w:t>
      </w:r>
      <w:r w:rsidR="00E632C6" w:rsidRPr="0030798C">
        <w:rPr>
          <w:sz w:val="24"/>
        </w:rPr>
        <w:t>2</w:t>
      </w:r>
      <w:r w:rsidR="00E31BC3" w:rsidRPr="0030798C">
        <w:rPr>
          <w:sz w:val="24"/>
        </w:rPr>
        <w:t xml:space="preserve"> COVID-19 del 1</w:t>
      </w:r>
      <w:r w:rsidR="00E632C6" w:rsidRPr="0030798C">
        <w:rPr>
          <w:sz w:val="24"/>
        </w:rPr>
        <w:t>3</w:t>
      </w:r>
      <w:r w:rsidR="00E31BC3" w:rsidRPr="0030798C">
        <w:rPr>
          <w:sz w:val="24"/>
        </w:rPr>
        <w:t xml:space="preserve"> marzo 2020,</w:t>
      </w:r>
      <w:r w:rsidR="000F543B" w:rsidRPr="0030798C">
        <w:rPr>
          <w:sz w:val="24"/>
        </w:rPr>
        <w:t xml:space="preserve"> per il periodo </w:t>
      </w:r>
      <w:r w:rsidR="00E632C6" w:rsidRPr="0030798C">
        <w:rPr>
          <w:sz w:val="24"/>
        </w:rPr>
        <w:t xml:space="preserve">dal </w:t>
      </w:r>
      <w:r w:rsidR="000F543B" w:rsidRPr="0030798C">
        <w:rPr>
          <w:sz w:val="24"/>
        </w:rPr>
        <w:t xml:space="preserve">17 marzo 2020 </w:t>
      </w:r>
      <w:r w:rsidR="00E632C6" w:rsidRPr="0030798C">
        <w:rPr>
          <w:sz w:val="24"/>
        </w:rPr>
        <w:t>al</w:t>
      </w:r>
      <w:r w:rsidR="000F543B" w:rsidRPr="0030798C">
        <w:rPr>
          <w:sz w:val="24"/>
        </w:rPr>
        <w:t xml:space="preserve"> 26 aprile 2020</w:t>
      </w:r>
      <w:r w:rsidR="00C0079A" w:rsidRPr="0030798C">
        <w:rPr>
          <w:sz w:val="24"/>
        </w:rPr>
        <w:t>.</w:t>
      </w:r>
    </w:p>
    <w:p w14:paraId="3DCE63B2" w14:textId="77777777" w:rsidR="009C626B" w:rsidRPr="0030798C" w:rsidRDefault="009C626B" w:rsidP="00993310">
      <w:pPr>
        <w:rPr>
          <w:sz w:val="24"/>
        </w:rPr>
      </w:pPr>
    </w:p>
    <w:p w14:paraId="6C02A763" w14:textId="20830769" w:rsidR="009C626B" w:rsidRPr="0030798C" w:rsidRDefault="009C626B" w:rsidP="00993310">
      <w:pPr>
        <w:rPr>
          <w:sz w:val="24"/>
        </w:rPr>
      </w:pPr>
      <w:r w:rsidRPr="0030798C">
        <w:rPr>
          <w:sz w:val="24"/>
        </w:rPr>
        <w:t>Il messaggio (pag.1-3), a cui si rinvia per i dettagli, ripercorre le tappe</w:t>
      </w:r>
      <w:r w:rsidR="0078485A" w:rsidRPr="0030798C">
        <w:rPr>
          <w:sz w:val="24"/>
        </w:rPr>
        <w:t xml:space="preserve"> (dal 24 giugno 2020 all’8 marzo 2023)</w:t>
      </w:r>
      <w:r w:rsidRPr="0030798C">
        <w:rPr>
          <w:sz w:val="24"/>
        </w:rPr>
        <w:t xml:space="preserve">, le sedi e le </w:t>
      </w:r>
      <w:r w:rsidR="0078485A" w:rsidRPr="0030798C">
        <w:rPr>
          <w:sz w:val="24"/>
        </w:rPr>
        <w:t xml:space="preserve">motivazioni </w:t>
      </w:r>
      <w:r w:rsidRPr="0030798C">
        <w:rPr>
          <w:sz w:val="24"/>
        </w:rPr>
        <w:t xml:space="preserve">in cui </w:t>
      </w:r>
      <w:r w:rsidR="0078485A" w:rsidRPr="0030798C">
        <w:rPr>
          <w:sz w:val="24"/>
        </w:rPr>
        <w:t xml:space="preserve">a livello federale (tanto a livello di Esecutivo quanto di Legislativo) si è confermata l’esclusione della partecipazione della Confederazione pur tenuto conto di vari atti ed iniziative politiche partitiche e dei Cantoni stessi. Essa è quindi un dato di fatto di cui si prende atto e si trarrà insegnamento, si spera </w:t>
      </w:r>
      <w:r w:rsidR="00073535" w:rsidRPr="0030798C">
        <w:rPr>
          <w:sz w:val="24"/>
        </w:rPr>
        <w:t>pro-futuro</w:t>
      </w:r>
      <w:r w:rsidR="0078485A" w:rsidRPr="0030798C">
        <w:rPr>
          <w:sz w:val="24"/>
        </w:rPr>
        <w:t>.</w:t>
      </w:r>
    </w:p>
    <w:p w14:paraId="0572A58C" w14:textId="77777777" w:rsidR="00E31BC3" w:rsidRPr="0030798C" w:rsidRDefault="00E31BC3" w:rsidP="00993310">
      <w:pPr>
        <w:rPr>
          <w:sz w:val="24"/>
        </w:rPr>
      </w:pPr>
    </w:p>
    <w:p w14:paraId="7DFB5F28" w14:textId="77777777" w:rsidR="00073535" w:rsidRPr="0030798C" w:rsidRDefault="0078485A" w:rsidP="00073535">
      <w:pPr>
        <w:pStyle w:val="StandardRisoluzionedelConsigliodiStato"/>
        <w:spacing w:after="240"/>
      </w:pPr>
      <w:r w:rsidRPr="0030798C">
        <w:t>Va riconosciuto che i</w:t>
      </w:r>
      <w:r w:rsidR="00446BD4" w:rsidRPr="0030798C">
        <w:t>l Consiglio di Stato si è reso conto fin da subito che la pandemia avrebbe potuto avere pesanti conseguenze finanziar</w:t>
      </w:r>
      <w:r w:rsidR="00E31BC3" w:rsidRPr="0030798C">
        <w:t>i</w:t>
      </w:r>
      <w:r w:rsidR="00446BD4" w:rsidRPr="0030798C">
        <w:t>e per gli istituti ospedalieri</w:t>
      </w:r>
      <w:r w:rsidR="006C0F2B" w:rsidRPr="0030798C">
        <w:t>. In numerose risoluzioni governative che riguardavano la definizione di puntuali dispositivi ospedalieri (sia con letti COVID dedicati, sia con chiusure di determinati reparti o se</w:t>
      </w:r>
      <w:r w:rsidR="00E31BC3" w:rsidRPr="0030798C">
        <w:t>r</w:t>
      </w:r>
      <w:r w:rsidR="006C0F2B" w:rsidRPr="0030798C">
        <w:t>vizi, sia con spostamenti di mandati di</w:t>
      </w:r>
      <w:r w:rsidR="00073535" w:rsidRPr="0030798C">
        <w:t xml:space="preserve"> </w:t>
      </w:r>
      <w:r w:rsidR="006C0F2B" w:rsidRPr="0030798C">
        <w:t xml:space="preserve">prestazione) </w:t>
      </w:r>
      <w:r w:rsidR="009B120B" w:rsidRPr="0030798C">
        <w:t xml:space="preserve">si </w:t>
      </w:r>
      <w:r w:rsidR="006C0F2B" w:rsidRPr="0030798C">
        <w:t>menzio</w:t>
      </w:r>
      <w:r w:rsidR="009B120B" w:rsidRPr="0030798C">
        <w:t xml:space="preserve">navano anche aspetti finanziari. </w:t>
      </w:r>
    </w:p>
    <w:p w14:paraId="2A1A6BF8" w14:textId="35EA70EF" w:rsidR="00073535" w:rsidRPr="0030798C" w:rsidRDefault="0078485A" w:rsidP="00073535">
      <w:pPr>
        <w:pStyle w:val="StandardRisoluzionedelConsigliodiStato"/>
        <w:spacing w:after="240"/>
      </w:pPr>
      <w:r w:rsidRPr="0030798C">
        <w:t xml:space="preserve">Le </w:t>
      </w:r>
      <w:r w:rsidR="009B120B" w:rsidRPr="0030798C">
        <w:t>risoluzioni governative</w:t>
      </w:r>
      <w:r w:rsidR="00126257" w:rsidRPr="0030798C">
        <w:t xml:space="preserve"> </w:t>
      </w:r>
      <w:r w:rsidR="007C5086" w:rsidRPr="0030798C">
        <w:t xml:space="preserve">(RG) </w:t>
      </w:r>
      <w:r w:rsidRPr="0030798C">
        <w:t>sono state 8 dal marzo 2020 e si fondavano sull’art. 66c LCAMal e 48e lett.a del RLCAMal.</w:t>
      </w:r>
      <w:r w:rsidR="00126257" w:rsidRPr="0030798C">
        <w:t xml:space="preserve"> </w:t>
      </w:r>
      <w:r w:rsidR="002B1364" w:rsidRPr="0030798C">
        <w:t>In q</w:t>
      </w:r>
      <w:r w:rsidR="00583F2A" w:rsidRPr="0030798C">
        <w:t>ueste risoluzioni</w:t>
      </w:r>
      <w:r w:rsidR="002B1364" w:rsidRPr="0030798C">
        <w:t xml:space="preserve"> si ritrovano delle disposizioni relative a problematiche finanziarie. Chi avrà interesse a ripercorrerne l’istoriato e la descrizione potrà trovare i dettagli a pag. 4 del copioso Messaggio.</w:t>
      </w:r>
    </w:p>
    <w:p w14:paraId="2DE4036A" w14:textId="7BA85F80" w:rsidR="00E07572" w:rsidRPr="0030798C" w:rsidRDefault="005C19AC" w:rsidP="002B1364">
      <w:pPr>
        <w:pStyle w:val="StandardRisoluzionedelConsigliodiStato"/>
        <w:spacing w:after="60"/>
      </w:pPr>
      <w:r w:rsidRPr="0030798C">
        <w:t xml:space="preserve">Se il finanziamento dei costi supplementari è sorretto dalle </w:t>
      </w:r>
      <w:r w:rsidR="002B1364" w:rsidRPr="0030798C">
        <w:t xml:space="preserve">RG menzionate nel messaggio e le </w:t>
      </w:r>
      <w:r w:rsidRPr="0030798C">
        <w:t>basi legali soprammenzionate</w:t>
      </w:r>
      <w:r w:rsidR="002B1364" w:rsidRPr="0030798C">
        <w:t xml:space="preserve"> – le quali hanno permesso tra l’altro </w:t>
      </w:r>
      <w:r w:rsidR="002B1364" w:rsidRPr="0030798C">
        <w:rPr>
          <w:b/>
          <w:bCs/>
        </w:rPr>
        <w:t xml:space="preserve">l’anticipo di 13.2 milioni e poi un credito aggiuntivo di 46.8 milioni </w:t>
      </w:r>
      <w:r w:rsidR="002B1364" w:rsidRPr="0030798C">
        <w:t xml:space="preserve">di franchi relativo ai contributi alle ospedalizzazioni nel Cantone per l’anno 2020, per </w:t>
      </w:r>
      <w:r w:rsidR="002B1364" w:rsidRPr="0030798C">
        <w:rPr>
          <w:b/>
          <w:bCs/>
        </w:rPr>
        <w:t>un accantonamento complessivo di 60 milioni</w:t>
      </w:r>
      <w:r w:rsidR="002B1364" w:rsidRPr="0030798C">
        <w:t xml:space="preserve"> di franchi per la rifusione di costi supplementari</w:t>
      </w:r>
      <w:r w:rsidRPr="0030798C">
        <w:t xml:space="preserve">, </w:t>
      </w:r>
      <w:r w:rsidR="002B1364" w:rsidRPr="0030798C">
        <w:t xml:space="preserve">- </w:t>
      </w:r>
      <w:r w:rsidRPr="0030798C">
        <w:t xml:space="preserve">quello relativo ai minori introiti necessita invece di </w:t>
      </w:r>
      <w:r w:rsidR="00695CD7" w:rsidRPr="0030798C">
        <w:t>un consolidamento a livello giuridico tramite l’approvazione di uno specifico decreto legislativo.</w:t>
      </w:r>
    </w:p>
    <w:p w14:paraId="01CBA61C" w14:textId="77777777" w:rsidR="002B1364" w:rsidRPr="0030798C" w:rsidRDefault="002B1364" w:rsidP="002B1364">
      <w:pPr>
        <w:pStyle w:val="StandardRisoluzionedelConsigliodiStato"/>
        <w:spacing w:after="60"/>
      </w:pPr>
    </w:p>
    <w:p w14:paraId="0D69E81D" w14:textId="17DB3BE1" w:rsidR="002B1364" w:rsidRPr="0030798C" w:rsidRDefault="002B1364" w:rsidP="002B1364">
      <w:pPr>
        <w:pStyle w:val="StandardRisoluzionedelConsigliodiStato"/>
        <w:spacing w:after="60"/>
      </w:pPr>
      <w:r w:rsidRPr="0030798C">
        <w:t>Questo è il vero t</w:t>
      </w:r>
      <w:r w:rsidR="00C770FC">
        <w:t>ema di pertinenza del presente r</w:t>
      </w:r>
      <w:r w:rsidRPr="0030798C">
        <w:t>apporto</w:t>
      </w:r>
      <w:r w:rsidR="00AE07A9" w:rsidRPr="0030798C">
        <w:t>.</w:t>
      </w:r>
    </w:p>
    <w:p w14:paraId="69DAF265" w14:textId="77777777" w:rsidR="00AE07A9" w:rsidRPr="0030798C" w:rsidRDefault="00AE07A9" w:rsidP="00993310">
      <w:pPr>
        <w:pStyle w:val="StandardRisoluzionedelConsigliodiStato"/>
        <w:ind w:right="-1"/>
      </w:pPr>
    </w:p>
    <w:p w14:paraId="5322F557" w14:textId="53B6EB57" w:rsidR="00695CD7" w:rsidRPr="0030798C" w:rsidRDefault="00AE07A9" w:rsidP="00993310">
      <w:pPr>
        <w:pStyle w:val="StandardRisoluzionedelConsigliodiStato"/>
        <w:ind w:right="-1"/>
      </w:pPr>
      <w:r w:rsidRPr="0030798C">
        <w:t>Il messaggio</w:t>
      </w:r>
      <w:r w:rsidR="00695CD7" w:rsidRPr="0030798C">
        <w:t xml:space="preserve"> </w:t>
      </w:r>
      <w:r w:rsidRPr="0030798C">
        <w:t>ripercorre dapprima un istoriato circa</w:t>
      </w:r>
      <w:r w:rsidR="00695CD7" w:rsidRPr="0030798C">
        <w:t xml:space="preserve"> le modalità di finanziamento adottate per il riconoscimento dei costi supplementari e</w:t>
      </w:r>
      <w:r w:rsidRPr="0030798C">
        <w:t xml:space="preserve"> dipoi formula</w:t>
      </w:r>
      <w:r w:rsidR="00695CD7" w:rsidRPr="0030798C">
        <w:t xml:space="preserve"> le proposte per il risarcimento dei mancati introiti</w:t>
      </w:r>
      <w:r w:rsidRPr="0030798C">
        <w:t>. L’obiettivo del dettagliato e pertinente Messaggio governativo è quello di</w:t>
      </w:r>
      <w:r w:rsidR="00695CD7" w:rsidRPr="0030798C">
        <w:t xml:space="preserve"> presentare un quadro completo </w:t>
      </w:r>
      <w:r w:rsidR="00F30991" w:rsidRPr="0030798C">
        <w:t>sulle pesanti conseguenze che la pandemia ha avuto sui risultati d’esercizio degli istituti ospedalieri</w:t>
      </w:r>
      <w:r w:rsidR="003537BF" w:rsidRPr="0030798C">
        <w:t xml:space="preserve"> ed in particolare dell’Ente </w:t>
      </w:r>
      <w:r w:rsidR="00DA1A06" w:rsidRPr="0030798C">
        <w:t>O</w:t>
      </w:r>
      <w:r w:rsidR="003537BF" w:rsidRPr="0030798C">
        <w:t xml:space="preserve">spedaliero </w:t>
      </w:r>
      <w:r w:rsidR="00DA1A06" w:rsidRPr="0030798C">
        <w:t>C</w:t>
      </w:r>
      <w:r w:rsidR="003537BF" w:rsidRPr="0030798C">
        <w:t>antonale</w:t>
      </w:r>
      <w:r w:rsidRPr="0030798C">
        <w:t xml:space="preserve"> e indirettamente di giustificare, dando conto, dell’importanza ma anche della necessità di procedere con tali finanziamenti a salvaguardia generale delle strutture interessate, del loro personale e non da ultimo, anzi, del pazienti di questo Cantone.</w:t>
      </w:r>
    </w:p>
    <w:p w14:paraId="15B3705B" w14:textId="77777777" w:rsidR="00265A6D" w:rsidRPr="00C770FC" w:rsidRDefault="00265A6D" w:rsidP="00C770FC">
      <w:pPr>
        <w:pStyle w:val="Titolo2"/>
        <w:numPr>
          <w:ilvl w:val="0"/>
          <w:numId w:val="22"/>
        </w:numPr>
        <w:tabs>
          <w:tab w:val="left" w:pos="567"/>
        </w:tabs>
        <w:suppressAutoHyphens w:val="0"/>
        <w:spacing w:before="0" w:after="120"/>
        <w:ind w:left="0" w:firstLine="0"/>
        <w:jc w:val="both"/>
        <w:rPr>
          <w:rFonts w:ascii="Arial" w:eastAsia="Calibri" w:hAnsi="Arial" w:cs="Times New Roman"/>
          <w:sz w:val="24"/>
          <w:lang w:val="it-IT" w:eastAsia="it-IT"/>
        </w:rPr>
      </w:pPr>
      <w:r w:rsidRPr="00C770FC">
        <w:rPr>
          <w:rFonts w:ascii="Arial" w:eastAsia="Calibri" w:hAnsi="Arial" w:cs="Times New Roman"/>
          <w:sz w:val="24"/>
          <w:lang w:val="it-IT" w:eastAsia="it-IT"/>
        </w:rPr>
        <w:lastRenderedPageBreak/>
        <w:t>C</w:t>
      </w:r>
      <w:r w:rsidR="006D007C" w:rsidRPr="00C770FC">
        <w:rPr>
          <w:rFonts w:ascii="Arial" w:eastAsia="Calibri" w:hAnsi="Arial" w:cs="Times New Roman"/>
          <w:sz w:val="24"/>
          <w:lang w:val="it-IT" w:eastAsia="it-IT"/>
        </w:rPr>
        <w:t>osti supplementari</w:t>
      </w:r>
      <w:r w:rsidR="00C0079A" w:rsidRPr="00C770FC">
        <w:rPr>
          <w:rFonts w:ascii="Arial" w:eastAsia="Calibri" w:hAnsi="Arial" w:cs="Times New Roman"/>
          <w:sz w:val="24"/>
          <w:lang w:val="it-IT" w:eastAsia="it-IT"/>
        </w:rPr>
        <w:t xml:space="preserve"> 2020 </w:t>
      </w:r>
      <w:r w:rsidR="008B2468" w:rsidRPr="00C770FC">
        <w:rPr>
          <w:rFonts w:ascii="Arial" w:eastAsia="Calibri" w:hAnsi="Arial" w:cs="Times New Roman"/>
          <w:sz w:val="24"/>
          <w:lang w:val="it-IT" w:eastAsia="it-IT"/>
        </w:rPr>
        <w:t>e</w:t>
      </w:r>
      <w:r w:rsidR="00C0079A" w:rsidRPr="00C770FC">
        <w:rPr>
          <w:rFonts w:ascii="Arial" w:eastAsia="Calibri" w:hAnsi="Arial" w:cs="Times New Roman"/>
          <w:sz w:val="24"/>
          <w:lang w:val="it-IT" w:eastAsia="it-IT"/>
        </w:rPr>
        <w:t xml:space="preserve"> 2021</w:t>
      </w:r>
    </w:p>
    <w:p w14:paraId="70D59E42" w14:textId="6F5CC642" w:rsidR="00E31BC3" w:rsidRPr="0030798C" w:rsidRDefault="00AE07A9" w:rsidP="00DA1A06">
      <w:pPr>
        <w:pStyle w:val="StandardRisoluzionedelConsigliodiStato"/>
        <w:spacing w:after="240"/>
      </w:pPr>
      <w:r w:rsidRPr="0030798C">
        <w:t xml:space="preserve">Agli istituti ospedalieri </w:t>
      </w:r>
      <w:r w:rsidR="00DC7EC1" w:rsidRPr="0030798C">
        <w:t>è stato richiest</w:t>
      </w:r>
      <w:r w:rsidRPr="0030798C">
        <w:t>a</w:t>
      </w:r>
      <w:r w:rsidR="00DC7EC1" w:rsidRPr="0030798C">
        <w:t xml:space="preserve"> </w:t>
      </w:r>
      <w:r w:rsidR="00545BA3" w:rsidRPr="0030798C">
        <w:t>una copiosa documentazione, unitamente a</w:t>
      </w:r>
      <w:r w:rsidR="00894D62" w:rsidRPr="0030798C">
        <w:t xml:space="preserve">gli atti abitualmente prodotti in sede </w:t>
      </w:r>
      <w:r w:rsidR="00545BA3" w:rsidRPr="0030798C">
        <w:t>di consuntivo</w:t>
      </w:r>
      <w:r w:rsidRPr="0030798C">
        <w:t>. per verificare la reale portate dei bisogni.</w:t>
      </w:r>
    </w:p>
    <w:p w14:paraId="0359FC7F" w14:textId="6315235F" w:rsidR="00AE07A9" w:rsidRPr="0030798C" w:rsidRDefault="00AE07A9" w:rsidP="00DA1A06">
      <w:pPr>
        <w:pStyle w:val="StandardRisoluzionedelConsigliodiStato"/>
        <w:spacing w:after="240"/>
      </w:pPr>
      <w:r w:rsidRPr="0030798C">
        <w:t>I gruppi di costo sono stati suddivisi in due grandi categorie:</w:t>
      </w:r>
    </w:p>
    <w:p w14:paraId="03EFA2AD" w14:textId="77777777" w:rsidR="00545BA3" w:rsidRPr="0030798C" w:rsidRDefault="00545BA3" w:rsidP="002E6954">
      <w:pPr>
        <w:pStyle w:val="StandardRisoluzionedelConsigliodiStato"/>
        <w:numPr>
          <w:ilvl w:val="0"/>
          <w:numId w:val="21"/>
        </w:numPr>
        <w:spacing w:after="60"/>
        <w:ind w:left="284" w:hanging="284"/>
      </w:pPr>
      <w:r w:rsidRPr="0030798C">
        <w:rPr>
          <w:i/>
        </w:rPr>
        <w:t>Costi per prestazioni d’interesse generale</w:t>
      </w:r>
      <w:r w:rsidRPr="0030798C">
        <w:t xml:space="preserve">, quali pernottamento e vitto in albergo del personale sia a rischio precettamento sia perché dislocato rispetto alla sede </w:t>
      </w:r>
      <w:r w:rsidR="003537BF" w:rsidRPr="0030798C">
        <w:t>di servizio,</w:t>
      </w:r>
      <w:r w:rsidRPr="0030798C">
        <w:t xml:space="preserve"> materiale sanitario, disinfettanti, mascherine di protezione, camici, analisi COVID ai dipendenti, separazioni percorsi del personale e dei pazienti, allestimento </w:t>
      </w:r>
      <w:r w:rsidR="003537BF" w:rsidRPr="0030798C">
        <w:t>a</w:t>
      </w:r>
      <w:r w:rsidRPr="0030798C">
        <w:t>stanterie in pronto soccorso, affitto spazi aggiuntivi, noleggio prefabbricati adibiti a spogliatoi per il personale, ammortamento apparecchi supplementari, ecc.;</w:t>
      </w:r>
    </w:p>
    <w:p w14:paraId="1B407EBF" w14:textId="77777777" w:rsidR="00545BA3" w:rsidRPr="0030798C" w:rsidRDefault="002E6954" w:rsidP="002E6954">
      <w:pPr>
        <w:pStyle w:val="StandardRisoluzionedelConsigliodiStato"/>
        <w:numPr>
          <w:ilvl w:val="0"/>
          <w:numId w:val="21"/>
        </w:numPr>
        <w:ind w:left="284" w:right="-1" w:hanging="284"/>
      </w:pPr>
      <w:r w:rsidRPr="0030798C">
        <w:rPr>
          <w:i/>
        </w:rPr>
        <w:t xml:space="preserve">Costi del personale </w:t>
      </w:r>
      <w:r w:rsidR="00545BA3" w:rsidRPr="0030798C">
        <w:t>generati da ore supplementari, nuove assunzio</w:t>
      </w:r>
      <w:r w:rsidRPr="0030798C">
        <w:t xml:space="preserve">ni, prestiti di personale e aumento della percentuale </w:t>
      </w:r>
      <w:r w:rsidR="00545BA3" w:rsidRPr="0030798C">
        <w:t>lavorativa prevista a contratto.</w:t>
      </w:r>
    </w:p>
    <w:p w14:paraId="144B2C32" w14:textId="77777777" w:rsidR="0046286F" w:rsidRPr="0030798C" w:rsidRDefault="0046286F" w:rsidP="00993310">
      <w:pPr>
        <w:pStyle w:val="StandardRisoluzionedelConsigliodiStato"/>
        <w:ind w:right="-1"/>
      </w:pPr>
    </w:p>
    <w:p w14:paraId="22EB4698" w14:textId="77777777" w:rsidR="00E31BC3" w:rsidRPr="00C770FC" w:rsidRDefault="00E31BC3" w:rsidP="00C770FC">
      <w:pPr>
        <w:pStyle w:val="Titolo3"/>
        <w:numPr>
          <w:ilvl w:val="1"/>
          <w:numId w:val="31"/>
        </w:numPr>
        <w:tabs>
          <w:tab w:val="left" w:pos="709"/>
        </w:tabs>
        <w:suppressAutoHyphens w:val="0"/>
        <w:spacing w:after="120"/>
        <w:ind w:left="0" w:firstLine="0"/>
        <w:jc w:val="both"/>
        <w:rPr>
          <w:rFonts w:ascii="Arial" w:eastAsia="Calibri" w:hAnsi="Arial" w:cs="Times New Roman"/>
          <w:i/>
          <w:sz w:val="23"/>
          <w:szCs w:val="23"/>
          <w:lang w:val="it-IT" w:eastAsia="it-IT"/>
        </w:rPr>
      </w:pPr>
      <w:r w:rsidRPr="00C770FC">
        <w:rPr>
          <w:rFonts w:ascii="Arial" w:eastAsia="Calibri" w:hAnsi="Arial" w:cs="Times New Roman"/>
          <w:i/>
          <w:sz w:val="23"/>
          <w:szCs w:val="23"/>
          <w:lang w:val="it-IT" w:eastAsia="it-IT"/>
        </w:rPr>
        <w:t>Anno 2020</w:t>
      </w:r>
    </w:p>
    <w:p w14:paraId="4D26A907" w14:textId="0C64E32D" w:rsidR="00B7564E" w:rsidRPr="0030798C" w:rsidRDefault="0046286F" w:rsidP="00B7564E">
      <w:pPr>
        <w:pStyle w:val="StandardRisoluzionedelConsigliodiStato"/>
        <w:ind w:right="-1"/>
      </w:pPr>
      <w:r w:rsidRPr="0030798C">
        <w:t xml:space="preserve">Gli istituti hanno presentato </w:t>
      </w:r>
      <w:r w:rsidRPr="0030798C">
        <w:rPr>
          <w:b/>
          <w:bCs/>
        </w:rPr>
        <w:t>costi per prestazioni d’interesse generale</w:t>
      </w:r>
      <w:r w:rsidRPr="0030798C">
        <w:t xml:space="preserve"> per un totale di 12</w:t>
      </w:r>
      <w:r w:rsidR="003537BF" w:rsidRPr="0030798C">
        <w:t>.</w:t>
      </w:r>
      <w:r w:rsidRPr="0030798C">
        <w:t xml:space="preserve">7 milioni di franchi e </w:t>
      </w:r>
      <w:r w:rsidRPr="0030798C">
        <w:rPr>
          <w:b/>
          <w:bCs/>
        </w:rPr>
        <w:t>costi del personale</w:t>
      </w:r>
      <w:r w:rsidRPr="0030798C">
        <w:t xml:space="preserve"> pe</w:t>
      </w:r>
      <w:r w:rsidR="002C3870" w:rsidRPr="0030798C">
        <w:t>r 11.2 milioni di franchi che il C</w:t>
      </w:r>
      <w:r w:rsidRPr="0030798C">
        <w:t xml:space="preserve">onsiglio di Stato ha ritenuto </w:t>
      </w:r>
      <w:r w:rsidRPr="0030798C">
        <w:rPr>
          <w:b/>
          <w:bCs/>
        </w:rPr>
        <w:t>plausibili</w:t>
      </w:r>
      <w:r w:rsidRPr="0030798C">
        <w:t xml:space="preserve"> nella misura rispettivamente di </w:t>
      </w:r>
      <w:r w:rsidRPr="0030798C">
        <w:rPr>
          <w:b/>
          <w:bCs/>
        </w:rPr>
        <w:t>11</w:t>
      </w:r>
      <w:r w:rsidR="003537BF" w:rsidRPr="0030798C">
        <w:rPr>
          <w:b/>
          <w:bCs/>
        </w:rPr>
        <w:t>.</w:t>
      </w:r>
      <w:r w:rsidRPr="0030798C">
        <w:rPr>
          <w:b/>
          <w:bCs/>
        </w:rPr>
        <w:t>9 milioni</w:t>
      </w:r>
      <w:r w:rsidRPr="0030798C">
        <w:t xml:space="preserve"> di franchi </w:t>
      </w:r>
      <w:r w:rsidRPr="0030798C">
        <w:rPr>
          <w:b/>
          <w:bCs/>
        </w:rPr>
        <w:t>e 7.7 milioni</w:t>
      </w:r>
      <w:r w:rsidRPr="0030798C">
        <w:t xml:space="preserve"> di franchi</w:t>
      </w:r>
      <w:r w:rsidR="00B7564E" w:rsidRPr="0030798C">
        <w:t xml:space="preserve"> (pari al 70% del richiesto).</w:t>
      </w:r>
    </w:p>
    <w:p w14:paraId="58DD9353" w14:textId="77777777" w:rsidR="0046286F" w:rsidRPr="0030798C" w:rsidRDefault="0046286F" w:rsidP="00993310">
      <w:pPr>
        <w:pStyle w:val="StandardRisoluzionedelConsigliodiStato"/>
        <w:ind w:right="-1"/>
      </w:pPr>
    </w:p>
    <w:p w14:paraId="571FB9F0" w14:textId="0AE5878B" w:rsidR="00B7564E" w:rsidRPr="0030798C" w:rsidRDefault="00B7564E" w:rsidP="00C770FC">
      <w:pPr>
        <w:pStyle w:val="StandardRisoluzionedelConsigliodiStato"/>
        <w:spacing w:after="120"/>
      </w:pPr>
      <w:r w:rsidRPr="0030798C">
        <w:t>Le decurtazioni sono state motivate come segue:</w:t>
      </w:r>
    </w:p>
    <w:p w14:paraId="4769B377" w14:textId="525C7911" w:rsidR="000353CC" w:rsidRPr="0030798C" w:rsidRDefault="00AE07A9" w:rsidP="00C770FC">
      <w:pPr>
        <w:pStyle w:val="StandardRisoluzionedelConsigliodiStato"/>
        <w:spacing w:after="120"/>
        <w:rPr>
          <w:rFonts w:cs="Arial"/>
          <w:i/>
          <w:iCs/>
        </w:rPr>
      </w:pPr>
      <w:r w:rsidRPr="0030798C">
        <w:rPr>
          <w:i/>
          <w:iCs/>
        </w:rPr>
        <w:t>D</w:t>
      </w:r>
      <w:r w:rsidR="0046286F" w:rsidRPr="0030798C">
        <w:rPr>
          <w:i/>
          <w:iCs/>
        </w:rPr>
        <w:t>ai costi per prestazioni d’interesse generale sono state escluse le poste che non riguardavano direttamente la gestione della pandemia (</w:t>
      </w:r>
      <w:r w:rsidR="000353CC" w:rsidRPr="0030798C">
        <w:rPr>
          <w:i/>
          <w:iCs/>
        </w:rPr>
        <w:t xml:space="preserve">- 6%), mentre che per i costi del personale </w:t>
      </w:r>
      <w:r w:rsidR="000353CC" w:rsidRPr="0030798C">
        <w:rPr>
          <w:rFonts w:cs="Arial"/>
          <w:i/>
          <w:iCs/>
        </w:rPr>
        <w:t xml:space="preserve">una verifica puntuale sulla loro esatta pertinenza con la gestione della pandemia COVID è risultata difficile, se non impossibile. </w:t>
      </w:r>
      <w:r w:rsidR="003537BF" w:rsidRPr="0030798C">
        <w:rPr>
          <w:rFonts w:cs="Arial"/>
          <w:i/>
          <w:iCs/>
        </w:rPr>
        <w:t>In effetti, u</w:t>
      </w:r>
      <w:r w:rsidR="000353CC" w:rsidRPr="0030798C">
        <w:rPr>
          <w:rFonts w:cs="Arial"/>
          <w:i/>
          <w:iCs/>
        </w:rPr>
        <w:t>n aumento dei costi del personale si verifica da un anno all’altro indipendentemente dall’attività e, nel caso di attività</w:t>
      </w:r>
      <w:r w:rsidR="00894D62" w:rsidRPr="0030798C">
        <w:rPr>
          <w:rFonts w:cs="Arial"/>
          <w:i/>
          <w:iCs/>
        </w:rPr>
        <w:t>,</w:t>
      </w:r>
      <w:r w:rsidR="000353CC" w:rsidRPr="0030798C">
        <w:rPr>
          <w:rFonts w:cs="Arial"/>
          <w:i/>
          <w:iCs/>
        </w:rPr>
        <w:t xml:space="preserve"> considerata in punti caseload o in giornate di cura</w:t>
      </w:r>
      <w:r w:rsidR="00894D62" w:rsidRPr="0030798C">
        <w:rPr>
          <w:rFonts w:cs="Arial"/>
          <w:i/>
          <w:iCs/>
        </w:rPr>
        <w:t>,</w:t>
      </w:r>
      <w:r w:rsidR="000353CC" w:rsidRPr="0030798C">
        <w:rPr>
          <w:rFonts w:cs="Arial"/>
          <w:i/>
          <w:iCs/>
        </w:rPr>
        <w:t xml:space="preserve"> stabile o accresciuta (e dunque fatturata) un riconoscimento integrale appare poco giustificato. </w:t>
      </w:r>
    </w:p>
    <w:p w14:paraId="2A11B0B2" w14:textId="272AF838" w:rsidR="000353CC" w:rsidRPr="0030798C" w:rsidRDefault="000353CC" w:rsidP="000353CC">
      <w:pPr>
        <w:rPr>
          <w:rFonts w:cs="Arial"/>
          <w:i/>
          <w:iCs/>
          <w:sz w:val="24"/>
        </w:rPr>
      </w:pPr>
      <w:r w:rsidRPr="0030798C">
        <w:rPr>
          <w:rFonts w:cs="Arial"/>
          <w:i/>
          <w:iCs/>
          <w:sz w:val="24"/>
        </w:rPr>
        <w:t xml:space="preserve">Inoltre, gran parte di questi costi </w:t>
      </w:r>
      <w:r w:rsidR="00B014F2" w:rsidRPr="0030798C">
        <w:rPr>
          <w:rFonts w:cs="Arial"/>
          <w:i/>
          <w:iCs/>
          <w:sz w:val="24"/>
        </w:rPr>
        <w:t xml:space="preserve">erano </w:t>
      </w:r>
      <w:r w:rsidRPr="0030798C">
        <w:rPr>
          <w:rFonts w:cs="Arial"/>
          <w:i/>
          <w:iCs/>
          <w:sz w:val="24"/>
        </w:rPr>
        <w:t xml:space="preserve">salari regolari versati per il lavoro extra creato dalla </w:t>
      </w:r>
      <w:r w:rsidR="00B7564E" w:rsidRPr="0030798C">
        <w:rPr>
          <w:rFonts w:cs="Arial"/>
          <w:i/>
          <w:iCs/>
          <w:sz w:val="24"/>
        </w:rPr>
        <w:t>pandemia; quindi,</w:t>
      </w:r>
      <w:r w:rsidRPr="0030798C">
        <w:rPr>
          <w:rFonts w:cs="Arial"/>
          <w:i/>
          <w:iCs/>
          <w:sz w:val="24"/>
        </w:rPr>
        <w:t xml:space="preserve"> costi operativi per prestazioni di cura erogate e </w:t>
      </w:r>
      <w:r w:rsidR="00B014F2" w:rsidRPr="0030798C">
        <w:rPr>
          <w:rFonts w:cs="Arial"/>
          <w:i/>
          <w:iCs/>
          <w:sz w:val="24"/>
        </w:rPr>
        <w:t xml:space="preserve">pertanto </w:t>
      </w:r>
      <w:r w:rsidRPr="0030798C">
        <w:rPr>
          <w:rFonts w:cs="Arial"/>
          <w:i/>
          <w:iCs/>
          <w:sz w:val="24"/>
        </w:rPr>
        <w:t>fatturate e pagate da Cantone e assicuratori</w:t>
      </w:r>
      <w:r w:rsidR="00B014F2" w:rsidRPr="0030798C">
        <w:rPr>
          <w:rFonts w:cs="Arial"/>
          <w:i/>
          <w:iCs/>
          <w:sz w:val="24"/>
        </w:rPr>
        <w:t xml:space="preserve">. </w:t>
      </w:r>
      <w:r w:rsidR="00B7564E" w:rsidRPr="0030798C">
        <w:rPr>
          <w:rFonts w:cs="Arial"/>
          <w:i/>
          <w:iCs/>
          <w:sz w:val="24"/>
        </w:rPr>
        <w:t>In particolare,</w:t>
      </w:r>
      <w:r w:rsidRPr="0030798C">
        <w:rPr>
          <w:rFonts w:cs="Arial"/>
          <w:i/>
          <w:iCs/>
          <w:sz w:val="24"/>
        </w:rPr>
        <w:t xml:space="preserve"> si tratta</w:t>
      </w:r>
      <w:r w:rsidR="00B014F2" w:rsidRPr="0030798C">
        <w:rPr>
          <w:rFonts w:cs="Arial"/>
          <w:i/>
          <w:iCs/>
          <w:sz w:val="24"/>
        </w:rPr>
        <w:t>va</w:t>
      </w:r>
      <w:r w:rsidRPr="0030798C">
        <w:rPr>
          <w:rFonts w:cs="Arial"/>
          <w:i/>
          <w:iCs/>
          <w:sz w:val="24"/>
        </w:rPr>
        <w:t xml:space="preserve"> di adeguamenti di percentuali lavorative o ore supplementari di lavoro riconosciute in proporzione al salario orario. </w:t>
      </w:r>
      <w:r w:rsidR="00B014F2" w:rsidRPr="0030798C">
        <w:rPr>
          <w:rFonts w:cs="Arial"/>
          <w:i/>
          <w:iCs/>
          <w:sz w:val="24"/>
        </w:rPr>
        <w:t>Unicamente al di là di questi costi, si può ammettere l’esistenza d</w:t>
      </w:r>
      <w:r w:rsidRPr="0030798C">
        <w:rPr>
          <w:rFonts w:cs="Arial"/>
          <w:i/>
          <w:iCs/>
          <w:sz w:val="24"/>
        </w:rPr>
        <w:t xml:space="preserve">i veri e propri costi straordinari, quali i supplementi o le indennità legate al lavoro straordinario o notturno, il personale per attività extra non fatturabile o la parte di personale tenuta in stand by. </w:t>
      </w:r>
    </w:p>
    <w:p w14:paraId="03B47742" w14:textId="77777777" w:rsidR="000353CC" w:rsidRPr="0030798C" w:rsidRDefault="000353CC" w:rsidP="000353CC">
      <w:pPr>
        <w:rPr>
          <w:rFonts w:cs="Arial"/>
          <w:sz w:val="24"/>
        </w:rPr>
      </w:pPr>
    </w:p>
    <w:p w14:paraId="3D4FC33E" w14:textId="15E41328" w:rsidR="000353CC" w:rsidRPr="0030798C" w:rsidRDefault="000353CC" w:rsidP="000353CC">
      <w:pPr>
        <w:rPr>
          <w:rFonts w:cs="Arial"/>
          <w:sz w:val="24"/>
        </w:rPr>
      </w:pPr>
      <w:r w:rsidRPr="0030798C">
        <w:rPr>
          <w:rFonts w:cs="Arial"/>
          <w:sz w:val="24"/>
        </w:rPr>
        <w:t xml:space="preserve">Il Canton Ticino è uno dei pochi Cantoni che finanziano gli istituti ospedalieri attraverso un contributo globale calcolato su un’attività negoziata. Di regola, in tempi normali, variazioni entro una soglia del + 3% o del – 3% non danno origine a nessun versamento o restituzione di contributo, mentre </w:t>
      </w:r>
      <w:r w:rsidR="00B014F2" w:rsidRPr="0030798C">
        <w:rPr>
          <w:rFonts w:cs="Arial"/>
          <w:sz w:val="24"/>
        </w:rPr>
        <w:t xml:space="preserve">l’attività </w:t>
      </w:r>
      <w:r w:rsidRPr="0030798C">
        <w:rPr>
          <w:rFonts w:cs="Arial"/>
          <w:sz w:val="24"/>
        </w:rPr>
        <w:t>che ecced</w:t>
      </w:r>
      <w:r w:rsidR="00B014F2" w:rsidRPr="0030798C">
        <w:rPr>
          <w:rFonts w:cs="Arial"/>
          <w:sz w:val="24"/>
        </w:rPr>
        <w:t>e</w:t>
      </w:r>
      <w:r w:rsidRPr="0030798C">
        <w:rPr>
          <w:rFonts w:cs="Arial"/>
          <w:sz w:val="24"/>
        </w:rPr>
        <w:t xml:space="preserve"> i due limiti deve essere </w:t>
      </w:r>
      <w:r w:rsidR="00894D62" w:rsidRPr="0030798C">
        <w:rPr>
          <w:rFonts w:cs="Arial"/>
          <w:sz w:val="24"/>
        </w:rPr>
        <w:t xml:space="preserve">compensata </w:t>
      </w:r>
      <w:r w:rsidRPr="0030798C">
        <w:rPr>
          <w:rFonts w:cs="Arial"/>
          <w:sz w:val="24"/>
        </w:rPr>
        <w:t>nella misura</w:t>
      </w:r>
      <w:r w:rsidRPr="0030798C">
        <w:rPr>
          <w:rFonts w:cs="Arial"/>
          <w:sz w:val="28"/>
          <w:szCs w:val="24"/>
        </w:rPr>
        <w:t xml:space="preserve"> </w:t>
      </w:r>
      <w:r w:rsidRPr="0030798C">
        <w:rPr>
          <w:rFonts w:cs="Arial"/>
          <w:sz w:val="24"/>
        </w:rPr>
        <w:t xml:space="preserve">del costo variabile, in media per tutti gli istituti complessivamente valutabile attorno al 30%. </w:t>
      </w:r>
      <w:r w:rsidR="00B7564E" w:rsidRPr="0030798C">
        <w:rPr>
          <w:rFonts w:cs="Arial"/>
          <w:sz w:val="24"/>
        </w:rPr>
        <w:t>Va detto anche che il</w:t>
      </w:r>
      <w:r w:rsidR="00B014F2" w:rsidRPr="0030798C">
        <w:rPr>
          <w:rFonts w:cs="Arial"/>
          <w:sz w:val="24"/>
        </w:rPr>
        <w:t xml:space="preserve"> </w:t>
      </w:r>
      <w:r w:rsidR="00B7564E" w:rsidRPr="0030798C">
        <w:rPr>
          <w:rFonts w:cs="Arial"/>
          <w:sz w:val="24"/>
        </w:rPr>
        <w:t>Governo</w:t>
      </w:r>
      <w:r w:rsidRPr="0030798C">
        <w:rPr>
          <w:rFonts w:cs="Arial"/>
          <w:sz w:val="24"/>
        </w:rPr>
        <w:t xml:space="preserve"> ha deciso </w:t>
      </w:r>
      <w:r w:rsidR="00D332C5" w:rsidRPr="0030798C">
        <w:rPr>
          <w:rFonts w:cs="Arial"/>
          <w:sz w:val="24"/>
        </w:rPr>
        <w:t xml:space="preserve">di </w:t>
      </w:r>
      <w:r w:rsidRPr="0030798C">
        <w:rPr>
          <w:rFonts w:cs="Arial"/>
          <w:sz w:val="24"/>
        </w:rPr>
        <w:t xml:space="preserve">non richiedere nessuna restituzione agli istituti che hanno avuto una marcata riduzione dell’attività oltre il -3%. Ne consegue che </w:t>
      </w:r>
      <w:r w:rsidR="00B014F2" w:rsidRPr="0030798C">
        <w:rPr>
          <w:rFonts w:cs="Arial"/>
          <w:sz w:val="24"/>
        </w:rPr>
        <w:t xml:space="preserve">anche </w:t>
      </w:r>
      <w:r w:rsidRPr="0030798C">
        <w:rPr>
          <w:rFonts w:cs="Arial"/>
          <w:sz w:val="24"/>
        </w:rPr>
        <w:t xml:space="preserve">la parte di contributo trattenuta per l’attività non svolta contribuisce alla copertura di eventuali costi di personale supplementare. </w:t>
      </w:r>
    </w:p>
    <w:p w14:paraId="2D3F5EB5" w14:textId="77777777" w:rsidR="000353CC" w:rsidRPr="0030798C" w:rsidRDefault="000353CC" w:rsidP="000353CC">
      <w:pPr>
        <w:rPr>
          <w:rFonts w:cs="Arial"/>
          <w:sz w:val="24"/>
        </w:rPr>
      </w:pPr>
    </w:p>
    <w:p w14:paraId="7321037E" w14:textId="6F477F14" w:rsidR="00265A6D" w:rsidRPr="0030798C" w:rsidRDefault="00B7564E" w:rsidP="00265A6D">
      <w:pPr>
        <w:rPr>
          <w:rFonts w:cs="Arial"/>
          <w:sz w:val="24"/>
        </w:rPr>
      </w:pPr>
      <w:r w:rsidRPr="0030798C">
        <w:rPr>
          <w:rFonts w:cs="Arial"/>
          <w:sz w:val="24"/>
        </w:rPr>
        <w:lastRenderedPageBreak/>
        <w:t xml:space="preserve">Una eccezione: per </w:t>
      </w:r>
      <w:r w:rsidR="00265A6D" w:rsidRPr="0030798C">
        <w:rPr>
          <w:rFonts w:cs="Arial"/>
          <w:sz w:val="24"/>
        </w:rPr>
        <w:t>l’Ospedale Malcantonese</w:t>
      </w:r>
      <w:r w:rsidR="00B014F2" w:rsidRPr="0030798C">
        <w:rPr>
          <w:rFonts w:cs="Arial"/>
          <w:sz w:val="24"/>
        </w:rPr>
        <w:t xml:space="preserve"> </w:t>
      </w:r>
      <w:r w:rsidR="00F7370B" w:rsidRPr="0030798C">
        <w:rPr>
          <w:rFonts w:cs="Arial"/>
          <w:sz w:val="24"/>
        </w:rPr>
        <w:t>l</w:t>
      </w:r>
      <w:r w:rsidR="00265A6D" w:rsidRPr="0030798C">
        <w:rPr>
          <w:rFonts w:cs="Arial"/>
          <w:sz w:val="24"/>
        </w:rPr>
        <w:t>a rif</w:t>
      </w:r>
      <w:r w:rsidRPr="0030798C">
        <w:rPr>
          <w:rFonts w:cs="Arial"/>
          <w:sz w:val="24"/>
        </w:rPr>
        <w:t>usione de</w:t>
      </w:r>
      <w:r w:rsidR="00265A6D" w:rsidRPr="0030798C">
        <w:rPr>
          <w:rFonts w:cs="Arial"/>
          <w:sz w:val="24"/>
        </w:rPr>
        <w:t xml:space="preserve">i costi supplementari è stata compensata in parte con la rifusione del contributo cantonale per le degenze COVID a regime speciale. </w:t>
      </w:r>
    </w:p>
    <w:p w14:paraId="548FEC63" w14:textId="77777777" w:rsidR="00265A6D" w:rsidRPr="0030798C" w:rsidRDefault="00265A6D" w:rsidP="000353CC">
      <w:pPr>
        <w:rPr>
          <w:rFonts w:cs="Arial"/>
          <w:sz w:val="24"/>
        </w:rPr>
      </w:pPr>
    </w:p>
    <w:p w14:paraId="306C764C" w14:textId="77777777" w:rsidR="00976189" w:rsidRPr="00C770FC" w:rsidRDefault="00976189" w:rsidP="00C770FC">
      <w:pPr>
        <w:pStyle w:val="Titolo3"/>
        <w:numPr>
          <w:ilvl w:val="1"/>
          <w:numId w:val="31"/>
        </w:numPr>
        <w:tabs>
          <w:tab w:val="left" w:pos="709"/>
        </w:tabs>
        <w:suppressAutoHyphens w:val="0"/>
        <w:spacing w:after="120"/>
        <w:ind w:left="0" w:firstLine="0"/>
        <w:jc w:val="both"/>
        <w:rPr>
          <w:rFonts w:ascii="Arial" w:eastAsia="Calibri" w:hAnsi="Arial" w:cs="Times New Roman"/>
          <w:i/>
          <w:sz w:val="23"/>
          <w:szCs w:val="23"/>
          <w:lang w:val="it-IT" w:eastAsia="it-IT"/>
        </w:rPr>
      </w:pPr>
      <w:r w:rsidRPr="00C770FC">
        <w:rPr>
          <w:rFonts w:ascii="Arial" w:eastAsia="Calibri" w:hAnsi="Arial" w:cs="Times New Roman"/>
          <w:i/>
          <w:sz w:val="23"/>
          <w:szCs w:val="23"/>
          <w:lang w:val="it-IT" w:eastAsia="it-IT"/>
        </w:rPr>
        <w:t>Anno 2021</w:t>
      </w:r>
    </w:p>
    <w:p w14:paraId="29C0304F" w14:textId="5B9EA8F2" w:rsidR="00F56752" w:rsidRPr="0030798C" w:rsidRDefault="00F56752" w:rsidP="00F56752">
      <w:pPr>
        <w:pStyle w:val="StandardRisoluzionedelConsigliodiStato"/>
        <w:ind w:right="-1"/>
      </w:pPr>
      <w:r w:rsidRPr="0030798C">
        <w:t xml:space="preserve">Gli istituti hanno presentato </w:t>
      </w:r>
      <w:r w:rsidRPr="0030798C">
        <w:rPr>
          <w:b/>
          <w:bCs/>
        </w:rPr>
        <w:t>costi per prestazioni d’interesse generale</w:t>
      </w:r>
      <w:r w:rsidRPr="0030798C">
        <w:t xml:space="preserve"> per un totale di 6.1 milioni di franchi e </w:t>
      </w:r>
      <w:r w:rsidRPr="0030798C">
        <w:rPr>
          <w:b/>
          <w:bCs/>
        </w:rPr>
        <w:t>costi del personale</w:t>
      </w:r>
      <w:r w:rsidRPr="0030798C">
        <w:t xml:space="preserve"> per 7.2 milioni di franchi</w:t>
      </w:r>
      <w:r w:rsidR="00F7370B" w:rsidRPr="0030798C">
        <w:t>,</w:t>
      </w:r>
      <w:r w:rsidRPr="0030798C">
        <w:t xml:space="preserve"> che il Consiglio di Stato ha </w:t>
      </w:r>
      <w:r w:rsidRPr="0030798C">
        <w:rPr>
          <w:b/>
          <w:bCs/>
        </w:rPr>
        <w:t>ritenuto plausibili</w:t>
      </w:r>
      <w:r w:rsidRPr="0030798C">
        <w:t xml:space="preserve"> nella misura </w:t>
      </w:r>
      <w:r w:rsidRPr="0030798C">
        <w:rPr>
          <w:b/>
          <w:bCs/>
        </w:rPr>
        <w:t>rispettivamente di 5.1 milioni</w:t>
      </w:r>
      <w:r w:rsidRPr="0030798C">
        <w:t xml:space="preserve"> di franchi e </w:t>
      </w:r>
      <w:r w:rsidRPr="0030798C">
        <w:rPr>
          <w:b/>
          <w:bCs/>
        </w:rPr>
        <w:t>3.7 milioni di franchi</w:t>
      </w:r>
      <w:r w:rsidRPr="0030798C">
        <w:t>.</w:t>
      </w:r>
    </w:p>
    <w:p w14:paraId="4D0A2303" w14:textId="77777777" w:rsidR="00F56752" w:rsidRPr="0030798C" w:rsidRDefault="00F56752" w:rsidP="00E31BC3">
      <w:pPr>
        <w:suppressAutoHyphens w:val="0"/>
        <w:rPr>
          <w:rFonts w:cs="Arial"/>
          <w:sz w:val="24"/>
        </w:rPr>
      </w:pPr>
    </w:p>
    <w:p w14:paraId="71F4903E" w14:textId="77777777" w:rsidR="00B7564E" w:rsidRPr="0030798C" w:rsidRDefault="00B7564E" w:rsidP="00F56752">
      <w:pPr>
        <w:suppressAutoHyphens w:val="0"/>
        <w:rPr>
          <w:rFonts w:cs="Arial"/>
          <w:sz w:val="24"/>
        </w:rPr>
      </w:pPr>
      <w:r w:rsidRPr="0030798C">
        <w:rPr>
          <w:rFonts w:cs="Arial"/>
          <w:sz w:val="24"/>
        </w:rPr>
        <w:t>Non sono stati ammessi:</w:t>
      </w:r>
    </w:p>
    <w:p w14:paraId="18EDFB8A" w14:textId="44533A6D" w:rsidR="00F56752" w:rsidRPr="0030798C" w:rsidRDefault="00F56752" w:rsidP="00C770FC">
      <w:pPr>
        <w:pStyle w:val="Paragrafoelenco"/>
        <w:numPr>
          <w:ilvl w:val="0"/>
          <w:numId w:val="28"/>
        </w:numPr>
        <w:suppressAutoHyphens w:val="0"/>
        <w:spacing w:before="120"/>
        <w:ind w:left="284" w:hanging="284"/>
        <w:contextualSpacing w:val="0"/>
        <w:rPr>
          <w:rFonts w:cs="Arial"/>
          <w:sz w:val="24"/>
        </w:rPr>
      </w:pPr>
      <w:r w:rsidRPr="0030798C">
        <w:rPr>
          <w:rFonts w:cs="Arial"/>
          <w:sz w:val="24"/>
        </w:rPr>
        <w:t>costi erroneamente indicati dagli istituti</w:t>
      </w:r>
      <w:r w:rsidR="00B014F2" w:rsidRPr="0030798C">
        <w:rPr>
          <w:rFonts w:cs="Arial"/>
          <w:sz w:val="24"/>
        </w:rPr>
        <w:t xml:space="preserve">, come costi già </w:t>
      </w:r>
      <w:r w:rsidRPr="0030798C">
        <w:rPr>
          <w:rFonts w:cs="Arial"/>
          <w:sz w:val="24"/>
        </w:rPr>
        <w:t>ammortizzat</w:t>
      </w:r>
      <w:r w:rsidR="00B014F2" w:rsidRPr="0030798C">
        <w:rPr>
          <w:rFonts w:cs="Arial"/>
          <w:sz w:val="24"/>
        </w:rPr>
        <w:t xml:space="preserve">i, </w:t>
      </w:r>
      <w:r w:rsidRPr="0030798C">
        <w:rPr>
          <w:rFonts w:cs="Arial"/>
          <w:sz w:val="24"/>
        </w:rPr>
        <w:t xml:space="preserve">costi per i test e </w:t>
      </w:r>
      <w:r w:rsidR="00B014F2" w:rsidRPr="0030798C">
        <w:rPr>
          <w:rFonts w:cs="Arial"/>
          <w:sz w:val="24"/>
        </w:rPr>
        <w:t xml:space="preserve">altri </w:t>
      </w:r>
      <w:r w:rsidRPr="0030798C">
        <w:rPr>
          <w:rFonts w:cs="Arial"/>
          <w:sz w:val="24"/>
        </w:rPr>
        <w:t>costi non giustificati</w:t>
      </w:r>
      <w:r w:rsidR="00B7564E" w:rsidRPr="0030798C">
        <w:rPr>
          <w:rFonts w:cs="Arial"/>
          <w:sz w:val="24"/>
        </w:rPr>
        <w:t>;</w:t>
      </w:r>
    </w:p>
    <w:p w14:paraId="776004FC" w14:textId="78828F76" w:rsidR="00E31BC3" w:rsidRPr="0030798C" w:rsidRDefault="00B014F2" w:rsidP="00C770FC">
      <w:pPr>
        <w:pStyle w:val="Paragrafoelenco"/>
        <w:numPr>
          <w:ilvl w:val="0"/>
          <w:numId w:val="28"/>
        </w:numPr>
        <w:suppressAutoHyphens w:val="0"/>
        <w:spacing w:before="120"/>
        <w:ind w:left="284" w:hanging="284"/>
        <w:contextualSpacing w:val="0"/>
        <w:rPr>
          <w:rFonts w:cs="Arial"/>
          <w:sz w:val="24"/>
        </w:rPr>
      </w:pPr>
      <w:r w:rsidRPr="0030798C">
        <w:rPr>
          <w:rFonts w:cs="Arial"/>
          <w:sz w:val="24"/>
        </w:rPr>
        <w:t>C</w:t>
      </w:r>
      <w:r w:rsidR="00E31BC3" w:rsidRPr="0030798C">
        <w:rPr>
          <w:rFonts w:cs="Arial"/>
          <w:sz w:val="24"/>
        </w:rPr>
        <w:t xml:space="preserve">onsiderato che la stima dei costi del personale valutati come supplementari e necessari per </w:t>
      </w:r>
      <w:r w:rsidR="00B7564E" w:rsidRPr="0030798C">
        <w:rPr>
          <w:rFonts w:cs="Arial"/>
          <w:sz w:val="24"/>
        </w:rPr>
        <w:t xml:space="preserve">il </w:t>
      </w:r>
      <w:r w:rsidR="00E31BC3" w:rsidRPr="0030798C">
        <w:rPr>
          <w:rFonts w:cs="Arial"/>
          <w:sz w:val="24"/>
        </w:rPr>
        <w:t xml:space="preserve">COVID non può </w:t>
      </w:r>
      <w:r w:rsidR="00F7370B" w:rsidRPr="0030798C">
        <w:rPr>
          <w:rFonts w:cs="Arial"/>
          <w:sz w:val="24"/>
        </w:rPr>
        <w:t xml:space="preserve">fondarsi su </w:t>
      </w:r>
      <w:r w:rsidR="00E31BC3" w:rsidRPr="0030798C">
        <w:rPr>
          <w:rFonts w:cs="Arial"/>
          <w:sz w:val="24"/>
        </w:rPr>
        <w:t xml:space="preserve">indicatori chiari e inconfutabili, </w:t>
      </w:r>
      <w:r w:rsidR="002548E2" w:rsidRPr="0030798C">
        <w:rPr>
          <w:rFonts w:cs="Arial"/>
          <w:sz w:val="24"/>
        </w:rPr>
        <w:t>è</w:t>
      </w:r>
      <w:r w:rsidR="00E31BC3" w:rsidRPr="0030798C">
        <w:rPr>
          <w:rFonts w:cs="Arial"/>
          <w:sz w:val="24"/>
        </w:rPr>
        <w:t xml:space="preserve"> </w:t>
      </w:r>
      <w:r w:rsidR="00C0079A" w:rsidRPr="0030798C">
        <w:rPr>
          <w:rFonts w:cs="Arial"/>
          <w:sz w:val="24"/>
        </w:rPr>
        <w:t xml:space="preserve">stato </w:t>
      </w:r>
      <w:r w:rsidR="002548E2" w:rsidRPr="0030798C">
        <w:rPr>
          <w:rFonts w:cs="Arial"/>
          <w:sz w:val="24"/>
        </w:rPr>
        <w:t>deciso</w:t>
      </w:r>
      <w:r w:rsidR="00E31BC3" w:rsidRPr="0030798C">
        <w:rPr>
          <w:rFonts w:cs="Arial"/>
          <w:sz w:val="24"/>
        </w:rPr>
        <w:t xml:space="preserve"> il versamento del 50% dei costi del personale richiesti, ad eccezione </w:t>
      </w:r>
      <w:r w:rsidR="002548E2" w:rsidRPr="0030798C">
        <w:rPr>
          <w:rFonts w:cs="Arial"/>
          <w:sz w:val="24"/>
        </w:rPr>
        <w:t>di un istituto</w:t>
      </w:r>
      <w:r w:rsidR="00F7370B" w:rsidRPr="0030798C">
        <w:rPr>
          <w:rFonts w:cs="Arial"/>
          <w:sz w:val="24"/>
        </w:rPr>
        <w:t xml:space="preserve">, al </w:t>
      </w:r>
      <w:r w:rsidR="00E31BC3" w:rsidRPr="0030798C">
        <w:rPr>
          <w:rFonts w:cs="Arial"/>
          <w:sz w:val="24"/>
        </w:rPr>
        <w:t xml:space="preserve">quale </w:t>
      </w:r>
      <w:r w:rsidRPr="0030798C">
        <w:rPr>
          <w:rFonts w:cs="Arial"/>
          <w:sz w:val="24"/>
        </w:rPr>
        <w:t>è stato riconosciuto integralmente il</w:t>
      </w:r>
      <w:r w:rsidR="00E31BC3" w:rsidRPr="0030798C">
        <w:rPr>
          <w:rFonts w:cs="Arial"/>
          <w:sz w:val="24"/>
        </w:rPr>
        <w:t xml:space="preserve"> personale impiegato per la sorveglianza e il controllo dei visitatori. </w:t>
      </w:r>
    </w:p>
    <w:p w14:paraId="39AC289D" w14:textId="77777777" w:rsidR="00E31BC3" w:rsidRPr="0030798C" w:rsidRDefault="00E31BC3" w:rsidP="00E31BC3">
      <w:pPr>
        <w:suppressAutoHyphens w:val="0"/>
        <w:rPr>
          <w:rFonts w:cs="Arial"/>
          <w:sz w:val="24"/>
        </w:rPr>
      </w:pPr>
    </w:p>
    <w:p w14:paraId="1C9EECA0" w14:textId="43C68AEB" w:rsidR="00E31BC3" w:rsidRPr="0030798C" w:rsidRDefault="002548E2" w:rsidP="00E31BC3">
      <w:pPr>
        <w:suppressAutoHyphens w:val="0"/>
        <w:rPr>
          <w:rFonts w:cs="Arial"/>
          <w:sz w:val="24"/>
        </w:rPr>
      </w:pPr>
      <w:r w:rsidRPr="0030798C">
        <w:rPr>
          <w:rFonts w:cs="Arial"/>
          <w:sz w:val="24"/>
        </w:rPr>
        <w:t xml:space="preserve">Per l’Ospedale Malcantonese, </w:t>
      </w:r>
      <w:r w:rsidR="00B014F2" w:rsidRPr="0030798C">
        <w:rPr>
          <w:rFonts w:cs="Arial"/>
          <w:sz w:val="24"/>
        </w:rPr>
        <w:t>i</w:t>
      </w:r>
      <w:r w:rsidR="00E31BC3" w:rsidRPr="0030798C">
        <w:rPr>
          <w:rFonts w:cs="Arial"/>
          <w:sz w:val="24"/>
        </w:rPr>
        <w:t xml:space="preserve"> contributi cantonali per i</w:t>
      </w:r>
      <w:r w:rsidRPr="0030798C">
        <w:rPr>
          <w:rFonts w:cs="Arial"/>
          <w:sz w:val="24"/>
        </w:rPr>
        <w:t>l</w:t>
      </w:r>
      <w:r w:rsidR="00E31BC3" w:rsidRPr="0030798C">
        <w:rPr>
          <w:rFonts w:cs="Arial"/>
          <w:sz w:val="24"/>
        </w:rPr>
        <w:t xml:space="preserve"> settor</w:t>
      </w:r>
      <w:r w:rsidRPr="0030798C">
        <w:rPr>
          <w:rFonts w:cs="Arial"/>
          <w:sz w:val="24"/>
        </w:rPr>
        <w:t xml:space="preserve">e </w:t>
      </w:r>
      <w:r w:rsidR="00E31BC3" w:rsidRPr="0030798C">
        <w:rPr>
          <w:rFonts w:cs="Arial"/>
          <w:sz w:val="24"/>
        </w:rPr>
        <w:t xml:space="preserve">psichiatria e </w:t>
      </w:r>
      <w:r w:rsidRPr="0030798C">
        <w:rPr>
          <w:rFonts w:cs="Arial"/>
          <w:sz w:val="24"/>
        </w:rPr>
        <w:t xml:space="preserve">per il </w:t>
      </w:r>
      <w:r w:rsidR="00E31BC3" w:rsidRPr="0030798C">
        <w:rPr>
          <w:rFonts w:cs="Arial"/>
          <w:sz w:val="24"/>
        </w:rPr>
        <w:t>reparto acuto di minore intensità sono stati ricalcolati a volumi effettivi</w:t>
      </w:r>
      <w:r w:rsidR="00F7370B" w:rsidRPr="0030798C">
        <w:rPr>
          <w:rFonts w:cs="Arial"/>
          <w:sz w:val="24"/>
        </w:rPr>
        <w:t>,</w:t>
      </w:r>
      <w:r w:rsidR="00E31BC3" w:rsidRPr="0030798C">
        <w:rPr>
          <w:rFonts w:cs="Arial"/>
          <w:sz w:val="24"/>
        </w:rPr>
        <w:t xml:space="preserve"> ai quali è stato aggiunto il finanziamento al 55% delle degenze COVID a tariffa speciale. </w:t>
      </w:r>
      <w:r w:rsidRPr="0030798C">
        <w:rPr>
          <w:rFonts w:cs="Arial"/>
          <w:sz w:val="24"/>
        </w:rPr>
        <w:t xml:space="preserve"> </w:t>
      </w:r>
    </w:p>
    <w:p w14:paraId="626888C7" w14:textId="77777777" w:rsidR="00B7564E" w:rsidRPr="0030798C" w:rsidRDefault="00B7564E" w:rsidP="00E31BC3">
      <w:pPr>
        <w:suppressAutoHyphens w:val="0"/>
        <w:rPr>
          <w:rFonts w:cs="Arial"/>
          <w:sz w:val="24"/>
        </w:rPr>
      </w:pPr>
    </w:p>
    <w:p w14:paraId="7C7CCDF3" w14:textId="0ABD1A93" w:rsidR="00B7564E" w:rsidRDefault="00073535" w:rsidP="00B7564E">
      <w:pPr>
        <w:suppressAutoHyphens w:val="0"/>
        <w:rPr>
          <w:rFonts w:cs="Arial"/>
          <w:sz w:val="24"/>
        </w:rPr>
      </w:pPr>
      <w:r w:rsidRPr="0030798C">
        <w:rPr>
          <w:rFonts w:cs="Arial"/>
          <w:sz w:val="24"/>
        </w:rPr>
        <w:t>D’altro canto,</w:t>
      </w:r>
      <w:r w:rsidR="00B7564E" w:rsidRPr="0030798C">
        <w:rPr>
          <w:rFonts w:cs="Arial"/>
          <w:sz w:val="24"/>
        </w:rPr>
        <w:t xml:space="preserve"> l’Esecutivo cantonale ha rinunciato alla restituzione parziale dei contributi nonostante il mancato raggiungimento del 97% del volume d’attività definito a preventivo. Questa deroga alle clausole abituali è stata applicata solo per il 2020.</w:t>
      </w:r>
    </w:p>
    <w:p w14:paraId="13B12ADC" w14:textId="77777777" w:rsidR="00C770FC" w:rsidRPr="0030798C" w:rsidRDefault="00C770FC" w:rsidP="00B7564E">
      <w:pPr>
        <w:suppressAutoHyphens w:val="0"/>
        <w:rPr>
          <w:rFonts w:cs="Arial"/>
          <w:sz w:val="24"/>
        </w:rPr>
      </w:pPr>
    </w:p>
    <w:p w14:paraId="49677348" w14:textId="77777777" w:rsidR="00993310" w:rsidRPr="0030798C" w:rsidRDefault="00BB5772" w:rsidP="00993310">
      <w:pPr>
        <w:rPr>
          <w:rFonts w:cs="Arial"/>
          <w:sz w:val="24"/>
        </w:rPr>
      </w:pPr>
      <w:r w:rsidRPr="0030798C">
        <w:rPr>
          <w:rFonts w:cs="Arial"/>
          <w:sz w:val="24"/>
        </w:rPr>
        <w:t>La tabella che segue riassume gli importi relativi alle</w:t>
      </w:r>
      <w:r w:rsidR="00265A6D" w:rsidRPr="0030798C">
        <w:rPr>
          <w:rFonts w:cs="Arial"/>
          <w:sz w:val="24"/>
        </w:rPr>
        <w:t xml:space="preserve"> richieste e ai ri</w:t>
      </w:r>
      <w:r w:rsidRPr="0030798C">
        <w:rPr>
          <w:rFonts w:cs="Arial"/>
          <w:sz w:val="24"/>
        </w:rPr>
        <w:t xml:space="preserve">conoscimenti ottenuti degli istituti </w:t>
      </w:r>
      <w:r w:rsidR="00E46ABD" w:rsidRPr="0030798C">
        <w:rPr>
          <w:rFonts w:cs="Arial"/>
          <w:sz w:val="24"/>
        </w:rPr>
        <w:t>ospedalieri per</w:t>
      </w:r>
      <w:r w:rsidR="002548E2" w:rsidRPr="0030798C">
        <w:rPr>
          <w:rFonts w:cs="Arial"/>
          <w:sz w:val="24"/>
        </w:rPr>
        <w:t xml:space="preserve"> gli anni 2020 e 2021</w:t>
      </w:r>
      <w:r w:rsidR="00B014F2" w:rsidRPr="0030798C">
        <w:rPr>
          <w:rFonts w:cs="Arial"/>
          <w:sz w:val="24"/>
        </w:rPr>
        <w:t>:</w:t>
      </w:r>
    </w:p>
    <w:p w14:paraId="20BE721E" w14:textId="77777777" w:rsidR="00BB5772" w:rsidRPr="0030798C" w:rsidRDefault="00BB5772" w:rsidP="00993310">
      <w:pPr>
        <w:rPr>
          <w:rFonts w:cs="Arial"/>
          <w:sz w:val="28"/>
          <w:szCs w:val="24"/>
        </w:rPr>
      </w:pPr>
    </w:p>
    <w:p w14:paraId="452C9E06" w14:textId="77777777" w:rsidR="00C0079A" w:rsidRPr="0030798C" w:rsidRDefault="002548E2" w:rsidP="00C0079A">
      <w:pPr>
        <w:jc w:val="center"/>
        <w:rPr>
          <w:rFonts w:cs="Arial"/>
          <w:sz w:val="28"/>
          <w:szCs w:val="24"/>
        </w:rPr>
      </w:pPr>
      <w:r w:rsidRPr="0030798C">
        <w:rPr>
          <w:rFonts w:cs="Arial"/>
          <w:noProof/>
          <w:sz w:val="28"/>
          <w:szCs w:val="24"/>
          <w:lang w:eastAsia="it-CH"/>
        </w:rPr>
        <w:lastRenderedPageBreak/>
        <w:drawing>
          <wp:inline distT="0" distB="0" distL="0" distR="0" wp14:anchorId="7ADFBB30" wp14:editId="6EF114D3">
            <wp:extent cx="4476750" cy="63779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77378" cy="6378835"/>
                    </a:xfrm>
                    <a:prstGeom prst="rect">
                      <a:avLst/>
                    </a:prstGeom>
                  </pic:spPr>
                </pic:pic>
              </a:graphicData>
            </a:graphic>
          </wp:inline>
        </w:drawing>
      </w:r>
      <w:r w:rsidRPr="0030798C">
        <w:rPr>
          <w:rFonts w:cs="Arial"/>
          <w:sz w:val="28"/>
          <w:szCs w:val="24"/>
        </w:rPr>
        <w:t xml:space="preserve"> </w:t>
      </w:r>
    </w:p>
    <w:p w14:paraId="5A7D1B30" w14:textId="3D611824" w:rsidR="00C0079A" w:rsidRPr="00C770FC" w:rsidRDefault="00C0079A" w:rsidP="00C0079A">
      <w:pPr>
        <w:jc w:val="left"/>
        <w:rPr>
          <w:rFonts w:cs="Arial"/>
          <w:sz w:val="24"/>
          <w:szCs w:val="24"/>
        </w:rPr>
      </w:pPr>
    </w:p>
    <w:p w14:paraId="50E7F604" w14:textId="77777777" w:rsidR="00C770FC" w:rsidRPr="00C770FC" w:rsidRDefault="00C770FC" w:rsidP="00C0079A">
      <w:pPr>
        <w:jc w:val="left"/>
        <w:rPr>
          <w:rFonts w:cs="Arial"/>
          <w:sz w:val="24"/>
          <w:szCs w:val="24"/>
        </w:rPr>
      </w:pPr>
    </w:p>
    <w:p w14:paraId="0C88F9D3" w14:textId="15CB7F26" w:rsidR="00C0079A" w:rsidRPr="00C770FC" w:rsidRDefault="00C0079A" w:rsidP="00C770FC">
      <w:pPr>
        <w:pStyle w:val="Titolo2"/>
        <w:numPr>
          <w:ilvl w:val="0"/>
          <w:numId w:val="25"/>
        </w:numPr>
        <w:tabs>
          <w:tab w:val="left" w:pos="567"/>
        </w:tabs>
        <w:suppressAutoHyphens w:val="0"/>
        <w:spacing w:before="0" w:after="120"/>
        <w:ind w:left="0" w:firstLine="0"/>
        <w:jc w:val="both"/>
        <w:rPr>
          <w:rFonts w:ascii="Arial" w:eastAsia="Calibri" w:hAnsi="Arial" w:cs="Times New Roman"/>
          <w:sz w:val="24"/>
          <w:lang w:val="it-IT" w:eastAsia="it-IT"/>
        </w:rPr>
      </w:pPr>
      <w:r w:rsidRPr="00C770FC">
        <w:rPr>
          <w:rFonts w:ascii="Arial" w:eastAsia="Calibri" w:hAnsi="Arial" w:cs="Times New Roman"/>
          <w:sz w:val="24"/>
          <w:lang w:val="it-IT" w:eastAsia="it-IT"/>
        </w:rPr>
        <w:t xml:space="preserve">Costi di prontezza </w:t>
      </w:r>
      <w:r w:rsidR="00B014F2" w:rsidRPr="00C770FC">
        <w:rPr>
          <w:rFonts w:ascii="Arial" w:eastAsia="Calibri" w:hAnsi="Arial" w:cs="Times New Roman"/>
          <w:sz w:val="24"/>
          <w:lang w:val="it-IT" w:eastAsia="it-IT"/>
        </w:rPr>
        <w:t>luglio 2021 – giugno 2022</w:t>
      </w:r>
    </w:p>
    <w:p w14:paraId="5F2EE8F1" w14:textId="080AB2E5" w:rsidR="00C0079A" w:rsidRPr="00C770FC" w:rsidRDefault="00C0079A" w:rsidP="00C770FC">
      <w:pPr>
        <w:pStyle w:val="Paragrafoelenco"/>
        <w:ind w:left="0"/>
        <w:rPr>
          <w:b/>
          <w:sz w:val="24"/>
        </w:rPr>
      </w:pPr>
      <w:r w:rsidRPr="0030798C">
        <w:rPr>
          <w:sz w:val="24"/>
        </w:rPr>
        <w:t>In data 20 ottobre 2021 il Gran Consiglio ha stanziato un contributo straordinario di 3.5 mi</w:t>
      </w:r>
      <w:r w:rsidR="00B014F2" w:rsidRPr="0030798C">
        <w:rPr>
          <w:sz w:val="24"/>
        </w:rPr>
        <w:t>lioni di franchi</w:t>
      </w:r>
      <w:r w:rsidRPr="0030798C">
        <w:rPr>
          <w:sz w:val="24"/>
        </w:rPr>
        <w:t xml:space="preserve"> per il mantenimento in prontezza </w:t>
      </w:r>
      <w:r w:rsidR="00976189" w:rsidRPr="0030798C">
        <w:rPr>
          <w:sz w:val="24"/>
        </w:rPr>
        <w:t>fino all’estate 2022</w:t>
      </w:r>
      <w:r w:rsidR="00B32C60" w:rsidRPr="0030798C">
        <w:rPr>
          <w:sz w:val="24"/>
        </w:rPr>
        <w:t xml:space="preserve">, e grazie alla collaborazione pubblico privata tra EOC e CLINICA LUGANESE MONCUCCO SA </w:t>
      </w:r>
      <w:r w:rsidRPr="0030798C">
        <w:rPr>
          <w:sz w:val="24"/>
        </w:rPr>
        <w:t>di un dispositivo ospedaliero di letti di cure intense per il ricovero dei pazienti COVID</w:t>
      </w:r>
      <w:r w:rsidR="00B32C60" w:rsidRPr="0030798C">
        <w:rPr>
          <w:sz w:val="24"/>
        </w:rPr>
        <w:t xml:space="preserve"> (cfr. M</w:t>
      </w:r>
      <w:r w:rsidR="00976189" w:rsidRPr="0030798C">
        <w:rPr>
          <w:sz w:val="24"/>
        </w:rPr>
        <w:t xml:space="preserve"> </w:t>
      </w:r>
      <w:r w:rsidRPr="0030798C">
        <w:rPr>
          <w:sz w:val="24"/>
        </w:rPr>
        <w:t>8031 del 5 agosto 2021</w:t>
      </w:r>
      <w:r w:rsidR="00B32C60" w:rsidRPr="0030798C">
        <w:rPr>
          <w:sz w:val="24"/>
        </w:rPr>
        <w:t>). A pag. 8 e 9 del Messaggio</w:t>
      </w:r>
      <w:r w:rsidR="00EB2455" w:rsidRPr="0030798C">
        <w:rPr>
          <w:sz w:val="24"/>
        </w:rPr>
        <w:t>,</w:t>
      </w:r>
      <w:r w:rsidR="00B32C60" w:rsidRPr="0030798C">
        <w:rPr>
          <w:sz w:val="24"/>
        </w:rPr>
        <w:t xml:space="preserve"> a cui si rinvia, il Governo descrive e illustr</w:t>
      </w:r>
      <w:r w:rsidR="00EB2455" w:rsidRPr="0030798C">
        <w:rPr>
          <w:sz w:val="24"/>
        </w:rPr>
        <w:t>a</w:t>
      </w:r>
      <w:r w:rsidR="00B32C60" w:rsidRPr="0030798C">
        <w:rPr>
          <w:sz w:val="24"/>
        </w:rPr>
        <w:t>, come si sia partiti da</w:t>
      </w:r>
      <w:r w:rsidRPr="0030798C">
        <w:rPr>
          <w:sz w:val="24"/>
        </w:rPr>
        <w:t xml:space="preserve"> un modello articolato in tre fasi con le rispettive dotazioni di personale e di letti, quantificandone i costi, </w:t>
      </w:r>
      <w:r w:rsidR="00B32C60" w:rsidRPr="0030798C">
        <w:rPr>
          <w:sz w:val="24"/>
        </w:rPr>
        <w:t>per poi indicare come, a seguito di trattative tra Istituti e DSS</w:t>
      </w:r>
      <w:r w:rsidR="00EB2455" w:rsidRPr="0030798C">
        <w:rPr>
          <w:sz w:val="24"/>
        </w:rPr>
        <w:t>,</w:t>
      </w:r>
      <w:r w:rsidR="00B32C60" w:rsidRPr="0030798C">
        <w:rPr>
          <w:sz w:val="24"/>
        </w:rPr>
        <w:t xml:space="preserve"> si sia giunti ad un accordo sui parametri e alfine di determinare </w:t>
      </w:r>
      <w:r w:rsidRPr="0030798C">
        <w:rPr>
          <w:sz w:val="24"/>
        </w:rPr>
        <w:t>il contributo a consuntivo come esplicitato di seguito</w:t>
      </w:r>
      <w:r w:rsidR="00EB2455" w:rsidRPr="0030798C">
        <w:rPr>
          <w:sz w:val="24"/>
        </w:rPr>
        <w:t xml:space="preserve"> (cfr. RG n. 37 dell’11 gennaio 2023)</w:t>
      </w:r>
      <w:r w:rsidR="00F7370B" w:rsidRPr="0030798C">
        <w:rPr>
          <w:sz w:val="24"/>
        </w:rPr>
        <w:t>:</w:t>
      </w:r>
    </w:p>
    <w:p w14:paraId="25AB5A07" w14:textId="77777777" w:rsidR="00C0079A" w:rsidRPr="0030798C" w:rsidRDefault="00C0079A" w:rsidP="00C0079A">
      <w:pPr>
        <w:rPr>
          <w:sz w:val="28"/>
          <w:szCs w:val="24"/>
        </w:rPr>
      </w:pPr>
    </w:p>
    <w:p w14:paraId="39A99310" w14:textId="77777777" w:rsidR="00C0079A" w:rsidRPr="0030798C" w:rsidRDefault="00C0079A" w:rsidP="00C0079A">
      <w:pPr>
        <w:rPr>
          <w:sz w:val="28"/>
          <w:szCs w:val="24"/>
        </w:rPr>
      </w:pPr>
      <w:r w:rsidRPr="0030798C">
        <w:rPr>
          <w:noProof/>
          <w:sz w:val="28"/>
          <w:szCs w:val="24"/>
          <w:lang w:eastAsia="it-CH"/>
        </w:rPr>
        <w:drawing>
          <wp:inline distT="0" distB="0" distL="0" distR="0" wp14:anchorId="480E043B" wp14:editId="5CC51CBB">
            <wp:extent cx="5163271" cy="333421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63271" cy="3334215"/>
                    </a:xfrm>
                    <a:prstGeom prst="rect">
                      <a:avLst/>
                    </a:prstGeom>
                  </pic:spPr>
                </pic:pic>
              </a:graphicData>
            </a:graphic>
          </wp:inline>
        </w:drawing>
      </w:r>
    </w:p>
    <w:p w14:paraId="397BA275" w14:textId="77777777" w:rsidR="00C0079A" w:rsidRPr="00C770FC" w:rsidRDefault="00C0079A" w:rsidP="00C0079A">
      <w:pPr>
        <w:rPr>
          <w:sz w:val="24"/>
          <w:szCs w:val="24"/>
        </w:rPr>
      </w:pPr>
    </w:p>
    <w:p w14:paraId="06BD6983" w14:textId="7CF299C2" w:rsidR="00C0079A" w:rsidRPr="0030798C" w:rsidRDefault="00C0079A" w:rsidP="00C0079A">
      <w:pPr>
        <w:pStyle w:val="Paragrafoelenco"/>
        <w:ind w:left="567"/>
        <w:rPr>
          <w:b/>
          <w:sz w:val="24"/>
        </w:rPr>
      </w:pPr>
    </w:p>
    <w:p w14:paraId="3EC68961" w14:textId="240D368D" w:rsidR="00EB2455" w:rsidRPr="00C770FC" w:rsidRDefault="00EB2455" w:rsidP="00C770FC">
      <w:pPr>
        <w:pStyle w:val="Titolo2"/>
        <w:numPr>
          <w:ilvl w:val="0"/>
          <w:numId w:val="25"/>
        </w:numPr>
        <w:tabs>
          <w:tab w:val="left" w:pos="567"/>
        </w:tabs>
        <w:suppressAutoHyphens w:val="0"/>
        <w:spacing w:before="0" w:after="120"/>
        <w:ind w:left="0" w:firstLine="0"/>
        <w:jc w:val="both"/>
        <w:rPr>
          <w:rFonts w:ascii="Arial" w:eastAsia="Calibri" w:hAnsi="Arial" w:cs="Times New Roman"/>
          <w:sz w:val="24"/>
          <w:lang w:val="it-IT" w:eastAsia="it-IT"/>
        </w:rPr>
      </w:pPr>
      <w:r w:rsidRPr="00C770FC">
        <w:rPr>
          <w:rFonts w:ascii="Arial" w:eastAsia="Calibri" w:hAnsi="Arial" w:cs="Times New Roman"/>
          <w:sz w:val="24"/>
          <w:lang w:val="it-IT" w:eastAsia="it-IT"/>
        </w:rPr>
        <w:t>Il contributo straordinario per i mancati introiti 2020</w:t>
      </w:r>
    </w:p>
    <w:p w14:paraId="0D54C910" w14:textId="6C682C30" w:rsidR="00EB2455" w:rsidRPr="0030798C" w:rsidRDefault="00EB2455" w:rsidP="00C770FC">
      <w:pPr>
        <w:pStyle w:val="ListNumeric"/>
        <w:numPr>
          <w:ilvl w:val="0"/>
          <w:numId w:val="0"/>
        </w:numPr>
        <w:spacing w:after="120"/>
        <w:contextualSpacing w:val="0"/>
        <w:rPr>
          <w:sz w:val="24"/>
        </w:rPr>
      </w:pPr>
      <w:r w:rsidRPr="0030798C">
        <w:rPr>
          <w:sz w:val="24"/>
        </w:rPr>
        <w:t>Per venire ora all’oggetto del decreto legislativo su cui il Gran Consiglio è chiamato a pronunciarsi, si rileva quanto segue:</w:t>
      </w:r>
    </w:p>
    <w:p w14:paraId="31AD9847" w14:textId="41488BA7" w:rsidR="00EB2455" w:rsidRPr="00C770FC" w:rsidRDefault="002E122D" w:rsidP="00C770FC">
      <w:pPr>
        <w:pStyle w:val="ListNumeric"/>
        <w:numPr>
          <w:ilvl w:val="0"/>
          <w:numId w:val="28"/>
        </w:numPr>
        <w:spacing w:after="120"/>
        <w:ind w:left="284" w:hanging="284"/>
        <w:contextualSpacing w:val="0"/>
        <w:rPr>
          <w:sz w:val="24"/>
        </w:rPr>
      </w:pPr>
      <w:r w:rsidRPr="0030798C">
        <w:rPr>
          <w:sz w:val="24"/>
        </w:rPr>
        <w:t>g</w:t>
      </w:r>
      <w:r w:rsidR="001D5162" w:rsidRPr="0030798C">
        <w:rPr>
          <w:sz w:val="24"/>
        </w:rPr>
        <w:t xml:space="preserve">li </w:t>
      </w:r>
      <w:r w:rsidR="006D007C" w:rsidRPr="0030798C">
        <w:rPr>
          <w:sz w:val="24"/>
        </w:rPr>
        <w:t xml:space="preserve">istituti ospedalieri </w:t>
      </w:r>
      <w:r w:rsidR="001D5162" w:rsidRPr="0030798C">
        <w:rPr>
          <w:sz w:val="24"/>
        </w:rPr>
        <w:t xml:space="preserve">svolgono attività </w:t>
      </w:r>
      <w:r w:rsidR="006D007C" w:rsidRPr="0030798C">
        <w:rPr>
          <w:sz w:val="24"/>
        </w:rPr>
        <w:t>sia in ambito stazionario, sia in ambito ambulatoriale</w:t>
      </w:r>
      <w:r w:rsidR="001D5162" w:rsidRPr="0030798C">
        <w:rPr>
          <w:sz w:val="24"/>
        </w:rPr>
        <w:t xml:space="preserve">, con </w:t>
      </w:r>
      <w:r w:rsidR="006D007C" w:rsidRPr="0030798C">
        <w:rPr>
          <w:sz w:val="24"/>
        </w:rPr>
        <w:t>fatturazione delle prestazioni a carico delle assicurazioni sociali (</w:t>
      </w:r>
      <w:r w:rsidR="001D5162" w:rsidRPr="0030798C">
        <w:rPr>
          <w:sz w:val="24"/>
        </w:rPr>
        <w:t>Malattia</w:t>
      </w:r>
      <w:r w:rsidR="006D007C" w:rsidRPr="0030798C">
        <w:rPr>
          <w:sz w:val="24"/>
        </w:rPr>
        <w:t xml:space="preserve">, Infortuni, Militare, Invalidità), delle assicurazioni complementari e dei pazienti </w:t>
      </w:r>
      <w:r w:rsidR="00EB2455" w:rsidRPr="0030798C">
        <w:rPr>
          <w:sz w:val="24"/>
        </w:rPr>
        <w:t>auto paganti</w:t>
      </w:r>
      <w:r w:rsidR="001D5162" w:rsidRPr="0030798C">
        <w:rPr>
          <w:sz w:val="24"/>
        </w:rPr>
        <w:t>,</w:t>
      </w:r>
      <w:r w:rsidR="006D007C" w:rsidRPr="0030798C">
        <w:rPr>
          <w:sz w:val="24"/>
        </w:rPr>
        <w:t xml:space="preserve"> </w:t>
      </w:r>
      <w:r w:rsidR="00E46ABD" w:rsidRPr="0030798C">
        <w:rPr>
          <w:sz w:val="24"/>
        </w:rPr>
        <w:t>a</w:t>
      </w:r>
      <w:r w:rsidR="006D007C" w:rsidRPr="0030798C">
        <w:rPr>
          <w:sz w:val="24"/>
        </w:rPr>
        <w:t>i quali si aggiunge la partecipazione del Cantone per il solo ambito stazionario (degenze)</w:t>
      </w:r>
      <w:r w:rsidR="001D5162" w:rsidRPr="0030798C">
        <w:rPr>
          <w:sz w:val="24"/>
        </w:rPr>
        <w:t xml:space="preserve"> a carico della LAMal e dell’AI</w:t>
      </w:r>
      <w:r w:rsidR="00EB2455" w:rsidRPr="0030798C">
        <w:rPr>
          <w:sz w:val="24"/>
        </w:rPr>
        <w:t>;</w:t>
      </w:r>
    </w:p>
    <w:p w14:paraId="7EA39D58" w14:textId="5B806066" w:rsidR="00EB2455" w:rsidRPr="0030798C" w:rsidRDefault="00EB2455" w:rsidP="00C770FC">
      <w:pPr>
        <w:pStyle w:val="ListNumeric"/>
        <w:numPr>
          <w:ilvl w:val="0"/>
          <w:numId w:val="28"/>
        </w:numPr>
        <w:ind w:left="284" w:hanging="284"/>
        <w:rPr>
          <w:sz w:val="24"/>
        </w:rPr>
      </w:pPr>
      <w:r w:rsidRPr="0030798C">
        <w:rPr>
          <w:sz w:val="24"/>
        </w:rPr>
        <w:t xml:space="preserve">a causa della pandemia ha inciso </w:t>
      </w:r>
      <w:r w:rsidR="006D007C" w:rsidRPr="0030798C">
        <w:rPr>
          <w:sz w:val="24"/>
        </w:rPr>
        <w:t>pesantemente sull’attività di tutti gli ambiti per più fattori</w:t>
      </w:r>
      <w:r w:rsidR="001D5162" w:rsidRPr="0030798C">
        <w:rPr>
          <w:sz w:val="24"/>
        </w:rPr>
        <w:t xml:space="preserve">, </w:t>
      </w:r>
      <w:r w:rsidRPr="0030798C">
        <w:rPr>
          <w:sz w:val="24"/>
        </w:rPr>
        <w:t>di cui se ne riprendono solo alcuni</w:t>
      </w:r>
      <w:r w:rsidR="006D007C" w:rsidRPr="0030798C">
        <w:rPr>
          <w:sz w:val="24"/>
        </w:rPr>
        <w:t>:</w:t>
      </w:r>
    </w:p>
    <w:p w14:paraId="7F6F29EA" w14:textId="50BEAFC8" w:rsidR="00EB2455" w:rsidRPr="0030798C" w:rsidRDefault="00156621" w:rsidP="00C770FC">
      <w:pPr>
        <w:pStyle w:val="ListNumeric"/>
        <w:numPr>
          <w:ilvl w:val="1"/>
          <w:numId w:val="28"/>
        </w:numPr>
        <w:tabs>
          <w:tab w:val="left" w:pos="567"/>
        </w:tabs>
        <w:spacing w:before="80"/>
        <w:ind w:left="284" w:firstLine="0"/>
        <w:contextualSpacing w:val="0"/>
        <w:rPr>
          <w:sz w:val="28"/>
          <w:szCs w:val="24"/>
        </w:rPr>
      </w:pPr>
      <w:r w:rsidRPr="0030798C">
        <w:rPr>
          <w:sz w:val="24"/>
        </w:rPr>
        <w:t>l</w:t>
      </w:r>
      <w:r w:rsidR="006A2B13" w:rsidRPr="0030798C">
        <w:rPr>
          <w:sz w:val="24"/>
        </w:rPr>
        <w:t xml:space="preserve">a decisione del Consiglio federale del 16 marzo 2020 che ha decretato lo stato di </w:t>
      </w:r>
      <w:r w:rsidR="00C770FC">
        <w:rPr>
          <w:sz w:val="24"/>
        </w:rPr>
        <w:tab/>
      </w:r>
      <w:r w:rsidR="006A2B13" w:rsidRPr="0030798C">
        <w:rPr>
          <w:sz w:val="24"/>
        </w:rPr>
        <w:t xml:space="preserve">situazione straordinaria sulla base dell’art. 7 </w:t>
      </w:r>
      <w:r w:rsidR="00EB2455" w:rsidRPr="0030798C">
        <w:rPr>
          <w:sz w:val="24"/>
        </w:rPr>
        <w:t xml:space="preserve">della </w:t>
      </w:r>
      <w:r w:rsidR="006A2B13" w:rsidRPr="0030798C">
        <w:rPr>
          <w:sz w:val="24"/>
        </w:rPr>
        <w:t>Legge sul</w:t>
      </w:r>
      <w:r w:rsidR="00DA1A06" w:rsidRPr="0030798C">
        <w:rPr>
          <w:sz w:val="24"/>
        </w:rPr>
        <w:t>l</w:t>
      </w:r>
      <w:r w:rsidR="006A2B13" w:rsidRPr="0030798C">
        <w:rPr>
          <w:sz w:val="24"/>
        </w:rPr>
        <w:t>e epidemie</w:t>
      </w:r>
      <w:r w:rsidR="00EB2455" w:rsidRPr="0030798C">
        <w:rPr>
          <w:sz w:val="24"/>
        </w:rPr>
        <w:t xml:space="preserve"> (</w:t>
      </w:r>
      <w:r w:rsidR="006A2B13" w:rsidRPr="0030798C">
        <w:rPr>
          <w:sz w:val="24"/>
        </w:rPr>
        <w:t>LEp)</w:t>
      </w:r>
      <w:r w:rsidR="00EB2455" w:rsidRPr="0030798C">
        <w:rPr>
          <w:sz w:val="24"/>
        </w:rPr>
        <w:t>;</w:t>
      </w:r>
      <w:r w:rsidR="006A2B13" w:rsidRPr="0030798C">
        <w:rPr>
          <w:sz w:val="24"/>
        </w:rPr>
        <w:t xml:space="preserve">  </w:t>
      </w:r>
    </w:p>
    <w:p w14:paraId="31A06F8B" w14:textId="4490C328" w:rsidR="00EB2455" w:rsidRPr="00C770FC" w:rsidRDefault="006A2B13" w:rsidP="00C770FC">
      <w:pPr>
        <w:pStyle w:val="ListNumeric"/>
        <w:numPr>
          <w:ilvl w:val="1"/>
          <w:numId w:val="28"/>
        </w:numPr>
        <w:tabs>
          <w:tab w:val="left" w:pos="567"/>
        </w:tabs>
        <w:spacing w:before="80"/>
        <w:ind w:left="284" w:firstLine="0"/>
        <w:contextualSpacing w:val="0"/>
        <w:rPr>
          <w:sz w:val="28"/>
          <w:szCs w:val="24"/>
        </w:rPr>
      </w:pPr>
      <w:r w:rsidRPr="0030798C">
        <w:rPr>
          <w:sz w:val="24"/>
        </w:rPr>
        <w:t>la conseguente messa in vigore il 17 marzo 2020 dell’art. 10a dell’Ordinanza COVI</w:t>
      </w:r>
      <w:r w:rsidR="001D5162" w:rsidRPr="0030798C">
        <w:rPr>
          <w:sz w:val="24"/>
        </w:rPr>
        <w:t>D</w:t>
      </w:r>
      <w:r w:rsidRPr="0030798C">
        <w:rPr>
          <w:sz w:val="24"/>
        </w:rPr>
        <w:t>-</w:t>
      </w:r>
      <w:r w:rsidR="00C770FC">
        <w:rPr>
          <w:sz w:val="24"/>
        </w:rPr>
        <w:tab/>
      </w:r>
      <w:r w:rsidRPr="0030798C">
        <w:rPr>
          <w:sz w:val="24"/>
        </w:rPr>
        <w:t xml:space="preserve">19 che autorizzava i Cantoni a obbligare gli ospedali e le cliniche private a mettere a </w:t>
      </w:r>
      <w:r w:rsidR="00C770FC">
        <w:rPr>
          <w:sz w:val="24"/>
        </w:rPr>
        <w:tab/>
      </w:r>
      <w:r w:rsidRPr="0030798C">
        <w:rPr>
          <w:sz w:val="24"/>
        </w:rPr>
        <w:t xml:space="preserve">disposizione le loro capacità per accogliere pazienti e vietava l'esecuzione di esami, </w:t>
      </w:r>
      <w:r w:rsidR="00C770FC">
        <w:rPr>
          <w:sz w:val="24"/>
        </w:rPr>
        <w:tab/>
      </w:r>
      <w:r w:rsidRPr="0030798C">
        <w:rPr>
          <w:sz w:val="24"/>
        </w:rPr>
        <w:t xml:space="preserve">trattamenti e terapie (interventi) non urgenti o procrastinabili senza pregiudizio per i </w:t>
      </w:r>
      <w:r w:rsidR="00C770FC">
        <w:rPr>
          <w:sz w:val="24"/>
        </w:rPr>
        <w:tab/>
      </w:r>
      <w:r w:rsidRPr="0030798C">
        <w:rPr>
          <w:sz w:val="24"/>
        </w:rPr>
        <w:t>pazienti;</w:t>
      </w:r>
    </w:p>
    <w:p w14:paraId="30DA68FE" w14:textId="2D7AFA60" w:rsidR="00EB2455" w:rsidRPr="00C770FC" w:rsidRDefault="00156621" w:rsidP="00C770FC">
      <w:pPr>
        <w:pStyle w:val="ListNumeric"/>
        <w:numPr>
          <w:ilvl w:val="1"/>
          <w:numId w:val="28"/>
        </w:numPr>
        <w:tabs>
          <w:tab w:val="left" w:pos="567"/>
        </w:tabs>
        <w:spacing w:before="80"/>
        <w:ind w:left="284" w:firstLine="0"/>
        <w:contextualSpacing w:val="0"/>
        <w:rPr>
          <w:sz w:val="28"/>
          <w:szCs w:val="24"/>
        </w:rPr>
      </w:pPr>
      <w:r w:rsidRPr="0030798C">
        <w:rPr>
          <w:sz w:val="24"/>
        </w:rPr>
        <w:t>l</w:t>
      </w:r>
      <w:r w:rsidR="006A2B13" w:rsidRPr="0030798C">
        <w:rPr>
          <w:sz w:val="24"/>
        </w:rPr>
        <w:t>a durata del provvedimento sopraesposto dal 17 marzo al 26 aprile</w:t>
      </w:r>
      <w:r w:rsidR="001D5162" w:rsidRPr="0030798C">
        <w:rPr>
          <w:sz w:val="24"/>
        </w:rPr>
        <w:t xml:space="preserve"> 2020</w:t>
      </w:r>
      <w:r w:rsidR="006A2B13" w:rsidRPr="0030798C">
        <w:rPr>
          <w:sz w:val="24"/>
        </w:rPr>
        <w:t>;</w:t>
      </w:r>
    </w:p>
    <w:p w14:paraId="46637643" w14:textId="77777777" w:rsidR="00EB2455" w:rsidRPr="0030798C" w:rsidRDefault="00156621" w:rsidP="00C770FC">
      <w:pPr>
        <w:pStyle w:val="ListNumeric"/>
        <w:numPr>
          <w:ilvl w:val="1"/>
          <w:numId w:val="28"/>
        </w:numPr>
        <w:spacing w:before="80"/>
        <w:ind w:left="567" w:hanging="283"/>
        <w:contextualSpacing w:val="0"/>
        <w:rPr>
          <w:sz w:val="28"/>
          <w:szCs w:val="24"/>
        </w:rPr>
      </w:pPr>
      <w:r w:rsidRPr="0030798C">
        <w:rPr>
          <w:sz w:val="24"/>
        </w:rPr>
        <w:t xml:space="preserve">la </w:t>
      </w:r>
      <w:r w:rsidR="006A2B13" w:rsidRPr="0030798C">
        <w:rPr>
          <w:sz w:val="24"/>
        </w:rPr>
        <w:t>riorganizza</w:t>
      </w:r>
      <w:r w:rsidRPr="0030798C">
        <w:rPr>
          <w:sz w:val="24"/>
        </w:rPr>
        <w:t>zione</w:t>
      </w:r>
      <w:r w:rsidR="006A2B13" w:rsidRPr="0030798C">
        <w:rPr>
          <w:sz w:val="24"/>
        </w:rPr>
        <w:t xml:space="preserve"> </w:t>
      </w:r>
      <w:r w:rsidRPr="0030798C">
        <w:rPr>
          <w:sz w:val="24"/>
        </w:rPr>
        <w:t>del</w:t>
      </w:r>
      <w:r w:rsidR="006A2B13" w:rsidRPr="0030798C">
        <w:rPr>
          <w:sz w:val="24"/>
        </w:rPr>
        <w:t xml:space="preserve">la disponibilità di letti per pazienti </w:t>
      </w:r>
      <w:r w:rsidR="001D5162" w:rsidRPr="0030798C">
        <w:rPr>
          <w:sz w:val="24"/>
        </w:rPr>
        <w:t xml:space="preserve">affetti da </w:t>
      </w:r>
      <w:r w:rsidR="006A2B13" w:rsidRPr="0030798C">
        <w:rPr>
          <w:sz w:val="24"/>
        </w:rPr>
        <w:t xml:space="preserve">COVID </w:t>
      </w:r>
      <w:r w:rsidRPr="0030798C">
        <w:rPr>
          <w:sz w:val="24"/>
        </w:rPr>
        <w:t>con ricadute inevitabili</w:t>
      </w:r>
      <w:r w:rsidR="006A2B13" w:rsidRPr="0030798C">
        <w:rPr>
          <w:sz w:val="24"/>
        </w:rPr>
        <w:t xml:space="preserve"> </w:t>
      </w:r>
      <w:r w:rsidRPr="0030798C">
        <w:rPr>
          <w:sz w:val="24"/>
        </w:rPr>
        <w:t>s</w:t>
      </w:r>
      <w:r w:rsidR="006A2B13" w:rsidRPr="0030798C">
        <w:rPr>
          <w:sz w:val="24"/>
        </w:rPr>
        <w:t>ul resto dell’attività</w:t>
      </w:r>
      <w:r w:rsidR="001D5162" w:rsidRPr="0030798C">
        <w:rPr>
          <w:sz w:val="24"/>
        </w:rPr>
        <w:t>,</w:t>
      </w:r>
      <w:r w:rsidR="006A2B13" w:rsidRPr="0030798C">
        <w:rPr>
          <w:sz w:val="24"/>
        </w:rPr>
        <w:t xml:space="preserve"> </w:t>
      </w:r>
      <w:r w:rsidR="001D5162" w:rsidRPr="0030798C">
        <w:rPr>
          <w:sz w:val="24"/>
        </w:rPr>
        <w:t xml:space="preserve">che </w:t>
      </w:r>
      <w:r w:rsidR="006A2B13" w:rsidRPr="0030798C">
        <w:rPr>
          <w:sz w:val="24"/>
        </w:rPr>
        <w:t xml:space="preserve">di fatto </w:t>
      </w:r>
      <w:r w:rsidR="001D5162" w:rsidRPr="0030798C">
        <w:rPr>
          <w:sz w:val="24"/>
        </w:rPr>
        <w:t xml:space="preserve">risultava </w:t>
      </w:r>
      <w:r w:rsidR="006A2B13" w:rsidRPr="0030798C">
        <w:rPr>
          <w:sz w:val="24"/>
        </w:rPr>
        <w:t>limitata per l’indisponibilità d</w:t>
      </w:r>
      <w:r w:rsidRPr="0030798C">
        <w:rPr>
          <w:sz w:val="24"/>
        </w:rPr>
        <w:t>el personale (in particolare medico e curante di anestesia e/o di medicina d’urgenza o di cure intensive) convogliato in forze nei due ospedali COVID</w:t>
      </w:r>
      <w:r w:rsidR="001D5162" w:rsidRPr="0030798C">
        <w:rPr>
          <w:sz w:val="24"/>
        </w:rPr>
        <w:t xml:space="preserve"> del Cantone, l’Ospedale </w:t>
      </w:r>
      <w:r w:rsidR="00DA1A06" w:rsidRPr="0030798C">
        <w:rPr>
          <w:sz w:val="24"/>
        </w:rPr>
        <w:t>R</w:t>
      </w:r>
      <w:r w:rsidR="001D5162" w:rsidRPr="0030798C">
        <w:rPr>
          <w:sz w:val="24"/>
        </w:rPr>
        <w:t xml:space="preserve">egionale di Locarno e la Clinica Luganese Moncucco. </w:t>
      </w:r>
    </w:p>
    <w:p w14:paraId="3DC642A8" w14:textId="77777777" w:rsidR="00BA7572" w:rsidRPr="0030798C" w:rsidRDefault="00BA7572" w:rsidP="00C770FC">
      <w:pPr>
        <w:pStyle w:val="Paragrafoelenco"/>
        <w:spacing w:before="80"/>
        <w:ind w:left="284" w:hanging="284"/>
        <w:contextualSpacing w:val="0"/>
        <w:rPr>
          <w:sz w:val="28"/>
          <w:szCs w:val="24"/>
        </w:rPr>
      </w:pPr>
    </w:p>
    <w:p w14:paraId="5021D838" w14:textId="39BDE0F9" w:rsidR="00BA7572" w:rsidRPr="00C770FC" w:rsidRDefault="00BA7572" w:rsidP="00C770FC">
      <w:pPr>
        <w:pStyle w:val="ListNumeric"/>
        <w:numPr>
          <w:ilvl w:val="1"/>
          <w:numId w:val="28"/>
        </w:numPr>
        <w:spacing w:before="80"/>
        <w:ind w:left="284" w:firstLine="0"/>
        <w:contextualSpacing w:val="0"/>
        <w:rPr>
          <w:sz w:val="24"/>
        </w:rPr>
      </w:pPr>
      <w:r w:rsidRPr="0030798C">
        <w:rPr>
          <w:sz w:val="24"/>
        </w:rPr>
        <w:lastRenderedPageBreak/>
        <w:t xml:space="preserve">la naturale reticenza di medici e di pazienti a predisporre e a ricorrere alle cure non </w:t>
      </w:r>
      <w:r w:rsidR="00C770FC">
        <w:rPr>
          <w:sz w:val="24"/>
        </w:rPr>
        <w:tab/>
      </w:r>
      <w:r w:rsidRPr="0030798C">
        <w:rPr>
          <w:sz w:val="24"/>
        </w:rPr>
        <w:t>ritenute assolutamente indispensabili;</w:t>
      </w:r>
    </w:p>
    <w:p w14:paraId="19E9EA17" w14:textId="6725F35C" w:rsidR="00BA7572" w:rsidRPr="0030798C" w:rsidRDefault="00BA7572" w:rsidP="00C770FC">
      <w:pPr>
        <w:pStyle w:val="ListNumeric"/>
        <w:numPr>
          <w:ilvl w:val="1"/>
          <w:numId w:val="28"/>
        </w:numPr>
        <w:spacing w:before="80"/>
        <w:ind w:left="284" w:firstLine="0"/>
        <w:contextualSpacing w:val="0"/>
        <w:rPr>
          <w:sz w:val="24"/>
        </w:rPr>
      </w:pPr>
      <w:r w:rsidRPr="0030798C">
        <w:rPr>
          <w:sz w:val="24"/>
        </w:rPr>
        <w:t xml:space="preserve">lo spostamento di mandati di prestazione tra i vari istituti rispetto a quelli attribuiti </w:t>
      </w:r>
      <w:r w:rsidR="00C770FC">
        <w:rPr>
          <w:sz w:val="24"/>
        </w:rPr>
        <w:tab/>
      </w:r>
      <w:r w:rsidRPr="0030798C">
        <w:rPr>
          <w:sz w:val="24"/>
        </w:rPr>
        <w:t xml:space="preserve">dal decreto legislativo sulla pianificazione ospedaliera e la chiusura temporanea di </w:t>
      </w:r>
      <w:r w:rsidR="00C770FC">
        <w:rPr>
          <w:sz w:val="24"/>
        </w:rPr>
        <w:tab/>
      </w:r>
      <w:r w:rsidRPr="0030798C">
        <w:rPr>
          <w:sz w:val="24"/>
        </w:rPr>
        <w:t>alcuni reparti e servizi.</w:t>
      </w:r>
    </w:p>
    <w:p w14:paraId="70BCB25E" w14:textId="77777777" w:rsidR="00EB2455" w:rsidRPr="0030798C" w:rsidRDefault="00EB2455" w:rsidP="00EB2455">
      <w:pPr>
        <w:pStyle w:val="Paragrafoelenco"/>
        <w:rPr>
          <w:sz w:val="24"/>
        </w:rPr>
      </w:pPr>
    </w:p>
    <w:p w14:paraId="5AF414B8" w14:textId="17ADB224" w:rsidR="006A2B13" w:rsidRPr="0030798C" w:rsidRDefault="001D5162" w:rsidP="00EB2455">
      <w:pPr>
        <w:pStyle w:val="ListNumeric"/>
        <w:numPr>
          <w:ilvl w:val="0"/>
          <w:numId w:val="0"/>
        </w:numPr>
        <w:ind w:left="142"/>
        <w:rPr>
          <w:sz w:val="24"/>
        </w:rPr>
      </w:pPr>
      <w:r w:rsidRPr="0030798C">
        <w:rPr>
          <w:sz w:val="24"/>
        </w:rPr>
        <w:t xml:space="preserve">La tabella che segue riassume le </w:t>
      </w:r>
      <w:r w:rsidR="0079620C" w:rsidRPr="0030798C">
        <w:rPr>
          <w:sz w:val="24"/>
        </w:rPr>
        <w:t xml:space="preserve">decisioni </w:t>
      </w:r>
      <w:r w:rsidRPr="0030798C">
        <w:rPr>
          <w:sz w:val="24"/>
        </w:rPr>
        <w:t xml:space="preserve">governative </w:t>
      </w:r>
      <w:r w:rsidR="0079620C" w:rsidRPr="0030798C">
        <w:rPr>
          <w:sz w:val="24"/>
        </w:rPr>
        <w:t>su</w:t>
      </w:r>
      <w:r w:rsidRPr="0030798C">
        <w:rPr>
          <w:sz w:val="24"/>
        </w:rPr>
        <w:t xml:space="preserve">l dispositivo e </w:t>
      </w:r>
      <w:r w:rsidR="0079620C" w:rsidRPr="0030798C">
        <w:rPr>
          <w:sz w:val="24"/>
        </w:rPr>
        <w:t>i letti COVID</w:t>
      </w:r>
      <w:r w:rsidRPr="0030798C">
        <w:rPr>
          <w:sz w:val="24"/>
        </w:rPr>
        <w:t>,</w:t>
      </w:r>
      <w:r w:rsidR="0079620C" w:rsidRPr="0030798C">
        <w:rPr>
          <w:sz w:val="24"/>
        </w:rPr>
        <w:t xml:space="preserve"> in</w:t>
      </w:r>
      <w:r w:rsidR="00EB2455" w:rsidRPr="0030798C">
        <w:rPr>
          <w:sz w:val="24"/>
        </w:rPr>
        <w:t xml:space="preserve"> </w:t>
      </w:r>
      <w:r w:rsidR="0079620C" w:rsidRPr="0030798C">
        <w:rPr>
          <w:sz w:val="24"/>
        </w:rPr>
        <w:t xml:space="preserve">evoluzione dal 25 marzo 2020 </w:t>
      </w:r>
      <w:r w:rsidR="00A74A42" w:rsidRPr="0030798C">
        <w:rPr>
          <w:sz w:val="24"/>
        </w:rPr>
        <w:t xml:space="preserve">al 7 luglio 2021 (RG </w:t>
      </w:r>
      <w:r w:rsidRPr="0030798C">
        <w:rPr>
          <w:sz w:val="24"/>
        </w:rPr>
        <w:t xml:space="preserve">n. </w:t>
      </w:r>
      <w:r w:rsidR="00A74A42" w:rsidRPr="0030798C">
        <w:rPr>
          <w:sz w:val="24"/>
        </w:rPr>
        <w:t>3525), data di ripristino della situazione ante-pandemia</w:t>
      </w:r>
      <w:r w:rsidRPr="0030798C">
        <w:rPr>
          <w:sz w:val="24"/>
        </w:rPr>
        <w:t>:</w:t>
      </w:r>
    </w:p>
    <w:p w14:paraId="60CBC091" w14:textId="77777777" w:rsidR="00976189" w:rsidRPr="00C770FC" w:rsidRDefault="00976189" w:rsidP="00976189">
      <w:pPr>
        <w:pStyle w:val="Default"/>
        <w:ind w:left="284"/>
        <w:jc w:val="both"/>
      </w:pPr>
    </w:p>
    <w:p w14:paraId="03A75FD5" w14:textId="77777777" w:rsidR="0079620C" w:rsidRPr="0030798C" w:rsidRDefault="0079620C" w:rsidP="0079620C">
      <w:pPr>
        <w:pStyle w:val="Default"/>
        <w:spacing w:after="60"/>
        <w:jc w:val="both"/>
        <w:rPr>
          <w:sz w:val="28"/>
        </w:rPr>
      </w:pPr>
      <w:r w:rsidRPr="0030798C">
        <w:rPr>
          <w:noProof/>
          <w:sz w:val="28"/>
          <w:lang w:eastAsia="it-CH"/>
        </w:rPr>
        <w:drawing>
          <wp:inline distT="0" distB="0" distL="0" distR="0" wp14:anchorId="10EC0ED9" wp14:editId="4B02574C">
            <wp:extent cx="6022975" cy="32200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22975" cy="3220085"/>
                    </a:xfrm>
                    <a:prstGeom prst="rect">
                      <a:avLst/>
                    </a:prstGeom>
                  </pic:spPr>
                </pic:pic>
              </a:graphicData>
            </a:graphic>
          </wp:inline>
        </w:drawing>
      </w:r>
    </w:p>
    <w:p w14:paraId="47142A19" w14:textId="77777777" w:rsidR="0079620C" w:rsidRPr="0030798C" w:rsidRDefault="0079620C" w:rsidP="0079620C">
      <w:pPr>
        <w:pStyle w:val="Default"/>
        <w:spacing w:after="60"/>
        <w:jc w:val="both"/>
        <w:rPr>
          <w:sz w:val="28"/>
        </w:rPr>
      </w:pPr>
    </w:p>
    <w:p w14:paraId="0A507343" w14:textId="77777777" w:rsidR="00944D85" w:rsidRPr="0030798C" w:rsidRDefault="00944D85" w:rsidP="00156621">
      <w:pPr>
        <w:pStyle w:val="Default"/>
        <w:jc w:val="both"/>
        <w:rPr>
          <w:sz w:val="28"/>
        </w:rPr>
      </w:pPr>
    </w:p>
    <w:p w14:paraId="4B627A07" w14:textId="77777777" w:rsidR="006A2B13" w:rsidRPr="0030798C" w:rsidRDefault="001D5162" w:rsidP="0079620C">
      <w:pPr>
        <w:pStyle w:val="Default"/>
        <w:jc w:val="both"/>
        <w:rPr>
          <w:szCs w:val="22"/>
        </w:rPr>
      </w:pPr>
      <w:r w:rsidRPr="0030798C">
        <w:rPr>
          <w:b/>
          <w:bCs/>
          <w:szCs w:val="22"/>
        </w:rPr>
        <w:t>Nel corso del 2021, g</w:t>
      </w:r>
      <w:r w:rsidR="0079620C" w:rsidRPr="0030798C">
        <w:rPr>
          <w:b/>
          <w:bCs/>
          <w:szCs w:val="22"/>
        </w:rPr>
        <w:t>li istituti ospedalieri ticinesi</w:t>
      </w:r>
      <w:r w:rsidRPr="0030798C">
        <w:rPr>
          <w:szCs w:val="22"/>
        </w:rPr>
        <w:t>, partendo da un modello di contabilizzazione elaborato dall’associazione mantello H+,</w:t>
      </w:r>
      <w:r w:rsidR="0079620C" w:rsidRPr="0030798C">
        <w:rPr>
          <w:szCs w:val="22"/>
        </w:rPr>
        <w:t xml:space="preserve"> </w:t>
      </w:r>
      <w:r w:rsidR="0079620C" w:rsidRPr="0030798C">
        <w:rPr>
          <w:b/>
          <w:bCs/>
          <w:szCs w:val="22"/>
        </w:rPr>
        <w:t xml:space="preserve">hanno richiesto al Cantone una copertura per mancati introiti </w:t>
      </w:r>
      <w:r w:rsidR="00976189" w:rsidRPr="0030798C">
        <w:rPr>
          <w:b/>
          <w:bCs/>
          <w:szCs w:val="22"/>
        </w:rPr>
        <w:t>per</w:t>
      </w:r>
      <w:r w:rsidR="0079620C" w:rsidRPr="0030798C">
        <w:rPr>
          <w:b/>
          <w:bCs/>
          <w:szCs w:val="22"/>
        </w:rPr>
        <w:t xml:space="preserve"> complessivi 45</w:t>
      </w:r>
      <w:r w:rsidRPr="0030798C">
        <w:rPr>
          <w:b/>
          <w:bCs/>
          <w:szCs w:val="22"/>
        </w:rPr>
        <w:t>.</w:t>
      </w:r>
      <w:r w:rsidR="0079620C" w:rsidRPr="0030798C">
        <w:rPr>
          <w:b/>
          <w:bCs/>
          <w:szCs w:val="22"/>
        </w:rPr>
        <w:t>1 milioni</w:t>
      </w:r>
      <w:r w:rsidR="0079620C" w:rsidRPr="0030798C">
        <w:rPr>
          <w:szCs w:val="22"/>
        </w:rPr>
        <w:t xml:space="preserve"> di franchi</w:t>
      </w:r>
      <w:r w:rsidRPr="0030798C">
        <w:rPr>
          <w:szCs w:val="22"/>
        </w:rPr>
        <w:t>,</w:t>
      </w:r>
      <w:r w:rsidR="0079620C" w:rsidRPr="0030798C">
        <w:rPr>
          <w:szCs w:val="22"/>
        </w:rPr>
        <w:t xml:space="preserve"> suddivisi tra i vari settori nel modo seguente:</w:t>
      </w:r>
    </w:p>
    <w:p w14:paraId="1BF02A39" w14:textId="77777777" w:rsidR="0079620C" w:rsidRPr="0030798C" w:rsidRDefault="0079620C" w:rsidP="0079620C">
      <w:pPr>
        <w:pStyle w:val="Default"/>
        <w:jc w:val="both"/>
        <w:rPr>
          <w:szCs w:val="22"/>
        </w:rPr>
      </w:pPr>
    </w:p>
    <w:tbl>
      <w:tblPr>
        <w:tblStyle w:val="Grigliatabella"/>
        <w:tblW w:w="0" w:type="auto"/>
        <w:tblLook w:val="04A0" w:firstRow="1" w:lastRow="0" w:firstColumn="1" w:lastColumn="0" w:noHBand="0" w:noVBand="1"/>
      </w:tblPr>
      <w:tblGrid>
        <w:gridCol w:w="2547"/>
        <w:gridCol w:w="1408"/>
      </w:tblGrid>
      <w:tr w:rsidR="0079620C" w:rsidRPr="0030798C" w14:paraId="2F59AF31" w14:textId="77777777" w:rsidTr="00655B60">
        <w:tc>
          <w:tcPr>
            <w:tcW w:w="2547" w:type="dxa"/>
          </w:tcPr>
          <w:p w14:paraId="679091B7" w14:textId="77777777" w:rsidR="0079620C" w:rsidRPr="00C770FC" w:rsidRDefault="00A74A42" w:rsidP="00655B60">
            <w:pPr>
              <w:rPr>
                <w:sz w:val="24"/>
                <w:szCs w:val="24"/>
              </w:rPr>
            </w:pPr>
            <w:r w:rsidRPr="00C770FC">
              <w:rPr>
                <w:sz w:val="24"/>
                <w:szCs w:val="24"/>
              </w:rPr>
              <w:t>S</w:t>
            </w:r>
            <w:r w:rsidR="0079620C" w:rsidRPr="00C770FC">
              <w:rPr>
                <w:sz w:val="24"/>
                <w:szCs w:val="24"/>
              </w:rPr>
              <w:t>ettore stazionario</w:t>
            </w:r>
          </w:p>
        </w:tc>
        <w:tc>
          <w:tcPr>
            <w:tcW w:w="1276" w:type="dxa"/>
          </w:tcPr>
          <w:p w14:paraId="3032FE7C" w14:textId="77777777" w:rsidR="0079620C" w:rsidRPr="00C770FC" w:rsidRDefault="0079620C" w:rsidP="00655B60">
            <w:pPr>
              <w:rPr>
                <w:sz w:val="24"/>
                <w:szCs w:val="24"/>
              </w:rPr>
            </w:pPr>
            <w:r w:rsidRPr="00C770FC">
              <w:rPr>
                <w:sz w:val="24"/>
                <w:szCs w:val="24"/>
              </w:rPr>
              <w:t>24'276’079</w:t>
            </w:r>
          </w:p>
        </w:tc>
      </w:tr>
      <w:tr w:rsidR="0079620C" w:rsidRPr="0030798C" w14:paraId="18B04CA0" w14:textId="77777777" w:rsidTr="00655B60">
        <w:tc>
          <w:tcPr>
            <w:tcW w:w="2547" w:type="dxa"/>
          </w:tcPr>
          <w:p w14:paraId="1EA2C3F8" w14:textId="77777777" w:rsidR="0079620C" w:rsidRPr="00C770FC" w:rsidRDefault="00A74A42" w:rsidP="00655B60">
            <w:pPr>
              <w:rPr>
                <w:sz w:val="24"/>
                <w:szCs w:val="24"/>
              </w:rPr>
            </w:pPr>
            <w:r w:rsidRPr="00C770FC">
              <w:rPr>
                <w:sz w:val="24"/>
                <w:szCs w:val="24"/>
              </w:rPr>
              <w:t>S</w:t>
            </w:r>
            <w:r w:rsidR="0079620C" w:rsidRPr="00C770FC">
              <w:rPr>
                <w:sz w:val="24"/>
                <w:szCs w:val="24"/>
              </w:rPr>
              <w:t>ettore ambulatoriale</w:t>
            </w:r>
          </w:p>
        </w:tc>
        <w:tc>
          <w:tcPr>
            <w:tcW w:w="1276" w:type="dxa"/>
          </w:tcPr>
          <w:p w14:paraId="6544BA69" w14:textId="77777777" w:rsidR="0079620C" w:rsidRPr="00C770FC" w:rsidRDefault="0079620C" w:rsidP="00655B60">
            <w:pPr>
              <w:rPr>
                <w:sz w:val="24"/>
                <w:szCs w:val="24"/>
              </w:rPr>
            </w:pPr>
            <w:r w:rsidRPr="00C770FC">
              <w:rPr>
                <w:sz w:val="24"/>
                <w:szCs w:val="24"/>
              </w:rPr>
              <w:t>18'342’667</w:t>
            </w:r>
          </w:p>
        </w:tc>
      </w:tr>
      <w:tr w:rsidR="0079620C" w:rsidRPr="0030798C" w14:paraId="025416AE" w14:textId="77777777" w:rsidTr="00655B60">
        <w:tc>
          <w:tcPr>
            <w:tcW w:w="2547" w:type="dxa"/>
          </w:tcPr>
          <w:p w14:paraId="3E7860FB" w14:textId="77777777" w:rsidR="0079620C" w:rsidRPr="00C770FC" w:rsidRDefault="0079620C" w:rsidP="0079620C">
            <w:pPr>
              <w:rPr>
                <w:sz w:val="24"/>
                <w:szCs w:val="24"/>
              </w:rPr>
            </w:pPr>
            <w:r w:rsidRPr="00C770FC">
              <w:rPr>
                <w:sz w:val="24"/>
                <w:szCs w:val="24"/>
              </w:rPr>
              <w:t>Altre prestazioni</w:t>
            </w:r>
          </w:p>
        </w:tc>
        <w:tc>
          <w:tcPr>
            <w:tcW w:w="1276" w:type="dxa"/>
          </w:tcPr>
          <w:p w14:paraId="2B2D4245" w14:textId="77777777" w:rsidR="0079620C" w:rsidRPr="00C770FC" w:rsidRDefault="0079620C" w:rsidP="004A0723">
            <w:pPr>
              <w:jc w:val="right"/>
              <w:rPr>
                <w:sz w:val="24"/>
                <w:szCs w:val="24"/>
              </w:rPr>
            </w:pPr>
            <w:r w:rsidRPr="00C770FC">
              <w:rPr>
                <w:sz w:val="24"/>
                <w:szCs w:val="24"/>
              </w:rPr>
              <w:t>2'557’697</w:t>
            </w:r>
          </w:p>
        </w:tc>
      </w:tr>
      <w:tr w:rsidR="0079620C" w:rsidRPr="0030798C" w14:paraId="6612D263" w14:textId="77777777" w:rsidTr="00655B60">
        <w:tc>
          <w:tcPr>
            <w:tcW w:w="2547" w:type="dxa"/>
          </w:tcPr>
          <w:p w14:paraId="6EF6BADE" w14:textId="77777777" w:rsidR="0079620C" w:rsidRPr="00C770FC" w:rsidRDefault="0079620C" w:rsidP="00655B60">
            <w:pPr>
              <w:rPr>
                <w:b/>
                <w:sz w:val="24"/>
                <w:szCs w:val="24"/>
              </w:rPr>
            </w:pPr>
            <w:r w:rsidRPr="00C770FC">
              <w:rPr>
                <w:b/>
                <w:sz w:val="24"/>
                <w:szCs w:val="24"/>
              </w:rPr>
              <w:t>totale</w:t>
            </w:r>
          </w:p>
        </w:tc>
        <w:tc>
          <w:tcPr>
            <w:tcW w:w="1276" w:type="dxa"/>
          </w:tcPr>
          <w:p w14:paraId="0A6BD68F" w14:textId="77777777" w:rsidR="0079620C" w:rsidRPr="00C770FC" w:rsidRDefault="0079620C" w:rsidP="00655B60">
            <w:pPr>
              <w:rPr>
                <w:b/>
                <w:sz w:val="24"/>
                <w:szCs w:val="24"/>
              </w:rPr>
            </w:pPr>
            <w:r w:rsidRPr="00C770FC">
              <w:rPr>
                <w:b/>
                <w:sz w:val="24"/>
                <w:szCs w:val="24"/>
              </w:rPr>
              <w:t>45'076’443</w:t>
            </w:r>
          </w:p>
        </w:tc>
      </w:tr>
    </w:tbl>
    <w:p w14:paraId="56EA2A37" w14:textId="77777777" w:rsidR="00C770FC" w:rsidRDefault="00C770FC" w:rsidP="00E640A8">
      <w:pPr>
        <w:pStyle w:val="ListNumeric"/>
        <w:numPr>
          <w:ilvl w:val="0"/>
          <w:numId w:val="0"/>
        </w:numPr>
        <w:spacing w:after="60"/>
        <w:contextualSpacing w:val="0"/>
        <w:rPr>
          <w:sz w:val="24"/>
        </w:rPr>
      </w:pPr>
    </w:p>
    <w:p w14:paraId="2BCAA9C5" w14:textId="77777777" w:rsidR="00C770FC" w:rsidRDefault="0079620C" w:rsidP="00C770FC">
      <w:pPr>
        <w:pStyle w:val="ListNumeric"/>
        <w:numPr>
          <w:ilvl w:val="0"/>
          <w:numId w:val="0"/>
        </w:numPr>
        <w:contextualSpacing w:val="0"/>
        <w:rPr>
          <w:sz w:val="24"/>
        </w:rPr>
      </w:pPr>
      <w:r w:rsidRPr="0030798C">
        <w:rPr>
          <w:sz w:val="24"/>
        </w:rPr>
        <w:t xml:space="preserve">La </w:t>
      </w:r>
      <w:r w:rsidR="00E640A8" w:rsidRPr="0030798C">
        <w:rPr>
          <w:sz w:val="24"/>
        </w:rPr>
        <w:t>C</w:t>
      </w:r>
      <w:r w:rsidRPr="0030798C">
        <w:rPr>
          <w:sz w:val="24"/>
        </w:rPr>
        <w:t>onferenza delle direttrici e dei direttori cantonali della sanità (CDS) ha promosso un’inchiesta presso tutti i Cantoni</w:t>
      </w:r>
      <w:r w:rsidR="00C0079A" w:rsidRPr="0030798C">
        <w:rPr>
          <w:sz w:val="24"/>
        </w:rPr>
        <w:t>, aggiornata a fine 2021</w:t>
      </w:r>
      <w:r w:rsidRPr="0030798C">
        <w:rPr>
          <w:sz w:val="24"/>
        </w:rPr>
        <w:t>, per inventariare le varie misure</w:t>
      </w:r>
      <w:r w:rsidR="00BA7572" w:rsidRPr="0030798C">
        <w:rPr>
          <w:sz w:val="24"/>
        </w:rPr>
        <w:t xml:space="preserve"> e variabili</w:t>
      </w:r>
      <w:r w:rsidRPr="0030798C">
        <w:rPr>
          <w:sz w:val="24"/>
        </w:rPr>
        <w:t xml:space="preserve"> intraprese nei Cantoni in risposta alle pre</w:t>
      </w:r>
      <w:r w:rsidR="00C0079A" w:rsidRPr="0030798C">
        <w:rPr>
          <w:sz w:val="24"/>
        </w:rPr>
        <w:t>tese degli istituti ospedalieri</w:t>
      </w:r>
      <w:r w:rsidR="003F2901" w:rsidRPr="0030798C">
        <w:rPr>
          <w:sz w:val="24"/>
        </w:rPr>
        <w:t>.</w:t>
      </w:r>
    </w:p>
    <w:p w14:paraId="59BACA1C" w14:textId="331E485B" w:rsidR="00BA7572" w:rsidRPr="0030798C" w:rsidRDefault="003F2901" w:rsidP="00C770FC">
      <w:pPr>
        <w:pStyle w:val="ListNumeric"/>
        <w:numPr>
          <w:ilvl w:val="0"/>
          <w:numId w:val="0"/>
        </w:numPr>
        <w:contextualSpacing w:val="0"/>
        <w:rPr>
          <w:sz w:val="24"/>
        </w:rPr>
      </w:pPr>
      <w:r w:rsidRPr="0030798C">
        <w:rPr>
          <w:sz w:val="24"/>
        </w:rPr>
        <w:t xml:space="preserve"> </w:t>
      </w:r>
    </w:p>
    <w:p w14:paraId="0C3B1373" w14:textId="77777777" w:rsidR="00BA7572" w:rsidRPr="0030798C" w:rsidRDefault="003F2901" w:rsidP="00C770FC">
      <w:pPr>
        <w:pStyle w:val="ListNumeric"/>
        <w:numPr>
          <w:ilvl w:val="0"/>
          <w:numId w:val="0"/>
        </w:numPr>
        <w:contextualSpacing w:val="0"/>
        <w:rPr>
          <w:sz w:val="24"/>
        </w:rPr>
      </w:pPr>
      <w:r w:rsidRPr="0030798C">
        <w:rPr>
          <w:sz w:val="24"/>
        </w:rPr>
        <w:t xml:space="preserve">Dal quadro presentato emerge una situazione molto variegata che non </w:t>
      </w:r>
      <w:r w:rsidR="00976189" w:rsidRPr="0030798C">
        <w:rPr>
          <w:sz w:val="24"/>
        </w:rPr>
        <w:t xml:space="preserve">ha </w:t>
      </w:r>
      <w:r w:rsidRPr="0030798C">
        <w:rPr>
          <w:sz w:val="24"/>
        </w:rPr>
        <w:t>perme</w:t>
      </w:r>
      <w:r w:rsidR="00976189" w:rsidRPr="0030798C">
        <w:rPr>
          <w:sz w:val="24"/>
        </w:rPr>
        <w:t>sso</w:t>
      </w:r>
      <w:r w:rsidRPr="0030798C">
        <w:rPr>
          <w:sz w:val="24"/>
        </w:rPr>
        <w:t xml:space="preserve"> di trarre spunt</w:t>
      </w:r>
      <w:r w:rsidR="00D332C5" w:rsidRPr="0030798C">
        <w:rPr>
          <w:sz w:val="24"/>
        </w:rPr>
        <w:t>i</w:t>
      </w:r>
      <w:r w:rsidRPr="0030798C">
        <w:rPr>
          <w:sz w:val="24"/>
        </w:rPr>
        <w:t xml:space="preserve"> per una via percorribile in sintonia. </w:t>
      </w:r>
    </w:p>
    <w:p w14:paraId="39E87319" w14:textId="77777777" w:rsidR="00976189" w:rsidRPr="0030798C" w:rsidRDefault="00976189" w:rsidP="00976189">
      <w:pPr>
        <w:pStyle w:val="ListNumeric"/>
        <w:numPr>
          <w:ilvl w:val="0"/>
          <w:numId w:val="0"/>
        </w:numPr>
        <w:ind w:left="284"/>
        <w:contextualSpacing w:val="0"/>
        <w:rPr>
          <w:sz w:val="24"/>
        </w:rPr>
      </w:pPr>
    </w:p>
    <w:p w14:paraId="4CC7B70A" w14:textId="77777777" w:rsidR="00BA7572" w:rsidRPr="0030798C" w:rsidRDefault="00D332C5" w:rsidP="00C770FC">
      <w:pPr>
        <w:rPr>
          <w:rFonts w:cs="Arial"/>
          <w:sz w:val="24"/>
        </w:rPr>
      </w:pPr>
      <w:r w:rsidRPr="0030798C">
        <w:rPr>
          <w:rFonts w:cs="Arial"/>
          <w:sz w:val="24"/>
        </w:rPr>
        <w:lastRenderedPageBreak/>
        <w:t xml:space="preserve">Il </w:t>
      </w:r>
      <w:r w:rsidR="00C0079A" w:rsidRPr="0030798C">
        <w:rPr>
          <w:rFonts w:cs="Arial"/>
          <w:sz w:val="24"/>
        </w:rPr>
        <w:t>Canton</w:t>
      </w:r>
      <w:r w:rsidRPr="0030798C">
        <w:rPr>
          <w:rFonts w:cs="Arial"/>
          <w:sz w:val="24"/>
        </w:rPr>
        <w:t xml:space="preserve">e </w:t>
      </w:r>
      <w:r w:rsidR="00C0079A" w:rsidRPr="0030798C">
        <w:rPr>
          <w:rFonts w:cs="Arial"/>
          <w:sz w:val="24"/>
        </w:rPr>
        <w:t xml:space="preserve">ha già assunto </w:t>
      </w:r>
      <w:r w:rsidR="00976189" w:rsidRPr="0030798C">
        <w:rPr>
          <w:rFonts w:cs="Arial"/>
          <w:sz w:val="24"/>
        </w:rPr>
        <w:t>una</w:t>
      </w:r>
      <w:r w:rsidR="00C0079A" w:rsidRPr="0030798C">
        <w:rPr>
          <w:rFonts w:cs="Arial"/>
          <w:sz w:val="24"/>
        </w:rPr>
        <w:t xml:space="preserve"> parte di mancati introiti relativi a prestazioni stazionarie </w:t>
      </w:r>
      <w:r w:rsidRPr="0030798C">
        <w:rPr>
          <w:rFonts w:cs="Arial"/>
          <w:sz w:val="24"/>
        </w:rPr>
        <w:t xml:space="preserve">a carico della </w:t>
      </w:r>
      <w:r w:rsidR="00C0079A" w:rsidRPr="0030798C">
        <w:rPr>
          <w:rFonts w:cs="Arial"/>
          <w:sz w:val="24"/>
        </w:rPr>
        <w:t xml:space="preserve">LAMal attraverso l’usuale finanziamento ex-ante dell’attività stazionaria </w:t>
      </w:r>
      <w:r w:rsidRPr="0030798C">
        <w:rPr>
          <w:rFonts w:cs="Arial"/>
          <w:sz w:val="24"/>
        </w:rPr>
        <w:t xml:space="preserve">tramite </w:t>
      </w:r>
      <w:r w:rsidR="00C0079A" w:rsidRPr="0030798C">
        <w:rPr>
          <w:rFonts w:cs="Arial"/>
          <w:sz w:val="24"/>
        </w:rPr>
        <w:t>contributo globale</w:t>
      </w:r>
      <w:r w:rsidRPr="0030798C">
        <w:rPr>
          <w:rFonts w:cs="Arial"/>
          <w:sz w:val="24"/>
        </w:rPr>
        <w:t xml:space="preserve"> e la rinuncia agli adeguamenti sui costi marginali normalmente previsti in caso di attività inferiore alla soglia del 97%. </w:t>
      </w:r>
    </w:p>
    <w:p w14:paraId="576615BF" w14:textId="77777777" w:rsidR="00BA7572" w:rsidRPr="0030798C" w:rsidRDefault="00BA7572" w:rsidP="00C0079A">
      <w:pPr>
        <w:spacing w:after="60"/>
        <w:rPr>
          <w:rFonts w:cs="Arial"/>
          <w:sz w:val="24"/>
        </w:rPr>
      </w:pPr>
    </w:p>
    <w:p w14:paraId="25945210" w14:textId="1AE1A5E5" w:rsidR="00C0079A" w:rsidRDefault="00D332C5" w:rsidP="00C0079A">
      <w:pPr>
        <w:spacing w:after="60"/>
        <w:rPr>
          <w:rFonts w:cs="Arial"/>
          <w:sz w:val="24"/>
        </w:rPr>
      </w:pPr>
      <w:r w:rsidRPr="0030798C">
        <w:rPr>
          <w:rFonts w:cs="Arial"/>
          <w:sz w:val="24"/>
        </w:rPr>
        <w:t>N</w:t>
      </w:r>
      <w:r w:rsidR="00C0079A" w:rsidRPr="0030798C">
        <w:rPr>
          <w:rFonts w:cs="Arial"/>
          <w:sz w:val="24"/>
        </w:rPr>
        <w:t>el confronto intercantonale quest</w:t>
      </w:r>
      <w:r w:rsidRPr="0030798C">
        <w:rPr>
          <w:rFonts w:cs="Arial"/>
          <w:sz w:val="24"/>
        </w:rPr>
        <w:t xml:space="preserve">a garanzia di finanziamento </w:t>
      </w:r>
      <w:r w:rsidR="00C0079A" w:rsidRPr="0030798C">
        <w:rPr>
          <w:rFonts w:cs="Arial"/>
          <w:sz w:val="24"/>
        </w:rPr>
        <w:t xml:space="preserve">rappresenta un unicum che </w:t>
      </w:r>
      <w:r w:rsidRPr="0030798C">
        <w:rPr>
          <w:rFonts w:cs="Arial"/>
          <w:sz w:val="24"/>
        </w:rPr>
        <w:t xml:space="preserve">ha </w:t>
      </w:r>
      <w:r w:rsidR="00C0079A" w:rsidRPr="0030798C">
        <w:rPr>
          <w:rFonts w:cs="Arial"/>
          <w:sz w:val="24"/>
        </w:rPr>
        <w:t xml:space="preserve">di fatto </w:t>
      </w:r>
      <w:r w:rsidRPr="0030798C">
        <w:rPr>
          <w:rFonts w:cs="Arial"/>
          <w:sz w:val="24"/>
        </w:rPr>
        <w:t xml:space="preserve">ridotto </w:t>
      </w:r>
      <w:r w:rsidR="00C0079A" w:rsidRPr="0030798C">
        <w:rPr>
          <w:rFonts w:cs="Arial"/>
          <w:sz w:val="24"/>
        </w:rPr>
        <w:t xml:space="preserve">la pretesa di mancati introiti </w:t>
      </w:r>
      <w:r w:rsidRPr="0030798C">
        <w:rPr>
          <w:rFonts w:cs="Arial"/>
          <w:sz w:val="24"/>
        </w:rPr>
        <w:t xml:space="preserve">per un importo di </w:t>
      </w:r>
      <w:r w:rsidR="00C0079A" w:rsidRPr="0030798C">
        <w:rPr>
          <w:rFonts w:cs="Arial"/>
          <w:sz w:val="24"/>
        </w:rPr>
        <w:t>14.</w:t>
      </w:r>
      <w:r w:rsidR="0094580A" w:rsidRPr="0030798C">
        <w:rPr>
          <w:rFonts w:cs="Arial"/>
          <w:sz w:val="24"/>
        </w:rPr>
        <w:t>8</w:t>
      </w:r>
      <w:r w:rsidR="00C0079A" w:rsidRPr="0030798C">
        <w:rPr>
          <w:rFonts w:cs="Arial"/>
          <w:sz w:val="24"/>
        </w:rPr>
        <w:t xml:space="preserve"> mi</w:t>
      </w:r>
      <w:r w:rsidRPr="0030798C">
        <w:rPr>
          <w:rFonts w:cs="Arial"/>
          <w:sz w:val="24"/>
        </w:rPr>
        <w:t xml:space="preserve">lioni </w:t>
      </w:r>
      <w:r w:rsidR="00C0079A" w:rsidRPr="0030798C">
        <w:rPr>
          <w:rFonts w:cs="Arial"/>
          <w:sz w:val="24"/>
        </w:rPr>
        <w:t>di fr</w:t>
      </w:r>
      <w:r w:rsidRPr="0030798C">
        <w:rPr>
          <w:rFonts w:cs="Arial"/>
          <w:sz w:val="24"/>
        </w:rPr>
        <w:t xml:space="preserve">anchi. </w:t>
      </w:r>
      <w:r w:rsidR="00C0079A" w:rsidRPr="0030798C">
        <w:rPr>
          <w:rFonts w:cs="Arial"/>
          <w:sz w:val="24"/>
        </w:rPr>
        <w:t>Il dettaglio</w:t>
      </w:r>
      <w:r w:rsidR="0094580A" w:rsidRPr="0030798C">
        <w:rPr>
          <w:rFonts w:cs="Arial"/>
          <w:sz w:val="24"/>
        </w:rPr>
        <w:t xml:space="preserve"> </w:t>
      </w:r>
      <w:r w:rsidR="00C0079A" w:rsidRPr="0030798C">
        <w:rPr>
          <w:rFonts w:cs="Arial"/>
          <w:sz w:val="24"/>
        </w:rPr>
        <w:t xml:space="preserve">è il seguente:  </w:t>
      </w:r>
    </w:p>
    <w:p w14:paraId="5DA60001" w14:textId="77777777" w:rsidR="00C770FC" w:rsidRPr="0030798C" w:rsidRDefault="00C770FC" w:rsidP="00C0079A">
      <w:pPr>
        <w:spacing w:after="60"/>
        <w:rPr>
          <w:rFonts w:cs="Arial"/>
          <w:sz w:val="24"/>
        </w:rPr>
      </w:pPr>
    </w:p>
    <w:tbl>
      <w:tblPr>
        <w:tblW w:w="3758" w:type="dxa"/>
        <w:tblCellMar>
          <w:left w:w="70" w:type="dxa"/>
          <w:right w:w="70" w:type="dxa"/>
        </w:tblCellMar>
        <w:tblLook w:val="04A0" w:firstRow="1" w:lastRow="0" w:firstColumn="1" w:lastColumn="0" w:noHBand="0" w:noVBand="1"/>
      </w:tblPr>
      <w:tblGrid>
        <w:gridCol w:w="2436"/>
        <w:gridCol w:w="1322"/>
      </w:tblGrid>
      <w:tr w:rsidR="00C0079A" w:rsidRPr="0030798C" w14:paraId="3A6185B3" w14:textId="77777777" w:rsidTr="00C0079A">
        <w:trPr>
          <w:trHeight w:val="300"/>
        </w:trPr>
        <w:tc>
          <w:tcPr>
            <w:tcW w:w="2436" w:type="dxa"/>
            <w:tcBorders>
              <w:top w:val="nil"/>
              <w:left w:val="nil"/>
              <w:bottom w:val="nil"/>
              <w:right w:val="nil"/>
            </w:tcBorders>
            <w:shd w:val="clear" w:color="auto" w:fill="auto"/>
            <w:noWrap/>
            <w:vAlign w:val="bottom"/>
            <w:hideMark/>
          </w:tcPr>
          <w:p w14:paraId="461CEA55" w14:textId="77777777" w:rsidR="00C0079A" w:rsidRPr="0030798C" w:rsidRDefault="00C0079A" w:rsidP="003537BF">
            <w:pPr>
              <w:rPr>
                <w:rFonts w:cs="Arial"/>
                <w:color w:val="000000"/>
                <w:sz w:val="24"/>
                <w:lang w:eastAsia="it-CH"/>
              </w:rPr>
            </w:pPr>
            <w:r w:rsidRPr="0030798C">
              <w:rPr>
                <w:rFonts w:cs="Arial"/>
                <w:color w:val="000000"/>
                <w:sz w:val="24"/>
                <w:lang w:eastAsia="it-CH"/>
              </w:rPr>
              <w:t>EOC</w:t>
            </w:r>
          </w:p>
        </w:tc>
        <w:tc>
          <w:tcPr>
            <w:tcW w:w="1322" w:type="dxa"/>
            <w:tcBorders>
              <w:top w:val="nil"/>
              <w:left w:val="nil"/>
              <w:bottom w:val="nil"/>
              <w:right w:val="nil"/>
            </w:tcBorders>
            <w:shd w:val="clear" w:color="auto" w:fill="auto"/>
            <w:noWrap/>
            <w:vAlign w:val="bottom"/>
            <w:hideMark/>
          </w:tcPr>
          <w:p w14:paraId="5E569366" w14:textId="77777777" w:rsidR="00C0079A" w:rsidRPr="0030798C" w:rsidRDefault="00C0079A" w:rsidP="00C0079A">
            <w:pPr>
              <w:jc w:val="right"/>
              <w:rPr>
                <w:rFonts w:cs="Arial"/>
                <w:color w:val="000000"/>
                <w:sz w:val="24"/>
                <w:lang w:eastAsia="it-CH"/>
              </w:rPr>
            </w:pPr>
            <w:r w:rsidRPr="0030798C">
              <w:rPr>
                <w:rFonts w:cs="Arial"/>
                <w:color w:val="000000"/>
                <w:sz w:val="24"/>
                <w:lang w:eastAsia="it-CH"/>
              </w:rPr>
              <w:t>7.8</w:t>
            </w:r>
          </w:p>
        </w:tc>
      </w:tr>
      <w:tr w:rsidR="00C0079A" w:rsidRPr="0030798C" w14:paraId="58DD49B7" w14:textId="77777777" w:rsidTr="00C0079A">
        <w:trPr>
          <w:trHeight w:val="300"/>
        </w:trPr>
        <w:tc>
          <w:tcPr>
            <w:tcW w:w="2436" w:type="dxa"/>
            <w:tcBorders>
              <w:top w:val="nil"/>
              <w:left w:val="nil"/>
              <w:bottom w:val="nil"/>
              <w:right w:val="nil"/>
            </w:tcBorders>
            <w:shd w:val="clear" w:color="auto" w:fill="auto"/>
            <w:noWrap/>
            <w:vAlign w:val="bottom"/>
            <w:hideMark/>
          </w:tcPr>
          <w:p w14:paraId="4A52EF1B" w14:textId="77777777" w:rsidR="00C0079A" w:rsidRPr="0030798C" w:rsidRDefault="00C0079A" w:rsidP="003537BF">
            <w:pPr>
              <w:rPr>
                <w:rFonts w:cs="Arial"/>
                <w:color w:val="000000"/>
                <w:sz w:val="24"/>
                <w:lang w:eastAsia="it-CH"/>
              </w:rPr>
            </w:pPr>
            <w:r w:rsidRPr="0030798C">
              <w:rPr>
                <w:rFonts w:cs="Arial"/>
                <w:color w:val="000000"/>
                <w:sz w:val="24"/>
                <w:lang w:eastAsia="it-CH"/>
              </w:rPr>
              <w:t>EOC riab</w:t>
            </w:r>
            <w:r w:rsidR="00D332C5" w:rsidRPr="0030798C">
              <w:rPr>
                <w:rFonts w:cs="Arial"/>
                <w:color w:val="000000"/>
                <w:sz w:val="24"/>
                <w:lang w:eastAsia="it-CH"/>
              </w:rPr>
              <w:t>ilitazione</w:t>
            </w:r>
          </w:p>
        </w:tc>
        <w:tc>
          <w:tcPr>
            <w:tcW w:w="1322" w:type="dxa"/>
            <w:tcBorders>
              <w:top w:val="nil"/>
              <w:left w:val="nil"/>
              <w:bottom w:val="nil"/>
              <w:right w:val="nil"/>
            </w:tcBorders>
            <w:shd w:val="clear" w:color="auto" w:fill="auto"/>
            <w:noWrap/>
            <w:vAlign w:val="bottom"/>
            <w:hideMark/>
          </w:tcPr>
          <w:p w14:paraId="6AABB8CC" w14:textId="77777777" w:rsidR="00C0079A" w:rsidRPr="0030798C" w:rsidRDefault="00C0079A" w:rsidP="003537BF">
            <w:pPr>
              <w:jc w:val="right"/>
              <w:rPr>
                <w:rFonts w:cs="Arial"/>
                <w:color w:val="000000"/>
                <w:sz w:val="24"/>
                <w:lang w:eastAsia="it-CH"/>
              </w:rPr>
            </w:pPr>
            <w:r w:rsidRPr="0030798C">
              <w:rPr>
                <w:rFonts w:cs="Arial"/>
                <w:color w:val="000000"/>
                <w:sz w:val="24"/>
                <w:lang w:eastAsia="it-CH"/>
              </w:rPr>
              <w:t>2.2</w:t>
            </w:r>
          </w:p>
        </w:tc>
      </w:tr>
      <w:tr w:rsidR="00C0079A" w:rsidRPr="0030798C" w14:paraId="52D286F5" w14:textId="77777777" w:rsidTr="00C0079A">
        <w:trPr>
          <w:trHeight w:val="300"/>
        </w:trPr>
        <w:tc>
          <w:tcPr>
            <w:tcW w:w="2436" w:type="dxa"/>
            <w:tcBorders>
              <w:top w:val="nil"/>
              <w:left w:val="nil"/>
              <w:bottom w:val="nil"/>
              <w:right w:val="nil"/>
            </w:tcBorders>
            <w:shd w:val="clear" w:color="auto" w:fill="auto"/>
            <w:noWrap/>
            <w:vAlign w:val="bottom"/>
          </w:tcPr>
          <w:p w14:paraId="3C61E8FE" w14:textId="77777777" w:rsidR="00C0079A" w:rsidRPr="0030798C" w:rsidRDefault="00C0079A" w:rsidP="003537BF">
            <w:pPr>
              <w:rPr>
                <w:rFonts w:cs="Arial"/>
                <w:color w:val="000000"/>
                <w:sz w:val="24"/>
                <w:lang w:eastAsia="it-CH"/>
              </w:rPr>
            </w:pPr>
            <w:r w:rsidRPr="0030798C">
              <w:rPr>
                <w:rFonts w:cs="Arial"/>
                <w:color w:val="000000"/>
                <w:sz w:val="24"/>
                <w:lang w:eastAsia="it-CH"/>
              </w:rPr>
              <w:t>EOC RAMI</w:t>
            </w:r>
          </w:p>
        </w:tc>
        <w:tc>
          <w:tcPr>
            <w:tcW w:w="1322" w:type="dxa"/>
            <w:tcBorders>
              <w:top w:val="nil"/>
              <w:left w:val="nil"/>
              <w:bottom w:val="nil"/>
              <w:right w:val="nil"/>
            </w:tcBorders>
            <w:shd w:val="clear" w:color="auto" w:fill="auto"/>
            <w:noWrap/>
            <w:vAlign w:val="bottom"/>
          </w:tcPr>
          <w:p w14:paraId="13342740" w14:textId="77777777" w:rsidR="00C0079A" w:rsidRPr="0030798C" w:rsidRDefault="00C0079A" w:rsidP="003537BF">
            <w:pPr>
              <w:jc w:val="right"/>
              <w:rPr>
                <w:rFonts w:cs="Arial"/>
                <w:color w:val="000000"/>
                <w:sz w:val="24"/>
                <w:lang w:eastAsia="it-CH"/>
              </w:rPr>
            </w:pPr>
            <w:r w:rsidRPr="0030798C">
              <w:rPr>
                <w:rFonts w:cs="Arial"/>
                <w:color w:val="000000"/>
                <w:sz w:val="24"/>
                <w:lang w:eastAsia="it-CH"/>
              </w:rPr>
              <w:t>1.2</w:t>
            </w:r>
          </w:p>
        </w:tc>
      </w:tr>
      <w:tr w:rsidR="00D332C5" w:rsidRPr="0030798C" w14:paraId="1720E6F2" w14:textId="77777777" w:rsidTr="000E178C">
        <w:trPr>
          <w:trHeight w:val="300"/>
        </w:trPr>
        <w:tc>
          <w:tcPr>
            <w:tcW w:w="2436" w:type="dxa"/>
            <w:tcBorders>
              <w:top w:val="nil"/>
              <w:left w:val="nil"/>
              <w:bottom w:val="nil"/>
              <w:right w:val="nil"/>
            </w:tcBorders>
            <w:shd w:val="clear" w:color="auto" w:fill="auto"/>
            <w:noWrap/>
            <w:vAlign w:val="bottom"/>
            <w:hideMark/>
          </w:tcPr>
          <w:p w14:paraId="7190547F" w14:textId="77777777" w:rsidR="00D332C5" w:rsidRPr="0030798C" w:rsidRDefault="00D332C5" w:rsidP="000E178C">
            <w:pPr>
              <w:rPr>
                <w:rFonts w:cs="Arial"/>
                <w:color w:val="000000"/>
                <w:sz w:val="24"/>
                <w:lang w:eastAsia="it-CH"/>
              </w:rPr>
            </w:pPr>
            <w:r w:rsidRPr="0030798C">
              <w:rPr>
                <w:rFonts w:cs="Arial"/>
                <w:color w:val="000000"/>
                <w:sz w:val="24"/>
                <w:lang w:eastAsia="it-CH"/>
              </w:rPr>
              <w:t>Cardiocentro</w:t>
            </w:r>
          </w:p>
        </w:tc>
        <w:tc>
          <w:tcPr>
            <w:tcW w:w="1322" w:type="dxa"/>
            <w:tcBorders>
              <w:top w:val="nil"/>
              <w:left w:val="nil"/>
              <w:bottom w:val="nil"/>
              <w:right w:val="nil"/>
            </w:tcBorders>
            <w:shd w:val="clear" w:color="auto" w:fill="auto"/>
            <w:noWrap/>
            <w:vAlign w:val="bottom"/>
            <w:hideMark/>
          </w:tcPr>
          <w:p w14:paraId="490670C4" w14:textId="77777777" w:rsidR="00D332C5" w:rsidRPr="0030798C" w:rsidRDefault="00D332C5" w:rsidP="000E178C">
            <w:pPr>
              <w:jc w:val="right"/>
              <w:rPr>
                <w:rFonts w:cs="Arial"/>
                <w:color w:val="000000"/>
                <w:sz w:val="24"/>
                <w:lang w:eastAsia="it-CH"/>
              </w:rPr>
            </w:pPr>
            <w:r w:rsidRPr="0030798C">
              <w:rPr>
                <w:rFonts w:cs="Arial"/>
                <w:color w:val="000000"/>
                <w:sz w:val="24"/>
                <w:lang w:eastAsia="it-CH"/>
              </w:rPr>
              <w:t>0.2</w:t>
            </w:r>
          </w:p>
        </w:tc>
      </w:tr>
      <w:tr w:rsidR="00C0079A" w:rsidRPr="0030798C" w14:paraId="3B9A9B23" w14:textId="77777777" w:rsidTr="00C0079A">
        <w:trPr>
          <w:trHeight w:val="300"/>
        </w:trPr>
        <w:tc>
          <w:tcPr>
            <w:tcW w:w="2436" w:type="dxa"/>
            <w:tcBorders>
              <w:top w:val="nil"/>
              <w:left w:val="nil"/>
              <w:bottom w:val="nil"/>
              <w:right w:val="nil"/>
            </w:tcBorders>
            <w:shd w:val="clear" w:color="auto" w:fill="auto"/>
            <w:noWrap/>
            <w:vAlign w:val="bottom"/>
            <w:hideMark/>
          </w:tcPr>
          <w:p w14:paraId="6448A04A" w14:textId="77777777" w:rsidR="00C0079A" w:rsidRPr="0030798C" w:rsidRDefault="00C0079A" w:rsidP="003537BF">
            <w:pPr>
              <w:rPr>
                <w:rFonts w:cs="Arial"/>
                <w:color w:val="000000"/>
                <w:sz w:val="24"/>
                <w:lang w:eastAsia="it-CH"/>
              </w:rPr>
            </w:pPr>
            <w:r w:rsidRPr="0030798C">
              <w:rPr>
                <w:rFonts w:cs="Arial"/>
                <w:color w:val="000000"/>
                <w:sz w:val="24"/>
                <w:lang w:eastAsia="it-CH"/>
              </w:rPr>
              <w:t>Ars Medica</w:t>
            </w:r>
          </w:p>
        </w:tc>
        <w:tc>
          <w:tcPr>
            <w:tcW w:w="1322" w:type="dxa"/>
            <w:tcBorders>
              <w:top w:val="nil"/>
              <w:left w:val="nil"/>
              <w:bottom w:val="nil"/>
              <w:right w:val="nil"/>
            </w:tcBorders>
            <w:shd w:val="clear" w:color="auto" w:fill="auto"/>
            <w:noWrap/>
            <w:vAlign w:val="bottom"/>
            <w:hideMark/>
          </w:tcPr>
          <w:p w14:paraId="513A1092" w14:textId="77777777" w:rsidR="00C0079A" w:rsidRPr="0030798C" w:rsidRDefault="00C0079A" w:rsidP="003537BF">
            <w:pPr>
              <w:jc w:val="right"/>
              <w:rPr>
                <w:rFonts w:cs="Arial"/>
                <w:color w:val="000000"/>
                <w:sz w:val="24"/>
                <w:lang w:eastAsia="it-CH"/>
              </w:rPr>
            </w:pPr>
            <w:r w:rsidRPr="0030798C">
              <w:rPr>
                <w:rFonts w:cs="Arial"/>
                <w:color w:val="000000"/>
                <w:sz w:val="24"/>
                <w:lang w:eastAsia="it-CH"/>
              </w:rPr>
              <w:t>2.0</w:t>
            </w:r>
          </w:p>
        </w:tc>
      </w:tr>
      <w:tr w:rsidR="00C0079A" w:rsidRPr="0030798C" w14:paraId="0BD4B600" w14:textId="77777777" w:rsidTr="00C0079A">
        <w:trPr>
          <w:trHeight w:val="300"/>
        </w:trPr>
        <w:tc>
          <w:tcPr>
            <w:tcW w:w="2436" w:type="dxa"/>
            <w:tcBorders>
              <w:top w:val="nil"/>
              <w:left w:val="nil"/>
              <w:bottom w:val="nil"/>
              <w:right w:val="nil"/>
            </w:tcBorders>
            <w:shd w:val="clear" w:color="auto" w:fill="auto"/>
            <w:noWrap/>
            <w:vAlign w:val="bottom"/>
            <w:hideMark/>
          </w:tcPr>
          <w:p w14:paraId="353E6F59" w14:textId="77777777" w:rsidR="00C0079A" w:rsidRPr="0030798C" w:rsidRDefault="00C0079A" w:rsidP="003537BF">
            <w:pPr>
              <w:rPr>
                <w:rFonts w:cs="Arial"/>
                <w:color w:val="000000"/>
                <w:sz w:val="24"/>
                <w:lang w:eastAsia="it-CH"/>
              </w:rPr>
            </w:pPr>
            <w:r w:rsidRPr="0030798C">
              <w:rPr>
                <w:rFonts w:cs="Arial"/>
                <w:color w:val="000000"/>
                <w:sz w:val="24"/>
                <w:lang w:eastAsia="it-CH"/>
              </w:rPr>
              <w:t>Sant’Anna</w:t>
            </w:r>
          </w:p>
        </w:tc>
        <w:tc>
          <w:tcPr>
            <w:tcW w:w="1322" w:type="dxa"/>
            <w:tcBorders>
              <w:top w:val="nil"/>
              <w:left w:val="nil"/>
              <w:bottom w:val="nil"/>
              <w:right w:val="nil"/>
            </w:tcBorders>
            <w:shd w:val="clear" w:color="auto" w:fill="auto"/>
            <w:noWrap/>
            <w:vAlign w:val="bottom"/>
            <w:hideMark/>
          </w:tcPr>
          <w:p w14:paraId="374276CF" w14:textId="77777777" w:rsidR="00C0079A" w:rsidRPr="0030798C" w:rsidRDefault="00C0079A" w:rsidP="003537BF">
            <w:pPr>
              <w:jc w:val="right"/>
              <w:rPr>
                <w:rFonts w:cs="Arial"/>
                <w:color w:val="000000"/>
                <w:sz w:val="24"/>
                <w:lang w:eastAsia="it-CH"/>
              </w:rPr>
            </w:pPr>
            <w:r w:rsidRPr="0030798C">
              <w:rPr>
                <w:rFonts w:cs="Arial"/>
                <w:color w:val="000000"/>
                <w:sz w:val="24"/>
                <w:lang w:eastAsia="it-CH"/>
              </w:rPr>
              <w:t>0.5</w:t>
            </w:r>
          </w:p>
        </w:tc>
      </w:tr>
      <w:tr w:rsidR="00C0079A" w:rsidRPr="0030798C" w14:paraId="563D49CF" w14:textId="77777777" w:rsidTr="00C0079A">
        <w:trPr>
          <w:trHeight w:val="300"/>
        </w:trPr>
        <w:tc>
          <w:tcPr>
            <w:tcW w:w="2436" w:type="dxa"/>
            <w:tcBorders>
              <w:top w:val="nil"/>
              <w:left w:val="nil"/>
              <w:bottom w:val="nil"/>
              <w:right w:val="nil"/>
            </w:tcBorders>
            <w:shd w:val="clear" w:color="auto" w:fill="auto"/>
            <w:noWrap/>
            <w:vAlign w:val="bottom"/>
            <w:hideMark/>
          </w:tcPr>
          <w:p w14:paraId="7A56C675" w14:textId="77777777" w:rsidR="0094580A" w:rsidRPr="0030798C" w:rsidRDefault="00C0079A" w:rsidP="003537BF">
            <w:pPr>
              <w:rPr>
                <w:rFonts w:cs="Arial"/>
                <w:color w:val="000000"/>
                <w:sz w:val="24"/>
                <w:lang w:eastAsia="it-CH"/>
              </w:rPr>
            </w:pPr>
            <w:r w:rsidRPr="0030798C">
              <w:rPr>
                <w:rFonts w:cs="Arial"/>
                <w:color w:val="000000"/>
                <w:sz w:val="24"/>
                <w:lang w:eastAsia="it-CH"/>
              </w:rPr>
              <w:t>Hildebrand</w:t>
            </w:r>
          </w:p>
        </w:tc>
        <w:tc>
          <w:tcPr>
            <w:tcW w:w="1322" w:type="dxa"/>
            <w:tcBorders>
              <w:top w:val="nil"/>
              <w:left w:val="nil"/>
              <w:bottom w:val="nil"/>
              <w:right w:val="nil"/>
            </w:tcBorders>
            <w:shd w:val="clear" w:color="auto" w:fill="auto"/>
            <w:noWrap/>
            <w:vAlign w:val="bottom"/>
            <w:hideMark/>
          </w:tcPr>
          <w:p w14:paraId="6E087A00" w14:textId="77777777" w:rsidR="00C0079A" w:rsidRPr="0030798C" w:rsidRDefault="00C0079A" w:rsidP="003537BF">
            <w:pPr>
              <w:jc w:val="right"/>
              <w:rPr>
                <w:rFonts w:cs="Arial"/>
                <w:color w:val="000000"/>
                <w:sz w:val="24"/>
                <w:lang w:eastAsia="it-CH"/>
              </w:rPr>
            </w:pPr>
            <w:r w:rsidRPr="0030798C">
              <w:rPr>
                <w:rFonts w:cs="Arial"/>
                <w:color w:val="000000"/>
                <w:sz w:val="24"/>
                <w:lang w:eastAsia="it-CH"/>
              </w:rPr>
              <w:t>0.5</w:t>
            </w:r>
          </w:p>
        </w:tc>
      </w:tr>
      <w:tr w:rsidR="0094580A" w:rsidRPr="0030798C" w14:paraId="1B57C9CD" w14:textId="77777777" w:rsidTr="00C0079A">
        <w:trPr>
          <w:trHeight w:val="300"/>
        </w:trPr>
        <w:tc>
          <w:tcPr>
            <w:tcW w:w="2436" w:type="dxa"/>
            <w:tcBorders>
              <w:top w:val="nil"/>
              <w:left w:val="nil"/>
              <w:bottom w:val="nil"/>
              <w:right w:val="nil"/>
            </w:tcBorders>
            <w:shd w:val="clear" w:color="auto" w:fill="auto"/>
            <w:noWrap/>
            <w:vAlign w:val="bottom"/>
          </w:tcPr>
          <w:p w14:paraId="08457520" w14:textId="77777777" w:rsidR="0094580A" w:rsidRPr="0030798C" w:rsidRDefault="0094580A" w:rsidP="003537BF">
            <w:pPr>
              <w:rPr>
                <w:rFonts w:cs="Arial"/>
                <w:color w:val="000000"/>
                <w:sz w:val="24"/>
                <w:lang w:eastAsia="it-CH"/>
              </w:rPr>
            </w:pPr>
            <w:r w:rsidRPr="0030798C">
              <w:rPr>
                <w:rFonts w:cs="Arial"/>
                <w:color w:val="000000"/>
                <w:sz w:val="24"/>
                <w:lang w:eastAsia="it-CH"/>
              </w:rPr>
              <w:t>Santa Croce</w:t>
            </w:r>
          </w:p>
        </w:tc>
        <w:tc>
          <w:tcPr>
            <w:tcW w:w="1322" w:type="dxa"/>
            <w:tcBorders>
              <w:top w:val="nil"/>
              <w:left w:val="nil"/>
              <w:bottom w:val="nil"/>
              <w:right w:val="nil"/>
            </w:tcBorders>
            <w:shd w:val="clear" w:color="auto" w:fill="auto"/>
            <w:noWrap/>
            <w:vAlign w:val="bottom"/>
          </w:tcPr>
          <w:p w14:paraId="6BAB07D1" w14:textId="77777777" w:rsidR="0094580A" w:rsidRPr="0030798C" w:rsidRDefault="0094580A" w:rsidP="003537BF">
            <w:pPr>
              <w:jc w:val="right"/>
              <w:rPr>
                <w:rFonts w:cs="Arial"/>
                <w:color w:val="000000"/>
                <w:sz w:val="24"/>
                <w:lang w:eastAsia="it-CH"/>
              </w:rPr>
            </w:pPr>
            <w:r w:rsidRPr="0030798C">
              <w:rPr>
                <w:rFonts w:cs="Arial"/>
                <w:color w:val="000000"/>
                <w:sz w:val="24"/>
                <w:lang w:eastAsia="it-CH"/>
              </w:rPr>
              <w:t>0.4</w:t>
            </w:r>
          </w:p>
        </w:tc>
      </w:tr>
      <w:tr w:rsidR="00C0079A" w:rsidRPr="0030798C" w14:paraId="6D36EAD2" w14:textId="77777777" w:rsidTr="00C0079A">
        <w:trPr>
          <w:trHeight w:val="300"/>
        </w:trPr>
        <w:tc>
          <w:tcPr>
            <w:tcW w:w="2436" w:type="dxa"/>
            <w:tcBorders>
              <w:top w:val="single" w:sz="4" w:space="0" w:color="auto"/>
              <w:left w:val="nil"/>
              <w:bottom w:val="single" w:sz="4" w:space="0" w:color="auto"/>
              <w:right w:val="nil"/>
            </w:tcBorders>
            <w:shd w:val="clear" w:color="auto" w:fill="auto"/>
            <w:noWrap/>
            <w:vAlign w:val="bottom"/>
            <w:hideMark/>
          </w:tcPr>
          <w:p w14:paraId="11E56E1B" w14:textId="77777777" w:rsidR="00C0079A" w:rsidRPr="0030798C" w:rsidRDefault="00C0079A" w:rsidP="003537BF">
            <w:pPr>
              <w:rPr>
                <w:rFonts w:cs="Arial"/>
                <w:b/>
                <w:color w:val="000000"/>
                <w:sz w:val="24"/>
                <w:lang w:eastAsia="it-CH"/>
              </w:rPr>
            </w:pPr>
            <w:r w:rsidRPr="0030798C">
              <w:rPr>
                <w:rFonts w:cs="Arial"/>
                <w:b/>
                <w:color w:val="000000"/>
                <w:sz w:val="24"/>
                <w:lang w:eastAsia="it-CH"/>
              </w:rPr>
              <w:t>Totale</w:t>
            </w:r>
          </w:p>
        </w:tc>
        <w:tc>
          <w:tcPr>
            <w:tcW w:w="1322" w:type="dxa"/>
            <w:tcBorders>
              <w:top w:val="single" w:sz="4" w:space="0" w:color="auto"/>
              <w:left w:val="nil"/>
              <w:bottom w:val="single" w:sz="4" w:space="0" w:color="auto"/>
              <w:right w:val="nil"/>
            </w:tcBorders>
            <w:shd w:val="clear" w:color="auto" w:fill="auto"/>
            <w:noWrap/>
            <w:vAlign w:val="bottom"/>
            <w:hideMark/>
          </w:tcPr>
          <w:p w14:paraId="29BDB0DE" w14:textId="77777777" w:rsidR="00C0079A" w:rsidRPr="0030798C" w:rsidRDefault="00C0079A" w:rsidP="0094580A">
            <w:pPr>
              <w:jc w:val="right"/>
              <w:rPr>
                <w:rFonts w:cs="Arial"/>
                <w:b/>
                <w:color w:val="000000"/>
                <w:sz w:val="24"/>
                <w:lang w:eastAsia="it-CH"/>
              </w:rPr>
            </w:pPr>
            <w:r w:rsidRPr="0030798C">
              <w:rPr>
                <w:rFonts w:cs="Arial"/>
                <w:b/>
                <w:color w:val="000000"/>
                <w:sz w:val="24"/>
                <w:lang w:eastAsia="it-CH"/>
              </w:rPr>
              <w:t>14.</w:t>
            </w:r>
            <w:r w:rsidR="0094580A" w:rsidRPr="0030798C">
              <w:rPr>
                <w:rFonts w:cs="Arial"/>
                <w:b/>
                <w:color w:val="000000"/>
                <w:sz w:val="24"/>
                <w:lang w:eastAsia="it-CH"/>
              </w:rPr>
              <w:t>8</w:t>
            </w:r>
          </w:p>
        </w:tc>
      </w:tr>
    </w:tbl>
    <w:p w14:paraId="6EDB60A3" w14:textId="77777777" w:rsidR="003F2901" w:rsidRPr="0030798C" w:rsidRDefault="003F2901" w:rsidP="00C0079A">
      <w:pPr>
        <w:pStyle w:val="ListNumeric"/>
        <w:numPr>
          <w:ilvl w:val="0"/>
          <w:numId w:val="0"/>
        </w:numPr>
        <w:spacing w:after="60"/>
        <w:ind w:left="284"/>
        <w:contextualSpacing w:val="0"/>
        <w:rPr>
          <w:sz w:val="24"/>
        </w:rPr>
      </w:pPr>
    </w:p>
    <w:p w14:paraId="40BAADD5" w14:textId="5A194113" w:rsidR="0094580A" w:rsidRPr="0030798C" w:rsidRDefault="00BA7572" w:rsidP="00E640A8">
      <w:pPr>
        <w:pStyle w:val="ListNumeric"/>
        <w:numPr>
          <w:ilvl w:val="0"/>
          <w:numId w:val="0"/>
        </w:numPr>
        <w:rPr>
          <w:sz w:val="24"/>
        </w:rPr>
      </w:pPr>
      <w:r w:rsidRPr="0030798C">
        <w:rPr>
          <w:sz w:val="24"/>
        </w:rPr>
        <w:t>Vista la mancata copertura della Confederazione e degli Assicuratori malattia, come ricordato in ingresso, il Governo cantonale</w:t>
      </w:r>
      <w:r w:rsidR="00E640A8" w:rsidRPr="0030798C">
        <w:rPr>
          <w:sz w:val="24"/>
        </w:rPr>
        <w:t xml:space="preserve"> propone un approccio pragmatico che permetterebbe di rifondere agli </w:t>
      </w:r>
      <w:r w:rsidR="0094580A" w:rsidRPr="0030798C">
        <w:rPr>
          <w:sz w:val="24"/>
        </w:rPr>
        <w:t xml:space="preserve">istituti ospedalieri </w:t>
      </w:r>
      <w:r w:rsidR="00F7370B" w:rsidRPr="0030798C">
        <w:rPr>
          <w:sz w:val="24"/>
        </w:rPr>
        <w:t xml:space="preserve">poco meno di </w:t>
      </w:r>
      <w:r w:rsidR="00E640A8" w:rsidRPr="0030798C">
        <w:rPr>
          <w:sz w:val="24"/>
        </w:rPr>
        <w:t>una ventina di milioni di franch</w:t>
      </w:r>
      <w:r w:rsidR="002F7719" w:rsidRPr="0030798C">
        <w:rPr>
          <w:sz w:val="24"/>
        </w:rPr>
        <w:t>i</w:t>
      </w:r>
      <w:r w:rsidR="0094580A" w:rsidRPr="0030798C">
        <w:rPr>
          <w:sz w:val="24"/>
        </w:rPr>
        <w:t xml:space="preserve">, su oltre il doppio richiesti, attingendo all’accantonamento costituito nel 2020 e ancora parzialmente in essere, proprio per questo scopo. </w:t>
      </w:r>
    </w:p>
    <w:p w14:paraId="54ABAD6D" w14:textId="77777777" w:rsidR="0094580A" w:rsidRPr="0030798C" w:rsidRDefault="0094580A" w:rsidP="00E640A8">
      <w:pPr>
        <w:pStyle w:val="ListNumeric"/>
        <w:numPr>
          <w:ilvl w:val="0"/>
          <w:numId w:val="0"/>
        </w:numPr>
        <w:rPr>
          <w:sz w:val="24"/>
        </w:rPr>
      </w:pPr>
    </w:p>
    <w:p w14:paraId="592921C3" w14:textId="1F693584" w:rsidR="002F7719" w:rsidRDefault="002F7719" w:rsidP="00A96EBF">
      <w:pPr>
        <w:pStyle w:val="ListNumeric"/>
        <w:numPr>
          <w:ilvl w:val="0"/>
          <w:numId w:val="0"/>
        </w:numPr>
        <w:rPr>
          <w:sz w:val="24"/>
        </w:rPr>
      </w:pPr>
      <w:r w:rsidRPr="0030798C">
        <w:rPr>
          <w:sz w:val="24"/>
        </w:rPr>
        <w:t xml:space="preserve">Le valutazioni </w:t>
      </w:r>
      <w:r w:rsidR="0094580A" w:rsidRPr="0030798C">
        <w:rPr>
          <w:sz w:val="24"/>
        </w:rPr>
        <w:t xml:space="preserve">svolte </w:t>
      </w:r>
      <w:r w:rsidRPr="0030798C">
        <w:rPr>
          <w:sz w:val="24"/>
        </w:rPr>
        <w:t xml:space="preserve">partono dal principio che </w:t>
      </w:r>
      <w:r w:rsidR="00A96EBF" w:rsidRPr="0030798C">
        <w:rPr>
          <w:sz w:val="24"/>
        </w:rPr>
        <w:t xml:space="preserve">le tariffe coprano sia la parte fissa, sia la parte variabile dei costi sostenuti. Nel caso di mancata attività si </w:t>
      </w:r>
      <w:r w:rsidR="00BA7572" w:rsidRPr="0030798C">
        <w:rPr>
          <w:sz w:val="24"/>
        </w:rPr>
        <w:t xml:space="preserve">giustifica e </w:t>
      </w:r>
      <w:r w:rsidR="00A96EBF" w:rsidRPr="0030798C">
        <w:rPr>
          <w:sz w:val="24"/>
        </w:rPr>
        <w:t>ritiene</w:t>
      </w:r>
      <w:r w:rsidR="00BA7572" w:rsidRPr="0030798C">
        <w:rPr>
          <w:sz w:val="24"/>
        </w:rPr>
        <w:t xml:space="preserve"> </w:t>
      </w:r>
      <w:r w:rsidR="00A96EBF" w:rsidRPr="0030798C">
        <w:rPr>
          <w:sz w:val="24"/>
        </w:rPr>
        <w:t xml:space="preserve">sostenibile rifondere solo la parte </w:t>
      </w:r>
      <w:r w:rsidR="00D5216F" w:rsidRPr="0030798C">
        <w:rPr>
          <w:sz w:val="24"/>
        </w:rPr>
        <w:t xml:space="preserve">a </w:t>
      </w:r>
      <w:r w:rsidR="00A96EBF" w:rsidRPr="0030798C">
        <w:rPr>
          <w:sz w:val="24"/>
        </w:rPr>
        <w:t xml:space="preserve">copertura dei costi fissi </w:t>
      </w:r>
      <w:r w:rsidRPr="0030798C">
        <w:rPr>
          <w:sz w:val="24"/>
        </w:rPr>
        <w:t xml:space="preserve">(se non c’è stata attività, non sono </w:t>
      </w:r>
      <w:r w:rsidR="0094580A" w:rsidRPr="0030798C">
        <w:rPr>
          <w:sz w:val="24"/>
        </w:rPr>
        <w:t xml:space="preserve">nemmeno </w:t>
      </w:r>
      <w:r w:rsidRPr="0030798C">
        <w:rPr>
          <w:sz w:val="24"/>
        </w:rPr>
        <w:t xml:space="preserve">stati </w:t>
      </w:r>
      <w:r w:rsidR="0094580A" w:rsidRPr="0030798C">
        <w:rPr>
          <w:sz w:val="24"/>
        </w:rPr>
        <w:t xml:space="preserve">sopportati </w:t>
      </w:r>
      <w:r w:rsidRPr="0030798C">
        <w:rPr>
          <w:sz w:val="24"/>
        </w:rPr>
        <w:t>i costi variabili)</w:t>
      </w:r>
      <w:r w:rsidR="0094580A" w:rsidRPr="0030798C">
        <w:rPr>
          <w:sz w:val="24"/>
        </w:rPr>
        <w:t>,</w:t>
      </w:r>
      <w:r w:rsidRPr="0030798C">
        <w:rPr>
          <w:sz w:val="24"/>
        </w:rPr>
        <w:t xml:space="preserve"> stimata linearmente al </w:t>
      </w:r>
      <w:r w:rsidRPr="0030798C">
        <w:rPr>
          <w:b/>
          <w:bCs/>
          <w:sz w:val="24"/>
        </w:rPr>
        <w:t>70%</w:t>
      </w:r>
      <w:r w:rsidR="00A96EBF" w:rsidRPr="0030798C">
        <w:rPr>
          <w:b/>
          <w:bCs/>
          <w:sz w:val="24"/>
        </w:rPr>
        <w:t>.</w:t>
      </w:r>
      <w:r w:rsidR="00D5216F" w:rsidRPr="0030798C">
        <w:rPr>
          <w:sz w:val="24"/>
        </w:rPr>
        <w:t xml:space="preserve"> Di regola sono stati considerati solo gli introiti dell’assicurazione malattia di base, </w:t>
      </w:r>
      <w:r w:rsidR="0094580A" w:rsidRPr="0030798C">
        <w:rPr>
          <w:sz w:val="24"/>
        </w:rPr>
        <w:t xml:space="preserve">mentre </w:t>
      </w:r>
      <w:r w:rsidR="00D5216F" w:rsidRPr="0030798C">
        <w:rPr>
          <w:sz w:val="24"/>
        </w:rPr>
        <w:t xml:space="preserve">per </w:t>
      </w:r>
      <w:r w:rsidR="0094580A" w:rsidRPr="0030798C">
        <w:rPr>
          <w:sz w:val="24"/>
        </w:rPr>
        <w:t>l’</w:t>
      </w:r>
      <w:r w:rsidR="00D5216F" w:rsidRPr="0030798C">
        <w:rPr>
          <w:sz w:val="24"/>
        </w:rPr>
        <w:t xml:space="preserve">Ente </w:t>
      </w:r>
      <w:r w:rsidR="00DA1A06" w:rsidRPr="0030798C">
        <w:rPr>
          <w:sz w:val="24"/>
        </w:rPr>
        <w:t>O</w:t>
      </w:r>
      <w:r w:rsidR="00D5216F" w:rsidRPr="0030798C">
        <w:rPr>
          <w:sz w:val="24"/>
        </w:rPr>
        <w:t xml:space="preserve">spedaliero </w:t>
      </w:r>
      <w:r w:rsidR="00DA1A06" w:rsidRPr="0030798C">
        <w:rPr>
          <w:sz w:val="24"/>
        </w:rPr>
        <w:t>C</w:t>
      </w:r>
      <w:r w:rsidR="00D5216F" w:rsidRPr="0030798C">
        <w:rPr>
          <w:sz w:val="24"/>
        </w:rPr>
        <w:t>antonale</w:t>
      </w:r>
      <w:r w:rsidR="0094580A" w:rsidRPr="0030798C">
        <w:rPr>
          <w:sz w:val="24"/>
        </w:rPr>
        <w:t xml:space="preserve">, la Clinica </w:t>
      </w:r>
      <w:r w:rsidR="00D5216F" w:rsidRPr="0030798C">
        <w:rPr>
          <w:sz w:val="24"/>
        </w:rPr>
        <w:t xml:space="preserve">Hildebrand </w:t>
      </w:r>
      <w:r w:rsidR="0094580A" w:rsidRPr="0030798C">
        <w:rPr>
          <w:sz w:val="24"/>
        </w:rPr>
        <w:t xml:space="preserve">e la Clinica Ars Medica </w:t>
      </w:r>
      <w:r w:rsidR="00D5216F" w:rsidRPr="0030798C">
        <w:rPr>
          <w:sz w:val="24"/>
        </w:rPr>
        <w:t>sono stati aggiunti anche i mancati introiti delle altre assicurazioni sociali (Infortuni, Militare e Invalidità)</w:t>
      </w:r>
      <w:r w:rsidR="0094580A" w:rsidRPr="0030798C">
        <w:rPr>
          <w:sz w:val="24"/>
        </w:rPr>
        <w:t>, trattandosi per queste strutture di fonti di finanziamento di un certo impatto</w:t>
      </w:r>
      <w:r w:rsidR="00D5216F" w:rsidRPr="0030798C">
        <w:rPr>
          <w:sz w:val="24"/>
        </w:rPr>
        <w:t xml:space="preserve">. </w:t>
      </w:r>
    </w:p>
    <w:p w14:paraId="2236D203" w14:textId="083E86CF" w:rsidR="00C67F68" w:rsidRDefault="00C67F68" w:rsidP="00A96EBF">
      <w:pPr>
        <w:pStyle w:val="ListNumeric"/>
        <w:numPr>
          <w:ilvl w:val="0"/>
          <w:numId w:val="0"/>
        </w:numPr>
        <w:rPr>
          <w:sz w:val="24"/>
        </w:rPr>
      </w:pPr>
    </w:p>
    <w:p w14:paraId="61C66DCB" w14:textId="77777777" w:rsidR="00C67F68" w:rsidRPr="0030798C" w:rsidRDefault="00C67F68" w:rsidP="00A96EBF">
      <w:pPr>
        <w:pStyle w:val="ListNumeric"/>
        <w:numPr>
          <w:ilvl w:val="0"/>
          <w:numId w:val="0"/>
        </w:numPr>
        <w:rPr>
          <w:sz w:val="24"/>
        </w:rPr>
      </w:pPr>
    </w:p>
    <w:p w14:paraId="73959CDA" w14:textId="6EB723A7" w:rsidR="00976189" w:rsidRPr="00C67F68" w:rsidRDefault="00E640A8" w:rsidP="00C67F68">
      <w:pPr>
        <w:pStyle w:val="Titolo2"/>
        <w:numPr>
          <w:ilvl w:val="1"/>
          <w:numId w:val="25"/>
        </w:numPr>
        <w:tabs>
          <w:tab w:val="left" w:pos="709"/>
        </w:tabs>
        <w:suppressAutoHyphens w:val="0"/>
        <w:spacing w:before="0" w:after="120"/>
        <w:ind w:left="0" w:firstLine="0"/>
        <w:jc w:val="both"/>
        <w:rPr>
          <w:rFonts w:ascii="Arial" w:eastAsia="Calibri" w:hAnsi="Arial" w:cs="Times New Roman"/>
          <w:sz w:val="24"/>
          <w:lang w:val="it-IT" w:eastAsia="it-IT"/>
        </w:rPr>
      </w:pPr>
      <w:r w:rsidRPr="00C67F68">
        <w:rPr>
          <w:rFonts w:ascii="Arial" w:eastAsia="Calibri" w:hAnsi="Arial" w:cs="Times New Roman"/>
          <w:sz w:val="24"/>
          <w:lang w:val="it-IT" w:eastAsia="it-IT"/>
        </w:rPr>
        <w:t>Settore stazionario</w:t>
      </w:r>
    </w:p>
    <w:p w14:paraId="4DAF5B12" w14:textId="449D548B" w:rsidR="00976189" w:rsidRPr="00C67F68" w:rsidRDefault="00C67F68" w:rsidP="00C67F68">
      <w:pPr>
        <w:pStyle w:val="Titolo3"/>
        <w:numPr>
          <w:ilvl w:val="0"/>
          <w:numId w:val="0"/>
        </w:numPr>
        <w:tabs>
          <w:tab w:val="left" w:pos="709"/>
        </w:tabs>
        <w:suppressAutoHyphens w:val="0"/>
        <w:spacing w:after="120"/>
        <w:jc w:val="both"/>
        <w:rPr>
          <w:rFonts w:ascii="Arial" w:eastAsia="Calibri" w:hAnsi="Arial" w:cs="Times New Roman"/>
          <w:i/>
          <w:sz w:val="23"/>
          <w:szCs w:val="23"/>
          <w:lang w:val="it-IT" w:eastAsia="it-IT"/>
        </w:rPr>
      </w:pPr>
      <w:r>
        <w:rPr>
          <w:rFonts w:ascii="Arial" w:eastAsia="Calibri" w:hAnsi="Arial" w:cs="Times New Roman"/>
          <w:i/>
          <w:sz w:val="23"/>
          <w:szCs w:val="23"/>
          <w:lang w:val="it-IT" w:eastAsia="it-IT"/>
        </w:rPr>
        <w:t>3.1.1</w:t>
      </w:r>
      <w:r>
        <w:rPr>
          <w:rFonts w:ascii="Arial" w:eastAsia="Calibri" w:hAnsi="Arial" w:cs="Times New Roman"/>
          <w:i/>
          <w:sz w:val="23"/>
          <w:szCs w:val="23"/>
          <w:lang w:val="it-IT" w:eastAsia="it-IT"/>
        </w:rPr>
        <w:tab/>
      </w:r>
      <w:r w:rsidR="00976189" w:rsidRPr="00C67F68">
        <w:rPr>
          <w:rFonts w:ascii="Arial" w:eastAsia="Calibri" w:hAnsi="Arial" w:cs="Times New Roman"/>
          <w:i/>
          <w:sz w:val="23"/>
          <w:szCs w:val="23"/>
          <w:lang w:val="it-IT" w:eastAsia="it-IT"/>
        </w:rPr>
        <w:t>Introiti dell’assicurazione malattia di base</w:t>
      </w:r>
    </w:p>
    <w:p w14:paraId="169ABE9B" w14:textId="48DD6B5C" w:rsidR="00E640A8" w:rsidRPr="0030798C" w:rsidRDefault="002F7719" w:rsidP="00976189">
      <w:pPr>
        <w:pStyle w:val="ListNumeric"/>
        <w:numPr>
          <w:ilvl w:val="0"/>
          <w:numId w:val="0"/>
        </w:numPr>
        <w:rPr>
          <w:sz w:val="24"/>
        </w:rPr>
      </w:pPr>
      <w:r w:rsidRPr="0030798C">
        <w:rPr>
          <w:sz w:val="24"/>
        </w:rPr>
        <w:t xml:space="preserve">Come spiegato in precedenza il Canton Ticino, attraverso il meccanismo del contributo globale </w:t>
      </w:r>
      <w:r w:rsidR="00A96EBF" w:rsidRPr="0030798C">
        <w:rPr>
          <w:sz w:val="24"/>
        </w:rPr>
        <w:t>ha versato la sua quota parte sull’attività non eseguita nella misura del 55% di un ipotetico 100%, Per le considerazioni sopraesp</w:t>
      </w:r>
      <w:r w:rsidR="00A55E7D" w:rsidRPr="0030798C">
        <w:rPr>
          <w:sz w:val="24"/>
        </w:rPr>
        <w:t>ost</w:t>
      </w:r>
      <w:r w:rsidR="00A96EBF" w:rsidRPr="0030798C">
        <w:rPr>
          <w:sz w:val="24"/>
        </w:rPr>
        <w:t>e, il contributo del Cantone avrebbe dovuto essere il 55% del 70% (soli costi fissi)</w:t>
      </w:r>
      <w:r w:rsidR="00F7370B" w:rsidRPr="0030798C">
        <w:rPr>
          <w:sz w:val="24"/>
        </w:rPr>
        <w:t>. N</w:t>
      </w:r>
      <w:r w:rsidR="00A96EBF" w:rsidRPr="0030798C">
        <w:rPr>
          <w:sz w:val="24"/>
        </w:rPr>
        <w:t xml:space="preserve">e consegue che il mancato introito dalle casse malati è già stato in parte rifuso e più precisamente </w:t>
      </w:r>
      <w:r w:rsidR="00655B60" w:rsidRPr="0030798C">
        <w:rPr>
          <w:sz w:val="24"/>
        </w:rPr>
        <w:t>come risulta dal calcolo seguente:</w:t>
      </w:r>
    </w:p>
    <w:p w14:paraId="498EFA87" w14:textId="77777777" w:rsidR="00655B60" w:rsidRPr="0030798C" w:rsidRDefault="00655B60" w:rsidP="00E640A8">
      <w:pPr>
        <w:pStyle w:val="ListNumeric"/>
        <w:numPr>
          <w:ilvl w:val="0"/>
          <w:numId w:val="0"/>
        </w:numPr>
        <w:rPr>
          <w:sz w:val="24"/>
        </w:rPr>
      </w:pPr>
    </w:p>
    <w:p w14:paraId="22FCD77E" w14:textId="5AA04CAC" w:rsidR="00073535" w:rsidRDefault="00073535" w:rsidP="00E640A8">
      <w:pPr>
        <w:pStyle w:val="ListNumeric"/>
        <w:numPr>
          <w:ilvl w:val="0"/>
          <w:numId w:val="0"/>
        </w:numPr>
        <w:rPr>
          <w:sz w:val="24"/>
        </w:rPr>
      </w:pPr>
    </w:p>
    <w:p w14:paraId="52AA3B0C" w14:textId="1774EFBC" w:rsidR="00C67F68" w:rsidRDefault="00C67F68" w:rsidP="00E640A8">
      <w:pPr>
        <w:pStyle w:val="ListNumeric"/>
        <w:numPr>
          <w:ilvl w:val="0"/>
          <w:numId w:val="0"/>
        </w:numPr>
        <w:rPr>
          <w:sz w:val="24"/>
        </w:rPr>
      </w:pPr>
    </w:p>
    <w:p w14:paraId="7C1DABCD" w14:textId="77777777" w:rsidR="00C67F68" w:rsidRPr="0030798C" w:rsidRDefault="00C67F68" w:rsidP="00E640A8">
      <w:pPr>
        <w:pStyle w:val="ListNumeric"/>
        <w:numPr>
          <w:ilvl w:val="0"/>
          <w:numId w:val="0"/>
        </w:numPr>
        <w:rPr>
          <w:sz w:val="24"/>
        </w:rPr>
      </w:pPr>
    </w:p>
    <w:p w14:paraId="0D2DEC0E" w14:textId="77777777" w:rsidR="00D5216F" w:rsidRPr="0030798C" w:rsidRDefault="00D5216F" w:rsidP="00D5216F">
      <w:pPr>
        <w:tabs>
          <w:tab w:val="left" w:pos="4470"/>
          <w:tab w:val="left" w:pos="5430"/>
          <w:tab w:val="left" w:pos="6390"/>
        </w:tabs>
        <w:suppressAutoHyphens w:val="0"/>
        <w:jc w:val="left"/>
        <w:rPr>
          <w:rFonts w:ascii="Times New Roman" w:eastAsia="Times New Roman" w:hAnsi="Times New Roman" w:cs="Times New Roman"/>
          <w:sz w:val="24"/>
          <w:lang w:eastAsia="it-CH"/>
        </w:rPr>
      </w:pPr>
      <w:r w:rsidRPr="0030798C">
        <w:rPr>
          <w:rFonts w:eastAsia="Times New Roman" w:cs="Arial"/>
          <w:b/>
          <w:bCs/>
          <w:color w:val="000000"/>
          <w:sz w:val="24"/>
          <w:lang w:eastAsia="it-CH"/>
        </w:rPr>
        <w:lastRenderedPageBreak/>
        <w:t>Copertura solo costi fissi</w:t>
      </w:r>
      <w:r w:rsidR="00976189" w:rsidRPr="0030798C">
        <w:rPr>
          <w:rFonts w:eastAsia="Times New Roman" w:cs="Arial"/>
          <w:b/>
          <w:bCs/>
          <w:color w:val="000000"/>
          <w:sz w:val="24"/>
          <w:lang w:eastAsia="it-CH"/>
        </w:rPr>
        <w:t xml:space="preserve"> (70%)</w:t>
      </w:r>
      <w:r w:rsidRPr="0030798C">
        <w:rPr>
          <w:rFonts w:eastAsia="Times New Roman" w:cs="Arial"/>
          <w:b/>
          <w:bCs/>
          <w:color w:val="000000"/>
          <w:sz w:val="24"/>
          <w:lang w:eastAsia="it-CH"/>
        </w:rPr>
        <w:tab/>
      </w:r>
      <w:r w:rsidRPr="0030798C">
        <w:rPr>
          <w:rFonts w:eastAsia="Times New Roman" w:cs="Arial"/>
          <w:b/>
          <w:bCs/>
          <w:color w:val="000000"/>
          <w:sz w:val="24"/>
          <w:lang w:eastAsia="it-CH"/>
        </w:rPr>
        <w:tab/>
      </w:r>
      <w:r w:rsidRPr="0030798C">
        <w:rPr>
          <w:rFonts w:ascii="Times New Roman" w:eastAsia="Times New Roman" w:hAnsi="Times New Roman" w:cs="Times New Roman"/>
          <w:sz w:val="24"/>
          <w:lang w:eastAsia="it-CH"/>
        </w:rPr>
        <w:tab/>
      </w:r>
    </w:p>
    <w:p w14:paraId="35C594DA" w14:textId="77777777" w:rsidR="00D5216F" w:rsidRPr="0030798C" w:rsidRDefault="00D5216F" w:rsidP="00D5216F">
      <w:pPr>
        <w:tabs>
          <w:tab w:val="left" w:pos="4470"/>
          <w:tab w:val="left" w:pos="5430"/>
          <w:tab w:val="left" w:pos="6390"/>
        </w:tabs>
        <w:suppressAutoHyphens w:val="0"/>
        <w:jc w:val="left"/>
        <w:rPr>
          <w:rFonts w:eastAsia="Times New Roman" w:cs="Arial"/>
          <w:sz w:val="24"/>
          <w:lang w:eastAsia="it-CH"/>
        </w:rPr>
      </w:pPr>
      <w:r w:rsidRPr="0030798C">
        <w:rPr>
          <w:rFonts w:eastAsia="Times New Roman" w:cs="Arial"/>
          <w:sz w:val="24"/>
          <w:lang w:eastAsia="it-CH"/>
        </w:rPr>
        <w:t>Cantone</w:t>
      </w:r>
      <w:r w:rsidRPr="0030798C">
        <w:rPr>
          <w:rFonts w:eastAsia="Times New Roman" w:cs="Arial"/>
          <w:sz w:val="24"/>
          <w:lang w:eastAsia="it-CH"/>
        </w:rPr>
        <w:tab/>
        <w:t>55%</w:t>
      </w:r>
      <w:r w:rsidR="0094580A" w:rsidRPr="0030798C">
        <w:rPr>
          <w:rFonts w:eastAsia="Times New Roman" w:cs="Arial"/>
          <w:sz w:val="24"/>
          <w:lang w:eastAsia="it-CH"/>
        </w:rPr>
        <w:t xml:space="preserve"> del </w:t>
      </w:r>
      <w:r w:rsidRPr="0030798C">
        <w:rPr>
          <w:rFonts w:eastAsia="Times New Roman" w:cs="Arial"/>
          <w:sz w:val="24"/>
          <w:lang w:eastAsia="it-CH"/>
        </w:rPr>
        <w:t>70%</w:t>
      </w:r>
      <w:r w:rsidR="0094580A" w:rsidRPr="0030798C">
        <w:rPr>
          <w:rFonts w:eastAsia="Times New Roman" w:cs="Arial"/>
          <w:sz w:val="24"/>
          <w:lang w:eastAsia="it-CH"/>
        </w:rPr>
        <w:t xml:space="preserve"> =</w:t>
      </w:r>
      <w:r w:rsidRPr="0030798C">
        <w:rPr>
          <w:rFonts w:eastAsia="Times New Roman" w:cs="Arial"/>
          <w:sz w:val="24"/>
          <w:lang w:eastAsia="it-CH"/>
        </w:rPr>
        <w:tab/>
        <w:t>38.5%</w:t>
      </w:r>
    </w:p>
    <w:p w14:paraId="77EC38C6" w14:textId="77777777" w:rsidR="00D5216F" w:rsidRPr="0030798C" w:rsidRDefault="00D5216F" w:rsidP="00D5216F">
      <w:pPr>
        <w:tabs>
          <w:tab w:val="left" w:pos="4470"/>
          <w:tab w:val="left" w:pos="5430"/>
          <w:tab w:val="left" w:pos="6390"/>
        </w:tabs>
        <w:suppressAutoHyphens w:val="0"/>
        <w:jc w:val="left"/>
        <w:rPr>
          <w:rFonts w:eastAsia="Times New Roman" w:cs="Arial"/>
          <w:iCs/>
          <w:sz w:val="24"/>
          <w:lang w:eastAsia="it-CH"/>
        </w:rPr>
      </w:pPr>
      <w:r w:rsidRPr="0030798C">
        <w:rPr>
          <w:rFonts w:eastAsia="Times New Roman" w:cs="Arial"/>
          <w:iCs/>
          <w:sz w:val="24"/>
          <w:lang w:eastAsia="it-CH"/>
        </w:rPr>
        <w:t>Cantone versato in più</w:t>
      </w:r>
      <w:r w:rsidRPr="0030798C">
        <w:rPr>
          <w:rFonts w:eastAsia="Times New Roman" w:cs="Arial"/>
          <w:iCs/>
          <w:sz w:val="24"/>
          <w:lang w:eastAsia="it-CH"/>
        </w:rPr>
        <w:tab/>
      </w:r>
      <w:r w:rsidRPr="0030798C">
        <w:rPr>
          <w:rFonts w:eastAsia="Times New Roman" w:cs="Arial"/>
          <w:sz w:val="24"/>
          <w:lang w:eastAsia="it-CH"/>
        </w:rPr>
        <w:tab/>
      </w:r>
      <w:r w:rsidR="00976189" w:rsidRPr="0030798C">
        <w:rPr>
          <w:rFonts w:eastAsia="Times New Roman" w:cs="Arial"/>
          <w:sz w:val="24"/>
          <w:lang w:eastAsia="it-CH"/>
        </w:rPr>
        <w:tab/>
      </w:r>
      <w:r w:rsidRPr="0030798C">
        <w:rPr>
          <w:rFonts w:eastAsia="Times New Roman" w:cs="Arial"/>
          <w:iCs/>
          <w:sz w:val="24"/>
          <w:u w:val="single"/>
          <w:lang w:eastAsia="it-CH"/>
        </w:rPr>
        <w:t>16.5%</w:t>
      </w:r>
    </w:p>
    <w:p w14:paraId="3C4AEC01" w14:textId="77777777" w:rsidR="00976189" w:rsidRPr="0030798C" w:rsidRDefault="00976189" w:rsidP="00D5216F">
      <w:pPr>
        <w:tabs>
          <w:tab w:val="left" w:pos="4470"/>
          <w:tab w:val="left" w:pos="5430"/>
          <w:tab w:val="left" w:pos="6390"/>
        </w:tabs>
        <w:suppressAutoHyphens w:val="0"/>
        <w:jc w:val="left"/>
        <w:rPr>
          <w:rFonts w:eastAsia="Times New Roman" w:cs="Arial"/>
          <w:b/>
          <w:iCs/>
          <w:sz w:val="24"/>
          <w:lang w:eastAsia="it-CH"/>
        </w:rPr>
      </w:pPr>
      <w:r w:rsidRPr="0030798C">
        <w:rPr>
          <w:rFonts w:eastAsia="Times New Roman" w:cs="Arial"/>
          <w:b/>
          <w:iCs/>
          <w:sz w:val="24"/>
          <w:lang w:eastAsia="it-CH"/>
        </w:rPr>
        <w:t>Totale Cantone</w:t>
      </w:r>
      <w:r w:rsidRPr="0030798C">
        <w:rPr>
          <w:rFonts w:eastAsia="Times New Roman" w:cs="Arial"/>
          <w:b/>
          <w:iCs/>
          <w:sz w:val="24"/>
          <w:lang w:eastAsia="it-CH"/>
        </w:rPr>
        <w:tab/>
      </w:r>
      <w:r w:rsidRPr="0030798C">
        <w:rPr>
          <w:rFonts w:eastAsia="Times New Roman" w:cs="Arial"/>
          <w:b/>
          <w:iCs/>
          <w:sz w:val="24"/>
          <w:lang w:eastAsia="it-CH"/>
        </w:rPr>
        <w:tab/>
      </w:r>
      <w:r w:rsidRPr="0030798C">
        <w:rPr>
          <w:rFonts w:eastAsia="Times New Roman" w:cs="Arial"/>
          <w:b/>
          <w:iCs/>
          <w:sz w:val="24"/>
          <w:lang w:eastAsia="it-CH"/>
        </w:rPr>
        <w:tab/>
        <w:t>55.0%</w:t>
      </w:r>
    </w:p>
    <w:p w14:paraId="214CC7BE" w14:textId="77777777" w:rsidR="0094580A" w:rsidRPr="0030798C" w:rsidRDefault="0094580A" w:rsidP="00D5216F">
      <w:pPr>
        <w:tabs>
          <w:tab w:val="left" w:pos="4470"/>
          <w:tab w:val="left" w:pos="5430"/>
          <w:tab w:val="left" w:pos="6390"/>
        </w:tabs>
        <w:suppressAutoHyphens w:val="0"/>
        <w:jc w:val="left"/>
        <w:rPr>
          <w:rFonts w:eastAsia="Times New Roman" w:cs="Arial"/>
          <w:bCs/>
          <w:sz w:val="24"/>
          <w:lang w:eastAsia="it-CH"/>
        </w:rPr>
      </w:pPr>
      <w:r w:rsidRPr="0030798C">
        <w:rPr>
          <w:rFonts w:eastAsia="Times New Roman" w:cs="Arial"/>
          <w:bCs/>
          <w:sz w:val="24"/>
          <w:lang w:eastAsia="it-CH"/>
        </w:rPr>
        <w:t>Assicuratori malattia non pagato</w:t>
      </w:r>
      <w:r w:rsidRPr="0030798C">
        <w:rPr>
          <w:rFonts w:eastAsia="Times New Roman" w:cs="Arial"/>
          <w:bCs/>
          <w:sz w:val="24"/>
          <w:lang w:eastAsia="it-CH"/>
        </w:rPr>
        <w:tab/>
        <w:t xml:space="preserve">45% del 70% = </w:t>
      </w:r>
      <w:r w:rsidRPr="0030798C">
        <w:rPr>
          <w:rFonts w:eastAsia="Times New Roman" w:cs="Arial"/>
          <w:bCs/>
          <w:sz w:val="24"/>
          <w:lang w:eastAsia="it-CH"/>
        </w:rPr>
        <w:tab/>
        <w:t xml:space="preserve">31.5% </w:t>
      </w:r>
    </w:p>
    <w:p w14:paraId="199794A6" w14:textId="77777777" w:rsidR="00976189" w:rsidRPr="0030798C" w:rsidRDefault="00976189" w:rsidP="00D5216F">
      <w:pPr>
        <w:tabs>
          <w:tab w:val="left" w:pos="4470"/>
          <w:tab w:val="left" w:pos="5430"/>
          <w:tab w:val="left" w:pos="6390"/>
        </w:tabs>
        <w:suppressAutoHyphens w:val="0"/>
        <w:jc w:val="left"/>
        <w:rPr>
          <w:rFonts w:eastAsia="Times New Roman" w:cs="Arial"/>
          <w:bCs/>
          <w:sz w:val="24"/>
          <w:lang w:eastAsia="it-CH"/>
        </w:rPr>
      </w:pPr>
      <w:r w:rsidRPr="0030798C">
        <w:rPr>
          <w:rFonts w:eastAsia="Times New Roman" w:cs="Arial"/>
          <w:bCs/>
          <w:sz w:val="24"/>
          <w:lang w:eastAsia="it-CH"/>
        </w:rPr>
        <w:t>Cantone per sopperire alla parte mancante</w:t>
      </w:r>
    </w:p>
    <w:p w14:paraId="672E68DD" w14:textId="77777777" w:rsidR="00D5216F" w:rsidRPr="0030798C" w:rsidRDefault="00976189" w:rsidP="00D5216F">
      <w:pPr>
        <w:tabs>
          <w:tab w:val="left" w:pos="4470"/>
          <w:tab w:val="left" w:pos="5430"/>
          <w:tab w:val="left" w:pos="6390"/>
        </w:tabs>
        <w:suppressAutoHyphens w:val="0"/>
        <w:jc w:val="left"/>
        <w:rPr>
          <w:rFonts w:eastAsia="Times New Roman" w:cs="Arial"/>
          <w:bCs/>
          <w:sz w:val="24"/>
          <w:lang w:eastAsia="it-CH"/>
        </w:rPr>
      </w:pPr>
      <w:r w:rsidRPr="0030798C">
        <w:rPr>
          <w:rFonts w:eastAsia="Times New Roman" w:cs="Arial"/>
          <w:bCs/>
          <w:sz w:val="24"/>
          <w:lang w:eastAsia="it-CH"/>
        </w:rPr>
        <w:t>non versata dagli assicuratori malattia</w:t>
      </w:r>
      <w:r w:rsidR="00D5216F" w:rsidRPr="0030798C">
        <w:rPr>
          <w:rFonts w:eastAsia="Times New Roman" w:cs="Arial"/>
          <w:bCs/>
          <w:sz w:val="24"/>
          <w:lang w:eastAsia="it-CH"/>
        </w:rPr>
        <w:tab/>
      </w:r>
      <w:r w:rsidRPr="0030798C">
        <w:rPr>
          <w:rFonts w:eastAsia="Times New Roman" w:cs="Arial"/>
          <w:bCs/>
          <w:sz w:val="24"/>
          <w:lang w:eastAsia="it-CH"/>
        </w:rPr>
        <w:tab/>
      </w:r>
      <w:r w:rsidRPr="0030798C">
        <w:rPr>
          <w:rFonts w:eastAsia="Times New Roman" w:cs="Arial"/>
          <w:bCs/>
          <w:sz w:val="24"/>
          <w:lang w:eastAsia="it-CH"/>
        </w:rPr>
        <w:tab/>
      </w:r>
      <w:r w:rsidR="00D5216F" w:rsidRPr="0030798C">
        <w:rPr>
          <w:rFonts w:eastAsia="Times New Roman" w:cs="Arial"/>
          <w:bCs/>
          <w:sz w:val="24"/>
          <w:u w:val="single"/>
          <w:lang w:eastAsia="it-CH"/>
        </w:rPr>
        <w:t>15.0%</w:t>
      </w:r>
    </w:p>
    <w:p w14:paraId="7A79C7D7" w14:textId="77777777" w:rsidR="00655B60" w:rsidRPr="0030798C" w:rsidRDefault="00976189" w:rsidP="00E640A8">
      <w:pPr>
        <w:pStyle w:val="ListNumeric"/>
        <w:numPr>
          <w:ilvl w:val="0"/>
          <w:numId w:val="0"/>
        </w:numPr>
        <w:rPr>
          <w:b/>
          <w:sz w:val="24"/>
        </w:rPr>
      </w:pPr>
      <w:r w:rsidRPr="0030798C">
        <w:rPr>
          <w:b/>
          <w:sz w:val="24"/>
        </w:rPr>
        <w:t>Totale</w:t>
      </w:r>
      <w:r w:rsidRPr="0030798C">
        <w:rPr>
          <w:b/>
          <w:sz w:val="24"/>
        </w:rPr>
        <w:tab/>
      </w:r>
      <w:r w:rsidRPr="0030798C">
        <w:rPr>
          <w:b/>
          <w:sz w:val="24"/>
        </w:rPr>
        <w:tab/>
      </w:r>
      <w:r w:rsidRPr="0030798C">
        <w:rPr>
          <w:b/>
          <w:sz w:val="24"/>
        </w:rPr>
        <w:tab/>
      </w:r>
      <w:r w:rsidRPr="0030798C">
        <w:rPr>
          <w:b/>
          <w:sz w:val="24"/>
        </w:rPr>
        <w:tab/>
      </w:r>
      <w:r w:rsidRPr="0030798C">
        <w:rPr>
          <w:b/>
          <w:sz w:val="24"/>
        </w:rPr>
        <w:tab/>
      </w:r>
      <w:r w:rsidRPr="0030798C">
        <w:rPr>
          <w:b/>
          <w:sz w:val="24"/>
        </w:rPr>
        <w:tab/>
      </w:r>
      <w:r w:rsidRPr="0030798C">
        <w:rPr>
          <w:b/>
          <w:sz w:val="24"/>
        </w:rPr>
        <w:tab/>
      </w:r>
      <w:r w:rsidRPr="0030798C">
        <w:rPr>
          <w:b/>
          <w:sz w:val="24"/>
        </w:rPr>
        <w:tab/>
      </w:r>
      <w:r w:rsidRPr="0030798C">
        <w:rPr>
          <w:b/>
          <w:sz w:val="24"/>
        </w:rPr>
        <w:tab/>
      </w:r>
      <w:r w:rsidRPr="0030798C">
        <w:rPr>
          <w:b/>
          <w:sz w:val="24"/>
          <w:u w:val="double"/>
        </w:rPr>
        <w:t>70.0%</w:t>
      </w:r>
    </w:p>
    <w:p w14:paraId="2CF46FFA" w14:textId="39DEFECE" w:rsidR="00976189" w:rsidRDefault="00976189" w:rsidP="00AF2BF4">
      <w:pPr>
        <w:pStyle w:val="ListNumeric"/>
        <w:numPr>
          <w:ilvl w:val="0"/>
          <w:numId w:val="0"/>
        </w:numPr>
        <w:contextualSpacing w:val="0"/>
        <w:rPr>
          <w:sz w:val="24"/>
        </w:rPr>
      </w:pPr>
    </w:p>
    <w:p w14:paraId="3AE207BE" w14:textId="77777777" w:rsidR="00C67F68" w:rsidRPr="0030798C" w:rsidRDefault="00C67F68" w:rsidP="00AF2BF4">
      <w:pPr>
        <w:pStyle w:val="ListNumeric"/>
        <w:numPr>
          <w:ilvl w:val="0"/>
          <w:numId w:val="0"/>
        </w:numPr>
        <w:contextualSpacing w:val="0"/>
        <w:rPr>
          <w:sz w:val="24"/>
        </w:rPr>
      </w:pPr>
    </w:p>
    <w:p w14:paraId="3878A0D0" w14:textId="77777777" w:rsidR="00655B60" w:rsidRPr="0030798C" w:rsidRDefault="00F7370B" w:rsidP="00655B60">
      <w:pPr>
        <w:pStyle w:val="ListNumeric"/>
        <w:numPr>
          <w:ilvl w:val="0"/>
          <w:numId w:val="0"/>
        </w:numPr>
        <w:rPr>
          <w:sz w:val="24"/>
        </w:rPr>
      </w:pPr>
      <w:r w:rsidRPr="0030798C">
        <w:rPr>
          <w:sz w:val="24"/>
        </w:rPr>
        <w:t>L</w:t>
      </w:r>
      <w:r w:rsidR="0094580A" w:rsidRPr="0030798C">
        <w:rPr>
          <w:sz w:val="24"/>
        </w:rPr>
        <w:t xml:space="preserve">’importo da rifondere è quindi stato calcolato partendo dall’attività mancante moltiplicata per la tariffa in vigore considerata al 15%. </w:t>
      </w:r>
      <w:r w:rsidR="00655B60" w:rsidRPr="0030798C">
        <w:rPr>
          <w:sz w:val="24"/>
        </w:rPr>
        <w:t xml:space="preserve">L’attività mancante </w:t>
      </w:r>
      <w:r w:rsidR="00AF2BF4" w:rsidRPr="0030798C">
        <w:rPr>
          <w:sz w:val="24"/>
        </w:rPr>
        <w:t xml:space="preserve">è </w:t>
      </w:r>
      <w:r w:rsidR="00655B60" w:rsidRPr="0030798C">
        <w:rPr>
          <w:sz w:val="24"/>
        </w:rPr>
        <w:t xml:space="preserve">misurata in </w:t>
      </w:r>
      <w:r w:rsidR="00976189" w:rsidRPr="0030798C">
        <w:rPr>
          <w:sz w:val="24"/>
        </w:rPr>
        <w:t>punti</w:t>
      </w:r>
      <w:r w:rsidR="00D5216F" w:rsidRPr="0030798C">
        <w:rPr>
          <w:sz w:val="24"/>
        </w:rPr>
        <w:t xml:space="preserve"> </w:t>
      </w:r>
      <w:r w:rsidR="00655B60" w:rsidRPr="0030798C">
        <w:rPr>
          <w:sz w:val="24"/>
        </w:rPr>
        <w:t>caseload per il settore somatico-acuto</w:t>
      </w:r>
      <w:r w:rsidR="00AF2BF4" w:rsidRPr="0030798C">
        <w:rPr>
          <w:sz w:val="24"/>
        </w:rPr>
        <w:t xml:space="preserve"> e</w:t>
      </w:r>
      <w:r w:rsidR="00655B60" w:rsidRPr="0030798C">
        <w:rPr>
          <w:sz w:val="24"/>
        </w:rPr>
        <w:t xml:space="preserve"> in giornate di cura per il settore della riabilitazione </w:t>
      </w:r>
      <w:r w:rsidR="00D5216F" w:rsidRPr="0030798C">
        <w:rPr>
          <w:sz w:val="24"/>
        </w:rPr>
        <w:t xml:space="preserve">ed è il risultato del </w:t>
      </w:r>
      <w:r w:rsidR="00655B60" w:rsidRPr="0030798C">
        <w:rPr>
          <w:sz w:val="24"/>
        </w:rPr>
        <w:t xml:space="preserve">confronto </w:t>
      </w:r>
      <w:r w:rsidR="0094580A" w:rsidRPr="0030798C">
        <w:rPr>
          <w:sz w:val="24"/>
        </w:rPr>
        <w:t xml:space="preserve">tra </w:t>
      </w:r>
      <w:r w:rsidR="00655B60" w:rsidRPr="0030798C">
        <w:rPr>
          <w:sz w:val="24"/>
        </w:rPr>
        <w:t>i dati contrattualizzati e</w:t>
      </w:r>
      <w:r w:rsidR="0094580A" w:rsidRPr="0030798C">
        <w:rPr>
          <w:sz w:val="24"/>
        </w:rPr>
        <w:t xml:space="preserve">d </w:t>
      </w:r>
      <w:r w:rsidR="00655B60" w:rsidRPr="0030798C">
        <w:rPr>
          <w:sz w:val="24"/>
        </w:rPr>
        <w:t>i dati effettivi relativi all’anno 2020.</w:t>
      </w:r>
      <w:r w:rsidR="00AF2BF4" w:rsidRPr="0030798C">
        <w:rPr>
          <w:sz w:val="24"/>
        </w:rPr>
        <w:t xml:space="preserve"> </w:t>
      </w:r>
      <w:r w:rsidR="0094580A" w:rsidRPr="0030798C">
        <w:rPr>
          <w:sz w:val="24"/>
        </w:rPr>
        <w:t>L</w:t>
      </w:r>
      <w:r w:rsidR="00AF2BF4" w:rsidRPr="0030798C">
        <w:rPr>
          <w:sz w:val="24"/>
        </w:rPr>
        <w:t xml:space="preserve">a Clinica Luganese Moncucco SA di Lugano e la Clinica Santa Chiara di Locarno non sono state considerate nel computo del rimborso per mancati introiti poiché hanno avuto un’attività superiore a quella contrattualizzata, con la conseguente avvenuta fatturazione agli assicuratori malattia. </w:t>
      </w:r>
      <w:r w:rsidR="0094580A" w:rsidRPr="0030798C">
        <w:rPr>
          <w:sz w:val="24"/>
        </w:rPr>
        <w:t>I</w:t>
      </w:r>
      <w:r w:rsidR="00AF2BF4" w:rsidRPr="0030798C">
        <w:rPr>
          <w:sz w:val="24"/>
        </w:rPr>
        <w:t>l settore della psichiatria non ha rivendicato minori introiti.</w:t>
      </w:r>
    </w:p>
    <w:p w14:paraId="06BE20FC" w14:textId="77777777" w:rsidR="00B50F27" w:rsidRPr="0030798C" w:rsidRDefault="00B50F27" w:rsidP="00B50F27">
      <w:pPr>
        <w:pStyle w:val="ListNumeric"/>
        <w:numPr>
          <w:ilvl w:val="0"/>
          <w:numId w:val="0"/>
        </w:numPr>
        <w:rPr>
          <w:sz w:val="24"/>
        </w:rPr>
      </w:pPr>
    </w:p>
    <w:p w14:paraId="470419B8" w14:textId="4D5595E6" w:rsidR="00976189" w:rsidRPr="00C67F68" w:rsidRDefault="00C67F68" w:rsidP="00C67F68">
      <w:pPr>
        <w:pStyle w:val="Titolo3"/>
        <w:numPr>
          <w:ilvl w:val="0"/>
          <w:numId w:val="0"/>
        </w:numPr>
        <w:tabs>
          <w:tab w:val="left" w:pos="709"/>
        </w:tabs>
        <w:suppressAutoHyphens w:val="0"/>
        <w:spacing w:after="120"/>
        <w:jc w:val="both"/>
        <w:rPr>
          <w:rFonts w:ascii="Arial" w:eastAsia="Calibri" w:hAnsi="Arial" w:cs="Times New Roman"/>
          <w:i/>
          <w:sz w:val="23"/>
          <w:szCs w:val="23"/>
          <w:lang w:val="it-IT" w:eastAsia="it-IT"/>
        </w:rPr>
      </w:pPr>
      <w:r>
        <w:rPr>
          <w:rFonts w:ascii="Arial" w:eastAsia="Calibri" w:hAnsi="Arial" w:cs="Times New Roman"/>
          <w:i/>
          <w:sz w:val="23"/>
          <w:szCs w:val="23"/>
          <w:lang w:val="it-IT" w:eastAsia="it-IT"/>
        </w:rPr>
        <w:t>3.1.2</w:t>
      </w:r>
      <w:r>
        <w:rPr>
          <w:rFonts w:ascii="Arial" w:eastAsia="Calibri" w:hAnsi="Arial" w:cs="Times New Roman"/>
          <w:i/>
          <w:sz w:val="23"/>
          <w:szCs w:val="23"/>
          <w:lang w:val="it-IT" w:eastAsia="it-IT"/>
        </w:rPr>
        <w:tab/>
      </w:r>
      <w:r w:rsidR="00976189" w:rsidRPr="00C67F68">
        <w:rPr>
          <w:rFonts w:ascii="Arial" w:eastAsia="Calibri" w:hAnsi="Arial" w:cs="Times New Roman"/>
          <w:i/>
          <w:sz w:val="23"/>
          <w:szCs w:val="23"/>
          <w:lang w:val="it-IT" w:eastAsia="it-IT"/>
        </w:rPr>
        <w:t>Introiti delle altre assicurazioni sociali (infortuni, militare e invalidità)</w:t>
      </w:r>
    </w:p>
    <w:p w14:paraId="6A6AF2A5" w14:textId="265FBEAD" w:rsidR="00BF0C11" w:rsidRPr="0030798C" w:rsidRDefault="007F13D7" w:rsidP="00164ABC">
      <w:pPr>
        <w:pStyle w:val="ListNumeric"/>
        <w:numPr>
          <w:ilvl w:val="0"/>
          <w:numId w:val="0"/>
        </w:numPr>
        <w:contextualSpacing w:val="0"/>
        <w:rPr>
          <w:sz w:val="24"/>
        </w:rPr>
      </w:pPr>
      <w:r w:rsidRPr="0030798C">
        <w:rPr>
          <w:sz w:val="24"/>
        </w:rPr>
        <w:t>S</w:t>
      </w:r>
      <w:r w:rsidR="00164ABC" w:rsidRPr="0030798C">
        <w:rPr>
          <w:sz w:val="24"/>
        </w:rPr>
        <w:t xml:space="preserve">ono stati considerati </w:t>
      </w:r>
      <w:r w:rsidR="00B50F27" w:rsidRPr="0030798C">
        <w:rPr>
          <w:sz w:val="24"/>
        </w:rPr>
        <w:t xml:space="preserve">per la rifusione </w:t>
      </w:r>
      <w:r w:rsidR="00073535" w:rsidRPr="0030798C">
        <w:rPr>
          <w:sz w:val="24"/>
        </w:rPr>
        <w:t>dei mancati introiti</w:t>
      </w:r>
      <w:r w:rsidR="00B50F27" w:rsidRPr="0030798C">
        <w:rPr>
          <w:sz w:val="24"/>
        </w:rPr>
        <w:t xml:space="preserve"> i soli istituti</w:t>
      </w:r>
      <w:r w:rsidR="00164ABC" w:rsidRPr="0030798C">
        <w:rPr>
          <w:sz w:val="24"/>
        </w:rPr>
        <w:t xml:space="preserve"> </w:t>
      </w:r>
      <w:r w:rsidR="00BF0C11" w:rsidRPr="0030798C">
        <w:rPr>
          <w:sz w:val="24"/>
        </w:rPr>
        <w:t>EOC</w:t>
      </w:r>
      <w:r w:rsidR="00164ABC" w:rsidRPr="0030798C">
        <w:rPr>
          <w:sz w:val="24"/>
        </w:rPr>
        <w:t xml:space="preserve">, Clinica </w:t>
      </w:r>
      <w:r w:rsidR="00BF0C11" w:rsidRPr="0030798C">
        <w:rPr>
          <w:sz w:val="24"/>
        </w:rPr>
        <w:t>Hildebrand</w:t>
      </w:r>
      <w:r w:rsidR="00164ABC" w:rsidRPr="0030798C">
        <w:rPr>
          <w:sz w:val="24"/>
        </w:rPr>
        <w:t xml:space="preserve"> e Clinica Ars Medica</w:t>
      </w:r>
      <w:r w:rsidR="00B50F27" w:rsidRPr="0030798C">
        <w:rPr>
          <w:sz w:val="24"/>
        </w:rPr>
        <w:t xml:space="preserve">. L’approccio è forzatamente diverso </w:t>
      </w:r>
      <w:r w:rsidR="00164ABC" w:rsidRPr="0030798C">
        <w:rPr>
          <w:sz w:val="24"/>
        </w:rPr>
        <w:t>da quello sopra illustrato perché le</w:t>
      </w:r>
      <w:r w:rsidR="00B50F27" w:rsidRPr="0030798C">
        <w:rPr>
          <w:sz w:val="24"/>
        </w:rPr>
        <w:t xml:space="preserve"> modalità di finanziamento</w:t>
      </w:r>
      <w:r w:rsidR="00BF0C11" w:rsidRPr="0030798C">
        <w:rPr>
          <w:sz w:val="24"/>
        </w:rPr>
        <w:t xml:space="preserve"> </w:t>
      </w:r>
      <w:r w:rsidR="00B50F27" w:rsidRPr="0030798C">
        <w:rPr>
          <w:sz w:val="24"/>
        </w:rPr>
        <w:t>non contempla</w:t>
      </w:r>
      <w:r w:rsidR="00164ABC" w:rsidRPr="0030798C">
        <w:rPr>
          <w:sz w:val="24"/>
        </w:rPr>
        <w:t>no</w:t>
      </w:r>
      <w:r w:rsidR="00B50F27" w:rsidRPr="0030798C">
        <w:rPr>
          <w:sz w:val="24"/>
        </w:rPr>
        <w:t xml:space="preserve"> la parte cantonale</w:t>
      </w:r>
      <w:r w:rsidR="00164ABC" w:rsidRPr="0030798C">
        <w:rPr>
          <w:sz w:val="24"/>
        </w:rPr>
        <w:t xml:space="preserve">. </w:t>
      </w:r>
      <w:r w:rsidR="00B50F27" w:rsidRPr="0030798C">
        <w:rPr>
          <w:sz w:val="24"/>
        </w:rPr>
        <w:t xml:space="preserve"> </w:t>
      </w:r>
      <w:r w:rsidR="00164ABC" w:rsidRPr="0030798C">
        <w:rPr>
          <w:sz w:val="24"/>
        </w:rPr>
        <w:t>S</w:t>
      </w:r>
      <w:r w:rsidR="00B50F27" w:rsidRPr="0030798C">
        <w:rPr>
          <w:sz w:val="24"/>
        </w:rPr>
        <w:t>i è quindi calcolata la differenza tra i ricavi contabilizzati per questo comparto ne</w:t>
      </w:r>
      <w:r w:rsidR="00164ABC" w:rsidRPr="0030798C">
        <w:rPr>
          <w:sz w:val="24"/>
        </w:rPr>
        <w:t>ll’</w:t>
      </w:r>
      <w:r w:rsidR="00B50F27" w:rsidRPr="0030798C">
        <w:rPr>
          <w:sz w:val="24"/>
        </w:rPr>
        <w:t>ann</w:t>
      </w:r>
      <w:r w:rsidR="00164ABC" w:rsidRPr="0030798C">
        <w:rPr>
          <w:sz w:val="24"/>
        </w:rPr>
        <w:t>o</w:t>
      </w:r>
      <w:r w:rsidR="00B50F27" w:rsidRPr="0030798C">
        <w:rPr>
          <w:sz w:val="24"/>
        </w:rPr>
        <w:t xml:space="preserve"> 2020 </w:t>
      </w:r>
      <w:r w:rsidR="00164ABC" w:rsidRPr="0030798C">
        <w:rPr>
          <w:sz w:val="24"/>
        </w:rPr>
        <w:t xml:space="preserve">rispetto al </w:t>
      </w:r>
      <w:r w:rsidR="00B50F27" w:rsidRPr="0030798C">
        <w:rPr>
          <w:sz w:val="24"/>
        </w:rPr>
        <w:t>2019, ridotta al 70% per il coerente discorso sulla percentuale da coprire</w:t>
      </w:r>
      <w:r w:rsidR="00164ABC" w:rsidRPr="0030798C">
        <w:rPr>
          <w:sz w:val="24"/>
        </w:rPr>
        <w:t>, limitata ai soli costi fissi</w:t>
      </w:r>
      <w:r w:rsidR="00B50F27" w:rsidRPr="0030798C">
        <w:rPr>
          <w:sz w:val="24"/>
        </w:rPr>
        <w:t>.</w:t>
      </w:r>
    </w:p>
    <w:p w14:paraId="224CCDE2" w14:textId="5E9F8D52" w:rsidR="00B50F27" w:rsidRDefault="00B50F27" w:rsidP="00D5216F">
      <w:pPr>
        <w:pStyle w:val="ListNumeric"/>
        <w:numPr>
          <w:ilvl w:val="0"/>
          <w:numId w:val="0"/>
        </w:numPr>
        <w:rPr>
          <w:b/>
          <w:sz w:val="24"/>
        </w:rPr>
      </w:pPr>
    </w:p>
    <w:p w14:paraId="29FD786E" w14:textId="77777777" w:rsidR="00C67F68" w:rsidRPr="0030798C" w:rsidRDefault="00C67F68" w:rsidP="00D5216F">
      <w:pPr>
        <w:pStyle w:val="ListNumeric"/>
        <w:numPr>
          <w:ilvl w:val="0"/>
          <w:numId w:val="0"/>
        </w:numPr>
        <w:rPr>
          <w:b/>
          <w:sz w:val="24"/>
        </w:rPr>
      </w:pPr>
    </w:p>
    <w:p w14:paraId="77831630" w14:textId="4CE125CF" w:rsidR="00265A6D" w:rsidRPr="00C67F68" w:rsidRDefault="00D5216F" w:rsidP="00C67F68">
      <w:pPr>
        <w:pStyle w:val="Titolo2"/>
        <w:numPr>
          <w:ilvl w:val="0"/>
          <w:numId w:val="40"/>
        </w:numPr>
        <w:tabs>
          <w:tab w:val="left" w:pos="567"/>
        </w:tabs>
        <w:suppressAutoHyphens w:val="0"/>
        <w:spacing w:before="0" w:after="120"/>
        <w:ind w:left="0" w:firstLine="0"/>
        <w:jc w:val="both"/>
        <w:rPr>
          <w:rFonts w:ascii="Arial" w:eastAsia="Calibri" w:hAnsi="Arial" w:cs="Times New Roman"/>
          <w:sz w:val="24"/>
          <w:lang w:val="it-IT" w:eastAsia="it-IT"/>
        </w:rPr>
      </w:pPr>
      <w:r w:rsidRPr="00C67F68">
        <w:rPr>
          <w:rFonts w:ascii="Arial" w:eastAsia="Calibri" w:hAnsi="Arial" w:cs="Times New Roman"/>
          <w:sz w:val="24"/>
          <w:lang w:val="it-IT" w:eastAsia="it-IT"/>
        </w:rPr>
        <w:t>Settore ambulatoriale</w:t>
      </w:r>
    </w:p>
    <w:p w14:paraId="77953C34" w14:textId="507F5E6A" w:rsidR="00B50F27" w:rsidRPr="0030798C" w:rsidRDefault="00B50F27" w:rsidP="00993310">
      <w:pPr>
        <w:rPr>
          <w:sz w:val="24"/>
        </w:rPr>
      </w:pPr>
      <w:r w:rsidRPr="0030798C">
        <w:rPr>
          <w:sz w:val="24"/>
        </w:rPr>
        <w:t xml:space="preserve">Per questo settore si propone di considerare i mancati introiti relativi al periodo di blocco decretato a livello federale (dal 17 marzo al 26 aprile 2020) </w:t>
      </w:r>
      <w:r w:rsidR="00E66685" w:rsidRPr="0030798C">
        <w:rPr>
          <w:sz w:val="24"/>
        </w:rPr>
        <w:t xml:space="preserve">limitatamente al </w:t>
      </w:r>
      <w:r w:rsidRPr="0030798C">
        <w:rPr>
          <w:sz w:val="24"/>
        </w:rPr>
        <w:t>settore finanziato dall’assicurazione malattia di base.</w:t>
      </w:r>
      <w:r w:rsidR="00BB59AC" w:rsidRPr="0030798C">
        <w:rPr>
          <w:sz w:val="24"/>
        </w:rPr>
        <w:t xml:space="preserve"> Non disponendo dei dati sui ricavi ambulatoriali, si sono utilizzati i costi del settore ambulatoriale del 2019 ridotti al 70% (costi fissi) e considerati in proporzione al periodo di chiusura: 40 giorni su 365.</w:t>
      </w:r>
    </w:p>
    <w:p w14:paraId="59BD2D8E" w14:textId="5194A98D" w:rsidR="002C3870" w:rsidRDefault="002C3870" w:rsidP="00993310">
      <w:pPr>
        <w:rPr>
          <w:sz w:val="24"/>
        </w:rPr>
      </w:pPr>
    </w:p>
    <w:p w14:paraId="4F3965E8" w14:textId="77777777" w:rsidR="00C67F68" w:rsidRPr="0030798C" w:rsidRDefault="00C67F68" w:rsidP="00993310">
      <w:pPr>
        <w:rPr>
          <w:sz w:val="24"/>
        </w:rPr>
      </w:pPr>
    </w:p>
    <w:p w14:paraId="49898C7B" w14:textId="116F8597" w:rsidR="00976189" w:rsidRPr="00C67F68" w:rsidRDefault="00976189" w:rsidP="00C67F68">
      <w:pPr>
        <w:pStyle w:val="Titolo2"/>
        <w:numPr>
          <w:ilvl w:val="0"/>
          <w:numId w:val="40"/>
        </w:numPr>
        <w:tabs>
          <w:tab w:val="left" w:pos="567"/>
        </w:tabs>
        <w:suppressAutoHyphens w:val="0"/>
        <w:spacing w:before="0" w:after="120"/>
        <w:ind w:left="0" w:firstLine="0"/>
        <w:jc w:val="both"/>
        <w:rPr>
          <w:rFonts w:ascii="Arial" w:eastAsia="Calibri" w:hAnsi="Arial" w:cs="Times New Roman"/>
          <w:sz w:val="24"/>
          <w:lang w:val="it-IT" w:eastAsia="it-IT"/>
        </w:rPr>
      </w:pPr>
      <w:r w:rsidRPr="00C67F68">
        <w:rPr>
          <w:rFonts w:ascii="Arial" w:eastAsia="Calibri" w:hAnsi="Arial" w:cs="Times New Roman"/>
          <w:sz w:val="24"/>
          <w:lang w:val="it-IT" w:eastAsia="it-IT"/>
        </w:rPr>
        <w:t>Altri ricavi mancanti</w:t>
      </w:r>
    </w:p>
    <w:p w14:paraId="5AC4D51B" w14:textId="10F0E9E5" w:rsidR="002C3870" w:rsidRPr="0030798C" w:rsidRDefault="002C3870" w:rsidP="002C3870">
      <w:pPr>
        <w:spacing w:after="60"/>
        <w:rPr>
          <w:sz w:val="24"/>
        </w:rPr>
      </w:pPr>
      <w:r w:rsidRPr="0030798C">
        <w:rPr>
          <w:sz w:val="24"/>
        </w:rPr>
        <w:t>Si tratta di entrate per prestazioni</w:t>
      </w:r>
      <w:r w:rsidR="00E66685" w:rsidRPr="0030798C">
        <w:rPr>
          <w:sz w:val="24"/>
        </w:rPr>
        <w:t xml:space="preserve"> erogate </w:t>
      </w:r>
      <w:r w:rsidRPr="0030798C">
        <w:rPr>
          <w:sz w:val="24"/>
        </w:rPr>
        <w:t xml:space="preserve">al personale e a terzi </w:t>
      </w:r>
      <w:r w:rsidR="00E66685" w:rsidRPr="0030798C">
        <w:rPr>
          <w:sz w:val="24"/>
        </w:rPr>
        <w:t xml:space="preserve">non legate alle cure che sono </w:t>
      </w:r>
      <w:r w:rsidRPr="0030798C">
        <w:rPr>
          <w:sz w:val="24"/>
        </w:rPr>
        <w:t>venute a mancare</w:t>
      </w:r>
      <w:r w:rsidR="00E66685" w:rsidRPr="0030798C">
        <w:rPr>
          <w:sz w:val="24"/>
        </w:rPr>
        <w:t>. A</w:t>
      </w:r>
      <w:r w:rsidRPr="0030798C">
        <w:rPr>
          <w:sz w:val="24"/>
        </w:rPr>
        <w:t>nche nell</w:t>
      </w:r>
      <w:r w:rsidR="00E66685" w:rsidRPr="0030798C">
        <w:rPr>
          <w:sz w:val="24"/>
        </w:rPr>
        <w:t>’</w:t>
      </w:r>
      <w:r w:rsidRPr="0030798C">
        <w:rPr>
          <w:sz w:val="24"/>
        </w:rPr>
        <w:t>approccio di H+</w:t>
      </w:r>
      <w:r w:rsidR="00E66685" w:rsidRPr="0030798C">
        <w:rPr>
          <w:sz w:val="24"/>
        </w:rPr>
        <w:t>,</w:t>
      </w:r>
      <w:r w:rsidRPr="0030798C">
        <w:rPr>
          <w:sz w:val="24"/>
        </w:rPr>
        <w:t xml:space="preserve"> l’associazione mantello che raggruppa gli istituti ospedalieri, </w:t>
      </w:r>
      <w:r w:rsidR="00E66685" w:rsidRPr="0030798C">
        <w:rPr>
          <w:sz w:val="24"/>
        </w:rPr>
        <w:t xml:space="preserve">queste mancate entrate </w:t>
      </w:r>
      <w:r w:rsidRPr="0030798C">
        <w:rPr>
          <w:sz w:val="24"/>
        </w:rPr>
        <w:t xml:space="preserve">non sono </w:t>
      </w:r>
      <w:r w:rsidR="00E66685" w:rsidRPr="0030798C">
        <w:rPr>
          <w:sz w:val="24"/>
        </w:rPr>
        <w:t xml:space="preserve">state </w:t>
      </w:r>
      <w:r w:rsidRPr="0030798C">
        <w:rPr>
          <w:sz w:val="24"/>
        </w:rPr>
        <w:t xml:space="preserve">considerate nelle “rivendicazioni” di copertura, analogamente a quanto ritenuto per i ricavi da assicurazioni complementari e da </w:t>
      </w:r>
      <w:r w:rsidR="00E66685" w:rsidRPr="0030798C">
        <w:rPr>
          <w:sz w:val="24"/>
        </w:rPr>
        <w:t xml:space="preserve">pazienti </w:t>
      </w:r>
      <w:r w:rsidRPr="0030798C">
        <w:rPr>
          <w:sz w:val="24"/>
        </w:rPr>
        <w:t>autopaganti.</w:t>
      </w:r>
    </w:p>
    <w:p w14:paraId="735DDC9C" w14:textId="3A5F705E" w:rsidR="00BB59AC" w:rsidRDefault="00BB59AC" w:rsidP="00993310">
      <w:pPr>
        <w:rPr>
          <w:sz w:val="24"/>
        </w:rPr>
      </w:pPr>
    </w:p>
    <w:p w14:paraId="7A66A1DC" w14:textId="77777777" w:rsidR="00C67F68" w:rsidRPr="0030798C" w:rsidRDefault="00C67F68" w:rsidP="00993310">
      <w:pPr>
        <w:rPr>
          <w:sz w:val="24"/>
        </w:rPr>
      </w:pPr>
    </w:p>
    <w:p w14:paraId="72E5545D" w14:textId="77777777" w:rsidR="00993310" w:rsidRPr="00C67F68" w:rsidRDefault="00BB59AC" w:rsidP="00C67F68">
      <w:pPr>
        <w:pStyle w:val="Titolo2"/>
        <w:numPr>
          <w:ilvl w:val="0"/>
          <w:numId w:val="40"/>
        </w:numPr>
        <w:tabs>
          <w:tab w:val="left" w:pos="567"/>
        </w:tabs>
        <w:suppressAutoHyphens w:val="0"/>
        <w:spacing w:before="0" w:after="120"/>
        <w:ind w:left="0" w:firstLine="0"/>
        <w:jc w:val="both"/>
        <w:rPr>
          <w:rFonts w:ascii="Arial" w:eastAsia="Calibri" w:hAnsi="Arial" w:cs="Times New Roman"/>
          <w:sz w:val="24"/>
          <w:lang w:val="it-IT" w:eastAsia="it-IT"/>
        </w:rPr>
      </w:pPr>
      <w:r w:rsidRPr="00C67F68">
        <w:rPr>
          <w:rFonts w:ascii="Arial" w:eastAsia="Calibri" w:hAnsi="Arial" w:cs="Times New Roman"/>
          <w:sz w:val="24"/>
          <w:lang w:val="it-IT" w:eastAsia="it-IT"/>
        </w:rPr>
        <w:t>Riassunto delle richieste e delle proposte di riconoscimento</w:t>
      </w:r>
    </w:p>
    <w:p w14:paraId="2282A0D0" w14:textId="4E115B27" w:rsidR="007F13D7" w:rsidRPr="0030798C" w:rsidRDefault="002C3870" w:rsidP="00E66685">
      <w:pPr>
        <w:rPr>
          <w:sz w:val="24"/>
        </w:rPr>
      </w:pPr>
      <w:r w:rsidRPr="0030798C">
        <w:rPr>
          <w:sz w:val="24"/>
        </w:rPr>
        <w:t>La tabella che segue riassume le richieste degli istituti ospedalieri e le proposte di riconoscimento del Cantone</w:t>
      </w:r>
      <w:r w:rsidR="00E66685" w:rsidRPr="0030798C">
        <w:rPr>
          <w:sz w:val="24"/>
        </w:rPr>
        <w:t xml:space="preserve"> in base ai parametri e calcoli illustrati sin qui. </w:t>
      </w:r>
    </w:p>
    <w:p w14:paraId="43DD0C91" w14:textId="7F30A1B1" w:rsidR="00C0079A" w:rsidRPr="0030798C" w:rsidRDefault="007F13D7" w:rsidP="00BB59AC">
      <w:pPr>
        <w:rPr>
          <w:sz w:val="24"/>
        </w:rPr>
      </w:pPr>
      <w:r w:rsidRPr="0030798C">
        <w:rPr>
          <w:sz w:val="24"/>
        </w:rPr>
        <w:lastRenderedPageBreak/>
        <w:t>In sintesi,</w:t>
      </w:r>
      <w:r w:rsidR="00834BF2" w:rsidRPr="0030798C">
        <w:rPr>
          <w:sz w:val="24"/>
        </w:rPr>
        <w:t xml:space="preserve"> a fronte di 45.09 milioni di franchi </w:t>
      </w:r>
      <w:r w:rsidR="00E66685" w:rsidRPr="0030798C">
        <w:rPr>
          <w:sz w:val="24"/>
        </w:rPr>
        <w:t xml:space="preserve">di mancati introiti rivendicati, </w:t>
      </w:r>
      <w:r w:rsidR="00834BF2" w:rsidRPr="0030798C">
        <w:rPr>
          <w:sz w:val="24"/>
        </w:rPr>
        <w:t>si propone di versare 18.22</w:t>
      </w:r>
      <w:r w:rsidR="00C0079A" w:rsidRPr="0030798C">
        <w:rPr>
          <w:sz w:val="24"/>
        </w:rPr>
        <w:t xml:space="preserve"> </w:t>
      </w:r>
      <w:r w:rsidR="00E66685" w:rsidRPr="0030798C">
        <w:rPr>
          <w:sz w:val="24"/>
        </w:rPr>
        <w:t xml:space="preserve">milioni di franchi.  </w:t>
      </w:r>
    </w:p>
    <w:p w14:paraId="1237EA99" w14:textId="77777777" w:rsidR="002C3870" w:rsidRPr="0030798C" w:rsidRDefault="002C3870" w:rsidP="00BB59AC">
      <w:pPr>
        <w:rPr>
          <w:sz w:val="28"/>
          <w:szCs w:val="24"/>
        </w:rPr>
      </w:pPr>
    </w:p>
    <w:p w14:paraId="7C4CCADC" w14:textId="77777777" w:rsidR="007F13D7" w:rsidRPr="0030798C" w:rsidRDefault="004A0723" w:rsidP="00993310">
      <w:pPr>
        <w:rPr>
          <w:sz w:val="28"/>
          <w:szCs w:val="24"/>
        </w:rPr>
      </w:pPr>
      <w:r w:rsidRPr="0030798C">
        <w:rPr>
          <w:noProof/>
          <w:sz w:val="24"/>
          <w:lang w:eastAsia="it-CH"/>
        </w:rPr>
        <w:drawing>
          <wp:inline distT="0" distB="0" distL="0" distR="0" wp14:anchorId="33DBEEDA" wp14:editId="4A6426C8">
            <wp:extent cx="6022975" cy="54368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22975" cy="5436870"/>
                    </a:xfrm>
                    <a:prstGeom prst="rect">
                      <a:avLst/>
                    </a:prstGeom>
                  </pic:spPr>
                </pic:pic>
              </a:graphicData>
            </a:graphic>
          </wp:inline>
        </w:drawing>
      </w:r>
      <w:r w:rsidR="00C0079A" w:rsidRPr="0030798C">
        <w:rPr>
          <w:sz w:val="28"/>
          <w:szCs w:val="24"/>
        </w:rPr>
        <w:t xml:space="preserve"> </w:t>
      </w:r>
    </w:p>
    <w:p w14:paraId="36A7827A" w14:textId="77777777" w:rsidR="00073535" w:rsidRPr="0030798C" w:rsidRDefault="00073535" w:rsidP="00993310">
      <w:pPr>
        <w:rPr>
          <w:sz w:val="24"/>
        </w:rPr>
      </w:pPr>
    </w:p>
    <w:p w14:paraId="5A97F0B0" w14:textId="1A834B52" w:rsidR="00C67F68" w:rsidRPr="0030798C" w:rsidRDefault="007F13D7" w:rsidP="00993310">
      <w:pPr>
        <w:rPr>
          <w:sz w:val="24"/>
        </w:rPr>
      </w:pPr>
      <w:r w:rsidRPr="0030798C">
        <w:rPr>
          <w:sz w:val="24"/>
        </w:rPr>
        <w:t xml:space="preserve">Secondo il Governo </w:t>
      </w:r>
      <w:r w:rsidR="00834BF2" w:rsidRPr="0030798C">
        <w:rPr>
          <w:sz w:val="24"/>
        </w:rPr>
        <w:t>il ricon</w:t>
      </w:r>
      <w:r w:rsidR="00976189" w:rsidRPr="0030798C">
        <w:rPr>
          <w:sz w:val="24"/>
        </w:rPr>
        <w:t xml:space="preserve">oscimento dei mancati introiti </w:t>
      </w:r>
      <w:r w:rsidR="00834BF2" w:rsidRPr="0030798C">
        <w:rPr>
          <w:sz w:val="24"/>
        </w:rPr>
        <w:t>nella misura proposta</w:t>
      </w:r>
      <w:r w:rsidRPr="0030798C">
        <w:rPr>
          <w:sz w:val="24"/>
        </w:rPr>
        <w:t xml:space="preserve"> resta un</w:t>
      </w:r>
      <w:r w:rsidR="00834BF2" w:rsidRPr="0030798C">
        <w:rPr>
          <w:sz w:val="24"/>
        </w:rPr>
        <w:t xml:space="preserve"> doveroso riconoscimento della capacità di adattamento e di risposta concreta e immediata al fabbisogno della popolazione residente nel Cantone</w:t>
      </w:r>
      <w:r w:rsidR="00763623" w:rsidRPr="0030798C">
        <w:rPr>
          <w:sz w:val="24"/>
        </w:rPr>
        <w:t xml:space="preserve">. </w:t>
      </w:r>
    </w:p>
    <w:p w14:paraId="75F2C977" w14:textId="77777777" w:rsidR="00F7370B" w:rsidRPr="0030798C" w:rsidRDefault="00452E86" w:rsidP="00993310">
      <w:pPr>
        <w:rPr>
          <w:sz w:val="24"/>
        </w:rPr>
      </w:pPr>
      <w:r w:rsidRPr="0030798C">
        <w:rPr>
          <w:sz w:val="24"/>
        </w:rPr>
        <w:t xml:space="preserve">Criteri e metodologia sono stati considerati in maniera analoga per tutte le strutture. </w:t>
      </w:r>
      <w:r w:rsidR="00726427" w:rsidRPr="0030798C">
        <w:rPr>
          <w:sz w:val="24"/>
        </w:rPr>
        <w:t>L’80% del</w:t>
      </w:r>
      <w:r w:rsidRPr="0030798C">
        <w:rPr>
          <w:sz w:val="24"/>
        </w:rPr>
        <w:t xml:space="preserve"> contributo proposto di fatto va a compensare le ingenti perdite subite dall’EOC. </w:t>
      </w:r>
    </w:p>
    <w:p w14:paraId="7E27E2D2" w14:textId="77777777" w:rsidR="00F7370B" w:rsidRPr="0030798C" w:rsidRDefault="00F7370B" w:rsidP="00993310">
      <w:pPr>
        <w:rPr>
          <w:sz w:val="24"/>
        </w:rPr>
      </w:pPr>
    </w:p>
    <w:p w14:paraId="5B359796" w14:textId="77777777" w:rsidR="00834BF2" w:rsidRPr="0030798C" w:rsidRDefault="00834BF2" w:rsidP="00993310">
      <w:pPr>
        <w:rPr>
          <w:sz w:val="24"/>
        </w:rPr>
      </w:pPr>
      <w:r w:rsidRPr="0030798C">
        <w:rPr>
          <w:sz w:val="24"/>
        </w:rPr>
        <w:t>Le valutazioni effettuate prescind</w:t>
      </w:r>
      <w:r w:rsidR="00452E86" w:rsidRPr="0030798C">
        <w:rPr>
          <w:sz w:val="24"/>
        </w:rPr>
        <w:t>ono</w:t>
      </w:r>
      <w:r w:rsidRPr="0030798C">
        <w:rPr>
          <w:sz w:val="24"/>
        </w:rPr>
        <w:t xml:space="preserve"> dal risultato d’e</w:t>
      </w:r>
      <w:r w:rsidR="003B2407" w:rsidRPr="0030798C">
        <w:rPr>
          <w:sz w:val="24"/>
        </w:rPr>
        <w:t xml:space="preserve">sercizio delle singole strutture. Tuttavia, analizzando i risultati d’esercizio </w:t>
      </w:r>
      <w:r w:rsidR="00452E86" w:rsidRPr="0030798C">
        <w:rPr>
          <w:sz w:val="24"/>
        </w:rPr>
        <w:t xml:space="preserve">degli </w:t>
      </w:r>
      <w:r w:rsidR="003B2407" w:rsidRPr="0030798C">
        <w:rPr>
          <w:sz w:val="24"/>
        </w:rPr>
        <w:t>istituti somatico-a</w:t>
      </w:r>
      <w:r w:rsidR="0005788D" w:rsidRPr="0030798C">
        <w:rPr>
          <w:sz w:val="24"/>
        </w:rPr>
        <w:t xml:space="preserve">cuti </w:t>
      </w:r>
      <w:r w:rsidR="003B2407" w:rsidRPr="0030798C">
        <w:rPr>
          <w:sz w:val="24"/>
        </w:rPr>
        <w:t xml:space="preserve">e della </w:t>
      </w:r>
      <w:r w:rsidR="00452E86" w:rsidRPr="0030798C">
        <w:rPr>
          <w:sz w:val="24"/>
        </w:rPr>
        <w:t>C</w:t>
      </w:r>
      <w:r w:rsidR="003B2407" w:rsidRPr="0030798C">
        <w:rPr>
          <w:sz w:val="24"/>
        </w:rPr>
        <w:t xml:space="preserve">linica Hildebrand </w:t>
      </w:r>
      <w:r w:rsidR="00452E86" w:rsidRPr="0030798C">
        <w:rPr>
          <w:sz w:val="24"/>
        </w:rPr>
        <w:t xml:space="preserve">emerge </w:t>
      </w:r>
      <w:r w:rsidR="003B2407" w:rsidRPr="0030798C">
        <w:rPr>
          <w:sz w:val="24"/>
        </w:rPr>
        <w:t xml:space="preserve">che i contributi riconosciuti complessivamente </w:t>
      </w:r>
      <w:r w:rsidR="00976189" w:rsidRPr="0030798C">
        <w:rPr>
          <w:sz w:val="24"/>
        </w:rPr>
        <w:t>contribuiscono</w:t>
      </w:r>
      <w:r w:rsidR="003B2407" w:rsidRPr="0030798C">
        <w:rPr>
          <w:sz w:val="24"/>
        </w:rPr>
        <w:t xml:space="preserve"> ad attenuare le perdite d’esercizio</w:t>
      </w:r>
      <w:r w:rsidR="00976189" w:rsidRPr="0030798C">
        <w:rPr>
          <w:sz w:val="24"/>
        </w:rPr>
        <w:t xml:space="preserve"> </w:t>
      </w:r>
      <w:r w:rsidR="00452E86" w:rsidRPr="0030798C">
        <w:rPr>
          <w:sz w:val="24"/>
        </w:rPr>
        <w:t xml:space="preserve">o comunque non migliorano </w:t>
      </w:r>
      <w:r w:rsidR="003B2407" w:rsidRPr="0030798C">
        <w:rPr>
          <w:sz w:val="24"/>
        </w:rPr>
        <w:t xml:space="preserve">i risultati positivi </w:t>
      </w:r>
      <w:r w:rsidR="00452E86" w:rsidRPr="0030798C">
        <w:rPr>
          <w:sz w:val="24"/>
        </w:rPr>
        <w:t xml:space="preserve">rispetto alle chiusure del </w:t>
      </w:r>
      <w:r w:rsidR="003B2407" w:rsidRPr="0030798C">
        <w:rPr>
          <w:sz w:val="24"/>
        </w:rPr>
        <w:t>2019</w:t>
      </w:r>
      <w:r w:rsidR="00452E86" w:rsidRPr="0030798C">
        <w:rPr>
          <w:sz w:val="24"/>
        </w:rPr>
        <w:t xml:space="preserve">. L’unica eccezione è costituita dalla </w:t>
      </w:r>
      <w:r w:rsidR="003B2407" w:rsidRPr="0030798C">
        <w:rPr>
          <w:sz w:val="24"/>
        </w:rPr>
        <w:t xml:space="preserve">Clinica Santa Chiara che però ha conosciuto un’inversione di tendenza </w:t>
      </w:r>
      <w:r w:rsidR="00452E86" w:rsidRPr="0030798C">
        <w:rPr>
          <w:sz w:val="24"/>
        </w:rPr>
        <w:t>legata ad una crescita significativa dell’attività</w:t>
      </w:r>
      <w:r w:rsidR="003B2407" w:rsidRPr="0030798C">
        <w:rPr>
          <w:sz w:val="24"/>
        </w:rPr>
        <w:t>.</w:t>
      </w:r>
    </w:p>
    <w:p w14:paraId="320534BA" w14:textId="77777777" w:rsidR="00452E86" w:rsidRPr="0030798C" w:rsidRDefault="00452E86" w:rsidP="00993310">
      <w:pPr>
        <w:rPr>
          <w:sz w:val="24"/>
        </w:rPr>
      </w:pPr>
      <w:r w:rsidRPr="0030798C">
        <w:rPr>
          <w:sz w:val="24"/>
        </w:rPr>
        <w:t xml:space="preserve">La tabella che segue illustra per singola struttura gli importi richiesti a titolo di maggiori costi e di minori introiti, quelli riconosciuti come maggiori costi 2020 e quelli che si propone </w:t>
      </w:r>
      <w:r w:rsidRPr="0030798C">
        <w:rPr>
          <w:sz w:val="24"/>
        </w:rPr>
        <w:lastRenderedPageBreak/>
        <w:t xml:space="preserve">di versare come minori introiti, ponendo queste cifre in relazione anche ai risultati degli esercizi 2019 e 2020. </w:t>
      </w:r>
    </w:p>
    <w:p w14:paraId="0CC4983E" w14:textId="77777777" w:rsidR="00763623" w:rsidRPr="0030798C" w:rsidRDefault="00763623" w:rsidP="00993310">
      <w:pPr>
        <w:rPr>
          <w:sz w:val="28"/>
          <w:szCs w:val="24"/>
        </w:rPr>
      </w:pPr>
    </w:p>
    <w:p w14:paraId="6D113FBD" w14:textId="77777777" w:rsidR="00C0079A" w:rsidRPr="0030798C" w:rsidRDefault="00726427" w:rsidP="00993310">
      <w:pPr>
        <w:rPr>
          <w:sz w:val="28"/>
          <w:szCs w:val="24"/>
        </w:rPr>
      </w:pPr>
      <w:r w:rsidRPr="0030798C">
        <w:rPr>
          <w:noProof/>
          <w:sz w:val="24"/>
          <w:lang w:eastAsia="it-CH"/>
        </w:rPr>
        <w:drawing>
          <wp:inline distT="0" distB="0" distL="0" distR="0" wp14:anchorId="65491379" wp14:editId="7DF9C213">
            <wp:extent cx="7930248" cy="4120436"/>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8039363" cy="4177131"/>
                    </a:xfrm>
                    <a:prstGeom prst="rect">
                      <a:avLst/>
                    </a:prstGeom>
                    <a:noFill/>
                    <a:ln>
                      <a:noFill/>
                    </a:ln>
                  </pic:spPr>
                </pic:pic>
              </a:graphicData>
            </a:graphic>
          </wp:inline>
        </w:drawing>
      </w:r>
    </w:p>
    <w:p w14:paraId="49C71EDC" w14:textId="77777777" w:rsidR="00F7370B" w:rsidRPr="0030798C" w:rsidRDefault="00F7370B" w:rsidP="008F5F03">
      <w:pPr>
        <w:pStyle w:val="Paragrafoelenco"/>
        <w:ind w:left="567"/>
        <w:rPr>
          <w:b/>
          <w:sz w:val="28"/>
          <w:szCs w:val="24"/>
        </w:rPr>
      </w:pPr>
    </w:p>
    <w:p w14:paraId="76F7B8A8" w14:textId="77777777" w:rsidR="00F7370B" w:rsidRPr="0030798C" w:rsidRDefault="00F7370B" w:rsidP="008F5F03">
      <w:pPr>
        <w:pStyle w:val="Paragrafoelenco"/>
        <w:ind w:left="567"/>
        <w:rPr>
          <w:b/>
          <w:sz w:val="28"/>
          <w:szCs w:val="24"/>
        </w:rPr>
      </w:pPr>
    </w:p>
    <w:p w14:paraId="187403F6" w14:textId="63C4D2AB" w:rsidR="00C0079A" w:rsidRPr="0030798C" w:rsidRDefault="00C67F68" w:rsidP="00C67F68">
      <w:pPr>
        <w:pStyle w:val="Titolo2"/>
        <w:numPr>
          <w:ilvl w:val="0"/>
          <w:numId w:val="0"/>
        </w:numPr>
        <w:tabs>
          <w:tab w:val="left" w:pos="567"/>
        </w:tabs>
        <w:suppressAutoHyphens w:val="0"/>
        <w:spacing w:before="0" w:after="120"/>
        <w:jc w:val="both"/>
        <w:rPr>
          <w:b w:val="0"/>
          <w:sz w:val="24"/>
        </w:rPr>
      </w:pPr>
      <w:r>
        <w:rPr>
          <w:rFonts w:ascii="Arial" w:eastAsia="Calibri" w:hAnsi="Arial" w:cs="Times New Roman"/>
          <w:sz w:val="24"/>
          <w:lang w:val="it-IT" w:eastAsia="it-IT"/>
        </w:rPr>
        <w:t>7.</w:t>
      </w:r>
      <w:r>
        <w:rPr>
          <w:rFonts w:ascii="Arial" w:eastAsia="Calibri" w:hAnsi="Arial" w:cs="Times New Roman"/>
          <w:sz w:val="24"/>
          <w:lang w:val="it-IT" w:eastAsia="it-IT"/>
        </w:rPr>
        <w:tab/>
      </w:r>
      <w:r w:rsidR="00073535" w:rsidRPr="00C67F68">
        <w:rPr>
          <w:rFonts w:ascii="Arial" w:eastAsia="Calibri" w:hAnsi="Arial" w:cs="Times New Roman"/>
          <w:sz w:val="24"/>
          <w:lang w:val="it-IT" w:eastAsia="it-IT"/>
        </w:rPr>
        <w:t>Modalità di versamento</w:t>
      </w:r>
    </w:p>
    <w:p w14:paraId="71E6AC95" w14:textId="37F2F435" w:rsidR="00C0079A" w:rsidRPr="00C67F68" w:rsidRDefault="00607FDD" w:rsidP="0020500C">
      <w:pPr>
        <w:rPr>
          <w:sz w:val="24"/>
        </w:rPr>
      </w:pPr>
      <w:r w:rsidRPr="0030798C">
        <w:rPr>
          <w:sz w:val="24"/>
        </w:rPr>
        <w:t xml:space="preserve">Come indicato a pag. 2 del presente Rapporto, nel 2020, </w:t>
      </w:r>
      <w:r w:rsidR="00C0079A" w:rsidRPr="0030798C">
        <w:rPr>
          <w:sz w:val="24"/>
        </w:rPr>
        <w:t xml:space="preserve">è stato </w:t>
      </w:r>
      <w:r w:rsidR="003D19D8" w:rsidRPr="0030798C">
        <w:rPr>
          <w:sz w:val="24"/>
        </w:rPr>
        <w:t xml:space="preserve">costituito nel bilancio dello Stato </w:t>
      </w:r>
      <w:r w:rsidR="00C0079A" w:rsidRPr="0030798C">
        <w:rPr>
          <w:sz w:val="24"/>
        </w:rPr>
        <w:t xml:space="preserve">un accantonamento di </w:t>
      </w:r>
      <w:r w:rsidRPr="0030798C">
        <w:rPr>
          <w:sz w:val="24"/>
        </w:rPr>
        <w:t>complessivi</w:t>
      </w:r>
      <w:r w:rsidR="008E267E" w:rsidRPr="0030798C">
        <w:rPr>
          <w:sz w:val="24"/>
        </w:rPr>
        <w:t xml:space="preserve"> fr. 60'000'000 </w:t>
      </w:r>
      <w:r w:rsidRPr="0030798C">
        <w:rPr>
          <w:sz w:val="24"/>
        </w:rPr>
        <w:t>(di cui oltre 13 milioni anticipati)</w:t>
      </w:r>
      <w:r w:rsidR="00C0079A" w:rsidRPr="0030798C">
        <w:rPr>
          <w:sz w:val="24"/>
        </w:rPr>
        <w:t xml:space="preserve">. </w:t>
      </w:r>
      <w:r w:rsidR="008E267E" w:rsidRPr="0030798C">
        <w:rPr>
          <w:sz w:val="24"/>
        </w:rPr>
        <w:t xml:space="preserve">Al momento attuale sono </w:t>
      </w:r>
      <w:r w:rsidR="0037420B" w:rsidRPr="0030798C">
        <w:rPr>
          <w:sz w:val="24"/>
        </w:rPr>
        <w:t xml:space="preserve">stati </w:t>
      </w:r>
      <w:r w:rsidR="008E267E" w:rsidRPr="0030798C">
        <w:rPr>
          <w:sz w:val="24"/>
        </w:rPr>
        <w:t>riconosciuti costi</w:t>
      </w:r>
      <w:r w:rsidR="00C0079A" w:rsidRPr="0030798C">
        <w:rPr>
          <w:sz w:val="24"/>
        </w:rPr>
        <w:t xml:space="preserve"> COVID 2020 e 2021 </w:t>
      </w:r>
      <w:r w:rsidRPr="0030798C">
        <w:rPr>
          <w:sz w:val="24"/>
        </w:rPr>
        <w:t xml:space="preserve">(cfr. sopra punti 1.1 e 1.2) </w:t>
      </w:r>
      <w:r w:rsidR="00C0079A" w:rsidRPr="0030798C">
        <w:rPr>
          <w:sz w:val="24"/>
        </w:rPr>
        <w:t>nella misura rispettivamente di fr.</w:t>
      </w:r>
      <w:r w:rsidR="003D19D8" w:rsidRPr="0030798C">
        <w:rPr>
          <w:sz w:val="24"/>
        </w:rPr>
        <w:t> </w:t>
      </w:r>
      <w:r w:rsidR="008E267E" w:rsidRPr="0030798C">
        <w:rPr>
          <w:sz w:val="24"/>
        </w:rPr>
        <w:t>19'640</w:t>
      </w:r>
      <w:r w:rsidR="0037420B" w:rsidRPr="0030798C">
        <w:rPr>
          <w:sz w:val="24"/>
        </w:rPr>
        <w:t>'</w:t>
      </w:r>
      <w:r w:rsidR="008E267E" w:rsidRPr="0030798C">
        <w:rPr>
          <w:sz w:val="24"/>
        </w:rPr>
        <w:t>100</w:t>
      </w:r>
      <w:r w:rsidR="0037420B" w:rsidRPr="0030798C">
        <w:rPr>
          <w:sz w:val="24"/>
        </w:rPr>
        <w:t xml:space="preserve"> </w:t>
      </w:r>
      <w:r w:rsidR="00780AB3" w:rsidRPr="0030798C">
        <w:rPr>
          <w:sz w:val="24"/>
        </w:rPr>
        <w:t>(al netto di un ricupero di anticipi per fr. 741'900)</w:t>
      </w:r>
      <w:r w:rsidR="003D19D8" w:rsidRPr="0030798C">
        <w:rPr>
          <w:sz w:val="24"/>
        </w:rPr>
        <w:t xml:space="preserve"> </w:t>
      </w:r>
      <w:r w:rsidR="00C0079A" w:rsidRPr="0030798C">
        <w:rPr>
          <w:sz w:val="24"/>
        </w:rPr>
        <w:t xml:space="preserve">e di fr. 9'175'700, </w:t>
      </w:r>
      <w:r w:rsidR="0020500C" w:rsidRPr="0030798C">
        <w:rPr>
          <w:sz w:val="24"/>
        </w:rPr>
        <w:t>secondo criteri e modalità indicate</w:t>
      </w:r>
      <w:r w:rsidR="00C67F68">
        <w:rPr>
          <w:sz w:val="24"/>
        </w:rPr>
        <w:t xml:space="preserve"> al capitolo II.1 del presente m</w:t>
      </w:r>
      <w:r w:rsidR="0020500C" w:rsidRPr="0030798C">
        <w:rPr>
          <w:sz w:val="24"/>
        </w:rPr>
        <w:t>essaggio. A</w:t>
      </w:r>
      <w:r w:rsidR="00C0079A" w:rsidRPr="0030798C">
        <w:rPr>
          <w:sz w:val="24"/>
        </w:rPr>
        <w:t xml:space="preserve"> questi importi devono essere aggiunti fr. 3'107'300 attinenti ai costi di prontezza a favore dell’EOC e della </w:t>
      </w:r>
      <w:r w:rsidR="00C0079A" w:rsidRPr="0030798C">
        <w:rPr>
          <w:b/>
          <w:bCs/>
          <w:sz w:val="24"/>
        </w:rPr>
        <w:t>Clinica Luganese Moncucco SA</w:t>
      </w:r>
      <w:r w:rsidRPr="0030798C">
        <w:rPr>
          <w:sz w:val="24"/>
        </w:rPr>
        <w:t xml:space="preserve"> (cfr. sopra punto </w:t>
      </w:r>
      <w:r w:rsidR="0020500C" w:rsidRPr="0030798C">
        <w:rPr>
          <w:sz w:val="24"/>
        </w:rPr>
        <w:t>2</w:t>
      </w:r>
      <w:r w:rsidRPr="0030798C">
        <w:rPr>
          <w:sz w:val="24"/>
        </w:rPr>
        <w:t>)</w:t>
      </w:r>
      <w:r w:rsidR="0020500C" w:rsidRPr="0030798C">
        <w:rPr>
          <w:sz w:val="24"/>
        </w:rPr>
        <w:t>. Valutato l’impegno finanziario ancora da coprire, è inoltre stato deciso</w:t>
      </w:r>
      <w:r w:rsidR="00C0079A" w:rsidRPr="0030798C">
        <w:rPr>
          <w:sz w:val="24"/>
        </w:rPr>
        <w:t xml:space="preserve"> uno scioglimento di </w:t>
      </w:r>
      <w:r w:rsidR="00C0079A" w:rsidRPr="0030798C">
        <w:rPr>
          <w:b/>
          <w:bCs/>
          <w:sz w:val="24"/>
        </w:rPr>
        <w:t>fr. 5'000'000</w:t>
      </w:r>
      <w:r w:rsidR="00C0079A" w:rsidRPr="0030798C">
        <w:rPr>
          <w:sz w:val="24"/>
        </w:rPr>
        <w:t xml:space="preserve"> a beneficio </w:t>
      </w:r>
      <w:r w:rsidR="003D19D8" w:rsidRPr="0030798C">
        <w:rPr>
          <w:sz w:val="24"/>
        </w:rPr>
        <w:t xml:space="preserve">del conto di </w:t>
      </w:r>
      <w:r w:rsidR="00C0079A" w:rsidRPr="0030798C">
        <w:rPr>
          <w:sz w:val="24"/>
        </w:rPr>
        <w:t xml:space="preserve">gestione </w:t>
      </w:r>
      <w:r w:rsidR="003D19D8" w:rsidRPr="0030798C">
        <w:rPr>
          <w:sz w:val="24"/>
        </w:rPr>
        <w:t xml:space="preserve">corrente </w:t>
      </w:r>
      <w:r w:rsidR="00C0079A" w:rsidRPr="0030798C">
        <w:rPr>
          <w:sz w:val="24"/>
        </w:rPr>
        <w:t>2021</w:t>
      </w:r>
      <w:r w:rsidR="0020500C" w:rsidRPr="0030798C">
        <w:rPr>
          <w:sz w:val="24"/>
        </w:rPr>
        <w:t>. D</w:t>
      </w:r>
      <w:r w:rsidR="00C0079A" w:rsidRPr="0030798C">
        <w:rPr>
          <w:sz w:val="24"/>
        </w:rPr>
        <w:t xml:space="preserve">i conseguenza </w:t>
      </w:r>
      <w:r w:rsidR="00C0079A" w:rsidRPr="0030798C">
        <w:rPr>
          <w:b/>
          <w:bCs/>
          <w:sz w:val="24"/>
        </w:rPr>
        <w:t>l’accantonamento al momento attuale presenta un saldo di fr. 23'076'900.</w:t>
      </w:r>
    </w:p>
    <w:p w14:paraId="3977B61B" w14:textId="77777777" w:rsidR="00C0079A" w:rsidRPr="0030798C" w:rsidRDefault="00C0079A" w:rsidP="00993310">
      <w:pPr>
        <w:rPr>
          <w:sz w:val="24"/>
        </w:rPr>
      </w:pPr>
    </w:p>
    <w:p w14:paraId="1DB9323E" w14:textId="77777777" w:rsidR="00607FDD" w:rsidRPr="0030798C" w:rsidRDefault="00607FDD" w:rsidP="00993310">
      <w:pPr>
        <w:rPr>
          <w:sz w:val="24"/>
        </w:rPr>
      </w:pPr>
      <w:r w:rsidRPr="0030798C">
        <w:rPr>
          <w:b/>
          <w:bCs/>
          <w:sz w:val="24"/>
        </w:rPr>
        <w:t>P</w:t>
      </w:r>
      <w:r w:rsidR="00C0079A" w:rsidRPr="0030798C">
        <w:rPr>
          <w:b/>
          <w:bCs/>
          <w:sz w:val="24"/>
        </w:rPr>
        <w:t xml:space="preserve">er il parziale riconoscimento dei mancati introiti </w:t>
      </w:r>
      <w:r w:rsidR="00F7370B" w:rsidRPr="0030798C">
        <w:rPr>
          <w:b/>
          <w:bCs/>
          <w:sz w:val="24"/>
        </w:rPr>
        <w:t>s</w:t>
      </w:r>
      <w:r w:rsidR="00C0079A" w:rsidRPr="0030798C">
        <w:rPr>
          <w:b/>
          <w:bCs/>
          <w:sz w:val="24"/>
        </w:rPr>
        <w:t>i far</w:t>
      </w:r>
      <w:r w:rsidR="00F7370B" w:rsidRPr="0030798C">
        <w:rPr>
          <w:b/>
          <w:bCs/>
          <w:sz w:val="24"/>
        </w:rPr>
        <w:t>ebbe</w:t>
      </w:r>
      <w:r w:rsidR="00C0079A" w:rsidRPr="0030798C">
        <w:rPr>
          <w:b/>
          <w:bCs/>
          <w:sz w:val="24"/>
        </w:rPr>
        <w:t xml:space="preserve"> capo all’accantonamento costituito allo scopo</w:t>
      </w:r>
      <w:r w:rsidR="0020500C" w:rsidRPr="0030798C">
        <w:rPr>
          <w:b/>
          <w:bCs/>
          <w:sz w:val="24"/>
        </w:rPr>
        <w:t>,</w:t>
      </w:r>
      <w:r w:rsidR="00C0079A" w:rsidRPr="0030798C">
        <w:rPr>
          <w:b/>
          <w:bCs/>
          <w:sz w:val="24"/>
        </w:rPr>
        <w:t xml:space="preserve"> </w:t>
      </w:r>
      <w:r w:rsidR="00F7370B" w:rsidRPr="0030798C">
        <w:rPr>
          <w:b/>
          <w:bCs/>
          <w:sz w:val="24"/>
        </w:rPr>
        <w:t>senza quindi impatto sul risultato d’esercizio dell’anno in corso.</w:t>
      </w:r>
      <w:r w:rsidR="00F7370B" w:rsidRPr="0030798C">
        <w:rPr>
          <w:sz w:val="24"/>
        </w:rPr>
        <w:t xml:space="preserve"> </w:t>
      </w:r>
    </w:p>
    <w:p w14:paraId="3DDEFAC0" w14:textId="77777777" w:rsidR="00C0079A" w:rsidRPr="0030798C" w:rsidRDefault="00C0079A" w:rsidP="00993310">
      <w:pPr>
        <w:rPr>
          <w:sz w:val="24"/>
        </w:rPr>
      </w:pPr>
    </w:p>
    <w:p w14:paraId="2E46782F" w14:textId="77777777" w:rsidR="00C0079A" w:rsidRPr="0030798C" w:rsidRDefault="00C0079A" w:rsidP="00C0079A">
      <w:pPr>
        <w:rPr>
          <w:sz w:val="24"/>
        </w:rPr>
      </w:pPr>
      <w:r w:rsidRPr="0030798C">
        <w:rPr>
          <w:b/>
          <w:bCs/>
          <w:sz w:val="24"/>
        </w:rPr>
        <w:t>L’EOC</w:t>
      </w:r>
      <w:r w:rsidRPr="0030798C">
        <w:rPr>
          <w:sz w:val="24"/>
        </w:rPr>
        <w:t xml:space="preserve"> ha presentato </w:t>
      </w:r>
      <w:r w:rsidR="0020500C" w:rsidRPr="0030798C">
        <w:rPr>
          <w:sz w:val="24"/>
        </w:rPr>
        <w:t xml:space="preserve">recentemente </w:t>
      </w:r>
      <w:r w:rsidRPr="0030798C">
        <w:rPr>
          <w:sz w:val="24"/>
        </w:rPr>
        <w:t>il suo rapporto annuale 2022, dal quale si evince un’attività stazionaria in</w:t>
      </w:r>
      <w:r w:rsidR="0020500C" w:rsidRPr="0030798C">
        <w:rPr>
          <w:sz w:val="24"/>
        </w:rPr>
        <w:t xml:space="preserve"> significativa </w:t>
      </w:r>
      <w:r w:rsidRPr="0030798C">
        <w:rPr>
          <w:sz w:val="24"/>
        </w:rPr>
        <w:t>ripresa (+8%) e un’attività ambulatoriale in costante crescita (+9.6%)</w:t>
      </w:r>
      <w:r w:rsidR="0020500C" w:rsidRPr="0030798C">
        <w:rPr>
          <w:sz w:val="24"/>
        </w:rPr>
        <w:t xml:space="preserve">. </w:t>
      </w:r>
      <w:r w:rsidR="00763623" w:rsidRPr="0030798C">
        <w:rPr>
          <w:sz w:val="24"/>
        </w:rPr>
        <w:t xml:space="preserve">Nonostante un risultato operativo di -8.2 milioni di franchi, il </w:t>
      </w:r>
      <w:r w:rsidRPr="0030798C">
        <w:rPr>
          <w:sz w:val="24"/>
        </w:rPr>
        <w:t xml:space="preserve">risultato d’esercizio </w:t>
      </w:r>
      <w:r w:rsidR="00763623" w:rsidRPr="0030798C">
        <w:rPr>
          <w:sz w:val="24"/>
        </w:rPr>
        <w:t xml:space="preserve">risulta in </w:t>
      </w:r>
      <w:r w:rsidRPr="0030798C">
        <w:rPr>
          <w:sz w:val="24"/>
        </w:rPr>
        <w:t>positivo di 12.7 mi</w:t>
      </w:r>
      <w:r w:rsidR="00763623" w:rsidRPr="0030798C">
        <w:rPr>
          <w:sz w:val="24"/>
        </w:rPr>
        <w:t xml:space="preserve">lioni </w:t>
      </w:r>
      <w:r w:rsidRPr="0030798C">
        <w:rPr>
          <w:sz w:val="24"/>
        </w:rPr>
        <w:t>di fr</w:t>
      </w:r>
      <w:r w:rsidR="00763623" w:rsidRPr="0030798C">
        <w:rPr>
          <w:sz w:val="24"/>
        </w:rPr>
        <w:t>anchi</w:t>
      </w:r>
      <w:r w:rsidRPr="0030798C">
        <w:rPr>
          <w:sz w:val="24"/>
        </w:rPr>
        <w:t>. Inoltre, il capitale proprio dell’EOC e in particolare i risultati riportati permett</w:t>
      </w:r>
      <w:r w:rsidR="00976189" w:rsidRPr="0030798C">
        <w:rPr>
          <w:sz w:val="24"/>
        </w:rPr>
        <w:t>ono</w:t>
      </w:r>
      <w:r w:rsidRPr="0030798C">
        <w:rPr>
          <w:sz w:val="24"/>
        </w:rPr>
        <w:t xml:space="preserve"> </w:t>
      </w:r>
      <w:r w:rsidR="00763623" w:rsidRPr="0030798C">
        <w:rPr>
          <w:sz w:val="24"/>
        </w:rPr>
        <w:t xml:space="preserve">tutto sommato </w:t>
      </w:r>
      <w:r w:rsidRPr="0030798C">
        <w:rPr>
          <w:sz w:val="24"/>
        </w:rPr>
        <w:t xml:space="preserve">di assorbire le perdite relative alla gestione della pandemia per gli anni 2020 e 2021, considerando </w:t>
      </w:r>
      <w:r w:rsidR="00763623" w:rsidRPr="0030798C">
        <w:rPr>
          <w:sz w:val="24"/>
        </w:rPr>
        <w:t xml:space="preserve">anche </w:t>
      </w:r>
      <w:r w:rsidRPr="0030798C">
        <w:rPr>
          <w:sz w:val="24"/>
        </w:rPr>
        <w:t>che deve ancora essere contabilizzato l’importo di 6.4 mi</w:t>
      </w:r>
      <w:r w:rsidR="00763623" w:rsidRPr="0030798C">
        <w:rPr>
          <w:sz w:val="24"/>
        </w:rPr>
        <w:t xml:space="preserve">lioni </w:t>
      </w:r>
      <w:r w:rsidRPr="0030798C">
        <w:rPr>
          <w:sz w:val="24"/>
        </w:rPr>
        <w:t>di fr</w:t>
      </w:r>
      <w:r w:rsidR="00763623" w:rsidRPr="0030798C">
        <w:rPr>
          <w:sz w:val="24"/>
        </w:rPr>
        <w:t xml:space="preserve">anchi </w:t>
      </w:r>
      <w:r w:rsidRPr="0030798C">
        <w:rPr>
          <w:sz w:val="24"/>
        </w:rPr>
        <w:t xml:space="preserve">versato dal Cantone a gennaio 2023 a parziale copertura dei costi 2021. </w:t>
      </w:r>
    </w:p>
    <w:p w14:paraId="607D7425" w14:textId="77777777" w:rsidR="00C0079A" w:rsidRPr="0030798C" w:rsidRDefault="00C0079A" w:rsidP="00C0079A">
      <w:pPr>
        <w:rPr>
          <w:sz w:val="24"/>
        </w:rPr>
      </w:pPr>
    </w:p>
    <w:p w14:paraId="47DD9DD0" w14:textId="57C366DA" w:rsidR="00C0079A" w:rsidRPr="0030798C" w:rsidRDefault="00763623" w:rsidP="00763623">
      <w:pPr>
        <w:rPr>
          <w:sz w:val="24"/>
        </w:rPr>
      </w:pPr>
      <w:r w:rsidRPr="0030798C">
        <w:rPr>
          <w:sz w:val="24"/>
        </w:rPr>
        <w:t xml:space="preserve">Negli scorsi mesi </w:t>
      </w:r>
      <w:r w:rsidR="00C0079A" w:rsidRPr="0030798C">
        <w:rPr>
          <w:b/>
          <w:bCs/>
          <w:sz w:val="24"/>
        </w:rPr>
        <w:t>l’EOC</w:t>
      </w:r>
      <w:r w:rsidR="00C0079A" w:rsidRPr="0030798C">
        <w:rPr>
          <w:sz w:val="24"/>
        </w:rPr>
        <w:t xml:space="preserve"> ha presentato al</w:t>
      </w:r>
      <w:r w:rsidR="00F7370B" w:rsidRPr="0030798C">
        <w:rPr>
          <w:sz w:val="24"/>
        </w:rPr>
        <w:t xml:space="preserve">l’autorità cantonale e anche </w:t>
      </w:r>
      <w:r w:rsidRPr="0030798C">
        <w:rPr>
          <w:sz w:val="24"/>
        </w:rPr>
        <w:t>pubblicamente</w:t>
      </w:r>
      <w:r w:rsidR="00C0079A" w:rsidRPr="0030798C">
        <w:rPr>
          <w:sz w:val="24"/>
        </w:rPr>
        <w:t xml:space="preserve"> il proprio </w:t>
      </w:r>
      <w:r w:rsidR="00C0079A" w:rsidRPr="0030798C">
        <w:rPr>
          <w:b/>
          <w:bCs/>
          <w:i/>
          <w:sz w:val="24"/>
        </w:rPr>
        <w:t>masterplan</w:t>
      </w:r>
      <w:r w:rsidR="00C0079A" w:rsidRPr="0030798C">
        <w:rPr>
          <w:b/>
          <w:bCs/>
          <w:sz w:val="24"/>
        </w:rPr>
        <w:t xml:space="preserve"> relativo agli investimenti</w:t>
      </w:r>
      <w:r w:rsidRPr="0030798C">
        <w:rPr>
          <w:sz w:val="24"/>
        </w:rPr>
        <w:t>, che sono stati</w:t>
      </w:r>
      <w:r w:rsidR="00C0079A" w:rsidRPr="0030798C">
        <w:rPr>
          <w:sz w:val="24"/>
        </w:rPr>
        <w:t xml:space="preserve"> </w:t>
      </w:r>
      <w:r w:rsidR="00976189" w:rsidRPr="0030798C">
        <w:rPr>
          <w:sz w:val="24"/>
        </w:rPr>
        <w:t>quantificati</w:t>
      </w:r>
      <w:r w:rsidR="00C0079A" w:rsidRPr="0030798C">
        <w:rPr>
          <w:sz w:val="24"/>
        </w:rPr>
        <w:t xml:space="preserve"> attorno al miliardo di franchi sull’arco di dieci anni. Di conseguenza appare opportuno valutare di aumentare il capitale di dotazione dell’EOC di alcune centinaia di milioni di franchi, al fine di </w:t>
      </w:r>
      <w:r w:rsidR="00976189" w:rsidRPr="0030798C">
        <w:rPr>
          <w:sz w:val="24"/>
        </w:rPr>
        <w:t>limitare l’</w:t>
      </w:r>
      <w:r w:rsidR="00C0079A" w:rsidRPr="0030798C">
        <w:rPr>
          <w:sz w:val="24"/>
        </w:rPr>
        <w:t>esborso di interessi passivi (causato dall’accensione di prestiti e di mutui) che non potranno essere ricuperati</w:t>
      </w:r>
      <w:r w:rsidR="00F7370B" w:rsidRPr="0030798C">
        <w:rPr>
          <w:sz w:val="24"/>
        </w:rPr>
        <w:t>,</w:t>
      </w:r>
      <w:r w:rsidR="00C0079A" w:rsidRPr="0030798C">
        <w:rPr>
          <w:sz w:val="24"/>
        </w:rPr>
        <w:t xml:space="preserve"> o lo potranno </w:t>
      </w:r>
      <w:r w:rsidRPr="0030798C">
        <w:rPr>
          <w:sz w:val="24"/>
        </w:rPr>
        <w:t xml:space="preserve">essere </w:t>
      </w:r>
      <w:r w:rsidR="00C0079A" w:rsidRPr="0030798C">
        <w:rPr>
          <w:sz w:val="24"/>
        </w:rPr>
        <w:t xml:space="preserve">solo parzialmente. </w:t>
      </w:r>
      <w:r w:rsidRPr="0030798C">
        <w:rPr>
          <w:sz w:val="24"/>
        </w:rPr>
        <w:t>Q</w:t>
      </w:r>
      <w:r w:rsidR="00C0079A" w:rsidRPr="0030798C">
        <w:rPr>
          <w:sz w:val="24"/>
        </w:rPr>
        <w:t xml:space="preserve">uesta tematica è al momento oggetto di riflessione e se del caso sarà formalizzata con un </w:t>
      </w:r>
      <w:r w:rsidRPr="0030798C">
        <w:rPr>
          <w:sz w:val="24"/>
        </w:rPr>
        <w:t>M</w:t>
      </w:r>
      <w:r w:rsidR="00C0079A" w:rsidRPr="0030798C">
        <w:rPr>
          <w:sz w:val="24"/>
        </w:rPr>
        <w:t>essaggio dedicato che contemplerà anche gli aspetti remunerativi del capitale messo a disposizione dal Cantone.</w:t>
      </w:r>
    </w:p>
    <w:p w14:paraId="1BFBFD65" w14:textId="77777777" w:rsidR="00C0079A" w:rsidRPr="0030798C" w:rsidRDefault="00C0079A" w:rsidP="001E3309">
      <w:pPr>
        <w:rPr>
          <w:sz w:val="24"/>
        </w:rPr>
      </w:pPr>
    </w:p>
    <w:p w14:paraId="2D34D473" w14:textId="32265EE7" w:rsidR="00763623" w:rsidRPr="0030798C" w:rsidRDefault="00763623" w:rsidP="00763623">
      <w:pPr>
        <w:rPr>
          <w:sz w:val="24"/>
        </w:rPr>
      </w:pPr>
      <w:r w:rsidRPr="0030798C">
        <w:rPr>
          <w:sz w:val="24"/>
        </w:rPr>
        <w:t xml:space="preserve">In questo contesto, </w:t>
      </w:r>
      <w:r w:rsidR="00C0079A" w:rsidRPr="0030798C">
        <w:rPr>
          <w:sz w:val="24"/>
        </w:rPr>
        <w:t>ten</w:t>
      </w:r>
      <w:r w:rsidR="00976189" w:rsidRPr="0030798C">
        <w:rPr>
          <w:sz w:val="24"/>
        </w:rPr>
        <w:t>en</w:t>
      </w:r>
      <w:r w:rsidR="00C0079A" w:rsidRPr="0030798C">
        <w:rPr>
          <w:sz w:val="24"/>
        </w:rPr>
        <w:t>do conto della situazione finanziaria del Cantone e con il consenso dell’EOC,</w:t>
      </w:r>
      <w:r w:rsidR="00C0079A" w:rsidRPr="0030798C">
        <w:rPr>
          <w:b/>
          <w:bCs/>
          <w:sz w:val="24"/>
        </w:rPr>
        <w:t xml:space="preserve"> </w:t>
      </w:r>
      <w:r w:rsidR="00F7370B" w:rsidRPr="0030798C">
        <w:rPr>
          <w:sz w:val="24"/>
        </w:rPr>
        <w:t xml:space="preserve">si ritiene giustificato </w:t>
      </w:r>
      <w:r w:rsidR="00C0079A" w:rsidRPr="0030798C">
        <w:rPr>
          <w:sz w:val="24"/>
        </w:rPr>
        <w:t xml:space="preserve">proporre di considerare </w:t>
      </w:r>
      <w:r w:rsidR="00C0079A" w:rsidRPr="0030798C">
        <w:rPr>
          <w:b/>
          <w:bCs/>
          <w:sz w:val="24"/>
        </w:rPr>
        <w:t>la rifusione dei mancati introiti all’EOC, pari a fr. 14'567'100</w:t>
      </w:r>
      <w:r w:rsidRPr="0030798C">
        <w:rPr>
          <w:sz w:val="24"/>
        </w:rPr>
        <w:t>,</w:t>
      </w:r>
      <w:r w:rsidR="00C0079A" w:rsidRPr="0030798C">
        <w:rPr>
          <w:sz w:val="24"/>
        </w:rPr>
        <w:t xml:space="preserve"> quale aumento del capitale </w:t>
      </w:r>
      <w:r w:rsidR="003D19D8" w:rsidRPr="0030798C">
        <w:rPr>
          <w:sz w:val="24"/>
        </w:rPr>
        <w:t>di dotazione a carico del conto degli investimenti per l’esercizio 2023. Uno scioglimento di pari importo dell’accantonamento sarà da registrare a favore del conto di gestione corrente, sempre per l’esercizio 2023.</w:t>
      </w:r>
      <w:r w:rsidRPr="0030798C">
        <w:rPr>
          <w:sz w:val="24"/>
        </w:rPr>
        <w:t xml:space="preserve"> Questa operazione contribuisce al contenimento del disavanzo </w:t>
      </w:r>
      <w:r w:rsidR="003D19D8" w:rsidRPr="0030798C">
        <w:rPr>
          <w:sz w:val="24"/>
        </w:rPr>
        <w:t xml:space="preserve">d’esercizio </w:t>
      </w:r>
      <w:r w:rsidRPr="0030798C">
        <w:rPr>
          <w:sz w:val="24"/>
        </w:rPr>
        <w:t>2023</w:t>
      </w:r>
      <w:r w:rsidR="00E708B0" w:rsidRPr="0030798C">
        <w:rPr>
          <w:sz w:val="24"/>
        </w:rPr>
        <w:t>.</w:t>
      </w:r>
      <w:r w:rsidRPr="0030798C">
        <w:rPr>
          <w:sz w:val="24"/>
        </w:rPr>
        <w:t xml:space="preserve"> </w:t>
      </w:r>
    </w:p>
    <w:p w14:paraId="1E746F2A" w14:textId="0CBB78E3" w:rsidR="003C7A42" w:rsidRPr="0030798C" w:rsidRDefault="003C7A42" w:rsidP="00BB1C77">
      <w:pPr>
        <w:rPr>
          <w:sz w:val="24"/>
        </w:rPr>
      </w:pPr>
    </w:p>
    <w:p w14:paraId="0F195843" w14:textId="6F113545" w:rsidR="003C7A42" w:rsidRPr="0030798C" w:rsidRDefault="003C7A42" w:rsidP="00BB1C77">
      <w:pPr>
        <w:rPr>
          <w:sz w:val="24"/>
        </w:rPr>
      </w:pPr>
    </w:p>
    <w:p w14:paraId="251CFCB9" w14:textId="77777777" w:rsidR="0030798C" w:rsidRDefault="0030798C">
      <w:pPr>
        <w:suppressAutoHyphens w:val="0"/>
        <w:spacing w:after="240"/>
        <w:jc w:val="left"/>
        <w:rPr>
          <w:b/>
          <w:sz w:val="24"/>
        </w:rPr>
      </w:pPr>
      <w:r>
        <w:rPr>
          <w:b/>
          <w:sz w:val="24"/>
        </w:rPr>
        <w:br w:type="page"/>
      </w:r>
    </w:p>
    <w:p w14:paraId="1E9D9A9A" w14:textId="322AE250" w:rsidR="00C0079A" w:rsidRPr="00C67F68" w:rsidRDefault="00C67F68" w:rsidP="00C67F68">
      <w:pPr>
        <w:pStyle w:val="Titolo1"/>
        <w:tabs>
          <w:tab w:val="left" w:pos="0"/>
        </w:tabs>
        <w:suppressAutoHyphens w:val="0"/>
        <w:spacing w:before="0"/>
        <w:jc w:val="both"/>
        <w:rPr>
          <w:rFonts w:ascii="Arial" w:eastAsia="Calibri" w:hAnsi="Arial" w:cs="Times New Roman"/>
          <w:caps/>
          <w:sz w:val="24"/>
          <w:szCs w:val="24"/>
          <w:lang w:val="it-IT" w:eastAsia="it-IT"/>
        </w:rPr>
      </w:pPr>
      <w:r>
        <w:rPr>
          <w:rFonts w:ascii="Arial" w:eastAsia="Calibri" w:hAnsi="Arial" w:cs="Times New Roman"/>
          <w:caps/>
          <w:sz w:val="24"/>
          <w:szCs w:val="24"/>
          <w:lang w:val="it-IT" w:eastAsia="it-IT"/>
        </w:rPr>
        <w:lastRenderedPageBreak/>
        <w:t>III.</w:t>
      </w:r>
      <w:r>
        <w:rPr>
          <w:rFonts w:ascii="Arial" w:eastAsia="Calibri" w:hAnsi="Arial" w:cs="Times New Roman"/>
          <w:caps/>
          <w:sz w:val="24"/>
          <w:szCs w:val="24"/>
          <w:lang w:val="it-IT" w:eastAsia="it-IT"/>
        </w:rPr>
        <w:tab/>
      </w:r>
      <w:r w:rsidR="00073535" w:rsidRPr="00C67F68">
        <w:rPr>
          <w:rFonts w:ascii="Arial" w:eastAsia="Calibri" w:hAnsi="Arial" w:cs="Times New Roman"/>
          <w:caps/>
          <w:sz w:val="24"/>
          <w:szCs w:val="24"/>
          <w:lang w:val="it-IT" w:eastAsia="it-IT"/>
        </w:rPr>
        <w:t xml:space="preserve">LAVORI COMMISSIONALI E </w:t>
      </w:r>
      <w:r w:rsidR="00C0079A" w:rsidRPr="00C67F68">
        <w:rPr>
          <w:rFonts w:ascii="Arial" w:eastAsia="Calibri" w:hAnsi="Arial" w:cs="Times New Roman"/>
          <w:caps/>
          <w:sz w:val="24"/>
          <w:szCs w:val="24"/>
          <w:lang w:val="it-IT" w:eastAsia="it-IT"/>
        </w:rPr>
        <w:t>CONCLUSION</w:t>
      </w:r>
      <w:r w:rsidR="00073535" w:rsidRPr="00C67F68">
        <w:rPr>
          <w:rFonts w:ascii="Arial" w:eastAsia="Calibri" w:hAnsi="Arial" w:cs="Times New Roman"/>
          <w:caps/>
          <w:sz w:val="24"/>
          <w:szCs w:val="24"/>
          <w:lang w:val="it-IT" w:eastAsia="it-IT"/>
        </w:rPr>
        <w:t>I</w:t>
      </w:r>
    </w:p>
    <w:p w14:paraId="165D024B" w14:textId="72DEC626" w:rsidR="00DD1F53" w:rsidRDefault="00DD1F53" w:rsidP="00C67F68">
      <w:pPr>
        <w:rPr>
          <w:sz w:val="24"/>
        </w:rPr>
      </w:pPr>
      <w:r w:rsidRPr="0030798C">
        <w:rPr>
          <w:sz w:val="24"/>
        </w:rPr>
        <w:t>I</w:t>
      </w:r>
      <w:r w:rsidR="00C67F68">
        <w:rPr>
          <w:sz w:val="24"/>
        </w:rPr>
        <w:t>l m</w:t>
      </w:r>
      <w:r w:rsidRPr="0030798C">
        <w:rPr>
          <w:sz w:val="24"/>
        </w:rPr>
        <w:t>essaggio attribuito a questa Commissione è stato assegnato al relatore in data 26 settembre 2023.</w:t>
      </w:r>
    </w:p>
    <w:p w14:paraId="6764901F" w14:textId="77777777" w:rsidR="00C67F68" w:rsidRPr="0030798C" w:rsidRDefault="00C67F68" w:rsidP="00C67F68">
      <w:pPr>
        <w:rPr>
          <w:sz w:val="24"/>
        </w:rPr>
      </w:pPr>
    </w:p>
    <w:p w14:paraId="7D7E2C24" w14:textId="46B88EF4" w:rsidR="001961BF" w:rsidRDefault="00F7370B" w:rsidP="00C67F68">
      <w:pPr>
        <w:rPr>
          <w:sz w:val="24"/>
        </w:rPr>
      </w:pPr>
      <w:r w:rsidRPr="0030798C">
        <w:rPr>
          <w:sz w:val="24"/>
        </w:rPr>
        <w:t>La pandemia ha avuto inevitabilmente</w:t>
      </w:r>
      <w:r w:rsidR="001961BF" w:rsidRPr="0030798C">
        <w:rPr>
          <w:sz w:val="24"/>
        </w:rPr>
        <w:t xml:space="preserve"> -</w:t>
      </w:r>
      <w:r w:rsidRPr="0030798C">
        <w:rPr>
          <w:sz w:val="24"/>
        </w:rPr>
        <w:t xml:space="preserve"> </w:t>
      </w:r>
      <w:r w:rsidR="001961BF" w:rsidRPr="0030798C">
        <w:rPr>
          <w:sz w:val="24"/>
        </w:rPr>
        <w:t xml:space="preserve">oltre che drammi umani e sforzi personali ed organizzativi - </w:t>
      </w:r>
      <w:r w:rsidRPr="0030798C">
        <w:rPr>
          <w:sz w:val="24"/>
        </w:rPr>
        <w:t xml:space="preserve">ripercussioni anche dal profilo finanziario, sia in termini di maggiori costi, in particolare per il personale, il materiale, le analisi, gli adeguamenti logistici o il mantenimento in prontezza di determinate unità, sia in termini di mancati ricavi. </w:t>
      </w:r>
    </w:p>
    <w:p w14:paraId="3150F6AA" w14:textId="77777777" w:rsidR="00C67F68" w:rsidRPr="0030798C" w:rsidRDefault="00C67F68" w:rsidP="00C67F68">
      <w:pPr>
        <w:rPr>
          <w:sz w:val="24"/>
        </w:rPr>
      </w:pPr>
    </w:p>
    <w:p w14:paraId="1425F719" w14:textId="35C3653F" w:rsidR="009C552C" w:rsidRPr="0030798C" w:rsidRDefault="001961BF" w:rsidP="00C67F68">
      <w:pPr>
        <w:rPr>
          <w:sz w:val="24"/>
        </w:rPr>
      </w:pPr>
      <w:r w:rsidRPr="0030798C">
        <w:rPr>
          <w:sz w:val="24"/>
        </w:rPr>
        <w:t xml:space="preserve">Il </w:t>
      </w:r>
      <w:r w:rsidR="00F7370B" w:rsidRPr="0030798C">
        <w:rPr>
          <w:sz w:val="24"/>
        </w:rPr>
        <w:t>Consiglio</w:t>
      </w:r>
      <w:r w:rsidRPr="0030798C">
        <w:rPr>
          <w:sz w:val="24"/>
        </w:rPr>
        <w:t xml:space="preserve"> di Stato</w:t>
      </w:r>
      <w:r w:rsidR="00F30B56" w:rsidRPr="0030798C">
        <w:rPr>
          <w:sz w:val="24"/>
        </w:rPr>
        <w:t xml:space="preserve">, come per altri settori, ha già erogato contributi supplementari per maggiori costi in ragione di 28.8 milioni di franchi per gli anni 2020 e 2021. Ha inoltre versato 3.1 milioni di franchi </w:t>
      </w:r>
      <w:r w:rsidR="009C552C" w:rsidRPr="0030798C">
        <w:rPr>
          <w:sz w:val="24"/>
        </w:rPr>
        <w:t xml:space="preserve">per i costi </w:t>
      </w:r>
      <w:r w:rsidR="00F30B56" w:rsidRPr="0030798C">
        <w:rPr>
          <w:sz w:val="24"/>
        </w:rPr>
        <w:t xml:space="preserve">sostenuti dall’Ente Ospedaliero Cantonale e dalla Clinica Luganese Moncucco SA durante il 2021-2022 </w:t>
      </w:r>
      <w:r w:rsidR="009C552C" w:rsidRPr="0030798C">
        <w:rPr>
          <w:sz w:val="24"/>
        </w:rPr>
        <w:t xml:space="preserve">per mantenere in prontezza dei letti supplementari di cure intense, come deciso dal Gran Consiglio. </w:t>
      </w:r>
    </w:p>
    <w:p w14:paraId="0F85350E" w14:textId="77777777" w:rsidR="00F7370B" w:rsidRPr="0030798C" w:rsidRDefault="00F7370B" w:rsidP="00C67F68">
      <w:pPr>
        <w:rPr>
          <w:sz w:val="24"/>
        </w:rPr>
      </w:pPr>
      <w:r w:rsidRPr="0030798C">
        <w:rPr>
          <w:sz w:val="24"/>
        </w:rPr>
        <w:t xml:space="preserve"> </w:t>
      </w:r>
    </w:p>
    <w:p w14:paraId="04510BB1" w14:textId="6C0383C6" w:rsidR="00C0079A" w:rsidRPr="0030798C" w:rsidRDefault="001961BF" w:rsidP="00976189">
      <w:pPr>
        <w:spacing w:after="60"/>
        <w:rPr>
          <w:sz w:val="24"/>
        </w:rPr>
      </w:pPr>
      <w:r w:rsidRPr="0030798C">
        <w:rPr>
          <w:sz w:val="24"/>
        </w:rPr>
        <w:t xml:space="preserve">In conclusione, </w:t>
      </w:r>
      <w:r w:rsidR="00C0079A" w:rsidRPr="0030798C">
        <w:rPr>
          <w:sz w:val="24"/>
        </w:rPr>
        <w:t xml:space="preserve">si </w:t>
      </w:r>
      <w:r w:rsidRPr="0030798C">
        <w:rPr>
          <w:sz w:val="24"/>
        </w:rPr>
        <w:t>propone al</w:t>
      </w:r>
      <w:r w:rsidR="00976189" w:rsidRPr="0030798C">
        <w:rPr>
          <w:sz w:val="24"/>
        </w:rPr>
        <w:t xml:space="preserve"> Gran Consiglio</w:t>
      </w:r>
      <w:r w:rsidR="00C67F68">
        <w:rPr>
          <w:sz w:val="24"/>
        </w:rPr>
        <w:t>, mediante il d</w:t>
      </w:r>
      <w:r w:rsidRPr="0030798C">
        <w:rPr>
          <w:sz w:val="24"/>
        </w:rPr>
        <w:t>ecreto legislativo allegato al messaggio,</w:t>
      </w:r>
      <w:r w:rsidR="00976189" w:rsidRPr="0030798C">
        <w:rPr>
          <w:sz w:val="24"/>
        </w:rPr>
        <w:t xml:space="preserve"> di approvare </w:t>
      </w:r>
      <w:r w:rsidRPr="0030798C">
        <w:rPr>
          <w:sz w:val="24"/>
        </w:rPr>
        <w:t xml:space="preserve">(maggioranza assoluta dei membri del Gran Consiglio richiesta ex art. 5 cpv. 3 LGF): </w:t>
      </w:r>
    </w:p>
    <w:p w14:paraId="343A4238" w14:textId="4CFDF238" w:rsidR="00C0079A" w:rsidRPr="0030798C" w:rsidRDefault="00C0079A" w:rsidP="00C67F68">
      <w:pPr>
        <w:pStyle w:val="Paragrafoelenco"/>
        <w:numPr>
          <w:ilvl w:val="0"/>
          <w:numId w:val="30"/>
        </w:numPr>
        <w:spacing w:before="120"/>
        <w:ind w:left="284" w:hanging="284"/>
        <w:contextualSpacing w:val="0"/>
        <w:rPr>
          <w:sz w:val="24"/>
        </w:rPr>
      </w:pPr>
      <w:r w:rsidRPr="0030798C">
        <w:rPr>
          <w:sz w:val="24"/>
        </w:rPr>
        <w:t>la rifusione parziale dei ricavi non conseguiti</w:t>
      </w:r>
      <w:r w:rsidR="005F5E98">
        <w:rPr>
          <w:sz w:val="24"/>
        </w:rPr>
        <w:t xml:space="preserve"> nel periodo 17 marzo 2020 -</w:t>
      </w:r>
      <w:r w:rsidRPr="0030798C">
        <w:rPr>
          <w:sz w:val="24"/>
        </w:rPr>
        <w:t xml:space="preserve"> 26 aprile 2020, durante il quale vigeva il blocco dei trattamenti, degli esami e degli interventi</w:t>
      </w:r>
      <w:r w:rsidR="009C552C" w:rsidRPr="0030798C">
        <w:rPr>
          <w:sz w:val="24"/>
        </w:rPr>
        <w:t xml:space="preserve"> non urgenti,</w:t>
      </w:r>
      <w:r w:rsidRPr="0030798C">
        <w:rPr>
          <w:sz w:val="24"/>
        </w:rPr>
        <w:t xml:space="preserve"> decretato con l’Ordinanza </w:t>
      </w:r>
      <w:r w:rsidR="004676B7" w:rsidRPr="0030798C">
        <w:rPr>
          <w:sz w:val="24"/>
        </w:rPr>
        <w:t>2</w:t>
      </w:r>
      <w:r w:rsidRPr="0030798C">
        <w:rPr>
          <w:sz w:val="24"/>
        </w:rPr>
        <w:t xml:space="preserve"> COVID-19 del 16 marzo 2020;</w:t>
      </w:r>
    </w:p>
    <w:p w14:paraId="3A0B2BAC" w14:textId="77777777" w:rsidR="00C0079A" w:rsidRPr="0030798C" w:rsidRDefault="00C0079A" w:rsidP="00C67F68">
      <w:pPr>
        <w:pStyle w:val="Paragrafoelenco"/>
        <w:numPr>
          <w:ilvl w:val="0"/>
          <w:numId w:val="35"/>
        </w:numPr>
        <w:spacing w:before="120"/>
        <w:ind w:left="284" w:hanging="284"/>
        <w:contextualSpacing w:val="0"/>
        <w:rPr>
          <w:sz w:val="24"/>
        </w:rPr>
      </w:pPr>
      <w:r w:rsidRPr="0030798C">
        <w:rPr>
          <w:sz w:val="24"/>
        </w:rPr>
        <w:t>la metodologia di calcolo d</w:t>
      </w:r>
      <w:r w:rsidR="009C552C" w:rsidRPr="0030798C">
        <w:rPr>
          <w:sz w:val="24"/>
        </w:rPr>
        <w:t xml:space="preserve">i questi </w:t>
      </w:r>
      <w:r w:rsidRPr="0030798C">
        <w:rPr>
          <w:sz w:val="24"/>
        </w:rPr>
        <w:t>mancati introiti;</w:t>
      </w:r>
    </w:p>
    <w:p w14:paraId="59972A58" w14:textId="3055EF50" w:rsidR="00C0079A" w:rsidRPr="0030798C" w:rsidRDefault="00C0079A" w:rsidP="00C67F68">
      <w:pPr>
        <w:pStyle w:val="Paragrafoelenco"/>
        <w:numPr>
          <w:ilvl w:val="0"/>
          <w:numId w:val="35"/>
        </w:numPr>
        <w:spacing w:before="120" w:after="60"/>
        <w:ind w:left="284" w:hanging="284"/>
        <w:contextualSpacing w:val="0"/>
        <w:rPr>
          <w:sz w:val="24"/>
        </w:rPr>
      </w:pPr>
      <w:r w:rsidRPr="0030798C">
        <w:rPr>
          <w:sz w:val="24"/>
        </w:rPr>
        <w:t xml:space="preserve">lo stanziamento di un </w:t>
      </w:r>
      <w:r w:rsidR="003D19D8" w:rsidRPr="0030798C">
        <w:rPr>
          <w:sz w:val="24"/>
        </w:rPr>
        <w:t>credito di</w:t>
      </w:r>
      <w:r w:rsidRPr="0030798C">
        <w:rPr>
          <w:sz w:val="24"/>
        </w:rPr>
        <w:t xml:space="preserve"> fr. 18'215'300</w:t>
      </w:r>
      <w:r w:rsidR="003D19D8" w:rsidRPr="0030798C">
        <w:rPr>
          <w:sz w:val="24"/>
        </w:rPr>
        <w:t>, destinato a versare:</w:t>
      </w:r>
    </w:p>
    <w:p w14:paraId="4E735B0A" w14:textId="760BAF99" w:rsidR="009C552C" w:rsidRPr="0030798C" w:rsidRDefault="003D19D8" w:rsidP="00C67F68">
      <w:pPr>
        <w:pStyle w:val="Paragrafoelenco"/>
        <w:numPr>
          <w:ilvl w:val="0"/>
          <w:numId w:val="20"/>
        </w:numPr>
        <w:spacing w:after="120"/>
        <w:ind w:left="567" w:hanging="283"/>
        <w:rPr>
          <w:sz w:val="24"/>
        </w:rPr>
      </w:pPr>
      <w:r w:rsidRPr="0030798C">
        <w:rPr>
          <w:sz w:val="24"/>
        </w:rPr>
        <w:t xml:space="preserve">all’Ente ospedaliero cantonale, un importo di </w:t>
      </w:r>
      <w:r w:rsidR="00C0079A" w:rsidRPr="0030798C">
        <w:rPr>
          <w:sz w:val="24"/>
        </w:rPr>
        <w:t>fr.</w:t>
      </w:r>
      <w:r w:rsidRPr="0030798C">
        <w:rPr>
          <w:sz w:val="24"/>
        </w:rPr>
        <w:t> </w:t>
      </w:r>
      <w:r w:rsidR="00C0079A" w:rsidRPr="0030798C">
        <w:rPr>
          <w:sz w:val="24"/>
        </w:rPr>
        <w:t>14'567'100</w:t>
      </w:r>
      <w:r w:rsidRPr="0030798C">
        <w:rPr>
          <w:sz w:val="24"/>
        </w:rPr>
        <w:t xml:space="preserve"> quale aumento del suo capitale di dotazione, a carico del conto degli investimenti (PFI </w:t>
      </w:r>
      <w:r w:rsidR="00047FDF" w:rsidRPr="0030798C">
        <w:rPr>
          <w:sz w:val="24"/>
        </w:rPr>
        <w:t>D</w:t>
      </w:r>
      <w:r w:rsidRPr="0030798C">
        <w:rPr>
          <w:sz w:val="24"/>
        </w:rPr>
        <w:t xml:space="preserve">, WBS </w:t>
      </w:r>
      <w:r w:rsidR="00047FDF" w:rsidRPr="0030798C">
        <w:rPr>
          <w:sz w:val="24"/>
        </w:rPr>
        <w:t>931 55 1010</w:t>
      </w:r>
      <w:r w:rsidRPr="0030798C">
        <w:rPr>
          <w:sz w:val="24"/>
        </w:rPr>
        <w:t xml:space="preserve">); </w:t>
      </w:r>
      <w:r w:rsidR="00C0079A" w:rsidRPr="0030798C">
        <w:rPr>
          <w:sz w:val="24"/>
        </w:rPr>
        <w:t xml:space="preserve">e </w:t>
      </w:r>
    </w:p>
    <w:p w14:paraId="3A787C1B" w14:textId="13851B92" w:rsidR="00C0079A" w:rsidRPr="0030798C" w:rsidRDefault="003D19D8" w:rsidP="00C67F68">
      <w:pPr>
        <w:pStyle w:val="Paragrafoelenco"/>
        <w:numPr>
          <w:ilvl w:val="0"/>
          <w:numId w:val="20"/>
        </w:numPr>
        <w:spacing w:after="120"/>
        <w:ind w:left="568" w:hanging="284"/>
        <w:contextualSpacing w:val="0"/>
        <w:rPr>
          <w:sz w:val="24"/>
        </w:rPr>
      </w:pPr>
      <w:r w:rsidRPr="0030798C">
        <w:rPr>
          <w:sz w:val="24"/>
        </w:rPr>
        <w:t>agli altri istituti, un importo complessivo di fr. 3'648'200 a titolo di rifusione dei mancati introiti, a carico del conto di gestione corrente;</w:t>
      </w:r>
    </w:p>
    <w:p w14:paraId="60913487" w14:textId="32DEBD27" w:rsidR="00993310" w:rsidRPr="0030798C" w:rsidRDefault="003D19D8" w:rsidP="00C67F68">
      <w:pPr>
        <w:pStyle w:val="Paragrafoelenco"/>
        <w:numPr>
          <w:ilvl w:val="0"/>
          <w:numId w:val="37"/>
        </w:numPr>
        <w:spacing w:before="120"/>
        <w:ind w:left="357" w:hanging="357"/>
        <w:contextualSpacing w:val="0"/>
        <w:rPr>
          <w:sz w:val="24"/>
        </w:rPr>
      </w:pPr>
      <w:r w:rsidRPr="0030798C">
        <w:rPr>
          <w:sz w:val="24"/>
        </w:rPr>
        <w:t>lo scioglimento dell’accantonamento costituito per contributi COVID-19 destinati agli ospedali, attualmente pari a fr. 23'076'900 nel bilancio dello Stato, a favore del conto di gestione corrente.</w:t>
      </w:r>
    </w:p>
    <w:p w14:paraId="3D99102F" w14:textId="77777777" w:rsidR="00993310" w:rsidRPr="00C67F68" w:rsidRDefault="00993310" w:rsidP="00993310">
      <w:pPr>
        <w:rPr>
          <w:sz w:val="24"/>
          <w:szCs w:val="24"/>
        </w:rPr>
      </w:pPr>
    </w:p>
    <w:p w14:paraId="340EBF8E" w14:textId="77777777" w:rsidR="00993310" w:rsidRPr="00C67F68" w:rsidRDefault="00993310" w:rsidP="00993310">
      <w:pPr>
        <w:rPr>
          <w:sz w:val="24"/>
          <w:szCs w:val="24"/>
        </w:rPr>
      </w:pPr>
    </w:p>
    <w:p w14:paraId="34D77451" w14:textId="2848AAF9" w:rsidR="00993310" w:rsidRPr="0030798C" w:rsidRDefault="00993310" w:rsidP="00C67F68">
      <w:pPr>
        <w:spacing w:after="120"/>
        <w:rPr>
          <w:sz w:val="24"/>
          <w:szCs w:val="24"/>
        </w:rPr>
      </w:pPr>
      <w:r w:rsidRPr="0030798C">
        <w:rPr>
          <w:sz w:val="24"/>
          <w:szCs w:val="24"/>
        </w:rPr>
        <w:t>Per</w:t>
      </w:r>
      <w:r w:rsidR="00073535" w:rsidRPr="0030798C">
        <w:rPr>
          <w:sz w:val="24"/>
          <w:szCs w:val="24"/>
        </w:rPr>
        <w:t xml:space="preserve"> la Commissione gestione e finanze</w:t>
      </w:r>
      <w:r w:rsidR="00C67F68">
        <w:rPr>
          <w:sz w:val="24"/>
          <w:szCs w:val="24"/>
        </w:rPr>
        <w:t>:</w:t>
      </w:r>
    </w:p>
    <w:p w14:paraId="659A665A" w14:textId="6B1A09F4" w:rsidR="004A0723" w:rsidRPr="00C67F68" w:rsidRDefault="00073535" w:rsidP="0005788D">
      <w:pPr>
        <w:rPr>
          <w:sz w:val="24"/>
          <w:szCs w:val="24"/>
        </w:rPr>
      </w:pPr>
      <w:r w:rsidRPr="0030798C">
        <w:rPr>
          <w:sz w:val="24"/>
          <w:szCs w:val="24"/>
        </w:rPr>
        <w:t>Matteo Quadranti</w:t>
      </w:r>
      <w:r w:rsidR="00C67F68">
        <w:rPr>
          <w:sz w:val="24"/>
          <w:szCs w:val="24"/>
        </w:rPr>
        <w:t>, relatore</w:t>
      </w:r>
    </w:p>
    <w:p w14:paraId="1A5A4FA9" w14:textId="75012E27" w:rsidR="005F5E98" w:rsidRDefault="005F5E98" w:rsidP="008A0AC3">
      <w:pPr>
        <w:pStyle w:val="StandardRisoluzionedelConsigliodiStato"/>
        <w:ind w:right="-1"/>
      </w:pPr>
      <w:r>
        <w:t xml:space="preserve">Agustoni - Balli - Bignasca - Bourgoin </w:t>
      </w:r>
      <w:r w:rsidR="00271006">
        <w:t>-</w:t>
      </w:r>
    </w:p>
    <w:p w14:paraId="6BF2DC26" w14:textId="6DB03B40" w:rsidR="005F5E98" w:rsidRDefault="005F5E98" w:rsidP="008A0AC3">
      <w:pPr>
        <w:pStyle w:val="StandardRisoluzionedelConsigliodiStato"/>
        <w:ind w:right="-1"/>
      </w:pPr>
      <w:r>
        <w:t>Caprara -</w:t>
      </w:r>
      <w:r w:rsidR="008A0AC3" w:rsidRPr="0030798C">
        <w:t xml:space="preserve"> </w:t>
      </w:r>
      <w:r>
        <w:t>Dadò - Durisch - Ferrara - Fonio -</w:t>
      </w:r>
    </w:p>
    <w:p w14:paraId="3BE7E8AE" w14:textId="25C8EAEA" w:rsidR="008A0AC3" w:rsidRPr="0030798C" w:rsidRDefault="008A0AC3" w:rsidP="008A0AC3">
      <w:pPr>
        <w:pStyle w:val="StandardRisoluzionedelConsigliodiStato"/>
        <w:ind w:right="-1"/>
      </w:pPr>
      <w:r w:rsidRPr="0030798C">
        <w:t>Giane</w:t>
      </w:r>
      <w:r w:rsidR="00D04E36" w:rsidRPr="0030798C">
        <w:t xml:space="preserve">lla </w:t>
      </w:r>
      <w:r w:rsidR="005F5E98">
        <w:t>Alessandra -</w:t>
      </w:r>
      <w:r w:rsidR="00D04E36" w:rsidRPr="0030798C">
        <w:t xml:space="preserve"> </w:t>
      </w:r>
      <w:r w:rsidR="005F5E98">
        <w:t>Guerra - Passalia -</w:t>
      </w:r>
      <w:r w:rsidR="00D04E36" w:rsidRPr="0030798C">
        <w:t xml:space="preserve"> Pini </w:t>
      </w:r>
      <w:r w:rsidR="005F5E98">
        <w:t>-</w:t>
      </w:r>
      <w:r w:rsidRPr="0030798C">
        <w:t xml:space="preserve"> Sirica </w:t>
      </w:r>
    </w:p>
    <w:p w14:paraId="0A26AF5C" w14:textId="77777777" w:rsidR="0005788D" w:rsidRPr="008B2468" w:rsidRDefault="0005788D" w:rsidP="0005788D">
      <w:pPr>
        <w:rPr>
          <w:rFonts w:cs="Arial"/>
          <w:sz w:val="24"/>
          <w:szCs w:val="24"/>
        </w:rPr>
      </w:pPr>
    </w:p>
    <w:p w14:paraId="09221080" w14:textId="77777777" w:rsidR="007673A4" w:rsidRPr="008B2468" w:rsidRDefault="007673A4" w:rsidP="0005788D">
      <w:pPr>
        <w:suppressAutoHyphens w:val="0"/>
        <w:spacing w:after="240"/>
        <w:jc w:val="left"/>
      </w:pPr>
    </w:p>
    <w:sectPr w:rsidR="007673A4" w:rsidRPr="008B2468" w:rsidSect="00655B60">
      <w:headerReference w:type="even" r:id="rId20"/>
      <w:headerReference w:type="default" r:id="rId21"/>
      <w:footerReference w:type="even" r:id="rId22"/>
      <w:footerReference w:type="default" r:id="rId23"/>
      <w:headerReference w:type="first" r:id="rId24"/>
      <w:footerReference w:type="first" r:id="rId25"/>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69883" w14:textId="77777777" w:rsidR="00C50AED" w:rsidRDefault="00C50AED" w:rsidP="00F657BF">
      <w:r>
        <w:separator/>
      </w:r>
    </w:p>
  </w:endnote>
  <w:endnote w:type="continuationSeparator" w:id="0">
    <w:p w14:paraId="3E875F18" w14:textId="77777777" w:rsidR="00C50AED" w:rsidRDefault="00C50AE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60797" w14:textId="77777777" w:rsidR="00396763" w:rsidRDefault="0039676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20500C" w:rsidRPr="003D1008" w14:paraId="7E9A5F94" w14:textId="77777777" w:rsidTr="00655B60">
      <w:trPr>
        <w:trHeight w:hRule="exact" w:val="737"/>
      </w:trPr>
      <w:tc>
        <w:tcPr>
          <w:tcW w:w="4695" w:type="dxa"/>
        </w:tcPr>
        <w:p w14:paraId="237F0CDF" w14:textId="77777777" w:rsidR="0020500C" w:rsidRPr="003D1008" w:rsidRDefault="0020500C" w:rsidP="00655B60">
          <w:pPr>
            <w:tabs>
              <w:tab w:val="center" w:pos="2382"/>
            </w:tabs>
          </w:pPr>
        </w:p>
      </w:tc>
      <w:tc>
        <w:tcPr>
          <w:tcW w:w="721" w:type="dxa"/>
        </w:tcPr>
        <w:p w14:paraId="5C1D8919" w14:textId="77777777" w:rsidR="0020500C" w:rsidRPr="003D1008" w:rsidRDefault="0020500C" w:rsidP="00655B60">
          <w:pPr>
            <w:jc w:val="center"/>
          </w:pPr>
          <w:r w:rsidRPr="003D1008">
            <w:rPr>
              <w:noProof/>
              <w:lang w:eastAsia="it-CH"/>
            </w:rPr>
            <w:drawing>
              <wp:anchor distT="0" distB="0" distL="114300" distR="114300" simplePos="0" relativeHeight="251669504" behindDoc="0" locked="1" layoutInCell="1" allowOverlap="1" wp14:anchorId="57EF5624" wp14:editId="13C882EA">
                <wp:simplePos x="0" y="0"/>
                <wp:positionH relativeFrom="column">
                  <wp:posOffset>-46990</wp:posOffset>
                </wp:positionH>
                <wp:positionV relativeFrom="paragraph">
                  <wp:posOffset>4445</wp:posOffset>
                </wp:positionV>
                <wp:extent cx="423929" cy="431800"/>
                <wp:effectExtent l="0" t="0" r="0" b="6350"/>
                <wp:wrapNone/>
                <wp:docPr id="15"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742165DC" w14:textId="77777777" w:rsidR="0020500C" w:rsidRPr="003D1008" w:rsidRDefault="0020500C" w:rsidP="00655B60">
          <w:pPr>
            <w:jc w:val="center"/>
          </w:pPr>
          <w:r w:rsidRPr="003D1008">
            <w:rPr>
              <w:noProof/>
              <w:lang w:eastAsia="it-CH"/>
            </w:rPr>
            <w:drawing>
              <wp:anchor distT="0" distB="0" distL="114300" distR="114300" simplePos="0" relativeHeight="251670528" behindDoc="0" locked="1" layoutInCell="1" allowOverlap="1" wp14:anchorId="0E530AB3" wp14:editId="22CE37A4">
                <wp:simplePos x="0" y="0"/>
                <wp:positionH relativeFrom="column">
                  <wp:posOffset>-57785</wp:posOffset>
                </wp:positionH>
                <wp:positionV relativeFrom="paragraph">
                  <wp:posOffset>4445</wp:posOffset>
                </wp:positionV>
                <wp:extent cx="253247" cy="428400"/>
                <wp:effectExtent l="0" t="0" r="0" b="0"/>
                <wp:wrapNone/>
                <wp:docPr id="16"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404DAAB3" w14:textId="77777777" w:rsidR="0020500C" w:rsidRPr="003D1008" w:rsidRDefault="0020500C" w:rsidP="00655B60"/>
      </w:tc>
    </w:tr>
  </w:tbl>
  <w:p w14:paraId="0351A6B5" w14:textId="77777777" w:rsidR="0020500C" w:rsidRDefault="0020500C" w:rsidP="00655B60">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DD04" w14:textId="77777777" w:rsidR="0020500C" w:rsidRDefault="0020500C">
    <w:pPr>
      <w:pStyle w:val="Pidipagina"/>
      <w:jc w:val="center"/>
    </w:pPr>
  </w:p>
  <w:p w14:paraId="4AE69148" w14:textId="77777777" w:rsidR="0020500C" w:rsidRPr="008C6C46" w:rsidRDefault="0020500C" w:rsidP="00655B60">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A524D" w14:textId="77777777" w:rsidR="00C50AED" w:rsidRDefault="00C50AED" w:rsidP="00F657BF">
      <w:r>
        <w:separator/>
      </w:r>
    </w:p>
  </w:footnote>
  <w:footnote w:type="continuationSeparator" w:id="0">
    <w:p w14:paraId="52852FD7" w14:textId="77777777" w:rsidR="00C50AED" w:rsidRDefault="00C50AED"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7983A" w14:textId="77777777" w:rsidR="00396763" w:rsidRDefault="0039676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20500C" w:rsidRPr="002747E7" w14:paraId="7C407D97" w14:textId="77777777" w:rsidTr="00655B60">
      <w:trPr>
        <w:trHeight w:val="562"/>
      </w:trPr>
      <w:sdt>
        <w:sdtPr>
          <w:rPr>
            <w:rFonts w:ascii="Gill Alt One MT Light" w:hAnsi="Gill Alt One MT Light"/>
            <w:sz w:val="16"/>
            <w:szCs w:val="16"/>
          </w:rPr>
          <w:alias w:val="CustomElements.Fields.Dipartimenti"/>
          <w:id w:val="1567676091"/>
          <w:dataBinding w:xpath="//Text[@id='CustomElements.Fields.Dipartimenti']" w:storeItemID="{97B205C5-647F-4C93-9E77-48A692E4DD04}"/>
          <w:text w:multiLine="1"/>
        </w:sdtPr>
        <w:sdtEndPr/>
        <w:sdtContent>
          <w:tc>
            <w:tcPr>
              <w:tcW w:w="8383" w:type="dxa"/>
              <w:tcBorders>
                <w:left w:val="single" w:sz="4" w:space="0" w:color="auto"/>
                <w:bottom w:val="single" w:sz="4" w:space="0" w:color="auto"/>
              </w:tcBorders>
              <w:tcMar>
                <w:left w:w="142" w:type="dxa"/>
              </w:tcMar>
              <w:vAlign w:val="bottom"/>
            </w:tcPr>
            <w:p w14:paraId="08AC0D1C" w14:textId="4B4680A3" w:rsidR="0020500C" w:rsidRPr="00E8185F" w:rsidRDefault="00020E20" w:rsidP="00655B60">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14:paraId="4B7FADEF" w14:textId="714BB21B" w:rsidR="0020500C" w:rsidRPr="004204CB" w:rsidRDefault="0020500C" w:rsidP="00655B60">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8240D2">
            <w:rPr>
              <w:noProof/>
              <w:sz w:val="24"/>
            </w:rPr>
            <w:t>13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8240D2">
            <w:rPr>
              <w:noProof/>
              <w:sz w:val="24"/>
            </w:rPr>
            <w:t>13</w:t>
          </w:r>
          <w:r w:rsidRPr="004204CB">
            <w:rPr>
              <w:noProof/>
              <w:sz w:val="24"/>
            </w:rPr>
            <w:fldChar w:fldCharType="end"/>
          </w:r>
        </w:p>
      </w:tc>
    </w:tr>
    <w:tr w:rsidR="0020500C" w:rsidRPr="009E444B" w14:paraId="1C481D5F" w14:textId="77777777" w:rsidTr="00655B60">
      <w:trPr>
        <w:trHeight w:val="334"/>
      </w:trPr>
      <w:sdt>
        <w:sdtPr>
          <w:rPr>
            <w:rFonts w:ascii="Gill Sans Display MT Pro BdCn" w:hAnsi="Gill Sans Display MT Pro BdCn"/>
            <w:sz w:val="18"/>
            <w:szCs w:val="18"/>
          </w:rPr>
          <w:alias w:val="CustomElements.Fields.Titolo2"/>
          <w:id w:val="48588533"/>
          <w:dataBinding w:xpath="//Text[@id='CustomElements.Fields.Titolo2']" w:storeItemID="{97B205C5-647F-4C93-9E77-48A692E4DD04}"/>
          <w:text w:multiLine="1"/>
        </w:sdtPr>
        <w:sdtEndPr/>
        <w:sdtContent>
          <w:tc>
            <w:tcPr>
              <w:tcW w:w="8383" w:type="dxa"/>
              <w:tcBorders>
                <w:left w:val="single" w:sz="4" w:space="0" w:color="auto"/>
              </w:tcBorders>
              <w:tcMar>
                <w:top w:w="0" w:type="dxa"/>
                <w:left w:w="142" w:type="dxa"/>
              </w:tcMar>
            </w:tcPr>
            <w:p w14:paraId="511F0CE8" w14:textId="1815512A" w:rsidR="0020500C" w:rsidRPr="00396763" w:rsidRDefault="00396763" w:rsidP="00A55E7D">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8304 R del 21 novembre 2023</w:t>
              </w:r>
            </w:p>
          </w:tc>
        </w:sdtContent>
      </w:sdt>
      <w:tc>
        <w:tcPr>
          <w:tcW w:w="1710" w:type="dxa"/>
          <w:tcBorders>
            <w:top w:val="single" w:sz="4" w:space="0" w:color="auto"/>
          </w:tcBorders>
        </w:tcPr>
        <w:p w14:paraId="2F3EEE48" w14:textId="77777777" w:rsidR="0020500C" w:rsidRPr="00396763" w:rsidRDefault="0020500C" w:rsidP="00655B60">
          <w:pPr>
            <w:pStyle w:val="InvisibleLine"/>
            <w:rPr>
              <w:lang w:val="it-CH"/>
            </w:rPr>
          </w:pPr>
        </w:p>
      </w:tc>
    </w:tr>
  </w:tbl>
  <w:p w14:paraId="159B777E" w14:textId="77777777" w:rsidR="0020500C" w:rsidRPr="00980362" w:rsidRDefault="0020500C" w:rsidP="00655B60">
    <w:pPr>
      <w:pStyle w:val="Intestazione"/>
    </w:pPr>
    <w:r>
      <w:rPr>
        <w:noProof/>
        <w:lang w:val="it-CH" w:eastAsia="it-CH"/>
      </w:rPr>
      <mc:AlternateContent>
        <mc:Choice Requires="wps">
          <w:drawing>
            <wp:anchor distT="0" distB="0" distL="114300" distR="114300" simplePos="0" relativeHeight="251665408" behindDoc="1" locked="1" layoutInCell="1" allowOverlap="1" wp14:anchorId="607EACAD" wp14:editId="76B34F1F">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97B205C5-647F-4C93-9E77-48A692E4DD04}"/>
                            <w:text w:multiLine="1"/>
                          </w:sdtPr>
                          <w:sdtEndPr/>
                          <w:sdtContent>
                            <w:p w14:paraId="05C375DD" w14:textId="77777777" w:rsidR="0020500C" w:rsidRPr="00411371" w:rsidRDefault="0020500C" w:rsidP="00655B60">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EACAD"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8648999C-0F74-44D0-88DC-16B508F3EF8B}"/>
                      <w:text w:multiLine="1"/>
                    </w:sdtPr>
                    <w:sdtEndPr/>
                    <w:sdtContent>
                      <w:p w14:paraId="05C375DD" w14:textId="77777777" w:rsidR="0020500C" w:rsidRPr="00411371" w:rsidRDefault="0020500C" w:rsidP="00655B60">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20500C" w:rsidRPr="0004624C" w14:paraId="19F0FF92" w14:textId="77777777" w:rsidTr="00655B60">
      <w:trPr>
        <w:trHeight w:val="586"/>
      </w:trPr>
      <w:tc>
        <w:tcPr>
          <w:tcW w:w="2440" w:type="pct"/>
          <w:gridSpan w:val="3"/>
          <w:tcBorders>
            <w:top w:val="nil"/>
            <w:left w:val="nil"/>
            <w:bottom w:val="single" w:sz="4" w:space="0" w:color="auto"/>
          </w:tcBorders>
          <w:vAlign w:val="bottom"/>
        </w:tcPr>
        <w:p w14:paraId="1DFEAC51" w14:textId="77777777" w:rsidR="0020500C" w:rsidRPr="003108C0" w:rsidRDefault="0020500C" w:rsidP="00655B60">
          <w:pPr>
            <w:pStyle w:val="InvisibleLine"/>
            <w:ind w:left="150"/>
            <w:rPr>
              <w:sz w:val="16"/>
            </w:rPr>
          </w:pPr>
        </w:p>
      </w:tc>
      <w:tc>
        <w:tcPr>
          <w:tcW w:w="373" w:type="pct"/>
          <w:tcBorders>
            <w:top w:val="nil"/>
            <w:bottom w:val="single" w:sz="4" w:space="0" w:color="auto"/>
          </w:tcBorders>
          <w:vAlign w:val="bottom"/>
        </w:tcPr>
        <w:p w14:paraId="4E256F86" w14:textId="77777777" w:rsidR="0020500C" w:rsidRPr="003108C0" w:rsidRDefault="0020500C" w:rsidP="00655B60">
          <w:pPr>
            <w:pStyle w:val="Level"/>
            <w:ind w:left="150"/>
            <w:rPr>
              <w:sz w:val="16"/>
            </w:rPr>
          </w:pPr>
        </w:p>
      </w:tc>
      <w:tc>
        <w:tcPr>
          <w:tcW w:w="209" w:type="pct"/>
          <w:tcBorders>
            <w:top w:val="nil"/>
            <w:bottom w:val="single" w:sz="4" w:space="0" w:color="auto"/>
          </w:tcBorders>
        </w:tcPr>
        <w:p w14:paraId="0D344831" w14:textId="77777777" w:rsidR="0020500C" w:rsidRDefault="0020500C" w:rsidP="00655B60">
          <w:pPr>
            <w:pStyle w:val="InvisibleLine"/>
            <w:ind w:left="150"/>
          </w:pPr>
          <w:r>
            <w:rPr>
              <w:noProof/>
              <w:lang w:val="it-CH" w:eastAsia="it-CH"/>
            </w:rPr>
            <w:drawing>
              <wp:anchor distT="0" distB="0" distL="114300" distR="114300" simplePos="0" relativeHeight="251667456" behindDoc="1" locked="1" layoutInCell="1" allowOverlap="1" wp14:anchorId="5C395469" wp14:editId="1E682513">
                <wp:simplePos x="0" y="0"/>
                <wp:positionH relativeFrom="column">
                  <wp:posOffset>-92710</wp:posOffset>
                </wp:positionH>
                <wp:positionV relativeFrom="page">
                  <wp:posOffset>-119380</wp:posOffset>
                </wp:positionV>
                <wp:extent cx="275590" cy="467995"/>
                <wp:effectExtent l="0" t="0" r="0" b="8255"/>
                <wp:wrapNone/>
                <wp:docPr id="17"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29C2317B" w14:textId="491F823D" w:rsidR="0020500C" w:rsidRPr="004204CB" w:rsidRDefault="0020500C" w:rsidP="00655B60">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200483">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200483">
            <w:rPr>
              <w:rFonts w:asciiTheme="minorHAnsi" w:hAnsiTheme="minorHAnsi" w:cstheme="minorHAnsi"/>
              <w:noProof/>
              <w:sz w:val="24"/>
            </w:rPr>
            <w:t>13</w:t>
          </w:r>
          <w:r w:rsidRPr="004204CB">
            <w:rPr>
              <w:rFonts w:asciiTheme="minorHAnsi" w:hAnsiTheme="minorHAnsi" w:cstheme="minorHAnsi"/>
              <w:noProof/>
              <w:sz w:val="24"/>
            </w:rPr>
            <w:fldChar w:fldCharType="end"/>
          </w:r>
        </w:p>
      </w:tc>
    </w:tr>
    <w:tr w:rsidR="0020500C" w:rsidRPr="0004624C" w14:paraId="27652F1F" w14:textId="77777777" w:rsidTr="00655B60">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97B205C5-647F-4C93-9E77-48A692E4DD04}"/>
          <w:text w:multiLine="1"/>
        </w:sdtPr>
        <w:sdtEndPr/>
        <w:sdtContent>
          <w:tc>
            <w:tcPr>
              <w:tcW w:w="5000" w:type="pct"/>
              <w:gridSpan w:val="6"/>
              <w:tcBorders>
                <w:left w:val="nil"/>
                <w:right w:val="nil"/>
              </w:tcBorders>
              <w:noWrap/>
              <w:tcMar>
                <w:top w:w="0" w:type="dxa"/>
              </w:tcMar>
              <w:vAlign w:val="bottom"/>
            </w:tcPr>
            <w:p w14:paraId="4D894D3E" w14:textId="1B429C37" w:rsidR="0020500C" w:rsidRPr="008C03B5" w:rsidRDefault="00396763" w:rsidP="00DA375D">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20500C" w:rsidRPr="0004624C" w14:paraId="67900E8C" w14:textId="77777777" w:rsidTr="00655B60">
      <w:trPr>
        <w:trHeight w:hRule="exact" w:val="306"/>
      </w:trPr>
      <w:tc>
        <w:tcPr>
          <w:tcW w:w="670" w:type="pct"/>
          <w:tcBorders>
            <w:left w:val="nil"/>
            <w:bottom w:val="nil"/>
          </w:tcBorders>
          <w:noWrap/>
          <w:tcMar>
            <w:top w:w="57" w:type="dxa"/>
            <w:left w:w="142" w:type="dxa"/>
          </w:tcMar>
        </w:tcPr>
        <w:p w14:paraId="6FCD8BCE" w14:textId="77777777" w:rsidR="0020500C" w:rsidRPr="00C7320A" w:rsidRDefault="0020500C" w:rsidP="00655B60">
          <w:pPr>
            <w:pStyle w:val="Level"/>
            <w:spacing w:before="60"/>
            <w:rPr>
              <w:rFonts w:ascii="Gill Alt One MT Light" w:hAnsi="Gill Alt One MT Light"/>
              <w:sz w:val="16"/>
            </w:rPr>
          </w:pPr>
          <w:r w:rsidRPr="00C7320A">
            <w:rPr>
              <w:rFonts w:ascii="Gill Alt One MT Light" w:hAnsi="Gill Alt One MT Light"/>
              <w:sz w:val="16"/>
            </w:rPr>
            <w:t>numero</w:t>
          </w:r>
        </w:p>
        <w:p w14:paraId="3B794BFB" w14:textId="77777777" w:rsidR="0020500C" w:rsidRPr="00C7320A" w:rsidRDefault="0020500C" w:rsidP="00655B60">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3764B69F" w14:textId="77777777" w:rsidR="0020500C" w:rsidRPr="00C7320A" w:rsidRDefault="0020500C" w:rsidP="00655B60">
          <w:pPr>
            <w:pStyle w:val="Level"/>
            <w:spacing w:before="60"/>
            <w:rPr>
              <w:rFonts w:ascii="Gill Alt One MT Light" w:hAnsi="Gill Alt One MT Light"/>
              <w:sz w:val="16"/>
            </w:rPr>
          </w:pPr>
          <w:r w:rsidRPr="00C7320A">
            <w:rPr>
              <w:rFonts w:ascii="Gill Alt One MT Light" w:hAnsi="Gill Alt One MT Light"/>
              <w:sz w:val="16"/>
            </w:rPr>
            <w:t>data</w:t>
          </w:r>
        </w:p>
        <w:p w14:paraId="2DBED4D2" w14:textId="77777777" w:rsidR="0020500C" w:rsidRPr="00C7320A" w:rsidRDefault="0020500C" w:rsidP="00655B60">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0CF734B7" w14:textId="77777777" w:rsidR="0020500C" w:rsidRPr="00C7320A" w:rsidRDefault="0020500C" w:rsidP="00655B60">
          <w:pPr>
            <w:pStyle w:val="Level"/>
            <w:spacing w:before="60"/>
            <w:rPr>
              <w:rFonts w:ascii="Gill Alt One MT Light" w:hAnsi="Gill Alt One MT Light"/>
              <w:sz w:val="16"/>
            </w:rPr>
          </w:pPr>
          <w:r>
            <w:rPr>
              <w:rFonts w:ascii="Gill Alt One MT Light" w:hAnsi="Gill Alt One MT Light"/>
              <w:sz w:val="16"/>
            </w:rPr>
            <w:t>competenza</w:t>
          </w:r>
        </w:p>
        <w:p w14:paraId="02ADFB58" w14:textId="77777777" w:rsidR="0020500C" w:rsidRPr="008C03B5" w:rsidRDefault="0020500C" w:rsidP="00655B60">
          <w:pPr>
            <w:pStyle w:val="Level"/>
            <w:spacing w:before="60" w:line="240" w:lineRule="auto"/>
            <w:rPr>
              <w:rFonts w:ascii="Gill Alt One MT Light" w:hAnsi="Gill Alt One MT Light"/>
              <w:sz w:val="16"/>
            </w:rPr>
          </w:pPr>
        </w:p>
      </w:tc>
    </w:tr>
    <w:tr w:rsidR="0020500C" w:rsidRPr="0004624C" w14:paraId="41647904" w14:textId="77777777" w:rsidTr="00655B60">
      <w:trPr>
        <w:trHeight w:hRule="exact" w:val="699"/>
      </w:trPr>
      <w:tc>
        <w:tcPr>
          <w:tcW w:w="670" w:type="pct"/>
          <w:tcBorders>
            <w:top w:val="nil"/>
            <w:left w:val="nil"/>
            <w:bottom w:val="single" w:sz="4" w:space="0" w:color="auto"/>
            <w:right w:val="nil"/>
          </w:tcBorders>
          <w:noWrap/>
          <w:tcMar>
            <w:top w:w="0" w:type="dxa"/>
          </w:tcMar>
        </w:tcPr>
        <w:p w14:paraId="1C8AF7D1" w14:textId="09599C41" w:rsidR="0020500C" w:rsidRPr="00BE22A2" w:rsidRDefault="00200483" w:rsidP="00655B60">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97B205C5-647F-4C93-9E77-48A692E4DD04}"/>
              <w:text w:multiLine="1"/>
            </w:sdtPr>
            <w:sdtEndPr/>
            <w:sdtContent>
              <w:r w:rsidR="00396763">
                <w:rPr>
                  <w:rFonts w:cstheme="minorHAnsi"/>
                  <w:b/>
                  <w:sz w:val="24"/>
                  <w:szCs w:val="24"/>
                </w:rPr>
                <w:t>8304 R</w:t>
              </w:r>
            </w:sdtContent>
          </w:sdt>
        </w:p>
      </w:tc>
      <w:sdt>
        <w:sdtPr>
          <w:rPr>
            <w:sz w:val="24"/>
          </w:rPr>
          <w:alias w:val="DocParam.Date"/>
          <w:id w:val="-464426178"/>
          <w:dataBinding w:xpath="//DateTime[@id='DocParam.Date']" w:storeItemID="{97B205C5-647F-4C93-9E77-48A692E4DD04}"/>
          <w:date w:fullDate="2023-11-2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1A51C713" w14:textId="49BB46EF" w:rsidR="0020500C" w:rsidRPr="002A0371" w:rsidRDefault="00396763" w:rsidP="009F5512">
              <w:pPr>
                <w:pStyle w:val="Data"/>
              </w:pPr>
              <w:r>
                <w:rPr>
                  <w:sz w:val="24"/>
                </w:rPr>
                <w:t>21 novembre 2023</w:t>
              </w:r>
            </w:p>
          </w:tc>
        </w:sdtContent>
      </w:sdt>
      <w:tc>
        <w:tcPr>
          <w:tcW w:w="3218" w:type="pct"/>
          <w:gridSpan w:val="4"/>
          <w:tcBorders>
            <w:top w:val="nil"/>
            <w:left w:val="nil"/>
            <w:bottom w:val="nil"/>
            <w:right w:val="nil"/>
          </w:tcBorders>
        </w:tcPr>
        <w:p w14:paraId="4E4ED594" w14:textId="33983B17" w:rsidR="0020500C" w:rsidRPr="00BE22A2" w:rsidRDefault="00200483" w:rsidP="00020E20">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97B205C5-647F-4C93-9E77-48A692E4DD04}"/>
              <w:text w:multiLine="1"/>
            </w:sdtPr>
            <w:sdtEndPr/>
            <w:sdtContent>
              <w:r w:rsidR="00020E20">
                <w:rPr>
                  <w:smallCaps/>
                  <w:sz w:val="23"/>
                  <w:szCs w:val="23"/>
                </w:rPr>
                <w:t>Dipartimento della sanità e della socialità</w:t>
              </w:r>
            </w:sdtContent>
          </w:sdt>
        </w:p>
      </w:tc>
    </w:tr>
    <w:tr w:rsidR="0020500C" w:rsidRPr="00C63927" w14:paraId="37C6B3A1" w14:textId="77777777" w:rsidTr="00655B60">
      <w:trPr>
        <w:trHeight w:hRule="exact" w:val="198"/>
      </w:trPr>
      <w:tc>
        <w:tcPr>
          <w:tcW w:w="5000" w:type="pct"/>
          <w:gridSpan w:val="6"/>
          <w:tcBorders>
            <w:left w:val="nil"/>
            <w:bottom w:val="nil"/>
            <w:right w:val="nil"/>
          </w:tcBorders>
          <w:noWrap/>
          <w:tcMar>
            <w:top w:w="57" w:type="dxa"/>
            <w:left w:w="85" w:type="dxa"/>
            <w:bottom w:w="170" w:type="dxa"/>
          </w:tcMar>
        </w:tcPr>
        <w:p w14:paraId="468357A8" w14:textId="77777777" w:rsidR="0020500C" w:rsidRPr="00C7320A" w:rsidRDefault="0020500C" w:rsidP="00655B60">
          <w:pPr>
            <w:pStyle w:val="Level"/>
            <w:ind w:left="150"/>
            <w:rPr>
              <w:rFonts w:ascii="Gill Alt One MT Light" w:hAnsi="Gill Alt One MT Light"/>
              <w:sz w:val="16"/>
              <w:szCs w:val="16"/>
            </w:rPr>
          </w:pPr>
        </w:p>
      </w:tc>
    </w:tr>
  </w:tbl>
  <w:p w14:paraId="5CE5FB08" w14:textId="77777777" w:rsidR="0020500C" w:rsidRPr="00DA2879" w:rsidRDefault="0020500C" w:rsidP="00655B60">
    <w:pPr>
      <w:pStyle w:val="Nessunaspaziatura"/>
      <w:spacing w:line="40" w:lineRule="exact"/>
    </w:pPr>
    <w:r>
      <w:rPr>
        <w:noProof/>
        <w:lang w:val="it-CH" w:eastAsia="it-CH"/>
      </w:rPr>
      <w:drawing>
        <wp:anchor distT="0" distB="0" distL="114300" distR="114300" simplePos="0" relativeHeight="251659264" behindDoc="1" locked="1" layoutInCell="1" allowOverlap="1" wp14:anchorId="1C631715" wp14:editId="2079378E">
          <wp:simplePos x="0" y="0"/>
          <wp:positionH relativeFrom="column">
            <wp:posOffset>3042920</wp:posOffset>
          </wp:positionH>
          <wp:positionV relativeFrom="page">
            <wp:posOffset>215265</wp:posOffset>
          </wp:positionV>
          <wp:extent cx="458470" cy="467995"/>
          <wp:effectExtent l="0" t="0" r="0" b="8255"/>
          <wp:wrapNone/>
          <wp:docPr id="18"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6554FB88" wp14:editId="08426C0C">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97B205C5-647F-4C93-9E77-48A692E4DD04}"/>
                            <w:text w:multiLine="1"/>
                          </w:sdtPr>
                          <w:sdtEndPr/>
                          <w:sdtContent>
                            <w:p w14:paraId="649BEC4E" w14:textId="77777777" w:rsidR="0020500C" w:rsidRPr="00411371" w:rsidRDefault="0020500C" w:rsidP="00655B60">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4FB88"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8648999C-0F74-44D0-88DC-16B508F3EF8B}"/>
                      <w:text w:multiLine="1"/>
                    </w:sdtPr>
                    <w:sdtEndPr/>
                    <w:sdtContent>
                      <w:p w14:paraId="649BEC4E" w14:textId="77777777" w:rsidR="0020500C" w:rsidRPr="00411371" w:rsidRDefault="0020500C" w:rsidP="00655B60">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3E04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9C16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4058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6A88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6266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4605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C74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6C5E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04C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989F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4F3E"/>
    <w:multiLevelType w:val="hybridMultilevel"/>
    <w:tmpl w:val="66D68FA8"/>
    <w:lvl w:ilvl="0" w:tplc="7ED07C46">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0466656D"/>
    <w:multiLevelType w:val="multilevel"/>
    <w:tmpl w:val="B8DC7D2A"/>
    <w:lvl w:ilvl="0">
      <w:start w:val="1"/>
      <w:numFmt w:val="decimal"/>
      <w:lvlText w:val="%1."/>
      <w:lvlJc w:val="left"/>
      <w:pPr>
        <w:ind w:left="720" w:hanging="360"/>
      </w:pPr>
      <w:rPr>
        <w:rFonts w:hint="default"/>
      </w:rPr>
    </w:lvl>
    <w:lvl w:ilvl="1">
      <w:start w:val="3"/>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D0F253E"/>
    <w:multiLevelType w:val="hybridMultilevel"/>
    <w:tmpl w:val="2FAE901E"/>
    <w:lvl w:ilvl="0" w:tplc="49EE906E">
      <w:start w:val="1"/>
      <w:numFmt w:val="lowerLetter"/>
      <w:lvlText w:val="%1)"/>
      <w:lvlJc w:val="left"/>
      <w:pPr>
        <w:ind w:left="644" w:hanging="360"/>
      </w:pPr>
      <w:rPr>
        <w:rFonts w:hint="default"/>
      </w:rPr>
    </w:lvl>
    <w:lvl w:ilvl="1" w:tplc="08100019" w:tentative="1">
      <w:start w:val="1"/>
      <w:numFmt w:val="lowerLetter"/>
      <w:lvlText w:val="%2."/>
      <w:lvlJc w:val="left"/>
      <w:pPr>
        <w:ind w:left="1364" w:hanging="360"/>
      </w:pPr>
    </w:lvl>
    <w:lvl w:ilvl="2" w:tplc="0810001B" w:tentative="1">
      <w:start w:val="1"/>
      <w:numFmt w:val="lowerRoman"/>
      <w:lvlText w:val="%3."/>
      <w:lvlJc w:val="right"/>
      <w:pPr>
        <w:ind w:left="2084" w:hanging="180"/>
      </w:pPr>
    </w:lvl>
    <w:lvl w:ilvl="3" w:tplc="0810000F" w:tentative="1">
      <w:start w:val="1"/>
      <w:numFmt w:val="decimal"/>
      <w:lvlText w:val="%4."/>
      <w:lvlJc w:val="left"/>
      <w:pPr>
        <w:ind w:left="2804" w:hanging="360"/>
      </w:pPr>
    </w:lvl>
    <w:lvl w:ilvl="4" w:tplc="08100019" w:tentative="1">
      <w:start w:val="1"/>
      <w:numFmt w:val="lowerLetter"/>
      <w:lvlText w:val="%5."/>
      <w:lvlJc w:val="left"/>
      <w:pPr>
        <w:ind w:left="3524" w:hanging="360"/>
      </w:pPr>
    </w:lvl>
    <w:lvl w:ilvl="5" w:tplc="0810001B" w:tentative="1">
      <w:start w:val="1"/>
      <w:numFmt w:val="lowerRoman"/>
      <w:lvlText w:val="%6."/>
      <w:lvlJc w:val="right"/>
      <w:pPr>
        <w:ind w:left="4244" w:hanging="180"/>
      </w:pPr>
    </w:lvl>
    <w:lvl w:ilvl="6" w:tplc="0810000F" w:tentative="1">
      <w:start w:val="1"/>
      <w:numFmt w:val="decimal"/>
      <w:lvlText w:val="%7."/>
      <w:lvlJc w:val="left"/>
      <w:pPr>
        <w:ind w:left="4964" w:hanging="360"/>
      </w:pPr>
    </w:lvl>
    <w:lvl w:ilvl="7" w:tplc="08100019" w:tentative="1">
      <w:start w:val="1"/>
      <w:numFmt w:val="lowerLetter"/>
      <w:lvlText w:val="%8."/>
      <w:lvlJc w:val="left"/>
      <w:pPr>
        <w:ind w:left="5684" w:hanging="360"/>
      </w:pPr>
    </w:lvl>
    <w:lvl w:ilvl="8" w:tplc="0810001B" w:tentative="1">
      <w:start w:val="1"/>
      <w:numFmt w:val="lowerRoman"/>
      <w:lvlText w:val="%9."/>
      <w:lvlJc w:val="right"/>
      <w:pPr>
        <w:ind w:left="6404" w:hanging="180"/>
      </w:pPr>
    </w:lvl>
  </w:abstractNum>
  <w:abstractNum w:abstractNumId="13"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15D253EC"/>
    <w:multiLevelType w:val="multilevel"/>
    <w:tmpl w:val="8EE69C58"/>
    <w:lvl w:ilvl="0">
      <w:start w:val="3"/>
      <w:numFmt w:val="decimal"/>
      <w:lvlText w:val="%1"/>
      <w:lvlJc w:val="left"/>
      <w:pPr>
        <w:ind w:left="530" w:hanging="530"/>
      </w:pPr>
      <w:rPr>
        <w:rFonts w:hint="default"/>
      </w:rPr>
    </w:lvl>
    <w:lvl w:ilvl="1">
      <w:start w:val="1"/>
      <w:numFmt w:val="decimal"/>
      <w:lvlText w:val="%1.%2"/>
      <w:lvlJc w:val="left"/>
      <w:pPr>
        <w:ind w:left="813" w:hanging="53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18081428"/>
    <w:multiLevelType w:val="hybridMultilevel"/>
    <w:tmpl w:val="19D0C292"/>
    <w:lvl w:ilvl="0" w:tplc="BA0023C4">
      <w:start w:val="1"/>
      <w:numFmt w:val="upperRoman"/>
      <w:lvlText w:val="%1."/>
      <w:lvlJc w:val="left"/>
      <w:pPr>
        <w:ind w:left="1287" w:hanging="720"/>
      </w:pPr>
      <w:rPr>
        <w:rFonts w:hint="default"/>
      </w:rPr>
    </w:lvl>
    <w:lvl w:ilvl="1" w:tplc="08100019">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6" w15:restartNumberingAfterBreak="0">
    <w:nsid w:val="193E1939"/>
    <w:multiLevelType w:val="multilevel"/>
    <w:tmpl w:val="84FC5F3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26123616"/>
    <w:multiLevelType w:val="hybridMultilevel"/>
    <w:tmpl w:val="A68E38A6"/>
    <w:lvl w:ilvl="0" w:tplc="7ED07C46">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2AB47336"/>
    <w:multiLevelType w:val="multilevel"/>
    <w:tmpl w:val="C2606BDC"/>
    <w:styleLink w:val="ListNumericList"/>
    <w:lvl w:ilvl="0">
      <w:start w:val="1"/>
      <w:numFmt w:val="decimal"/>
      <w:pStyle w:val="ListNumeric"/>
      <w:lvlText w:val="%1."/>
      <w:lvlJc w:val="left"/>
      <w:pPr>
        <w:ind w:left="425" w:hanging="284"/>
      </w:pPr>
      <w:rPr>
        <w:rFonts w:asciiTheme="minorHAnsi" w:hAnsiTheme="minorHAnsi" w:hint="default"/>
      </w:rPr>
    </w:lvl>
    <w:lvl w:ilvl="1">
      <w:start w:val="1"/>
      <w:numFmt w:val="decimal"/>
      <w:lvlText w:val="%1.%2."/>
      <w:lvlJc w:val="left"/>
      <w:pPr>
        <w:ind w:left="708" w:hanging="283"/>
      </w:pPr>
      <w:rPr>
        <w:rFonts w:hint="default"/>
      </w:rPr>
    </w:lvl>
    <w:lvl w:ilvl="2">
      <w:start w:val="1"/>
      <w:numFmt w:val="decimal"/>
      <w:lvlText w:val="%1.%2.%3."/>
      <w:lvlJc w:val="left"/>
      <w:pPr>
        <w:ind w:left="992" w:hanging="284"/>
      </w:pPr>
      <w:rPr>
        <w:rFonts w:hint="default"/>
      </w:rPr>
    </w:lvl>
    <w:lvl w:ilvl="3">
      <w:start w:val="1"/>
      <w:numFmt w:val="decimal"/>
      <w:lvlText w:val="%1.%2.%3.%4."/>
      <w:lvlJc w:val="left"/>
      <w:pPr>
        <w:ind w:left="1275" w:hanging="283"/>
      </w:pPr>
      <w:rPr>
        <w:rFonts w:hint="default"/>
      </w:rPr>
    </w:lvl>
    <w:lvl w:ilvl="4">
      <w:start w:val="1"/>
      <w:numFmt w:val="none"/>
      <w:lvlText w:val=""/>
      <w:lvlJc w:val="left"/>
      <w:pPr>
        <w:ind w:left="3543" w:hanging="3402"/>
      </w:pPr>
      <w:rPr>
        <w:rFonts w:hint="default"/>
      </w:rPr>
    </w:lvl>
    <w:lvl w:ilvl="5">
      <w:start w:val="1"/>
      <w:numFmt w:val="none"/>
      <w:lvlText w:val=""/>
      <w:lvlJc w:val="left"/>
      <w:pPr>
        <w:ind w:left="3656" w:hanging="3402"/>
      </w:pPr>
      <w:rPr>
        <w:rFonts w:hint="default"/>
      </w:rPr>
    </w:lvl>
    <w:lvl w:ilvl="6">
      <w:start w:val="1"/>
      <w:numFmt w:val="none"/>
      <w:lvlText w:val=""/>
      <w:lvlJc w:val="left"/>
      <w:pPr>
        <w:ind w:left="3770" w:hanging="3402"/>
      </w:pPr>
      <w:rPr>
        <w:rFonts w:hint="default"/>
      </w:rPr>
    </w:lvl>
    <w:lvl w:ilvl="7">
      <w:start w:val="1"/>
      <w:numFmt w:val="none"/>
      <w:lvlText w:val=""/>
      <w:lvlJc w:val="left"/>
      <w:pPr>
        <w:ind w:left="3883" w:hanging="3402"/>
      </w:pPr>
      <w:rPr>
        <w:rFonts w:hint="default"/>
      </w:rPr>
    </w:lvl>
    <w:lvl w:ilvl="8">
      <w:start w:val="1"/>
      <w:numFmt w:val="none"/>
      <w:lvlText w:val=""/>
      <w:lvlJc w:val="left"/>
      <w:pPr>
        <w:ind w:left="3997" w:hanging="3402"/>
      </w:pPr>
      <w:rPr>
        <w:rFonts w:hint="default"/>
      </w:rPr>
    </w:lvl>
  </w:abstractNum>
  <w:abstractNum w:abstractNumId="21"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37C77BEA"/>
    <w:multiLevelType w:val="hybridMultilevel"/>
    <w:tmpl w:val="DE2A7626"/>
    <w:lvl w:ilvl="0" w:tplc="5BE83E82">
      <w:numFmt w:val="bullet"/>
      <w:lvlText w:val="-"/>
      <w:lvlJc w:val="left"/>
      <w:pPr>
        <w:ind w:left="720" w:hanging="360"/>
      </w:pPr>
      <w:rPr>
        <w:rFonts w:ascii="Arial" w:eastAsia="Times New Roman" w:hAnsi="Arial" w:cs="Arial" w:hint="default"/>
      </w:rPr>
    </w:lvl>
    <w:lvl w:ilvl="1" w:tplc="115C703C">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3BB259EC"/>
    <w:multiLevelType w:val="multilevel"/>
    <w:tmpl w:val="3D78B94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3473D5"/>
    <w:multiLevelType w:val="hybridMultilevel"/>
    <w:tmpl w:val="08D2E014"/>
    <w:lvl w:ilvl="0" w:tplc="2D0C8EFA">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6" w15:restartNumberingAfterBreak="0">
    <w:nsid w:val="497C4B4D"/>
    <w:multiLevelType w:val="hybridMultilevel"/>
    <w:tmpl w:val="809E9B20"/>
    <w:lvl w:ilvl="0" w:tplc="CBAC25CC">
      <w:start w:val="7"/>
      <w:numFmt w:val="decimal"/>
      <w:lvlText w:val="%1"/>
      <w:lvlJc w:val="left"/>
      <w:pPr>
        <w:ind w:left="643" w:hanging="360"/>
      </w:pPr>
      <w:rPr>
        <w:rFonts w:hint="default"/>
      </w:rPr>
    </w:lvl>
    <w:lvl w:ilvl="1" w:tplc="08100019" w:tentative="1">
      <w:start w:val="1"/>
      <w:numFmt w:val="lowerLetter"/>
      <w:lvlText w:val="%2."/>
      <w:lvlJc w:val="left"/>
      <w:pPr>
        <w:ind w:left="1363" w:hanging="360"/>
      </w:pPr>
    </w:lvl>
    <w:lvl w:ilvl="2" w:tplc="0810001B" w:tentative="1">
      <w:start w:val="1"/>
      <w:numFmt w:val="lowerRoman"/>
      <w:lvlText w:val="%3."/>
      <w:lvlJc w:val="right"/>
      <w:pPr>
        <w:ind w:left="2083" w:hanging="180"/>
      </w:pPr>
    </w:lvl>
    <w:lvl w:ilvl="3" w:tplc="0810000F" w:tentative="1">
      <w:start w:val="1"/>
      <w:numFmt w:val="decimal"/>
      <w:lvlText w:val="%4."/>
      <w:lvlJc w:val="left"/>
      <w:pPr>
        <w:ind w:left="2803" w:hanging="360"/>
      </w:pPr>
    </w:lvl>
    <w:lvl w:ilvl="4" w:tplc="08100019" w:tentative="1">
      <w:start w:val="1"/>
      <w:numFmt w:val="lowerLetter"/>
      <w:lvlText w:val="%5."/>
      <w:lvlJc w:val="left"/>
      <w:pPr>
        <w:ind w:left="3523" w:hanging="360"/>
      </w:pPr>
    </w:lvl>
    <w:lvl w:ilvl="5" w:tplc="0810001B" w:tentative="1">
      <w:start w:val="1"/>
      <w:numFmt w:val="lowerRoman"/>
      <w:lvlText w:val="%6."/>
      <w:lvlJc w:val="right"/>
      <w:pPr>
        <w:ind w:left="4243" w:hanging="180"/>
      </w:pPr>
    </w:lvl>
    <w:lvl w:ilvl="6" w:tplc="0810000F" w:tentative="1">
      <w:start w:val="1"/>
      <w:numFmt w:val="decimal"/>
      <w:lvlText w:val="%7."/>
      <w:lvlJc w:val="left"/>
      <w:pPr>
        <w:ind w:left="4963" w:hanging="360"/>
      </w:pPr>
    </w:lvl>
    <w:lvl w:ilvl="7" w:tplc="08100019" w:tentative="1">
      <w:start w:val="1"/>
      <w:numFmt w:val="lowerLetter"/>
      <w:lvlText w:val="%8."/>
      <w:lvlJc w:val="left"/>
      <w:pPr>
        <w:ind w:left="5683" w:hanging="360"/>
      </w:pPr>
    </w:lvl>
    <w:lvl w:ilvl="8" w:tplc="0810001B" w:tentative="1">
      <w:start w:val="1"/>
      <w:numFmt w:val="lowerRoman"/>
      <w:lvlText w:val="%9."/>
      <w:lvlJc w:val="right"/>
      <w:pPr>
        <w:ind w:left="6403" w:hanging="180"/>
      </w:pPr>
    </w:lvl>
  </w:abstractNum>
  <w:abstractNum w:abstractNumId="27" w15:restartNumberingAfterBreak="0">
    <w:nsid w:val="49D524CC"/>
    <w:multiLevelType w:val="multilevel"/>
    <w:tmpl w:val="953CA1B2"/>
    <w:numStyleLink w:val="HeadingList"/>
  </w:abstractNum>
  <w:abstractNum w:abstractNumId="28" w15:restartNumberingAfterBreak="0">
    <w:nsid w:val="4F5E052E"/>
    <w:multiLevelType w:val="hybridMultilevel"/>
    <w:tmpl w:val="C3F06E8E"/>
    <w:lvl w:ilvl="0" w:tplc="83A49152">
      <w:start w:val="2"/>
      <w:numFmt w:val="bullet"/>
      <w:lvlText w:val="-"/>
      <w:lvlJc w:val="left"/>
      <w:pPr>
        <w:ind w:left="360" w:hanging="360"/>
      </w:pPr>
      <w:rPr>
        <w:rFonts w:ascii="Arial" w:eastAsiaTheme="minorHAnsi" w:hAnsi="Arial" w:cs="Arial" w:hint="default"/>
      </w:r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9" w15:restartNumberingAfterBreak="0">
    <w:nsid w:val="55F13E40"/>
    <w:multiLevelType w:val="hybridMultilevel"/>
    <w:tmpl w:val="DE2A861C"/>
    <w:lvl w:ilvl="0" w:tplc="83A49152">
      <w:start w:val="2"/>
      <w:numFmt w:val="bullet"/>
      <w:lvlText w:val="-"/>
      <w:lvlJc w:val="left"/>
      <w:pPr>
        <w:ind w:left="360" w:hanging="360"/>
      </w:pPr>
      <w:rPr>
        <w:rFonts w:ascii="Arial" w:eastAsiaTheme="minorHAnsi" w:hAnsi="Arial" w:cs="Arial" w:hint="default"/>
      </w:r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0" w15:restartNumberingAfterBreak="0">
    <w:nsid w:val="58643035"/>
    <w:multiLevelType w:val="hybridMultilevel"/>
    <w:tmpl w:val="348C61AA"/>
    <w:lvl w:ilvl="0" w:tplc="08100005">
      <w:start w:val="1"/>
      <w:numFmt w:val="bullet"/>
      <w:lvlText w:val=""/>
      <w:lvlJc w:val="left"/>
      <w:pPr>
        <w:ind w:left="644" w:hanging="360"/>
      </w:pPr>
      <w:rPr>
        <w:rFonts w:ascii="Wingdings" w:hAnsi="Wingdings" w:hint="default"/>
      </w:rPr>
    </w:lvl>
    <w:lvl w:ilvl="1" w:tplc="08100003" w:tentative="1">
      <w:start w:val="1"/>
      <w:numFmt w:val="bullet"/>
      <w:lvlText w:val="o"/>
      <w:lvlJc w:val="left"/>
      <w:pPr>
        <w:ind w:left="1364" w:hanging="360"/>
      </w:pPr>
      <w:rPr>
        <w:rFonts w:ascii="Courier New" w:hAnsi="Courier New" w:cs="Courier New" w:hint="default"/>
      </w:rPr>
    </w:lvl>
    <w:lvl w:ilvl="2" w:tplc="08100005" w:tentative="1">
      <w:start w:val="1"/>
      <w:numFmt w:val="bullet"/>
      <w:lvlText w:val=""/>
      <w:lvlJc w:val="left"/>
      <w:pPr>
        <w:ind w:left="2084" w:hanging="360"/>
      </w:pPr>
      <w:rPr>
        <w:rFonts w:ascii="Wingdings" w:hAnsi="Wingdings" w:hint="default"/>
      </w:rPr>
    </w:lvl>
    <w:lvl w:ilvl="3" w:tplc="08100001" w:tentative="1">
      <w:start w:val="1"/>
      <w:numFmt w:val="bullet"/>
      <w:lvlText w:val=""/>
      <w:lvlJc w:val="left"/>
      <w:pPr>
        <w:ind w:left="2804" w:hanging="360"/>
      </w:pPr>
      <w:rPr>
        <w:rFonts w:ascii="Symbol" w:hAnsi="Symbol" w:hint="default"/>
      </w:rPr>
    </w:lvl>
    <w:lvl w:ilvl="4" w:tplc="08100003" w:tentative="1">
      <w:start w:val="1"/>
      <w:numFmt w:val="bullet"/>
      <w:lvlText w:val="o"/>
      <w:lvlJc w:val="left"/>
      <w:pPr>
        <w:ind w:left="3524" w:hanging="360"/>
      </w:pPr>
      <w:rPr>
        <w:rFonts w:ascii="Courier New" w:hAnsi="Courier New" w:cs="Courier New" w:hint="default"/>
      </w:rPr>
    </w:lvl>
    <w:lvl w:ilvl="5" w:tplc="08100005" w:tentative="1">
      <w:start w:val="1"/>
      <w:numFmt w:val="bullet"/>
      <w:lvlText w:val=""/>
      <w:lvlJc w:val="left"/>
      <w:pPr>
        <w:ind w:left="4244" w:hanging="360"/>
      </w:pPr>
      <w:rPr>
        <w:rFonts w:ascii="Wingdings" w:hAnsi="Wingdings" w:hint="default"/>
      </w:rPr>
    </w:lvl>
    <w:lvl w:ilvl="6" w:tplc="08100001" w:tentative="1">
      <w:start w:val="1"/>
      <w:numFmt w:val="bullet"/>
      <w:lvlText w:val=""/>
      <w:lvlJc w:val="left"/>
      <w:pPr>
        <w:ind w:left="4964" w:hanging="360"/>
      </w:pPr>
      <w:rPr>
        <w:rFonts w:ascii="Symbol" w:hAnsi="Symbol" w:hint="default"/>
      </w:rPr>
    </w:lvl>
    <w:lvl w:ilvl="7" w:tplc="08100003" w:tentative="1">
      <w:start w:val="1"/>
      <w:numFmt w:val="bullet"/>
      <w:lvlText w:val="o"/>
      <w:lvlJc w:val="left"/>
      <w:pPr>
        <w:ind w:left="5684" w:hanging="360"/>
      </w:pPr>
      <w:rPr>
        <w:rFonts w:ascii="Courier New" w:hAnsi="Courier New" w:cs="Courier New" w:hint="default"/>
      </w:rPr>
    </w:lvl>
    <w:lvl w:ilvl="8" w:tplc="08100005" w:tentative="1">
      <w:start w:val="1"/>
      <w:numFmt w:val="bullet"/>
      <w:lvlText w:val=""/>
      <w:lvlJc w:val="left"/>
      <w:pPr>
        <w:ind w:left="6404" w:hanging="360"/>
      </w:pPr>
      <w:rPr>
        <w:rFonts w:ascii="Wingdings" w:hAnsi="Wingdings" w:hint="default"/>
      </w:rPr>
    </w:lvl>
  </w:abstractNum>
  <w:abstractNum w:abstractNumId="31" w15:restartNumberingAfterBreak="0">
    <w:nsid w:val="58A21725"/>
    <w:multiLevelType w:val="hybridMultilevel"/>
    <w:tmpl w:val="322404A2"/>
    <w:lvl w:ilvl="0" w:tplc="5DF29A98">
      <w:start w:val="2"/>
      <w:numFmt w:val="decimal"/>
      <w:lvlText w:val="%1."/>
      <w:lvlJc w:val="left"/>
      <w:pPr>
        <w:ind w:left="1776" w:hanging="360"/>
      </w:pPr>
      <w:rPr>
        <w:rFonts w:hint="default"/>
      </w:rPr>
    </w:lvl>
    <w:lvl w:ilvl="1" w:tplc="08100019" w:tentative="1">
      <w:start w:val="1"/>
      <w:numFmt w:val="lowerLetter"/>
      <w:lvlText w:val="%2."/>
      <w:lvlJc w:val="left"/>
      <w:pPr>
        <w:ind w:left="2496" w:hanging="360"/>
      </w:pPr>
    </w:lvl>
    <w:lvl w:ilvl="2" w:tplc="0810001B" w:tentative="1">
      <w:start w:val="1"/>
      <w:numFmt w:val="lowerRoman"/>
      <w:lvlText w:val="%3."/>
      <w:lvlJc w:val="right"/>
      <w:pPr>
        <w:ind w:left="3216" w:hanging="180"/>
      </w:pPr>
    </w:lvl>
    <w:lvl w:ilvl="3" w:tplc="0810000F" w:tentative="1">
      <w:start w:val="1"/>
      <w:numFmt w:val="decimal"/>
      <w:lvlText w:val="%4."/>
      <w:lvlJc w:val="left"/>
      <w:pPr>
        <w:ind w:left="3936" w:hanging="360"/>
      </w:pPr>
    </w:lvl>
    <w:lvl w:ilvl="4" w:tplc="08100019" w:tentative="1">
      <w:start w:val="1"/>
      <w:numFmt w:val="lowerLetter"/>
      <w:lvlText w:val="%5."/>
      <w:lvlJc w:val="left"/>
      <w:pPr>
        <w:ind w:left="4656" w:hanging="360"/>
      </w:pPr>
    </w:lvl>
    <w:lvl w:ilvl="5" w:tplc="0810001B" w:tentative="1">
      <w:start w:val="1"/>
      <w:numFmt w:val="lowerRoman"/>
      <w:lvlText w:val="%6."/>
      <w:lvlJc w:val="right"/>
      <w:pPr>
        <w:ind w:left="5376" w:hanging="180"/>
      </w:pPr>
    </w:lvl>
    <w:lvl w:ilvl="6" w:tplc="0810000F" w:tentative="1">
      <w:start w:val="1"/>
      <w:numFmt w:val="decimal"/>
      <w:lvlText w:val="%7."/>
      <w:lvlJc w:val="left"/>
      <w:pPr>
        <w:ind w:left="6096" w:hanging="360"/>
      </w:pPr>
    </w:lvl>
    <w:lvl w:ilvl="7" w:tplc="08100019" w:tentative="1">
      <w:start w:val="1"/>
      <w:numFmt w:val="lowerLetter"/>
      <w:lvlText w:val="%8."/>
      <w:lvlJc w:val="left"/>
      <w:pPr>
        <w:ind w:left="6816" w:hanging="360"/>
      </w:pPr>
    </w:lvl>
    <w:lvl w:ilvl="8" w:tplc="0810001B" w:tentative="1">
      <w:start w:val="1"/>
      <w:numFmt w:val="lowerRoman"/>
      <w:lvlText w:val="%9."/>
      <w:lvlJc w:val="right"/>
      <w:pPr>
        <w:ind w:left="7536" w:hanging="180"/>
      </w:pPr>
    </w:lvl>
  </w:abstractNum>
  <w:abstractNum w:abstractNumId="32" w15:restartNumberingAfterBreak="0">
    <w:nsid w:val="5F2018C5"/>
    <w:multiLevelType w:val="multilevel"/>
    <w:tmpl w:val="C2606BDC"/>
    <w:numStyleLink w:val="ListNumericList"/>
  </w:abstractNum>
  <w:abstractNum w:abstractNumId="33" w15:restartNumberingAfterBreak="0">
    <w:nsid w:val="610F3A63"/>
    <w:multiLevelType w:val="hybridMultilevel"/>
    <w:tmpl w:val="4B0EE056"/>
    <w:lvl w:ilvl="0" w:tplc="83A49152">
      <w:start w:val="2"/>
      <w:numFmt w:val="bullet"/>
      <w:lvlText w:val="-"/>
      <w:lvlJc w:val="left"/>
      <w:pPr>
        <w:ind w:left="1780" w:hanging="360"/>
      </w:pPr>
      <w:rPr>
        <w:rFonts w:ascii="Arial" w:eastAsiaTheme="minorHAnsi" w:hAnsi="Arial" w:cs="Arial" w:hint="default"/>
      </w:rPr>
    </w:lvl>
    <w:lvl w:ilvl="1" w:tplc="08100003">
      <w:start w:val="1"/>
      <w:numFmt w:val="bullet"/>
      <w:lvlText w:val="o"/>
      <w:lvlJc w:val="left"/>
      <w:pPr>
        <w:ind w:left="2500" w:hanging="360"/>
      </w:pPr>
      <w:rPr>
        <w:rFonts w:ascii="Courier New" w:hAnsi="Courier New" w:cs="Courier New" w:hint="default"/>
      </w:rPr>
    </w:lvl>
    <w:lvl w:ilvl="2" w:tplc="08100005">
      <w:start w:val="1"/>
      <w:numFmt w:val="bullet"/>
      <w:lvlText w:val=""/>
      <w:lvlJc w:val="left"/>
      <w:pPr>
        <w:ind w:left="3220" w:hanging="360"/>
      </w:pPr>
      <w:rPr>
        <w:rFonts w:ascii="Wingdings" w:hAnsi="Wingdings" w:hint="default"/>
      </w:rPr>
    </w:lvl>
    <w:lvl w:ilvl="3" w:tplc="08100001" w:tentative="1">
      <w:start w:val="1"/>
      <w:numFmt w:val="bullet"/>
      <w:lvlText w:val=""/>
      <w:lvlJc w:val="left"/>
      <w:pPr>
        <w:ind w:left="3940" w:hanging="360"/>
      </w:pPr>
      <w:rPr>
        <w:rFonts w:ascii="Symbol" w:hAnsi="Symbol" w:hint="default"/>
      </w:rPr>
    </w:lvl>
    <w:lvl w:ilvl="4" w:tplc="08100003" w:tentative="1">
      <w:start w:val="1"/>
      <w:numFmt w:val="bullet"/>
      <w:lvlText w:val="o"/>
      <w:lvlJc w:val="left"/>
      <w:pPr>
        <w:ind w:left="4660" w:hanging="360"/>
      </w:pPr>
      <w:rPr>
        <w:rFonts w:ascii="Courier New" w:hAnsi="Courier New" w:cs="Courier New" w:hint="default"/>
      </w:rPr>
    </w:lvl>
    <w:lvl w:ilvl="5" w:tplc="08100005" w:tentative="1">
      <w:start w:val="1"/>
      <w:numFmt w:val="bullet"/>
      <w:lvlText w:val=""/>
      <w:lvlJc w:val="left"/>
      <w:pPr>
        <w:ind w:left="5380" w:hanging="360"/>
      </w:pPr>
      <w:rPr>
        <w:rFonts w:ascii="Wingdings" w:hAnsi="Wingdings" w:hint="default"/>
      </w:rPr>
    </w:lvl>
    <w:lvl w:ilvl="6" w:tplc="08100001" w:tentative="1">
      <w:start w:val="1"/>
      <w:numFmt w:val="bullet"/>
      <w:lvlText w:val=""/>
      <w:lvlJc w:val="left"/>
      <w:pPr>
        <w:ind w:left="6100" w:hanging="360"/>
      </w:pPr>
      <w:rPr>
        <w:rFonts w:ascii="Symbol" w:hAnsi="Symbol" w:hint="default"/>
      </w:rPr>
    </w:lvl>
    <w:lvl w:ilvl="7" w:tplc="08100003" w:tentative="1">
      <w:start w:val="1"/>
      <w:numFmt w:val="bullet"/>
      <w:lvlText w:val="o"/>
      <w:lvlJc w:val="left"/>
      <w:pPr>
        <w:ind w:left="6820" w:hanging="360"/>
      </w:pPr>
      <w:rPr>
        <w:rFonts w:ascii="Courier New" w:hAnsi="Courier New" w:cs="Courier New" w:hint="default"/>
      </w:rPr>
    </w:lvl>
    <w:lvl w:ilvl="8" w:tplc="08100005" w:tentative="1">
      <w:start w:val="1"/>
      <w:numFmt w:val="bullet"/>
      <w:lvlText w:val=""/>
      <w:lvlJc w:val="left"/>
      <w:pPr>
        <w:ind w:left="7540" w:hanging="360"/>
      </w:pPr>
      <w:rPr>
        <w:rFonts w:ascii="Wingdings" w:hAnsi="Wingdings" w:hint="default"/>
      </w:rPr>
    </w:lvl>
  </w:abstractNum>
  <w:abstractNum w:abstractNumId="34" w15:restartNumberingAfterBreak="0">
    <w:nsid w:val="65122C5B"/>
    <w:multiLevelType w:val="hybridMultilevel"/>
    <w:tmpl w:val="7B42FD16"/>
    <w:lvl w:ilvl="0" w:tplc="83A49152">
      <w:start w:val="2"/>
      <w:numFmt w:val="bullet"/>
      <w:lvlText w:val="-"/>
      <w:lvlJc w:val="left"/>
      <w:pPr>
        <w:ind w:left="720" w:hanging="360"/>
      </w:pPr>
      <w:rPr>
        <w:rFonts w:ascii="Arial" w:eastAsiaTheme="minorHAnsi"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5" w15:restartNumberingAfterBreak="0">
    <w:nsid w:val="682801EB"/>
    <w:multiLevelType w:val="multilevel"/>
    <w:tmpl w:val="604CB662"/>
    <w:lvl w:ilvl="0">
      <w:start w:val="3"/>
      <w:numFmt w:val="decimal"/>
      <w:lvlText w:val="%1."/>
      <w:lvlJc w:val="left"/>
      <w:pPr>
        <w:ind w:left="600" w:hanging="60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15:restartNumberingAfterBreak="0">
    <w:nsid w:val="69912C20"/>
    <w:multiLevelType w:val="multilevel"/>
    <w:tmpl w:val="1360A544"/>
    <w:lvl w:ilvl="0">
      <w:start w:val="1"/>
      <w:numFmt w:val="decimal"/>
      <w:lvlText w:val="%1."/>
      <w:lvlJc w:val="left"/>
      <w:pPr>
        <w:ind w:left="72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05C583D"/>
    <w:multiLevelType w:val="hybridMultilevel"/>
    <w:tmpl w:val="EAEE5EDA"/>
    <w:lvl w:ilvl="0" w:tplc="83A49152">
      <w:start w:val="2"/>
      <w:numFmt w:val="bullet"/>
      <w:lvlText w:val="-"/>
      <w:lvlJc w:val="left"/>
      <w:pPr>
        <w:ind w:left="360" w:hanging="360"/>
      </w:pPr>
      <w:rPr>
        <w:rFonts w:ascii="Arial" w:eastAsiaTheme="minorHAnsi" w:hAnsi="Arial" w:cs="Arial" w:hint="default"/>
      </w:r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8" w15:restartNumberingAfterBreak="0">
    <w:nsid w:val="73B77B08"/>
    <w:multiLevelType w:val="hybridMultilevel"/>
    <w:tmpl w:val="78A6FC50"/>
    <w:lvl w:ilvl="0" w:tplc="08100005">
      <w:start w:val="1"/>
      <w:numFmt w:val="bullet"/>
      <w:lvlText w:val=""/>
      <w:lvlJc w:val="left"/>
      <w:pPr>
        <w:ind w:left="1496" w:hanging="360"/>
      </w:pPr>
      <w:rPr>
        <w:rFonts w:ascii="Wingdings" w:hAnsi="Wingdings" w:hint="default"/>
      </w:rPr>
    </w:lvl>
    <w:lvl w:ilvl="1" w:tplc="08100003">
      <w:start w:val="1"/>
      <w:numFmt w:val="bullet"/>
      <w:lvlText w:val="o"/>
      <w:lvlJc w:val="left"/>
      <w:pPr>
        <w:ind w:left="2216" w:hanging="360"/>
      </w:pPr>
      <w:rPr>
        <w:rFonts w:ascii="Courier New" w:hAnsi="Courier New" w:cs="Courier New" w:hint="default"/>
      </w:rPr>
    </w:lvl>
    <w:lvl w:ilvl="2" w:tplc="08100005">
      <w:start w:val="1"/>
      <w:numFmt w:val="bullet"/>
      <w:lvlText w:val=""/>
      <w:lvlJc w:val="left"/>
      <w:pPr>
        <w:ind w:left="2936" w:hanging="360"/>
      </w:pPr>
      <w:rPr>
        <w:rFonts w:ascii="Wingdings" w:hAnsi="Wingdings" w:hint="default"/>
      </w:rPr>
    </w:lvl>
    <w:lvl w:ilvl="3" w:tplc="08100001" w:tentative="1">
      <w:start w:val="1"/>
      <w:numFmt w:val="bullet"/>
      <w:lvlText w:val=""/>
      <w:lvlJc w:val="left"/>
      <w:pPr>
        <w:ind w:left="3656" w:hanging="360"/>
      </w:pPr>
      <w:rPr>
        <w:rFonts w:ascii="Symbol" w:hAnsi="Symbol" w:hint="default"/>
      </w:rPr>
    </w:lvl>
    <w:lvl w:ilvl="4" w:tplc="08100003" w:tentative="1">
      <w:start w:val="1"/>
      <w:numFmt w:val="bullet"/>
      <w:lvlText w:val="o"/>
      <w:lvlJc w:val="left"/>
      <w:pPr>
        <w:ind w:left="4376" w:hanging="360"/>
      </w:pPr>
      <w:rPr>
        <w:rFonts w:ascii="Courier New" w:hAnsi="Courier New" w:cs="Courier New" w:hint="default"/>
      </w:rPr>
    </w:lvl>
    <w:lvl w:ilvl="5" w:tplc="08100005" w:tentative="1">
      <w:start w:val="1"/>
      <w:numFmt w:val="bullet"/>
      <w:lvlText w:val=""/>
      <w:lvlJc w:val="left"/>
      <w:pPr>
        <w:ind w:left="5096" w:hanging="360"/>
      </w:pPr>
      <w:rPr>
        <w:rFonts w:ascii="Wingdings" w:hAnsi="Wingdings" w:hint="default"/>
      </w:rPr>
    </w:lvl>
    <w:lvl w:ilvl="6" w:tplc="08100001" w:tentative="1">
      <w:start w:val="1"/>
      <w:numFmt w:val="bullet"/>
      <w:lvlText w:val=""/>
      <w:lvlJc w:val="left"/>
      <w:pPr>
        <w:ind w:left="5816" w:hanging="360"/>
      </w:pPr>
      <w:rPr>
        <w:rFonts w:ascii="Symbol" w:hAnsi="Symbol" w:hint="default"/>
      </w:rPr>
    </w:lvl>
    <w:lvl w:ilvl="7" w:tplc="08100003" w:tentative="1">
      <w:start w:val="1"/>
      <w:numFmt w:val="bullet"/>
      <w:lvlText w:val="o"/>
      <w:lvlJc w:val="left"/>
      <w:pPr>
        <w:ind w:left="6536" w:hanging="360"/>
      </w:pPr>
      <w:rPr>
        <w:rFonts w:ascii="Courier New" w:hAnsi="Courier New" w:cs="Courier New" w:hint="default"/>
      </w:rPr>
    </w:lvl>
    <w:lvl w:ilvl="8" w:tplc="08100005" w:tentative="1">
      <w:start w:val="1"/>
      <w:numFmt w:val="bullet"/>
      <w:lvlText w:val=""/>
      <w:lvlJc w:val="left"/>
      <w:pPr>
        <w:ind w:left="7256" w:hanging="360"/>
      </w:pPr>
      <w:rPr>
        <w:rFonts w:ascii="Wingdings" w:hAnsi="Wingdings" w:hint="default"/>
      </w:rPr>
    </w:lvl>
  </w:abstractNum>
  <w:abstractNum w:abstractNumId="39" w15:restartNumberingAfterBreak="0">
    <w:nsid w:val="74BA5BB0"/>
    <w:multiLevelType w:val="hybridMultilevel"/>
    <w:tmpl w:val="B440A49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0" w15:restartNumberingAfterBreak="0">
    <w:nsid w:val="76974711"/>
    <w:multiLevelType w:val="hybridMultilevel"/>
    <w:tmpl w:val="3550CF4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1" w15:restartNumberingAfterBreak="0">
    <w:nsid w:val="7A0727EC"/>
    <w:multiLevelType w:val="hybridMultilevel"/>
    <w:tmpl w:val="9404FA4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2" w15:restartNumberingAfterBreak="0">
    <w:nsid w:val="7CCF5C3E"/>
    <w:multiLevelType w:val="hybridMultilevel"/>
    <w:tmpl w:val="CDC45E34"/>
    <w:lvl w:ilvl="0" w:tplc="A1EA2C7A">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27"/>
  </w:num>
  <w:num w:numId="3">
    <w:abstractNumId w:val="13"/>
  </w:num>
  <w:num w:numId="4">
    <w:abstractNumId w:val="25"/>
  </w:num>
  <w:num w:numId="5">
    <w:abstractNumId w:val="21"/>
  </w:num>
  <w:num w:numId="6">
    <w:abstractNumId w:val="18"/>
  </w:num>
  <w:num w:numId="7">
    <w:abstractNumId w:val="2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 w:numId="19">
    <w:abstractNumId w:val="40"/>
  </w:num>
  <w:num w:numId="20">
    <w:abstractNumId w:val="38"/>
  </w:num>
  <w:num w:numId="21">
    <w:abstractNumId w:val="39"/>
  </w:num>
  <w:num w:numId="22">
    <w:abstractNumId w:val="11"/>
  </w:num>
  <w:num w:numId="23">
    <w:abstractNumId w:val="19"/>
  </w:num>
  <w:num w:numId="24">
    <w:abstractNumId w:val="22"/>
  </w:num>
  <w:num w:numId="25">
    <w:abstractNumId w:val="23"/>
  </w:num>
  <w:num w:numId="26">
    <w:abstractNumId w:val="36"/>
  </w:num>
  <w:num w:numId="27">
    <w:abstractNumId w:val="31"/>
  </w:num>
  <w:num w:numId="28">
    <w:abstractNumId w:val="34"/>
  </w:num>
  <w:num w:numId="29">
    <w:abstractNumId w:val="32"/>
  </w:num>
  <w:num w:numId="30">
    <w:abstractNumId w:val="10"/>
  </w:num>
  <w:num w:numId="31">
    <w:abstractNumId w:val="16"/>
  </w:num>
  <w:num w:numId="32">
    <w:abstractNumId w:val="41"/>
  </w:num>
  <w:num w:numId="33">
    <w:abstractNumId w:val="12"/>
  </w:num>
  <w:num w:numId="34">
    <w:abstractNumId w:val="30"/>
  </w:num>
  <w:num w:numId="35">
    <w:abstractNumId w:val="29"/>
  </w:num>
  <w:num w:numId="36">
    <w:abstractNumId w:val="33"/>
  </w:num>
  <w:num w:numId="37">
    <w:abstractNumId w:val="37"/>
  </w:num>
  <w:num w:numId="38">
    <w:abstractNumId w:val="28"/>
  </w:num>
  <w:num w:numId="39">
    <w:abstractNumId w:val="42"/>
  </w:num>
  <w:num w:numId="40">
    <w:abstractNumId w:val="35"/>
  </w:num>
  <w:num w:numId="41">
    <w:abstractNumId w:val="14"/>
  </w:num>
  <w:num w:numId="42">
    <w:abstractNumId w:val="26"/>
  </w:num>
  <w:num w:numId="43">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9DF2AD4-9568-4B4E-94B7-33005146CD5D}"/>
    <w:docVar w:name="dgnword-eventsink" w:val="386778784"/>
    <w:docVar w:name="dgnword-lastRevisionsView" w:val="0"/>
  </w:docVars>
  <w:rsids>
    <w:rsidRoot w:val="00D63171"/>
    <w:rsid w:val="0002062C"/>
    <w:rsid w:val="00020E20"/>
    <w:rsid w:val="000353CC"/>
    <w:rsid w:val="00044B31"/>
    <w:rsid w:val="00047FDF"/>
    <w:rsid w:val="0005078F"/>
    <w:rsid w:val="0005788D"/>
    <w:rsid w:val="0006683D"/>
    <w:rsid w:val="00072EA4"/>
    <w:rsid w:val="00073535"/>
    <w:rsid w:val="000924D2"/>
    <w:rsid w:val="00092E5D"/>
    <w:rsid w:val="000B56EC"/>
    <w:rsid w:val="000B5FBB"/>
    <w:rsid w:val="000C3465"/>
    <w:rsid w:val="000D3433"/>
    <w:rsid w:val="000E178C"/>
    <w:rsid w:val="000F543B"/>
    <w:rsid w:val="00100632"/>
    <w:rsid w:val="00126257"/>
    <w:rsid w:val="001274F6"/>
    <w:rsid w:val="00133FF0"/>
    <w:rsid w:val="0013648E"/>
    <w:rsid w:val="00156621"/>
    <w:rsid w:val="00164ABC"/>
    <w:rsid w:val="001900DB"/>
    <w:rsid w:val="001961BF"/>
    <w:rsid w:val="001B52CD"/>
    <w:rsid w:val="001C34BA"/>
    <w:rsid w:val="001D5162"/>
    <w:rsid w:val="001E3309"/>
    <w:rsid w:val="00200483"/>
    <w:rsid w:val="00204002"/>
    <w:rsid w:val="0020500C"/>
    <w:rsid w:val="002216B9"/>
    <w:rsid w:val="002276D1"/>
    <w:rsid w:val="0023436A"/>
    <w:rsid w:val="0024467F"/>
    <w:rsid w:val="00252E0A"/>
    <w:rsid w:val="002548E2"/>
    <w:rsid w:val="002621D1"/>
    <w:rsid w:val="00265A6D"/>
    <w:rsid w:val="00266E26"/>
    <w:rsid w:val="00271006"/>
    <w:rsid w:val="00274CC6"/>
    <w:rsid w:val="002B1364"/>
    <w:rsid w:val="002B5D9F"/>
    <w:rsid w:val="002C0512"/>
    <w:rsid w:val="002C3870"/>
    <w:rsid w:val="002E122D"/>
    <w:rsid w:val="002E1684"/>
    <w:rsid w:val="002E6954"/>
    <w:rsid w:val="002F7719"/>
    <w:rsid w:val="00301C8D"/>
    <w:rsid w:val="0030798C"/>
    <w:rsid w:val="0032240A"/>
    <w:rsid w:val="00323E8E"/>
    <w:rsid w:val="00347D06"/>
    <w:rsid w:val="003537BF"/>
    <w:rsid w:val="00360C22"/>
    <w:rsid w:val="0037420B"/>
    <w:rsid w:val="00386DB0"/>
    <w:rsid w:val="00394471"/>
    <w:rsid w:val="00396763"/>
    <w:rsid w:val="003B2407"/>
    <w:rsid w:val="003B756D"/>
    <w:rsid w:val="003C7A42"/>
    <w:rsid w:val="003D19D8"/>
    <w:rsid w:val="003D3AF1"/>
    <w:rsid w:val="003D577E"/>
    <w:rsid w:val="003E077F"/>
    <w:rsid w:val="003F03EB"/>
    <w:rsid w:val="003F2901"/>
    <w:rsid w:val="003F4675"/>
    <w:rsid w:val="00403ADB"/>
    <w:rsid w:val="00405DFA"/>
    <w:rsid w:val="00411EC5"/>
    <w:rsid w:val="00415363"/>
    <w:rsid w:val="00427799"/>
    <w:rsid w:val="0043290B"/>
    <w:rsid w:val="004433F0"/>
    <w:rsid w:val="00446BD4"/>
    <w:rsid w:val="00452E86"/>
    <w:rsid w:val="00453468"/>
    <w:rsid w:val="0046286F"/>
    <w:rsid w:val="004676B7"/>
    <w:rsid w:val="004A0723"/>
    <w:rsid w:val="004A4BB1"/>
    <w:rsid w:val="004C5D4C"/>
    <w:rsid w:val="004D5F6B"/>
    <w:rsid w:val="004D77AD"/>
    <w:rsid w:val="004D7B7E"/>
    <w:rsid w:val="0050403D"/>
    <w:rsid w:val="00545BA3"/>
    <w:rsid w:val="00563A1B"/>
    <w:rsid w:val="00572FD3"/>
    <w:rsid w:val="00574CBB"/>
    <w:rsid w:val="00577F93"/>
    <w:rsid w:val="00583F2A"/>
    <w:rsid w:val="00594A21"/>
    <w:rsid w:val="005A3745"/>
    <w:rsid w:val="005A5BB3"/>
    <w:rsid w:val="005C19AC"/>
    <w:rsid w:val="005F51D6"/>
    <w:rsid w:val="005F5E98"/>
    <w:rsid w:val="00607FDD"/>
    <w:rsid w:val="00613311"/>
    <w:rsid w:val="006325E9"/>
    <w:rsid w:val="00634676"/>
    <w:rsid w:val="00643165"/>
    <w:rsid w:val="00644436"/>
    <w:rsid w:val="00651346"/>
    <w:rsid w:val="00655B60"/>
    <w:rsid w:val="00662102"/>
    <w:rsid w:val="00676B4E"/>
    <w:rsid w:val="00682D5E"/>
    <w:rsid w:val="00694097"/>
    <w:rsid w:val="00695CD7"/>
    <w:rsid w:val="006A2B13"/>
    <w:rsid w:val="006A3296"/>
    <w:rsid w:val="006B5444"/>
    <w:rsid w:val="006C014D"/>
    <w:rsid w:val="006C0E56"/>
    <w:rsid w:val="006C0F2B"/>
    <w:rsid w:val="006C7510"/>
    <w:rsid w:val="006D007C"/>
    <w:rsid w:val="006D49CF"/>
    <w:rsid w:val="006F3830"/>
    <w:rsid w:val="006F48F5"/>
    <w:rsid w:val="00713351"/>
    <w:rsid w:val="00726427"/>
    <w:rsid w:val="00737A2B"/>
    <w:rsid w:val="00751DA2"/>
    <w:rsid w:val="00763623"/>
    <w:rsid w:val="007673A4"/>
    <w:rsid w:val="0077536A"/>
    <w:rsid w:val="00780AB3"/>
    <w:rsid w:val="0078485A"/>
    <w:rsid w:val="0079620C"/>
    <w:rsid w:val="007A3AE6"/>
    <w:rsid w:val="007A4051"/>
    <w:rsid w:val="007C5086"/>
    <w:rsid w:val="007C6E1E"/>
    <w:rsid w:val="007F13D7"/>
    <w:rsid w:val="008240D2"/>
    <w:rsid w:val="00830F35"/>
    <w:rsid w:val="00833E20"/>
    <w:rsid w:val="00834BF2"/>
    <w:rsid w:val="008526F0"/>
    <w:rsid w:val="00857D00"/>
    <w:rsid w:val="00860FE1"/>
    <w:rsid w:val="00865F25"/>
    <w:rsid w:val="008720C4"/>
    <w:rsid w:val="00894D62"/>
    <w:rsid w:val="008A0AC3"/>
    <w:rsid w:val="008B1B65"/>
    <w:rsid w:val="008B2468"/>
    <w:rsid w:val="008C1EB5"/>
    <w:rsid w:val="008C29AF"/>
    <w:rsid w:val="008E267E"/>
    <w:rsid w:val="008F52AF"/>
    <w:rsid w:val="008F5F03"/>
    <w:rsid w:val="009277FE"/>
    <w:rsid w:val="00944D85"/>
    <w:rsid w:val="0094580A"/>
    <w:rsid w:val="009705CD"/>
    <w:rsid w:val="00974692"/>
    <w:rsid w:val="00976189"/>
    <w:rsid w:val="009801B2"/>
    <w:rsid w:val="00993310"/>
    <w:rsid w:val="009B120B"/>
    <w:rsid w:val="009C552C"/>
    <w:rsid w:val="009C5E5A"/>
    <w:rsid w:val="009C626B"/>
    <w:rsid w:val="009D1B7F"/>
    <w:rsid w:val="009D7DE2"/>
    <w:rsid w:val="009E09A8"/>
    <w:rsid w:val="009F5512"/>
    <w:rsid w:val="009F6157"/>
    <w:rsid w:val="009F6C9A"/>
    <w:rsid w:val="00A06505"/>
    <w:rsid w:val="00A10C4A"/>
    <w:rsid w:val="00A319C2"/>
    <w:rsid w:val="00A3459B"/>
    <w:rsid w:val="00A36647"/>
    <w:rsid w:val="00A55E7D"/>
    <w:rsid w:val="00A71C6E"/>
    <w:rsid w:val="00A74A42"/>
    <w:rsid w:val="00A758E7"/>
    <w:rsid w:val="00A907BF"/>
    <w:rsid w:val="00A96EBF"/>
    <w:rsid w:val="00AE07A9"/>
    <w:rsid w:val="00AE3B1F"/>
    <w:rsid w:val="00AE7C79"/>
    <w:rsid w:val="00AF0268"/>
    <w:rsid w:val="00AF2BF4"/>
    <w:rsid w:val="00AF42C2"/>
    <w:rsid w:val="00B014F2"/>
    <w:rsid w:val="00B06310"/>
    <w:rsid w:val="00B143B4"/>
    <w:rsid w:val="00B31E09"/>
    <w:rsid w:val="00B32C60"/>
    <w:rsid w:val="00B50F27"/>
    <w:rsid w:val="00B7564E"/>
    <w:rsid w:val="00B918A8"/>
    <w:rsid w:val="00BA7572"/>
    <w:rsid w:val="00BB1C77"/>
    <w:rsid w:val="00BB5772"/>
    <w:rsid w:val="00BB59AC"/>
    <w:rsid w:val="00BC301D"/>
    <w:rsid w:val="00BC7250"/>
    <w:rsid w:val="00BF0A1F"/>
    <w:rsid w:val="00BF0C11"/>
    <w:rsid w:val="00BF10E6"/>
    <w:rsid w:val="00BF6B48"/>
    <w:rsid w:val="00C0079A"/>
    <w:rsid w:val="00C10CCC"/>
    <w:rsid w:val="00C37F8A"/>
    <w:rsid w:val="00C50AED"/>
    <w:rsid w:val="00C67F68"/>
    <w:rsid w:val="00C770FC"/>
    <w:rsid w:val="00C96154"/>
    <w:rsid w:val="00CA7E40"/>
    <w:rsid w:val="00CC2629"/>
    <w:rsid w:val="00CC39D3"/>
    <w:rsid w:val="00CC3A7B"/>
    <w:rsid w:val="00CD11D1"/>
    <w:rsid w:val="00CD1780"/>
    <w:rsid w:val="00CD76ED"/>
    <w:rsid w:val="00CE1EA6"/>
    <w:rsid w:val="00D00C5E"/>
    <w:rsid w:val="00D04E36"/>
    <w:rsid w:val="00D13373"/>
    <w:rsid w:val="00D332C5"/>
    <w:rsid w:val="00D33940"/>
    <w:rsid w:val="00D44D36"/>
    <w:rsid w:val="00D47257"/>
    <w:rsid w:val="00D5216F"/>
    <w:rsid w:val="00D600FD"/>
    <w:rsid w:val="00D63171"/>
    <w:rsid w:val="00D649A8"/>
    <w:rsid w:val="00D7193C"/>
    <w:rsid w:val="00D71D7C"/>
    <w:rsid w:val="00D76673"/>
    <w:rsid w:val="00D7715E"/>
    <w:rsid w:val="00DA1A06"/>
    <w:rsid w:val="00DA375D"/>
    <w:rsid w:val="00DB0667"/>
    <w:rsid w:val="00DB6691"/>
    <w:rsid w:val="00DC7EC1"/>
    <w:rsid w:val="00DD1F53"/>
    <w:rsid w:val="00DE7757"/>
    <w:rsid w:val="00E06680"/>
    <w:rsid w:val="00E07572"/>
    <w:rsid w:val="00E1680C"/>
    <w:rsid w:val="00E173BD"/>
    <w:rsid w:val="00E235B7"/>
    <w:rsid w:val="00E31BC3"/>
    <w:rsid w:val="00E37AA6"/>
    <w:rsid w:val="00E46ABD"/>
    <w:rsid w:val="00E60037"/>
    <w:rsid w:val="00E632C6"/>
    <w:rsid w:val="00E63332"/>
    <w:rsid w:val="00E640A8"/>
    <w:rsid w:val="00E64256"/>
    <w:rsid w:val="00E66685"/>
    <w:rsid w:val="00E708B0"/>
    <w:rsid w:val="00E72AEB"/>
    <w:rsid w:val="00E832CC"/>
    <w:rsid w:val="00E86C96"/>
    <w:rsid w:val="00EB088A"/>
    <w:rsid w:val="00EB2455"/>
    <w:rsid w:val="00EB51B5"/>
    <w:rsid w:val="00EB690A"/>
    <w:rsid w:val="00EC1226"/>
    <w:rsid w:val="00EC3226"/>
    <w:rsid w:val="00EF539C"/>
    <w:rsid w:val="00EF7057"/>
    <w:rsid w:val="00F026B5"/>
    <w:rsid w:val="00F04F5A"/>
    <w:rsid w:val="00F21269"/>
    <w:rsid w:val="00F21C9A"/>
    <w:rsid w:val="00F2242C"/>
    <w:rsid w:val="00F30991"/>
    <w:rsid w:val="00F30B56"/>
    <w:rsid w:val="00F56752"/>
    <w:rsid w:val="00F610AC"/>
    <w:rsid w:val="00F61B6E"/>
    <w:rsid w:val="00F657BF"/>
    <w:rsid w:val="00F7370B"/>
    <w:rsid w:val="00F86EF1"/>
    <w:rsid w:val="00FA7F0E"/>
    <w:rsid w:val="00FF50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102B0BF"/>
  <w15:docId w15:val="{78683412-9D82-4CD2-882B-6E63D14E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3623"/>
    <w:pPr>
      <w:suppressAutoHyphens/>
      <w:spacing w:after="0"/>
      <w:jc w:val="both"/>
    </w:pPr>
    <w:rPr>
      <w:rFonts w:ascii="Arial" w:hAnsi="Arial"/>
      <w:lang w:val="it-CH"/>
    </w:rPr>
  </w:style>
  <w:style w:type="paragraph" w:styleId="Titolo1">
    <w:name w:val="heading 1"/>
    <w:basedOn w:val="Normale"/>
    <w:next w:val="Normale"/>
    <w:link w:val="Titolo1Carattere"/>
    <w:qFormat/>
    <w:rsid w:val="00DC277C"/>
    <w:pPr>
      <w:keepNext/>
      <w:spacing w:before="240" w:after="120"/>
      <w:jc w:val="left"/>
      <w:outlineLvl w:val="0"/>
    </w:pPr>
    <w:rPr>
      <w:rFonts w:asciiTheme="majorHAnsi" w:hAnsiTheme="majorHAnsi"/>
      <w:b/>
    </w:rPr>
  </w:style>
  <w:style w:type="paragraph" w:styleId="Titolo2">
    <w:name w:val="heading 2"/>
    <w:basedOn w:val="Titolo1"/>
    <w:next w:val="Normale"/>
    <w:link w:val="Titolo2Carattere"/>
    <w:unhideWhenUsed/>
    <w:qFormat/>
    <w:rsid w:val="00EC214A"/>
    <w:pPr>
      <w:numPr>
        <w:ilvl w:val="1"/>
      </w:numPr>
      <w:spacing w:before="120" w:after="60"/>
      <w:outlineLvl w:val="1"/>
    </w:pPr>
    <w:rPr>
      <w:sz w:val="20"/>
    </w:rPr>
  </w:style>
  <w:style w:type="paragraph" w:styleId="Titolo3">
    <w:name w:val="heading 3"/>
    <w:basedOn w:val="Titolo1"/>
    <w:next w:val="Normale"/>
    <w:link w:val="Titolo3Carattere"/>
    <w:unhideWhenUsed/>
    <w:qFormat/>
    <w:rsid w:val="00EC214A"/>
    <w:pPr>
      <w:numPr>
        <w:ilvl w:val="2"/>
      </w:numPr>
      <w:spacing w:before="120" w:after="60"/>
      <w:outlineLvl w:val="2"/>
    </w:pPr>
    <w:rPr>
      <w:sz w:val="20"/>
    </w:rPr>
  </w:style>
  <w:style w:type="paragraph" w:styleId="Titolo4">
    <w:name w:val="heading 4"/>
    <w:basedOn w:val="Titolo1"/>
    <w:next w:val="Normale"/>
    <w:link w:val="Titolo4Carattere"/>
    <w:uiPriority w:val="9"/>
    <w:unhideWhenUsed/>
    <w:qFormat/>
    <w:rsid w:val="00EC214A"/>
    <w:pPr>
      <w:numPr>
        <w:ilvl w:val="3"/>
      </w:numPr>
      <w:spacing w:before="120" w:after="60"/>
      <w:outlineLvl w:val="3"/>
    </w:pPr>
    <w:rPr>
      <w:sz w:val="20"/>
    </w:rPr>
  </w:style>
  <w:style w:type="paragraph" w:styleId="Titolo5">
    <w:name w:val="heading 5"/>
    <w:basedOn w:val="Normale"/>
    <w:next w:val="Normale"/>
    <w:link w:val="Titolo5Carattere"/>
    <w:uiPriority w:val="9"/>
    <w:semiHidden/>
    <w:unhideWhenUsed/>
    <w:rsid w:val="00AA242E"/>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DC277C"/>
    <w:rPr>
      <w:rFonts w:asciiTheme="majorHAnsi" w:hAnsiTheme="majorHAnsi"/>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1329CE"/>
    <w:rPr>
      <w:rFonts w:asciiTheme="majorHAnsi" w:hAnsiTheme="majorHAnsi"/>
      <w:b/>
      <w:sz w:val="20"/>
      <w:lang w:val="it-CH"/>
    </w:rPr>
  </w:style>
  <w:style w:type="character" w:customStyle="1" w:styleId="Titolo3Carattere">
    <w:name w:val="Titolo 3 Carattere"/>
    <w:basedOn w:val="Carpredefinitoparagrafo"/>
    <w:link w:val="Titolo3"/>
    <w:rsid w:val="001329CE"/>
    <w:rPr>
      <w:rFonts w:asciiTheme="majorHAnsi" w:hAnsiTheme="majorHAnsi"/>
      <w:b/>
      <w:sz w:val="20"/>
      <w:lang w:val="it-CH"/>
    </w:rPr>
  </w:style>
  <w:style w:type="character" w:customStyle="1" w:styleId="Titolo4Carattere">
    <w:name w:val="Titolo 4 Carattere"/>
    <w:basedOn w:val="Carpredefinitoparagrafo"/>
    <w:link w:val="Titolo4"/>
    <w:uiPriority w:val="9"/>
    <w:rsid w:val="004D121B"/>
    <w:rPr>
      <w:rFonts w:asciiTheme="majorHAnsi" w:hAnsiTheme="majorHAnsi"/>
      <w:b/>
      <w:sz w:val="20"/>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29"/>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AA242E"/>
    <w:rPr>
      <w:rFonts w:asciiTheme="majorHAnsi" w:eastAsiaTheme="majorEastAsia" w:hAnsiTheme="majorHAnsi" w:cstheme="majorBidi"/>
      <w:color w:val="365F91" w:themeColor="accent1" w:themeShade="BF"/>
      <w:sz w:val="20"/>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pPr>
      <w:numPr>
        <w:numId w:val="0"/>
      </w:numPr>
      <w:ind w:left="425" w:hanging="284"/>
    </w:pPr>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styleId="Collegamentoipertestuale">
    <w:name w:val="Hyperlink"/>
    <w:basedOn w:val="Carpredefinitoparagrafo"/>
    <w:uiPriority w:val="99"/>
    <w:unhideWhenUsed/>
    <w:rsid w:val="007673A4"/>
    <w:rPr>
      <w:color w:val="0000FF" w:themeColor="hyperlink"/>
      <w:u w:val="single"/>
    </w:rPr>
  </w:style>
  <w:style w:type="paragraph" w:customStyle="1" w:styleId="Default">
    <w:name w:val="Default"/>
    <w:rsid w:val="006A2B13"/>
    <w:pPr>
      <w:autoSpaceDE w:val="0"/>
      <w:autoSpaceDN w:val="0"/>
      <w:adjustRightInd w:val="0"/>
      <w:spacing w:after="0"/>
    </w:pPr>
    <w:rPr>
      <w:rFonts w:ascii="Arial" w:hAnsi="Arial" w:cs="Arial"/>
      <w:color w:val="000000"/>
      <w:sz w:val="24"/>
      <w:szCs w:val="24"/>
      <w:lang w:val="it-CH"/>
    </w:rPr>
  </w:style>
  <w:style w:type="table" w:styleId="Grigliatabella">
    <w:name w:val="Table Grid"/>
    <w:basedOn w:val="Tabellanormale"/>
    <w:uiPriority w:val="59"/>
    <w:rsid w:val="0079620C"/>
    <w:pPr>
      <w:spacing w:after="0"/>
      <w:jc w:val="both"/>
    </w:pPr>
    <w:rPr>
      <w:rFonts w:ascii="Arial" w:hAnsi="Arial"/>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007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079A"/>
    <w:rPr>
      <w:rFonts w:ascii="Segoe UI" w:hAnsi="Segoe UI" w:cs="Segoe UI"/>
      <w:sz w:val="18"/>
      <w:szCs w:val="18"/>
      <w:lang w:val="it-CH"/>
    </w:rPr>
  </w:style>
  <w:style w:type="character" w:styleId="Rimandocommento">
    <w:name w:val="annotation reference"/>
    <w:basedOn w:val="Carpredefinitoparagrafo"/>
    <w:uiPriority w:val="99"/>
    <w:semiHidden/>
    <w:unhideWhenUsed/>
    <w:rsid w:val="00B014F2"/>
    <w:rPr>
      <w:sz w:val="16"/>
      <w:szCs w:val="16"/>
    </w:rPr>
  </w:style>
  <w:style w:type="paragraph" w:styleId="Testocommento">
    <w:name w:val="annotation text"/>
    <w:basedOn w:val="Normale"/>
    <w:link w:val="TestocommentoCarattere"/>
    <w:uiPriority w:val="99"/>
    <w:semiHidden/>
    <w:unhideWhenUsed/>
    <w:rsid w:val="00B014F2"/>
    <w:rPr>
      <w:sz w:val="20"/>
      <w:szCs w:val="20"/>
    </w:rPr>
  </w:style>
  <w:style w:type="character" w:customStyle="1" w:styleId="TestocommentoCarattere">
    <w:name w:val="Testo commento Carattere"/>
    <w:basedOn w:val="Carpredefinitoparagrafo"/>
    <w:link w:val="Testocommento"/>
    <w:uiPriority w:val="99"/>
    <w:semiHidden/>
    <w:rsid w:val="00B014F2"/>
    <w:rPr>
      <w:rFonts w:ascii="Arial" w:hAnsi="Arial"/>
      <w:sz w:val="20"/>
      <w:szCs w:val="20"/>
      <w:lang w:val="it-CH"/>
    </w:rPr>
  </w:style>
  <w:style w:type="paragraph" w:styleId="Soggettocommento">
    <w:name w:val="annotation subject"/>
    <w:basedOn w:val="Testocommento"/>
    <w:next w:val="Testocommento"/>
    <w:link w:val="SoggettocommentoCarattere"/>
    <w:uiPriority w:val="99"/>
    <w:semiHidden/>
    <w:unhideWhenUsed/>
    <w:rsid w:val="00B014F2"/>
    <w:rPr>
      <w:b/>
      <w:bCs/>
    </w:rPr>
  </w:style>
  <w:style w:type="character" w:customStyle="1" w:styleId="SoggettocommentoCarattere">
    <w:name w:val="Soggetto commento Carattere"/>
    <w:basedOn w:val="TestocommentoCarattere"/>
    <w:link w:val="Soggettocommento"/>
    <w:uiPriority w:val="99"/>
    <w:semiHidden/>
    <w:rsid w:val="00B014F2"/>
    <w:rPr>
      <w:rFonts w:ascii="Arial" w:hAnsi="Arial"/>
      <w:b/>
      <w:bCs/>
      <w:sz w:val="20"/>
      <w:szCs w:val="20"/>
      <w:lang w:val="it-CH"/>
    </w:rPr>
  </w:style>
  <w:style w:type="paragraph" w:styleId="Revisione">
    <w:name w:val="Revision"/>
    <w:hidden/>
    <w:uiPriority w:val="99"/>
    <w:semiHidden/>
    <w:rsid w:val="00452E86"/>
    <w:pPr>
      <w:spacing w:after="0"/>
    </w:pPr>
    <w:rPr>
      <w:rFonts w:ascii="Arial" w:hAnsi="Arial"/>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376708017">
      <w:bodyDiv w:val="1"/>
      <w:marLeft w:val="0"/>
      <w:marRight w:val="0"/>
      <w:marTop w:val="0"/>
      <w:marBottom w:val="0"/>
      <w:divBdr>
        <w:top w:val="none" w:sz="0" w:space="0" w:color="auto"/>
        <w:left w:val="none" w:sz="0" w:space="0" w:color="auto"/>
        <w:bottom w:val="none" w:sz="0" w:space="0" w:color="auto"/>
        <w:right w:val="none" w:sz="0" w:space="0" w:color="auto"/>
      </w:divBdr>
    </w:div>
    <w:div w:id="697388694">
      <w:bodyDiv w:val="1"/>
      <w:marLeft w:val="0"/>
      <w:marRight w:val="0"/>
      <w:marTop w:val="0"/>
      <w:marBottom w:val="0"/>
      <w:divBdr>
        <w:top w:val="none" w:sz="0" w:space="0" w:color="auto"/>
        <w:left w:val="none" w:sz="0" w:space="0" w:color="auto"/>
        <w:bottom w:val="none" w:sz="0" w:space="0" w:color="auto"/>
        <w:right w:val="none" w:sz="0" w:space="0" w:color="auto"/>
      </w:divBdr>
    </w:div>
    <w:div w:id="17413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05694\AppData\Local\Temp\OneOffixx\generated\ec2ac610-663e-4830-9e2c-762b62738331.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arget xmlns="56c1edf6-be81-452d-a18a-873408006b75">_blank</Target>
    <cedb35f1b32c4783853e9228d07d24fd xmlns="56c1edf6-be81-452d-a18a-873408006b75">
      <Terms xmlns="http://schemas.microsoft.com/office/infopath/2007/PartnerControls">
        <TermInfo xmlns="http://schemas.microsoft.com/office/infopath/2007/PartnerControls">
          <TermName xmlns="http://schemas.microsoft.com/office/infopath/2007/PartnerControls">Modello</TermName>
          <TermId xmlns="http://schemas.microsoft.com/office/infopath/2007/PartnerControls">e4ed0d71-d8b7-4b95-acbb-0d70ef5ae075</TermId>
        </TermInfo>
      </Terms>
    </cedb35f1b32c4783853e9228d07d24fd>
    <Visibile xmlns="56c1edf6-be81-452d-a18a-873408006b75">true</Visibile>
    <Ordinamento xmlns="56c1edf6-be81-452d-a18a-873408006b75">33</Ordinamento>
    <o25eb73e229f4d10b877d5ec762fb0a4 xmlns="56c1edf6-be81-452d-a18a-873408006b75">
      <Terms xmlns="http://schemas.microsoft.com/office/infopath/2007/PartnerControls">
        <TermInfo xmlns="http://schemas.microsoft.com/office/infopath/2007/PartnerControls">
          <TermName xmlns="http://schemas.microsoft.com/office/infopath/2007/PartnerControls">Modelli atti</TermName>
          <TermId xmlns="http://schemas.microsoft.com/office/infopath/2007/PartnerControls">357a3e39-d738-4c8b-bd62-3777cd798c3a</TermId>
        </TermInfo>
      </Terms>
    </o25eb73e229f4d10b877d5ec762fb0a4>
    <Descrizione xmlns="56c1edf6-be81-452d-a18a-873408006b75" xsi:nil="true"/>
    <InEvidenza xmlns="56c1edf6-be81-452d-a18a-873408006b75">false</InEvidenza>
    <hb75f49a3b8e4a5db108f81032febda4 xmlns="56c1edf6-be81-452d-a18a-873408006b75">
      <Terms xmlns="http://schemas.microsoft.com/office/infopath/2007/PartnerControls"/>
    </hb75f49a3b8e4a5db108f81032febda4>
    <TaxCatchAll xmlns="500022df-510b-49f4-9c25-770d1af90034">
      <Value>206</Value>
      <Value>393</Value>
    </TaxCatchAll>
  </documentManagement>
</p:properties>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5.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6.xml><?xml version="1.0" encoding="utf-8"?>
<ct:contentTypeSchema xmlns:ct="http://schemas.microsoft.com/office/2006/metadata/contentType" xmlns:ma="http://schemas.microsoft.com/office/2006/metadata/properties/metaAttributes" ct:_="" ma:_="" ma:contentTypeName="Documento" ma:contentTypeID="0x0101009ADC68158AE22443B0736413669B69B5" ma:contentTypeVersion="14" ma:contentTypeDescription="Creare un nuovo documento." ma:contentTypeScope="" ma:versionID="f7dc18cfd27cd511ad651d5b34c2220d">
  <xsd:schema xmlns:xsd="http://www.w3.org/2001/XMLSchema" xmlns:xs="http://www.w3.org/2001/XMLSchema" xmlns:p="http://schemas.microsoft.com/office/2006/metadata/properties" xmlns:ns2="56c1edf6-be81-452d-a18a-873408006b75" xmlns:ns3="500022df-510b-49f4-9c25-770d1af90034" targetNamespace="http://schemas.microsoft.com/office/2006/metadata/properties" ma:root="true" ma:fieldsID="d080b91e4b622410f1bb4f83254ac25f" ns2:_="" ns3:_="">
    <xsd:import namespace="56c1edf6-be81-452d-a18a-873408006b75"/>
    <xsd:import namespace="500022df-510b-49f4-9c25-770d1af90034"/>
    <xsd:element name="properties">
      <xsd:complexType>
        <xsd:sequence>
          <xsd:element name="documentManagement">
            <xsd:complexType>
              <xsd:all>
                <xsd:element ref="ns2:Descrizione" minOccurs="0"/>
                <xsd:element ref="ns2:InEvidenza" minOccurs="0"/>
                <xsd:element ref="ns2:Ordinamento" minOccurs="0"/>
                <xsd:element ref="ns2:o25eb73e229f4d10b877d5ec762fb0a4" minOccurs="0"/>
                <xsd:element ref="ns3:TaxCatchAll" minOccurs="0"/>
                <xsd:element ref="ns2:Target" minOccurs="0"/>
                <xsd:element ref="ns2:cedb35f1b32c4783853e9228d07d24fd" minOccurs="0"/>
                <xsd:element ref="ns2:hb75f49a3b8e4a5db108f81032febda4" minOccurs="0"/>
                <xsd:element ref="ns2:Visib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1edf6-be81-452d-a18a-873408006b75" elementFormDefault="qualified">
    <xsd:import namespace="http://schemas.microsoft.com/office/2006/documentManagement/types"/>
    <xsd:import namespace="http://schemas.microsoft.com/office/infopath/2007/PartnerControls"/>
    <xsd:element name="Descrizione" ma:index="8" nillable="true" ma:displayName="Descrizione" ma:internalName="Descrizione">
      <xsd:simpleType>
        <xsd:restriction base="dms:Note"/>
      </xsd:simpleType>
    </xsd:element>
    <xsd:element name="InEvidenza" ma:index="9" nillable="true" ma:displayName="InEvidenza" ma:default="0" ma:internalName="InEvidenza">
      <xsd:simpleType>
        <xsd:restriction base="dms:Boolean"/>
      </xsd:simpleType>
    </xsd:element>
    <xsd:element name="Ordinamento" ma:index="10" nillable="true" ma:displayName="Ordinamento" ma:internalName="Ordinamento">
      <xsd:simpleType>
        <xsd:restriction base="dms:Number"/>
      </xsd:simpleType>
    </xsd:element>
    <xsd:element name="o25eb73e229f4d10b877d5ec762fb0a4" ma:index="12" ma:taxonomy="true" ma:internalName="o25eb73e229f4d10b877d5ec762fb0a4" ma:taxonomyFieldName="PosizionamentoTAG" ma:displayName="PosizionamentoTAG" ma:readOnly="false" ma:default="" ma:fieldId="{825eb73e-229f-4d10-b877-d5ec762fb0a4}" ma:taxonomyMulti="true" ma:sspId="0701f52e-0181-41ca-bb28-d58fdf6a15c5" ma:termSetId="95bf7a6f-d12d-4766-94a8-edd4d6175a13" ma:anchorId="00000000-0000-0000-0000-000000000000" ma:open="false" ma:isKeyword="false">
      <xsd:complexType>
        <xsd:sequence>
          <xsd:element ref="pc:Terms" minOccurs="0" maxOccurs="1"/>
        </xsd:sequence>
      </xsd:complexType>
    </xsd:element>
    <xsd:element name="Target" ma:index="14" nillable="true" ma:displayName="Target" ma:default="_blank" ma:format="Dropdown" ma:internalName="Target">
      <xsd:simpleType>
        <xsd:restriction base="dms:Choice">
          <xsd:enumeration value="_blank"/>
        </xsd:restriction>
      </xsd:simpleType>
    </xsd:element>
    <xsd:element name="cedb35f1b32c4783853e9228d07d24fd" ma:index="16" nillable="true" ma:taxonomy="true" ma:internalName="cedb35f1b32c4783853e9228d07d24fd" ma:taxonomyFieldName="Tipologia" ma:displayName="Tipologia" ma:default="" ma:fieldId="{cedb35f1-b32c-4783-853e-9228d07d24fd}" ma:sspId="0701f52e-0181-41ca-bb28-d58fdf6a15c5" ma:termSetId="e1f367c1-8e2b-4894-bcf5-9494590005a4" ma:anchorId="00000000-0000-0000-0000-000000000000" ma:open="false" ma:isKeyword="false">
      <xsd:complexType>
        <xsd:sequence>
          <xsd:element ref="pc:Terms" minOccurs="0" maxOccurs="1"/>
        </xsd:sequence>
      </xsd:complexType>
    </xsd:element>
    <xsd:element name="hb75f49a3b8e4a5db108f81032febda4" ma:index="18" nillable="true" ma:taxonomy="true" ma:internalName="hb75f49a3b8e4a5db108f81032febda4" ma:taxonomyFieldName="UA" ma:displayName="UA" ma:default="" ma:fieldId="{1b75f49a-3b8e-4a5d-b108-f81032febda4}" ma:sspId="0701f52e-0181-41ca-bb28-d58fdf6a15c5" ma:termSetId="cb8069f6-d40e-47da-bff8-69516fa82cdc" ma:anchorId="00000000-0000-0000-0000-000000000000" ma:open="false" ma:isKeyword="false">
      <xsd:complexType>
        <xsd:sequence>
          <xsd:element ref="pc:Terms" minOccurs="0" maxOccurs="1"/>
        </xsd:sequence>
      </xsd:complexType>
    </xsd:element>
    <xsd:element name="Visibile" ma:index="19" nillable="true" ma:displayName="Visibile" ma:default="1" ma:internalName="Visibi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0022df-510b-49f4-9c25-770d1af90034" elementFormDefault="qualified">
    <xsd:import namespace="http://schemas.microsoft.com/office/2006/documentManagement/types"/>
    <xsd:import namespace="http://schemas.microsoft.com/office/infopath/2007/PartnerControls"/>
    <xsd:element name="TaxCatchAll" ma:index="13" nillable="true" ma:displayName="Colonna per tutti i valori di tassonomia" ma:hidden="true" ma:list="{5e388310-b6cf-4596-88cd-bf04625af0ec}" ma:internalName="TaxCatchAll" ma:showField="CatchAllData" ma:web="500022df-510b-49f4-9c25-770d1af90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1 6 " ? > < O n e O f f i x x D o c u m e n t P a r t   x m l n s : x s d = " h t t p : / / w w w . w 3 . o r g / 2 0 0 1 / X M L S c h e m a "   x m l n s : x s i = " h t t p : / / w w w . w 3 . o r g / 2 0 0 1 / X M L S c h e m a - i n s t a n c e "   i d = " 5 6 e 6 3 8 e 8 - 2 8 a c - 4 6 c c - 8 3 0 b - c 6 f 5 d 9 0 0 f e e d "   t I d = " a 3 6 2 a 5 d 4 - 9 5 8 9 - 4 1 b f - a 4 e 6 - 4 f 8 7 c 4 e 4 1 2 3 9 "   i n t e r n a l T I d = " 9 0 6 4 c c 7 f - 3 1 6 d - 4 6 b 1 - a 4 a c - 7 4 8 6 0 c 3 f 8 a 5 b "   m t I d = " 2 7 5 a f 3 2 e - b c 4 0 - 4 5 c 2 - 8 5 b 7 - a f b 1 c 0 3 8 2 6 5 3 "   r e v i s i o n = " 0 "   c r e a t e d m a j o r v e r s i o n = " 0 "   c r e a t e d m i n o r v e r s i o n = " 0 "   c r e a t e d = " 2 0 2 1 - 0 5 - 2 8 T 0 7 : 4 4 : 2 5 . 2 6 4 7 7 7 6 Z "   m o d i f i e d m a j o r v e r s i o n = " 0 "   m o d i f i e d m i n o r v e r s i o n = " 0 "   m o d i f i e d = " 0 0 0 1 - 0 1 - 0 1 T 0 0 : 0 0 : 0 0 "   p r o f i l e = " 7 9 d 0 7 7 0 6 - 0 b d d - 4 0 8 1 - 8 e c 7 - 0 8 4 b 6 9 8 d a 5 0 6 " 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3 0 4   R   d e l   2 1   n o v e m b r e 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3 0 4   R   d e l   2 1   n o v e m b r e   2 0 2 3 ] ] > < / T e x t >  
             < / S c r i p t i n g >  
             < S c r i p t i n g >  
                 < T e x t   i d = " C u s t o m E l e m e n t s . T e x t s . D r a f t "   l a b e l = " C u s t o m E l e m e n t s . T e x t s . D r a f t " > < ! [ C D A T A [ B o z z a ] ] > < / T e x t >  
                 < T e x t   i d = " C u s t o m E l e m e n t s . F i e l d s . D i p a r t i m e n t i "   l a b e l = " C u s t o m E l e m e n t s . F i e l d s . D i p a r t i m e n t i " > < ! [ C D A T A [   ] ] > < / T e x t >  
                 < T e x t   i d = " C u s t o m E l e m e n t s . F i e l d s . T i t o l o 1 "   l a b e l = " C u s t o m E l e m e n t s . F i e l d s . T i t o l o 1 " > < ! [ C D A T A [   ] ] > < / T e x t >  
                 < T e x t   i d = " C u s t o m E l e m e n t s . F i e l d s . T i t o l o 2 "   l a b e l = " C u s t o m E l e m e n t s . F i e l d s . T i t o l o 2 " > < ! [ C D A T A [   ] ] > < / T e x t >  
             < / S c r i p t i n g >  
             < P r o f i l e >  
                 < T e x t   i d = " P r o f i l e . I d "   l a b e l = " P r o f i l e . I d " > < ! [ C D A T A [ 7 9 d 0 7 7 0 6 - 0 b d d - 4 0 8 1 - 8 e c 7 - 0 8 4 b 6 9 8 d a 5 0 6 ] ] > < / T e x t >  
                 < T e x t   i d = " P r o f i l e . O r g a n i z a t i o n U n i t I d "   l a b e l = " P r o f i l e . O r g a n i z a t i o n U n i t I d " > < ! [ C D A T A [ f 7 6 b 5 5 8 d - 2 d 0 c - 4 3 f 0 - b 0 1 0 - 6 6 c 0 7 a f 7 d 1 2 3 ] ] > < / T e x t >  
                 < T e x t   i d = " P r o f i l e . O r g . E m a i l "   l a b e l = " P r o f i l e . O r g . E m a i l " > < ! [ C D A T A [ c a n - s c @ t i . c h ] ] > < / T e x t >  
                 < T e x t   i d = " P r o f i l e . O r g . F a x "   l a b e l = " P r o f i l e . O r g . F a x " > < ! [ C D A T A [ + 4 1   9 1   8 1 4   4 4   3 5 ] ] > < / 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C o n s i g l i o   d i   S t a t o ] ] > < / T e x t >  
                 < T e x t   i d = " P r o f i l e . O r g . P h o n e "   l a b e l = " P r o f i l e . O r g . P h o n e " > < ! [ C D A T A [ + 4 1   9 1   8 1 4   4 1   1 1 ] ] > < / 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w w w . t i . c h / c a n ] ] > < / T e x t >  
                 < T e x t   i d = " P r o f i l e . U s e r . A l i a s "   l a b e l = " P r o f i l e . U s e r . A l i a s " > < ! [ C D A T A [   ] ] > < / T e x t >  
                 < T e x t   i d = " P r o f i l e . U s e r . E m a i l "   l a b e l = " P r o f i l e . U s e r . E m a i l " > < ! [ C D A T A [ p a o l a . f u s a r o l i @ t i . c h ] ] > < / T e x t >  
                 < T e x t   i d = " P r o f i l e . U s e r . F i r s t N a m e "   l a b e l = " P r o f i l e . U s e r . F i r s t N a m e " > < ! [ C D A T A [ P a o l a ] ] > < / T e x t >  
                 < T e x t   i d = " P r o f i l e . U s e r . F u n c t i o n "   l a b e l = " P r o f i l e . U s e r . F u n c t i o n " > < ! [ C D A T A [ C A N - S T C A N C ] ] > < / T e x t >  
                 < T e x t   i d = " P r o f i l e . U s e r . L a s t N a m e "   l a b e l = " P r o f i l e . U s e r . L a s t N a m e " > < ! [ C D A T A [ D e   M a r c h i - F u s a r o l i ] ] > < / T e x t >  
                 < T e x t   i d = " P r o f i l e . U s e r . M o b i l e "   l a b e l = " P r o f i l e . U s e r . M o b i l e " > < ! [ C D A T A [   ] ] > < / T e x t >  
                 < T e x t   i d = " P r o f i l e . U s e r . P h o n e "   l a b e l = " P r o f i l e . U s e r . P h o n e " > < ! [ C D A T A [ + 4 1 9 1 8 1 4 3 1 6 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p a o l a . f u s a r o l i @ t i . c h ] ] > < / T e x t >  
                 < T e x t   i d = " A u t h o r . U s e r . F i r s t N a m e "   l a b e l = " A u t h o r . U s e r . F i r s t N a m e " > < ! [ C D A T A [ P a o l a ] ] > < / T e x t >  
                 < T e x t   i d = " A u t h o r . U s e r . F u n c t i o n "   l a b e l = " A u t h o r . U s e r . F u n c t i o n " > < ! [ C D A T A [ C A N - S T C A N C ] ] > < / T e x t >  
                 < T e x t   i d = " A u t h o r . U s e r . L a s t N a m e "   l a b e l = " A u t h o r . U s e r . L a s t N a m e " > < ! [ C D A T A [ D e   M a r c h i - F u s a r o l i ] ] > < / T e x t >  
                 < T e x t   i d = " A u t h o r . U s e r . M o b i l e "   l a b e l = " A u t h o r . U s e r . M o b i l e " > < ! [ C D A T A [   ] ] > < / T e x t >  
                 < T e x t   i d = " A u t h o r . U s e r . P h o n e "   l a b e l = " A u t h o r . U s e r . P h o n e " > < ! [ C D A T A [ + 4 1 9 1 8 1 4 3 1 6 6 ] ] > < / T e x t >  
                 < T e x t   i d = " A u t h o r . U s e r . S a l u t a t i o n "   l a b e l = " A u t h o r . U s e r . S a l u t a t i o n " > < ! [ C D A T A [   ] ] > < / T e x t >  
                 < T e x t   i d = " A u t h o r . U s e r . T i t l e "   l a b e l = " A u t h o r . U s e r . T i t l e " > < ! [ C D A T A [   ] ] > < / T e x t >  
             < / A u t h o r >  
             < S i g n e r _ 0 >  
                 < T e x t   i d = " S i g n e r _ 0 . I d "   l a b e l = " S i g n e r _ 0 . I d " > < ! [ C D A T A [ 7 9 d 0 7 7 0 6 - 0 b d d - 4 0 8 1 - 8 e c 7 - 0 8 4 b 6 9 8 d a 5 0 6 ] ] > < / T e x t >  
                 < T e x t   i d = " S i g n e r _ 0 . O r g a n i z a t i o n U n i t I d "   l a b e l = " S i g n e r _ 0 . O r g a n i z a t i o n U n i t I d " > < ! [ C D A T A [ f 7 6 b 5 5 8 d - 2 d 0 c - 4 3 f 0 - b 0 1 0 - 6 6 c 0 7 a f 7 d 1 2 3 ] ] > < / T e x t >  
                 < T e x t   i d = " S i g n e r _ 0 . O r g . E m a i l "   l a b e l = " S i g n e r _ 0 . O r g . E m a i l " > < ! [ C D A T A [ c a n - s c @ t i . c h ] ] > < / T e x t >  
                 < T e x t   i d = " S i g n e r _ 0 . O r g . F a x "   l a b e l = " S i g n e r _ 0 . O r g . F a x " > < ! [ C D A T A [ + 4 1   9 1   8 1 4   4 4   3 5 ] ] > < / 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C o n s i g l i o   d i   S t a t o ] ] > < / T e x t >  
                 < T e x t   i d = " S i g n e r _ 0 . O r g . P h o n e "   l a b e l = " S i g n e r _ 0 . O r g . P h o n e " > < ! [ C D A T A [ + 4 1   9 1   8 1 4   4 1   1 1 ] ] > < / 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w w w . t i . c h / c a n ] ] > < / T e x t >  
                 < T e x t   i d = " S i g n e r _ 0 . U s e r . A l i a s "   l a b e l = " S i g n e r _ 0 . U s e r . A l i a s " > < ! [ C D A T A [   ] ] > < / T e x t >  
                 < T e x t   i d = " S i g n e r _ 0 . U s e r . E m a i l "   l a b e l = " S i g n e r _ 0 . U s e r . E m a i l " > < ! [ C D A T A [ p a o l a . f u s a r o l i @ t i . c h ] ] > < / T e x t >  
                 < T e x t   i d = " S i g n e r _ 0 . U s e r . F i r s t N a m e "   l a b e l = " S i g n e r _ 0 . U s e r . F i r s t N a m e " > < ! [ C D A T A [ P a o l a ] ] > < / T e x t >  
                 < T e x t   i d = " S i g n e r _ 0 . U s e r . F u n c t i o n "   l a b e l = " S i g n e r _ 0 . U s e r . F u n c t i o n " > < ! [ C D A T A [ C A N - S T C A N C ] ] > < / T e x t >  
                 < T e x t   i d = " S i g n e r _ 0 . U s e r . L a s t N a m e "   l a b e l = " S i g n e r _ 0 . U s e r . L a s t N a m e " > < ! [ C D A T A [ D e   M a r c h i - F u s a r o l i ] ] > < / T e x t >  
                 < T e x t   i d = " S i g n e r _ 0 . U s e r . M o b i l e "   l a b e l = " S i g n e r _ 0 . U s e r . M o b i l e " > < ! [ C D A T A [   ] ] > < / T e x t >  
                 < T e x t   i d = " S i g n e r _ 0 . U s e r . P h o n e "   l a b e l = " S i g n e r _ 0 . U s e r . P h o n e " > < ! [ C D A T A [ + 4 1 9 1 8 1 4 3 1 6 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 2 0 2 3 - 1 1 - 2 1 T 0 0 : 0 0 : 0 0 Z < / D a t e T i m e >  
                 < T e x t   i d = " D o c P a r a m . N u m b e r " > < ! [ C D A T A [ 8 3 0 4 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451C-8EB3-4557-B917-29CEE338EDEA}">
  <ds:schemaRefs>
    <ds:schemaRef ds:uri="http://schemas.microsoft.com/office/2006/documentManagement/types"/>
    <ds:schemaRef ds:uri="http://schemas.microsoft.com/office/infopath/2007/PartnerControls"/>
    <ds:schemaRef ds:uri="500022df-510b-49f4-9c25-770d1af90034"/>
    <ds:schemaRef ds:uri="http://purl.org/dc/elements/1.1/"/>
    <ds:schemaRef ds:uri="http://schemas.microsoft.com/office/2006/metadata/properties"/>
    <ds:schemaRef ds:uri="56c1edf6-be81-452d-a18a-873408006b7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4EDF2E6C-84DE-4B4E-8463-261A5F46F3C2}">
  <ds:schemaRefs>
    <ds:schemaRef ds:uri="http://schemas.microsoft.com/sharepoint/v3/contenttype/forms"/>
  </ds:schemaRefs>
</ds:datastoreItem>
</file>

<file path=customXml/itemProps4.xml><?xml version="1.0" encoding="utf-8"?>
<ds:datastoreItem xmlns:ds="http://schemas.openxmlformats.org/officeDocument/2006/customXml" ds:itemID="{7A09782F-2078-4199-84EC-EBBDBD4E7BDE}">
  <ds:schemaRefs>
    <ds:schemaRef ds:uri="http://www.w3.org/2001/XMLSchema"/>
    <ds:schemaRef ds:uri="http://schema.oneoffixx.com/OneOffixxFormattingPart/1"/>
    <ds:schemaRef ds:uri=""/>
  </ds:schemaRefs>
</ds:datastoreItem>
</file>

<file path=customXml/itemProps5.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6.xml><?xml version="1.0" encoding="utf-8"?>
<ds:datastoreItem xmlns:ds="http://schemas.openxmlformats.org/officeDocument/2006/customXml" ds:itemID="{F6A735C3-D0E6-4BFC-94EC-D48D3F56C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1edf6-be81-452d-a18a-873408006b75"/>
    <ds:schemaRef ds:uri="500022df-510b-49f4-9c25-770d1af90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7B205C5-647F-4C93-9E77-48A692E4DD04}">
  <ds:schemaRefs>
    <ds:schemaRef ds:uri="http://www.w3.org/2001/XMLSchema"/>
    <ds:schemaRef ds:uri="http://schema.oneoffixx.com/OneOffixxDocumentPart/1"/>
    <ds:schemaRef ds:uri=""/>
  </ds:schemaRefs>
</ds:datastoreItem>
</file>

<file path=customXml/itemProps8.xml><?xml version="1.0" encoding="utf-8"?>
<ds:datastoreItem xmlns:ds="http://schemas.openxmlformats.org/officeDocument/2006/customXml" ds:itemID="{7464DC9C-AA1B-4F3C-BCE1-6E473222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ec2ac610-663e-4830-9e2c-762b62738331.dotx</Template>
  <TotalTime>28</TotalTime>
  <Pages>13</Pages>
  <Words>3956</Words>
  <Characters>22550</Characters>
  <Application>Microsoft Office Word</Application>
  <DocSecurity>0</DocSecurity>
  <Lines>187</Lines>
  <Paragraphs>52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Messaggio governativo DSS</vt:lpstr>
      <vt:lpstr/>
    </vt:vector>
  </TitlesOfParts>
  <Company/>
  <LinksUpToDate>false</LinksUpToDate>
  <CharactersWithSpaces>26454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Fusaroli Paola / T105694</dc:creator>
  <cp:keywords/>
  <dc:description/>
  <cp:lastModifiedBy>Venturi Luca</cp:lastModifiedBy>
  <cp:revision>35</cp:revision>
  <cp:lastPrinted>2023-11-27T13:07:00Z</cp:lastPrinted>
  <dcterms:created xsi:type="dcterms:W3CDTF">2023-11-22T15:11:00Z</dcterms:created>
  <dcterms:modified xsi:type="dcterms:W3CDTF">2023-11-27T13:08:00Z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0x0101009ADC68158AE22443B0736413669B69B5</vt:lpwstr>
  </property>
  <property fmtid="{D5CDD505-2E9C-101B-9397-08002B2CF9AE}" pid="4" name="PosizionamentoTAG">
    <vt:lpwstr>393;#Modelli atti|357a3e39-d738-4c8b-bd62-3777cd798c3a</vt:lpwstr>
  </property>
  <property fmtid="{D5CDD505-2E9C-101B-9397-08002B2CF9AE}" pid="5" name="UA">
    <vt:lpwstr/>
  </property>
  <property fmtid="{D5CDD505-2E9C-101B-9397-08002B2CF9AE}" pid="6" name="Tipologia">
    <vt:lpwstr>206;#Modello|e4ed0d71-d8b7-4b95-acbb-0d70ef5ae075</vt:lpwstr>
  </property>
</Properties>
</file>