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57D" w:rsidRPr="005A047A" w:rsidRDefault="002C157D" w:rsidP="007B63AA">
      <w:pPr>
        <w:rPr>
          <w:b/>
          <w:sz w:val="28"/>
          <w:szCs w:val="28"/>
        </w:rPr>
      </w:pPr>
      <w:r w:rsidRPr="005A047A">
        <w:rPr>
          <w:b/>
          <w:sz w:val="28"/>
          <w:szCs w:val="28"/>
        </w:rPr>
        <w:t xml:space="preserve">della Commissione formazione e cultura </w:t>
      </w:r>
    </w:p>
    <w:p w:rsidR="00D649A8" w:rsidRPr="005A047A" w:rsidRDefault="005A2602" w:rsidP="007B63AA">
      <w:pPr>
        <w:pStyle w:val="StandardRisoluzionedelConsigliodiStato"/>
        <w:ind w:right="-1"/>
        <w:rPr>
          <w:rFonts w:cs="Arial"/>
          <w:b/>
          <w:bCs/>
          <w:sz w:val="28"/>
          <w:szCs w:val="28"/>
        </w:rPr>
      </w:pPr>
      <w:r w:rsidRPr="005A047A">
        <w:rPr>
          <w:rFonts w:cs="Arial"/>
          <w:b/>
          <w:bCs/>
          <w:sz w:val="28"/>
          <w:szCs w:val="28"/>
        </w:rPr>
        <w:t>sull'iniziativa cantonale 16 ottobre 2023 presentata da Maddalena Ermotti-Lepori</w:t>
      </w:r>
      <w:r w:rsidR="000A7B30">
        <w:rPr>
          <w:rFonts w:cs="Arial"/>
          <w:b/>
          <w:bCs/>
          <w:sz w:val="28"/>
          <w:szCs w:val="28"/>
        </w:rPr>
        <w:t xml:space="preserve"> e cofirmatari</w:t>
      </w:r>
      <w:r w:rsidRPr="005A047A">
        <w:rPr>
          <w:rFonts w:cs="Arial"/>
          <w:b/>
          <w:bCs/>
          <w:sz w:val="28"/>
          <w:szCs w:val="28"/>
        </w:rPr>
        <w:t xml:space="preserve"> “Per la reintegrazione della Svizzera al programma di ricerca Horizon Europe”</w:t>
      </w:r>
    </w:p>
    <w:p w:rsidR="000F701A" w:rsidRDefault="000F701A" w:rsidP="007B63AA">
      <w:pPr>
        <w:pStyle w:val="StandardRisoluzionedelConsigliodiStato"/>
        <w:ind w:right="-1"/>
        <w:rPr>
          <w:szCs w:val="24"/>
        </w:rPr>
      </w:pPr>
    </w:p>
    <w:p w:rsidR="00505071" w:rsidRDefault="00505071" w:rsidP="007B63AA">
      <w:pPr>
        <w:pStyle w:val="StandardRisoluzionedelConsigliodiStato"/>
        <w:ind w:right="-1"/>
        <w:rPr>
          <w:szCs w:val="24"/>
        </w:rPr>
      </w:pPr>
      <w:bookmarkStart w:id="0" w:name="_GoBack"/>
      <w:bookmarkEnd w:id="0"/>
    </w:p>
    <w:sdt>
      <w:sdtPr>
        <w:rPr>
          <w:rFonts w:eastAsia="Calibri" w:cs="Arial"/>
          <w:kern w:val="2"/>
          <w14:ligatures w14:val="standardContextual"/>
        </w:rPr>
        <w:id w:val="-1639026335"/>
        <w:docPartObj>
          <w:docPartGallery w:val="Table of Contents"/>
          <w:docPartUnique/>
        </w:docPartObj>
      </w:sdtPr>
      <w:sdtEndPr>
        <w:rPr>
          <w:b/>
          <w:bCs/>
          <w:sz w:val="24"/>
          <w:szCs w:val="24"/>
        </w:rPr>
      </w:sdtEndPr>
      <w:sdtContent>
        <w:p w:rsidR="005A2602" w:rsidRPr="006816B5" w:rsidRDefault="005A2602" w:rsidP="005A2602">
          <w:pPr>
            <w:keepNext/>
            <w:keepLines/>
            <w:spacing w:before="240" w:line="259" w:lineRule="auto"/>
            <w:jc w:val="left"/>
            <w:rPr>
              <w:rFonts w:eastAsia="Times New Roman" w:cs="Arial"/>
              <w:b/>
              <w:sz w:val="24"/>
              <w:szCs w:val="24"/>
              <w:lang w:val="it-IT" w:eastAsia="it-IT"/>
            </w:rPr>
          </w:pPr>
          <w:r w:rsidRPr="006816B5">
            <w:rPr>
              <w:rFonts w:eastAsia="Times New Roman" w:cs="Arial"/>
              <w:b/>
              <w:sz w:val="24"/>
              <w:szCs w:val="24"/>
              <w:lang w:val="it-IT" w:eastAsia="it-IT"/>
            </w:rPr>
            <w:t>INDICE</w:t>
          </w:r>
        </w:p>
        <w:p w:rsidR="000A7B30" w:rsidRPr="000A7B30" w:rsidRDefault="005A2602">
          <w:pPr>
            <w:pStyle w:val="Sommario1"/>
            <w:rPr>
              <w:rFonts w:asciiTheme="minorHAnsi" w:eastAsiaTheme="minorEastAsia" w:hAnsiTheme="minorHAnsi"/>
              <w:b w:val="0"/>
              <w:noProof/>
              <w:sz w:val="24"/>
              <w:szCs w:val="24"/>
              <w:lang w:eastAsia="it-CH"/>
            </w:rPr>
          </w:pPr>
          <w:r w:rsidRPr="006816B5">
            <w:rPr>
              <w:rFonts w:eastAsia="Calibri" w:cs="Arial"/>
              <w:b w:val="0"/>
              <w:kern w:val="2"/>
              <w:sz w:val="24"/>
              <w:szCs w:val="24"/>
              <w14:ligatures w14:val="standardContextual"/>
            </w:rPr>
            <w:fldChar w:fldCharType="begin"/>
          </w:r>
          <w:r w:rsidRPr="006816B5">
            <w:rPr>
              <w:rFonts w:eastAsia="Calibri" w:cs="Arial"/>
              <w:b w:val="0"/>
              <w:kern w:val="2"/>
              <w:sz w:val="24"/>
              <w:szCs w:val="24"/>
              <w14:ligatures w14:val="standardContextual"/>
            </w:rPr>
            <w:instrText xml:space="preserve"> TOC \o "1-3" \h \z \u </w:instrText>
          </w:r>
          <w:r w:rsidRPr="006816B5">
            <w:rPr>
              <w:rFonts w:eastAsia="Calibri" w:cs="Arial"/>
              <w:b w:val="0"/>
              <w:kern w:val="2"/>
              <w:sz w:val="24"/>
              <w:szCs w:val="24"/>
              <w14:ligatures w14:val="standardContextual"/>
            </w:rPr>
            <w:fldChar w:fldCharType="separate"/>
          </w:r>
          <w:hyperlink w:anchor="_Toc152061816" w:history="1">
            <w:r w:rsidR="000A7B30" w:rsidRPr="000A7B30">
              <w:rPr>
                <w:rStyle w:val="Collegamentoipertestuale"/>
                <w:rFonts w:eastAsia="Calibri" w:cs="Times New Roman"/>
                <w:b w:val="0"/>
                <w:caps/>
                <w:noProof/>
                <w:sz w:val="24"/>
                <w:szCs w:val="24"/>
                <w:lang w:val="it-IT" w:eastAsia="it-IT"/>
              </w:rPr>
              <w:t>1.</w:t>
            </w:r>
            <w:r w:rsidR="000A7B30" w:rsidRPr="000A7B30">
              <w:rPr>
                <w:rFonts w:asciiTheme="minorHAnsi" w:eastAsiaTheme="minorEastAsia" w:hAnsiTheme="minorHAnsi"/>
                <w:b w:val="0"/>
                <w:noProof/>
                <w:sz w:val="24"/>
                <w:szCs w:val="24"/>
                <w:lang w:eastAsia="it-CH"/>
              </w:rPr>
              <w:tab/>
            </w:r>
            <w:r w:rsidR="000A7B30" w:rsidRPr="000A7B30">
              <w:rPr>
                <w:rStyle w:val="Collegamentoipertestuale"/>
                <w:rFonts w:eastAsia="Calibri" w:cs="Times New Roman"/>
                <w:b w:val="0"/>
                <w:caps/>
                <w:noProof/>
                <w:sz w:val="24"/>
                <w:szCs w:val="24"/>
                <w:lang w:val="it-IT" w:eastAsia="it-IT"/>
              </w:rPr>
              <w:t>PREMESSA</w:t>
            </w:r>
            <w:r w:rsidR="000A7B30" w:rsidRPr="000A7B30">
              <w:rPr>
                <w:b w:val="0"/>
                <w:noProof/>
                <w:webHidden/>
                <w:sz w:val="24"/>
                <w:szCs w:val="24"/>
              </w:rPr>
              <w:tab/>
            </w:r>
            <w:r w:rsidR="000A7B30" w:rsidRPr="000A7B30">
              <w:rPr>
                <w:b w:val="0"/>
                <w:noProof/>
                <w:webHidden/>
                <w:sz w:val="24"/>
                <w:szCs w:val="24"/>
              </w:rPr>
              <w:fldChar w:fldCharType="begin"/>
            </w:r>
            <w:r w:rsidR="000A7B30" w:rsidRPr="000A7B30">
              <w:rPr>
                <w:b w:val="0"/>
                <w:noProof/>
                <w:webHidden/>
                <w:sz w:val="24"/>
                <w:szCs w:val="24"/>
              </w:rPr>
              <w:instrText xml:space="preserve"> PAGEREF _Toc152061816 \h </w:instrText>
            </w:r>
            <w:r w:rsidR="000A7B30" w:rsidRPr="000A7B30">
              <w:rPr>
                <w:b w:val="0"/>
                <w:noProof/>
                <w:webHidden/>
                <w:sz w:val="24"/>
                <w:szCs w:val="24"/>
              </w:rPr>
            </w:r>
            <w:r w:rsidR="000A7B30" w:rsidRPr="000A7B30">
              <w:rPr>
                <w:b w:val="0"/>
                <w:noProof/>
                <w:webHidden/>
                <w:sz w:val="24"/>
                <w:szCs w:val="24"/>
              </w:rPr>
              <w:fldChar w:fldCharType="separate"/>
            </w:r>
            <w:r w:rsidR="003D690E">
              <w:rPr>
                <w:b w:val="0"/>
                <w:noProof/>
                <w:webHidden/>
                <w:sz w:val="24"/>
                <w:szCs w:val="24"/>
              </w:rPr>
              <w:t>1</w:t>
            </w:r>
            <w:r w:rsidR="000A7B30" w:rsidRPr="000A7B30">
              <w:rPr>
                <w:b w:val="0"/>
                <w:noProof/>
                <w:webHidden/>
                <w:sz w:val="24"/>
                <w:szCs w:val="24"/>
              </w:rPr>
              <w:fldChar w:fldCharType="end"/>
            </w:r>
          </w:hyperlink>
        </w:p>
        <w:p w:rsidR="000A7B30" w:rsidRPr="000A7B30" w:rsidRDefault="00FA71AB">
          <w:pPr>
            <w:pStyle w:val="Sommario1"/>
            <w:rPr>
              <w:rFonts w:asciiTheme="minorHAnsi" w:eastAsiaTheme="minorEastAsia" w:hAnsiTheme="minorHAnsi"/>
              <w:b w:val="0"/>
              <w:noProof/>
              <w:sz w:val="24"/>
              <w:szCs w:val="24"/>
              <w:lang w:eastAsia="it-CH"/>
            </w:rPr>
          </w:pPr>
          <w:hyperlink w:anchor="_Toc152061817" w:history="1">
            <w:r w:rsidR="000A7B30" w:rsidRPr="000A7B30">
              <w:rPr>
                <w:rStyle w:val="Collegamentoipertestuale"/>
                <w:rFonts w:eastAsia="Calibri" w:cs="Times New Roman"/>
                <w:b w:val="0"/>
                <w:caps/>
                <w:noProof/>
                <w:sz w:val="24"/>
                <w:szCs w:val="24"/>
                <w:lang w:val="it-IT" w:eastAsia="it-IT"/>
              </w:rPr>
              <w:t>2.</w:t>
            </w:r>
            <w:r w:rsidR="000A7B30" w:rsidRPr="000A7B30">
              <w:rPr>
                <w:rFonts w:asciiTheme="minorHAnsi" w:eastAsiaTheme="minorEastAsia" w:hAnsiTheme="minorHAnsi"/>
                <w:b w:val="0"/>
                <w:noProof/>
                <w:sz w:val="24"/>
                <w:szCs w:val="24"/>
                <w:lang w:eastAsia="it-CH"/>
              </w:rPr>
              <w:tab/>
            </w:r>
            <w:r w:rsidR="000A7B30" w:rsidRPr="000A7B30">
              <w:rPr>
                <w:rStyle w:val="Collegamentoipertestuale"/>
                <w:rFonts w:eastAsia="Calibri" w:cs="Times New Roman"/>
                <w:b w:val="0"/>
                <w:caps/>
                <w:noProof/>
                <w:sz w:val="24"/>
                <w:szCs w:val="24"/>
                <w:lang w:val="it-IT" w:eastAsia="it-IT"/>
              </w:rPr>
              <w:t>L’INIZIATIVA CANTONALE</w:t>
            </w:r>
            <w:r w:rsidR="000A7B30" w:rsidRPr="000A7B30">
              <w:rPr>
                <w:b w:val="0"/>
                <w:noProof/>
                <w:webHidden/>
                <w:sz w:val="24"/>
                <w:szCs w:val="24"/>
              </w:rPr>
              <w:tab/>
            </w:r>
            <w:r w:rsidR="000A7B30" w:rsidRPr="000A7B30">
              <w:rPr>
                <w:b w:val="0"/>
                <w:noProof/>
                <w:webHidden/>
                <w:sz w:val="24"/>
                <w:szCs w:val="24"/>
              </w:rPr>
              <w:fldChar w:fldCharType="begin"/>
            </w:r>
            <w:r w:rsidR="000A7B30" w:rsidRPr="000A7B30">
              <w:rPr>
                <w:b w:val="0"/>
                <w:noProof/>
                <w:webHidden/>
                <w:sz w:val="24"/>
                <w:szCs w:val="24"/>
              </w:rPr>
              <w:instrText xml:space="preserve"> PAGEREF _Toc152061817 \h </w:instrText>
            </w:r>
            <w:r w:rsidR="000A7B30" w:rsidRPr="000A7B30">
              <w:rPr>
                <w:b w:val="0"/>
                <w:noProof/>
                <w:webHidden/>
                <w:sz w:val="24"/>
                <w:szCs w:val="24"/>
              </w:rPr>
            </w:r>
            <w:r w:rsidR="000A7B30" w:rsidRPr="000A7B30">
              <w:rPr>
                <w:b w:val="0"/>
                <w:noProof/>
                <w:webHidden/>
                <w:sz w:val="24"/>
                <w:szCs w:val="24"/>
              </w:rPr>
              <w:fldChar w:fldCharType="separate"/>
            </w:r>
            <w:r w:rsidR="003D690E">
              <w:rPr>
                <w:b w:val="0"/>
                <w:noProof/>
                <w:webHidden/>
                <w:sz w:val="24"/>
                <w:szCs w:val="24"/>
              </w:rPr>
              <w:t>1</w:t>
            </w:r>
            <w:r w:rsidR="000A7B30" w:rsidRPr="000A7B30">
              <w:rPr>
                <w:b w:val="0"/>
                <w:noProof/>
                <w:webHidden/>
                <w:sz w:val="24"/>
                <w:szCs w:val="24"/>
              </w:rPr>
              <w:fldChar w:fldCharType="end"/>
            </w:r>
          </w:hyperlink>
        </w:p>
        <w:p w:rsidR="000A7B30" w:rsidRPr="000A7B30" w:rsidRDefault="00FA71AB">
          <w:pPr>
            <w:pStyle w:val="Sommario1"/>
            <w:rPr>
              <w:rFonts w:asciiTheme="minorHAnsi" w:eastAsiaTheme="minorEastAsia" w:hAnsiTheme="minorHAnsi"/>
              <w:b w:val="0"/>
              <w:noProof/>
              <w:sz w:val="24"/>
              <w:szCs w:val="24"/>
              <w:lang w:eastAsia="it-CH"/>
            </w:rPr>
          </w:pPr>
          <w:hyperlink w:anchor="_Toc152061818" w:history="1">
            <w:r w:rsidR="000A7B30" w:rsidRPr="000A7B30">
              <w:rPr>
                <w:rStyle w:val="Collegamentoipertestuale"/>
                <w:rFonts w:eastAsia="Calibri" w:cs="Times New Roman"/>
                <w:b w:val="0"/>
                <w:caps/>
                <w:noProof/>
                <w:sz w:val="24"/>
                <w:szCs w:val="24"/>
                <w:lang w:val="it-IT" w:eastAsia="it-IT"/>
              </w:rPr>
              <w:t>3.</w:t>
            </w:r>
            <w:r w:rsidR="000A7B30" w:rsidRPr="000A7B30">
              <w:rPr>
                <w:rFonts w:asciiTheme="minorHAnsi" w:eastAsiaTheme="minorEastAsia" w:hAnsiTheme="minorHAnsi"/>
                <w:b w:val="0"/>
                <w:noProof/>
                <w:sz w:val="24"/>
                <w:szCs w:val="24"/>
                <w:lang w:eastAsia="it-CH"/>
              </w:rPr>
              <w:tab/>
            </w:r>
            <w:r w:rsidR="000A7B30" w:rsidRPr="000A7B30">
              <w:rPr>
                <w:rStyle w:val="Collegamentoipertestuale"/>
                <w:rFonts w:eastAsia="Calibri" w:cs="Times New Roman"/>
                <w:b w:val="0"/>
                <w:caps/>
                <w:noProof/>
                <w:sz w:val="24"/>
                <w:szCs w:val="24"/>
                <w:lang w:val="it-IT" w:eastAsia="it-IT"/>
              </w:rPr>
              <w:t>IL PARERE DEL CONSIGLIO DI STATO</w:t>
            </w:r>
            <w:r w:rsidR="000A7B30" w:rsidRPr="000A7B30">
              <w:rPr>
                <w:b w:val="0"/>
                <w:noProof/>
                <w:webHidden/>
                <w:sz w:val="24"/>
                <w:szCs w:val="24"/>
              </w:rPr>
              <w:tab/>
            </w:r>
            <w:r w:rsidR="000A7B30" w:rsidRPr="000A7B30">
              <w:rPr>
                <w:b w:val="0"/>
                <w:noProof/>
                <w:webHidden/>
                <w:sz w:val="24"/>
                <w:szCs w:val="24"/>
              </w:rPr>
              <w:fldChar w:fldCharType="begin"/>
            </w:r>
            <w:r w:rsidR="000A7B30" w:rsidRPr="000A7B30">
              <w:rPr>
                <w:b w:val="0"/>
                <w:noProof/>
                <w:webHidden/>
                <w:sz w:val="24"/>
                <w:szCs w:val="24"/>
              </w:rPr>
              <w:instrText xml:space="preserve"> PAGEREF _Toc152061818 \h </w:instrText>
            </w:r>
            <w:r w:rsidR="000A7B30" w:rsidRPr="000A7B30">
              <w:rPr>
                <w:b w:val="0"/>
                <w:noProof/>
                <w:webHidden/>
                <w:sz w:val="24"/>
                <w:szCs w:val="24"/>
              </w:rPr>
            </w:r>
            <w:r w:rsidR="000A7B30" w:rsidRPr="000A7B30">
              <w:rPr>
                <w:b w:val="0"/>
                <w:noProof/>
                <w:webHidden/>
                <w:sz w:val="24"/>
                <w:szCs w:val="24"/>
              </w:rPr>
              <w:fldChar w:fldCharType="separate"/>
            </w:r>
            <w:r w:rsidR="003D690E">
              <w:rPr>
                <w:b w:val="0"/>
                <w:noProof/>
                <w:webHidden/>
                <w:sz w:val="24"/>
                <w:szCs w:val="24"/>
              </w:rPr>
              <w:t>2</w:t>
            </w:r>
            <w:r w:rsidR="000A7B30" w:rsidRPr="000A7B30">
              <w:rPr>
                <w:b w:val="0"/>
                <w:noProof/>
                <w:webHidden/>
                <w:sz w:val="24"/>
                <w:szCs w:val="24"/>
              </w:rPr>
              <w:fldChar w:fldCharType="end"/>
            </w:r>
          </w:hyperlink>
        </w:p>
        <w:p w:rsidR="000A7B30" w:rsidRPr="000A7B30" w:rsidRDefault="00FA71AB">
          <w:pPr>
            <w:pStyle w:val="Sommario1"/>
            <w:rPr>
              <w:rFonts w:eastAsiaTheme="minorEastAsia" w:cs="Arial"/>
              <w:b w:val="0"/>
              <w:noProof/>
              <w:sz w:val="24"/>
              <w:szCs w:val="24"/>
              <w:lang w:eastAsia="it-CH"/>
            </w:rPr>
          </w:pPr>
          <w:hyperlink w:anchor="_Toc152061819" w:history="1">
            <w:r w:rsidR="000A7B30" w:rsidRPr="000A7B30">
              <w:rPr>
                <w:rStyle w:val="Collegamentoipertestuale"/>
                <w:rFonts w:eastAsia="Calibri" w:cs="Times New Roman"/>
                <w:b w:val="0"/>
                <w:caps/>
                <w:noProof/>
                <w:sz w:val="24"/>
                <w:szCs w:val="24"/>
                <w:lang w:val="it-IT" w:eastAsia="it-IT"/>
              </w:rPr>
              <w:t>4.</w:t>
            </w:r>
            <w:r w:rsidR="000A7B30" w:rsidRPr="000A7B30">
              <w:rPr>
                <w:rFonts w:asciiTheme="minorHAnsi" w:eastAsiaTheme="minorEastAsia" w:hAnsiTheme="minorHAnsi"/>
                <w:b w:val="0"/>
                <w:noProof/>
                <w:sz w:val="24"/>
                <w:szCs w:val="24"/>
                <w:lang w:eastAsia="it-CH"/>
              </w:rPr>
              <w:tab/>
            </w:r>
            <w:r w:rsidR="000A7B30" w:rsidRPr="000A7B30">
              <w:rPr>
                <w:rStyle w:val="Collegamentoipertestuale"/>
                <w:rFonts w:eastAsia="Calibri" w:cs="Times New Roman"/>
                <w:b w:val="0"/>
                <w:caps/>
                <w:noProof/>
                <w:sz w:val="24"/>
                <w:szCs w:val="24"/>
                <w:lang w:val="it-IT" w:eastAsia="it-IT"/>
              </w:rPr>
              <w:t>DISCUSSIONI COMMISSIONALI</w:t>
            </w:r>
            <w:r w:rsidR="000A7B30" w:rsidRPr="000A7B30">
              <w:rPr>
                <w:b w:val="0"/>
                <w:noProof/>
                <w:webHidden/>
                <w:sz w:val="24"/>
                <w:szCs w:val="24"/>
              </w:rPr>
              <w:tab/>
            </w:r>
            <w:r w:rsidR="000A7B30" w:rsidRPr="000A7B30">
              <w:rPr>
                <w:b w:val="0"/>
                <w:noProof/>
                <w:webHidden/>
                <w:sz w:val="24"/>
                <w:szCs w:val="24"/>
              </w:rPr>
              <w:fldChar w:fldCharType="begin"/>
            </w:r>
            <w:r w:rsidR="000A7B30" w:rsidRPr="000A7B30">
              <w:rPr>
                <w:b w:val="0"/>
                <w:noProof/>
                <w:webHidden/>
                <w:sz w:val="24"/>
                <w:szCs w:val="24"/>
              </w:rPr>
              <w:instrText xml:space="preserve"> PAGEREF _Toc152061819 \h </w:instrText>
            </w:r>
            <w:r w:rsidR="000A7B30" w:rsidRPr="000A7B30">
              <w:rPr>
                <w:b w:val="0"/>
                <w:noProof/>
                <w:webHidden/>
                <w:sz w:val="24"/>
                <w:szCs w:val="24"/>
              </w:rPr>
            </w:r>
            <w:r w:rsidR="000A7B30" w:rsidRPr="000A7B30">
              <w:rPr>
                <w:b w:val="0"/>
                <w:noProof/>
                <w:webHidden/>
                <w:sz w:val="24"/>
                <w:szCs w:val="24"/>
              </w:rPr>
              <w:fldChar w:fldCharType="separate"/>
            </w:r>
            <w:r w:rsidR="003D690E">
              <w:rPr>
                <w:b w:val="0"/>
                <w:noProof/>
                <w:webHidden/>
                <w:sz w:val="24"/>
                <w:szCs w:val="24"/>
              </w:rPr>
              <w:t>2</w:t>
            </w:r>
            <w:r w:rsidR="000A7B30" w:rsidRPr="000A7B30">
              <w:rPr>
                <w:b w:val="0"/>
                <w:noProof/>
                <w:webHidden/>
                <w:sz w:val="24"/>
                <w:szCs w:val="24"/>
              </w:rPr>
              <w:fldChar w:fldCharType="end"/>
            </w:r>
          </w:hyperlink>
        </w:p>
        <w:p w:rsidR="000A7B30" w:rsidRPr="000A7B30" w:rsidRDefault="00FA71AB">
          <w:pPr>
            <w:pStyle w:val="Sommario2"/>
            <w:rPr>
              <w:rFonts w:asciiTheme="minorHAnsi" w:eastAsiaTheme="minorEastAsia" w:hAnsiTheme="minorHAnsi"/>
              <w:noProof/>
              <w:sz w:val="24"/>
              <w:szCs w:val="24"/>
              <w:lang w:eastAsia="it-CH"/>
            </w:rPr>
          </w:pPr>
          <w:hyperlink w:anchor="_Toc152061820" w:history="1">
            <w:r w:rsidR="000A7B30" w:rsidRPr="000A7B30">
              <w:rPr>
                <w:rStyle w:val="Collegamentoipertestuale"/>
                <w:rFonts w:eastAsia="Calibri" w:cs="Times New Roman"/>
                <w:noProof/>
                <w:sz w:val="24"/>
                <w:szCs w:val="24"/>
                <w:lang w:val="it-IT" w:eastAsia="it-IT"/>
              </w:rPr>
              <w:t>4.1</w:t>
            </w:r>
            <w:r w:rsidR="000A7B30" w:rsidRPr="000A7B30">
              <w:rPr>
                <w:rFonts w:asciiTheme="minorHAnsi" w:eastAsiaTheme="minorEastAsia" w:hAnsiTheme="minorHAnsi"/>
                <w:noProof/>
                <w:sz w:val="24"/>
                <w:szCs w:val="24"/>
                <w:lang w:eastAsia="it-CH"/>
              </w:rPr>
              <w:tab/>
            </w:r>
            <w:r w:rsidR="000A7B30" w:rsidRPr="000A7B30">
              <w:rPr>
                <w:rStyle w:val="Collegamentoipertestuale"/>
                <w:rFonts w:eastAsia="Calibri" w:cs="Times New Roman"/>
                <w:noProof/>
                <w:sz w:val="24"/>
                <w:szCs w:val="24"/>
                <w:lang w:val="it-IT" w:eastAsia="it-IT"/>
              </w:rPr>
              <w:t>Contesto</w:t>
            </w:r>
            <w:r w:rsidR="000A7B30" w:rsidRPr="000A7B30">
              <w:rPr>
                <w:noProof/>
                <w:webHidden/>
                <w:sz w:val="24"/>
                <w:szCs w:val="24"/>
              </w:rPr>
              <w:tab/>
            </w:r>
            <w:r w:rsidR="000A7B30" w:rsidRPr="000A7B30">
              <w:rPr>
                <w:noProof/>
                <w:webHidden/>
                <w:sz w:val="24"/>
                <w:szCs w:val="24"/>
              </w:rPr>
              <w:fldChar w:fldCharType="begin"/>
            </w:r>
            <w:r w:rsidR="000A7B30" w:rsidRPr="000A7B30">
              <w:rPr>
                <w:noProof/>
                <w:webHidden/>
                <w:sz w:val="24"/>
                <w:szCs w:val="24"/>
              </w:rPr>
              <w:instrText xml:space="preserve"> PAGEREF _Toc152061820 \h </w:instrText>
            </w:r>
            <w:r w:rsidR="000A7B30" w:rsidRPr="000A7B30">
              <w:rPr>
                <w:noProof/>
                <w:webHidden/>
                <w:sz w:val="24"/>
                <w:szCs w:val="24"/>
              </w:rPr>
            </w:r>
            <w:r w:rsidR="000A7B30" w:rsidRPr="000A7B30">
              <w:rPr>
                <w:noProof/>
                <w:webHidden/>
                <w:sz w:val="24"/>
                <w:szCs w:val="24"/>
              </w:rPr>
              <w:fldChar w:fldCharType="separate"/>
            </w:r>
            <w:r w:rsidR="003D690E">
              <w:rPr>
                <w:noProof/>
                <w:webHidden/>
                <w:sz w:val="24"/>
                <w:szCs w:val="24"/>
              </w:rPr>
              <w:t>2</w:t>
            </w:r>
            <w:r w:rsidR="000A7B30" w:rsidRPr="000A7B30">
              <w:rPr>
                <w:noProof/>
                <w:webHidden/>
                <w:sz w:val="24"/>
                <w:szCs w:val="24"/>
              </w:rPr>
              <w:fldChar w:fldCharType="end"/>
            </w:r>
          </w:hyperlink>
        </w:p>
        <w:p w:rsidR="000A7B30" w:rsidRPr="000A7B30" w:rsidRDefault="00FA71AB">
          <w:pPr>
            <w:pStyle w:val="Sommario2"/>
            <w:rPr>
              <w:rFonts w:asciiTheme="minorHAnsi" w:eastAsiaTheme="minorEastAsia" w:hAnsiTheme="minorHAnsi"/>
              <w:noProof/>
              <w:sz w:val="24"/>
              <w:szCs w:val="24"/>
              <w:lang w:eastAsia="it-CH"/>
            </w:rPr>
          </w:pPr>
          <w:hyperlink w:anchor="_Toc152061821" w:history="1">
            <w:r w:rsidR="000A7B30" w:rsidRPr="000A7B30">
              <w:rPr>
                <w:rStyle w:val="Collegamentoipertestuale"/>
                <w:rFonts w:eastAsia="Calibri" w:cs="Times New Roman"/>
                <w:noProof/>
                <w:sz w:val="24"/>
                <w:szCs w:val="24"/>
                <w:lang w:val="it-IT" w:eastAsia="it-IT"/>
              </w:rPr>
              <w:t>4.2</w:t>
            </w:r>
            <w:r w:rsidR="000A7B30" w:rsidRPr="000A7B30">
              <w:rPr>
                <w:rFonts w:asciiTheme="minorHAnsi" w:eastAsiaTheme="minorEastAsia" w:hAnsiTheme="minorHAnsi"/>
                <w:noProof/>
                <w:sz w:val="24"/>
                <w:szCs w:val="24"/>
                <w:lang w:eastAsia="it-CH"/>
              </w:rPr>
              <w:tab/>
            </w:r>
            <w:r w:rsidR="000A7B30" w:rsidRPr="000A7B30">
              <w:rPr>
                <w:rStyle w:val="Collegamentoipertestuale"/>
                <w:rFonts w:eastAsia="Calibri" w:cs="Times New Roman"/>
                <w:noProof/>
                <w:sz w:val="24"/>
                <w:szCs w:val="24"/>
                <w:lang w:val="it-IT" w:eastAsia="it-IT"/>
              </w:rPr>
              <w:t>Finanziamenti europei per gli istituti universitari ticinesi negli scorsi anni</w:t>
            </w:r>
            <w:r w:rsidR="000A7B30" w:rsidRPr="000A7B30">
              <w:rPr>
                <w:noProof/>
                <w:webHidden/>
                <w:sz w:val="24"/>
                <w:szCs w:val="24"/>
              </w:rPr>
              <w:tab/>
            </w:r>
            <w:r w:rsidR="000A7B30" w:rsidRPr="000A7B30">
              <w:rPr>
                <w:noProof/>
                <w:webHidden/>
                <w:sz w:val="24"/>
                <w:szCs w:val="24"/>
              </w:rPr>
              <w:fldChar w:fldCharType="begin"/>
            </w:r>
            <w:r w:rsidR="000A7B30" w:rsidRPr="000A7B30">
              <w:rPr>
                <w:noProof/>
                <w:webHidden/>
                <w:sz w:val="24"/>
                <w:szCs w:val="24"/>
              </w:rPr>
              <w:instrText xml:space="preserve"> PAGEREF _Toc152061821 \h </w:instrText>
            </w:r>
            <w:r w:rsidR="000A7B30" w:rsidRPr="000A7B30">
              <w:rPr>
                <w:noProof/>
                <w:webHidden/>
                <w:sz w:val="24"/>
                <w:szCs w:val="24"/>
              </w:rPr>
            </w:r>
            <w:r w:rsidR="000A7B30" w:rsidRPr="000A7B30">
              <w:rPr>
                <w:noProof/>
                <w:webHidden/>
                <w:sz w:val="24"/>
                <w:szCs w:val="24"/>
              </w:rPr>
              <w:fldChar w:fldCharType="separate"/>
            </w:r>
            <w:r w:rsidR="003D690E">
              <w:rPr>
                <w:noProof/>
                <w:webHidden/>
                <w:sz w:val="24"/>
                <w:szCs w:val="24"/>
              </w:rPr>
              <w:t>3</w:t>
            </w:r>
            <w:r w:rsidR="000A7B30" w:rsidRPr="000A7B30">
              <w:rPr>
                <w:noProof/>
                <w:webHidden/>
                <w:sz w:val="24"/>
                <w:szCs w:val="24"/>
              </w:rPr>
              <w:fldChar w:fldCharType="end"/>
            </w:r>
          </w:hyperlink>
        </w:p>
        <w:p w:rsidR="000A7B30" w:rsidRPr="000A7B30" w:rsidRDefault="00FA71AB">
          <w:pPr>
            <w:pStyle w:val="Sommario2"/>
            <w:rPr>
              <w:rFonts w:asciiTheme="minorHAnsi" w:eastAsiaTheme="minorEastAsia" w:hAnsiTheme="minorHAnsi"/>
              <w:noProof/>
              <w:sz w:val="24"/>
              <w:szCs w:val="24"/>
              <w:lang w:eastAsia="it-CH"/>
            </w:rPr>
          </w:pPr>
          <w:hyperlink w:anchor="_Toc152061822" w:history="1">
            <w:r w:rsidR="000A7B30" w:rsidRPr="000A7B30">
              <w:rPr>
                <w:rStyle w:val="Collegamentoipertestuale"/>
                <w:rFonts w:eastAsia="Calibri" w:cs="Times New Roman"/>
                <w:noProof/>
                <w:sz w:val="24"/>
                <w:szCs w:val="24"/>
                <w:lang w:val="it-IT" w:eastAsia="it-IT"/>
              </w:rPr>
              <w:t>4.3</w:t>
            </w:r>
            <w:r w:rsidR="000A7B30" w:rsidRPr="000A7B30">
              <w:rPr>
                <w:rFonts w:asciiTheme="minorHAnsi" w:eastAsiaTheme="minorEastAsia" w:hAnsiTheme="minorHAnsi"/>
                <w:noProof/>
                <w:sz w:val="24"/>
                <w:szCs w:val="24"/>
                <w:lang w:eastAsia="it-CH"/>
              </w:rPr>
              <w:tab/>
            </w:r>
            <w:r w:rsidR="000A7B30" w:rsidRPr="000A7B30">
              <w:rPr>
                <w:rStyle w:val="Collegamentoipertestuale"/>
                <w:rFonts w:eastAsia="Calibri" w:cs="Times New Roman"/>
                <w:noProof/>
                <w:sz w:val="24"/>
                <w:szCs w:val="24"/>
                <w:lang w:val="it-IT" w:eastAsia="it-IT"/>
              </w:rPr>
              <w:t>Conseguenze della sospensione della procedura di associazione al  programma Horizon Europe (2021-2027)</w:t>
            </w:r>
            <w:r w:rsidR="000A7B30" w:rsidRPr="000A7B30">
              <w:rPr>
                <w:noProof/>
                <w:webHidden/>
                <w:sz w:val="24"/>
                <w:szCs w:val="24"/>
              </w:rPr>
              <w:tab/>
            </w:r>
            <w:r w:rsidR="000A7B30" w:rsidRPr="000A7B30">
              <w:rPr>
                <w:noProof/>
                <w:webHidden/>
                <w:sz w:val="24"/>
                <w:szCs w:val="24"/>
              </w:rPr>
              <w:fldChar w:fldCharType="begin"/>
            </w:r>
            <w:r w:rsidR="000A7B30" w:rsidRPr="000A7B30">
              <w:rPr>
                <w:noProof/>
                <w:webHidden/>
                <w:sz w:val="24"/>
                <w:szCs w:val="24"/>
              </w:rPr>
              <w:instrText xml:space="preserve"> PAGEREF _Toc152061822 \h </w:instrText>
            </w:r>
            <w:r w:rsidR="000A7B30" w:rsidRPr="000A7B30">
              <w:rPr>
                <w:noProof/>
                <w:webHidden/>
                <w:sz w:val="24"/>
                <w:szCs w:val="24"/>
              </w:rPr>
            </w:r>
            <w:r w:rsidR="000A7B30" w:rsidRPr="000A7B30">
              <w:rPr>
                <w:noProof/>
                <w:webHidden/>
                <w:sz w:val="24"/>
                <w:szCs w:val="24"/>
              </w:rPr>
              <w:fldChar w:fldCharType="separate"/>
            </w:r>
            <w:r w:rsidR="003D690E">
              <w:rPr>
                <w:noProof/>
                <w:webHidden/>
                <w:sz w:val="24"/>
                <w:szCs w:val="24"/>
              </w:rPr>
              <w:t>4</w:t>
            </w:r>
            <w:r w:rsidR="000A7B30" w:rsidRPr="000A7B30">
              <w:rPr>
                <w:noProof/>
                <w:webHidden/>
                <w:sz w:val="24"/>
                <w:szCs w:val="24"/>
              </w:rPr>
              <w:fldChar w:fldCharType="end"/>
            </w:r>
          </w:hyperlink>
        </w:p>
        <w:p w:rsidR="000A7B30" w:rsidRPr="000A7B30" w:rsidRDefault="00FA71AB">
          <w:pPr>
            <w:pStyle w:val="Sommario2"/>
            <w:rPr>
              <w:rFonts w:asciiTheme="minorHAnsi" w:eastAsiaTheme="minorEastAsia" w:hAnsiTheme="minorHAnsi"/>
              <w:noProof/>
              <w:sz w:val="24"/>
              <w:szCs w:val="24"/>
              <w:lang w:eastAsia="it-CH"/>
            </w:rPr>
          </w:pPr>
          <w:hyperlink w:anchor="_Toc152061823" w:history="1">
            <w:r w:rsidR="000A7B30" w:rsidRPr="000A7B30">
              <w:rPr>
                <w:rStyle w:val="Collegamentoipertestuale"/>
                <w:rFonts w:eastAsia="Calibri" w:cs="Times New Roman"/>
                <w:noProof/>
                <w:sz w:val="24"/>
                <w:szCs w:val="24"/>
                <w:lang w:val="it-IT" w:eastAsia="it-IT"/>
              </w:rPr>
              <w:t xml:space="preserve">4.4 </w:t>
            </w:r>
            <w:r w:rsidR="000A7B30" w:rsidRPr="000A7B30">
              <w:rPr>
                <w:rFonts w:asciiTheme="minorHAnsi" w:eastAsiaTheme="minorEastAsia" w:hAnsiTheme="minorHAnsi"/>
                <w:noProof/>
                <w:sz w:val="24"/>
                <w:szCs w:val="24"/>
                <w:lang w:eastAsia="it-CH"/>
              </w:rPr>
              <w:tab/>
            </w:r>
            <w:r w:rsidR="000A7B30" w:rsidRPr="000A7B30">
              <w:rPr>
                <w:rStyle w:val="Collegamentoipertestuale"/>
                <w:rFonts w:eastAsia="Calibri" w:cs="Times New Roman"/>
                <w:noProof/>
                <w:sz w:val="24"/>
                <w:szCs w:val="24"/>
                <w:lang w:val="it-IT" w:eastAsia="it-IT"/>
              </w:rPr>
              <w:t>Iniziative di altri Cantoni</w:t>
            </w:r>
            <w:r w:rsidR="000A7B30" w:rsidRPr="000A7B30">
              <w:rPr>
                <w:noProof/>
                <w:webHidden/>
                <w:sz w:val="24"/>
                <w:szCs w:val="24"/>
              </w:rPr>
              <w:tab/>
            </w:r>
            <w:r w:rsidR="000A7B30" w:rsidRPr="000A7B30">
              <w:rPr>
                <w:noProof/>
                <w:webHidden/>
                <w:sz w:val="24"/>
                <w:szCs w:val="24"/>
              </w:rPr>
              <w:fldChar w:fldCharType="begin"/>
            </w:r>
            <w:r w:rsidR="000A7B30" w:rsidRPr="000A7B30">
              <w:rPr>
                <w:noProof/>
                <w:webHidden/>
                <w:sz w:val="24"/>
                <w:szCs w:val="24"/>
              </w:rPr>
              <w:instrText xml:space="preserve"> PAGEREF _Toc152061823 \h </w:instrText>
            </w:r>
            <w:r w:rsidR="000A7B30" w:rsidRPr="000A7B30">
              <w:rPr>
                <w:noProof/>
                <w:webHidden/>
                <w:sz w:val="24"/>
                <w:szCs w:val="24"/>
              </w:rPr>
            </w:r>
            <w:r w:rsidR="000A7B30" w:rsidRPr="000A7B30">
              <w:rPr>
                <w:noProof/>
                <w:webHidden/>
                <w:sz w:val="24"/>
                <w:szCs w:val="24"/>
              </w:rPr>
              <w:fldChar w:fldCharType="separate"/>
            </w:r>
            <w:r w:rsidR="003D690E">
              <w:rPr>
                <w:noProof/>
                <w:webHidden/>
                <w:sz w:val="24"/>
                <w:szCs w:val="24"/>
              </w:rPr>
              <w:t>5</w:t>
            </w:r>
            <w:r w:rsidR="000A7B30" w:rsidRPr="000A7B30">
              <w:rPr>
                <w:noProof/>
                <w:webHidden/>
                <w:sz w:val="24"/>
                <w:szCs w:val="24"/>
              </w:rPr>
              <w:fldChar w:fldCharType="end"/>
            </w:r>
          </w:hyperlink>
        </w:p>
        <w:p w:rsidR="000A7B30" w:rsidRPr="000A7B30" w:rsidRDefault="00FA71AB">
          <w:pPr>
            <w:pStyle w:val="Sommario2"/>
            <w:rPr>
              <w:rFonts w:asciiTheme="minorHAnsi" w:eastAsiaTheme="minorEastAsia" w:hAnsiTheme="minorHAnsi"/>
              <w:noProof/>
              <w:sz w:val="24"/>
              <w:szCs w:val="24"/>
              <w:lang w:eastAsia="it-CH"/>
            </w:rPr>
          </w:pPr>
          <w:hyperlink w:anchor="_Toc152061824" w:history="1">
            <w:r w:rsidR="000A7B30" w:rsidRPr="000A7B30">
              <w:rPr>
                <w:rStyle w:val="Collegamentoipertestuale"/>
                <w:rFonts w:eastAsia="Calibri" w:cs="Times New Roman"/>
                <w:noProof/>
                <w:sz w:val="24"/>
                <w:szCs w:val="24"/>
                <w:lang w:val="it-IT" w:eastAsia="it-IT"/>
              </w:rPr>
              <w:t>5.</w:t>
            </w:r>
            <w:r w:rsidR="000A7B30" w:rsidRPr="000A7B30">
              <w:rPr>
                <w:rFonts w:asciiTheme="minorHAnsi" w:eastAsiaTheme="minorEastAsia" w:hAnsiTheme="minorHAnsi"/>
                <w:noProof/>
                <w:sz w:val="24"/>
                <w:szCs w:val="24"/>
                <w:lang w:eastAsia="it-CH"/>
              </w:rPr>
              <w:tab/>
            </w:r>
            <w:r w:rsidR="000A7B30" w:rsidRPr="000A7B30">
              <w:rPr>
                <w:rStyle w:val="Collegamentoipertestuale"/>
                <w:rFonts w:eastAsia="Calibri" w:cs="Times New Roman"/>
                <w:noProof/>
                <w:sz w:val="24"/>
                <w:szCs w:val="24"/>
                <w:lang w:val="it-IT" w:eastAsia="it-IT"/>
              </w:rPr>
              <w:t>CONCLUSIONI</w:t>
            </w:r>
            <w:r w:rsidR="000A7B30" w:rsidRPr="000A7B30">
              <w:rPr>
                <w:noProof/>
                <w:webHidden/>
                <w:sz w:val="24"/>
                <w:szCs w:val="24"/>
              </w:rPr>
              <w:tab/>
            </w:r>
            <w:r w:rsidR="000A7B30" w:rsidRPr="000A7B30">
              <w:rPr>
                <w:noProof/>
                <w:webHidden/>
                <w:sz w:val="24"/>
                <w:szCs w:val="24"/>
              </w:rPr>
              <w:fldChar w:fldCharType="begin"/>
            </w:r>
            <w:r w:rsidR="000A7B30" w:rsidRPr="000A7B30">
              <w:rPr>
                <w:noProof/>
                <w:webHidden/>
                <w:sz w:val="24"/>
                <w:szCs w:val="24"/>
              </w:rPr>
              <w:instrText xml:space="preserve"> PAGEREF _Toc152061824 \h </w:instrText>
            </w:r>
            <w:r w:rsidR="000A7B30" w:rsidRPr="000A7B30">
              <w:rPr>
                <w:noProof/>
                <w:webHidden/>
                <w:sz w:val="24"/>
                <w:szCs w:val="24"/>
              </w:rPr>
            </w:r>
            <w:r w:rsidR="000A7B30" w:rsidRPr="000A7B30">
              <w:rPr>
                <w:noProof/>
                <w:webHidden/>
                <w:sz w:val="24"/>
                <w:szCs w:val="24"/>
              </w:rPr>
              <w:fldChar w:fldCharType="separate"/>
            </w:r>
            <w:r w:rsidR="003D690E">
              <w:rPr>
                <w:noProof/>
                <w:webHidden/>
                <w:sz w:val="24"/>
                <w:szCs w:val="24"/>
              </w:rPr>
              <w:t>5</w:t>
            </w:r>
            <w:r w:rsidR="000A7B30" w:rsidRPr="000A7B30">
              <w:rPr>
                <w:noProof/>
                <w:webHidden/>
                <w:sz w:val="24"/>
                <w:szCs w:val="24"/>
              </w:rPr>
              <w:fldChar w:fldCharType="end"/>
            </w:r>
          </w:hyperlink>
        </w:p>
        <w:p w:rsidR="005A2602" w:rsidRDefault="005A2602" w:rsidP="005A2602">
          <w:pPr>
            <w:spacing w:line="360" w:lineRule="auto"/>
            <w:rPr>
              <w:rFonts w:eastAsia="Calibri" w:cs="Arial"/>
              <w:b/>
              <w:bCs/>
              <w:szCs w:val="24"/>
            </w:rPr>
          </w:pPr>
          <w:r w:rsidRPr="006816B5">
            <w:rPr>
              <w:rFonts w:eastAsia="Calibri" w:cs="Arial"/>
              <w:bCs/>
              <w:kern w:val="2"/>
              <w:sz w:val="24"/>
              <w:szCs w:val="24"/>
              <w14:ligatures w14:val="standardContextual"/>
            </w:rPr>
            <w:fldChar w:fldCharType="end"/>
          </w:r>
        </w:p>
      </w:sdtContent>
    </w:sdt>
    <w:p w:rsidR="006816B5" w:rsidRDefault="006816B5" w:rsidP="006816B5">
      <w:pPr>
        <w:pStyle w:val="StileGC1"/>
        <w:numPr>
          <w:ilvl w:val="0"/>
          <w:numId w:val="0"/>
        </w:numPr>
        <w:spacing w:before="0"/>
      </w:pPr>
      <w:bookmarkStart w:id="1" w:name="_Toc150620670"/>
    </w:p>
    <w:p w:rsidR="00FA2014" w:rsidRPr="006816B5" w:rsidRDefault="006816B5" w:rsidP="006816B5">
      <w:pPr>
        <w:pStyle w:val="Titolo1"/>
        <w:tabs>
          <w:tab w:val="left" w:pos="567"/>
        </w:tabs>
        <w:spacing w:before="0"/>
        <w:ind w:left="567" w:hanging="567"/>
        <w:jc w:val="both"/>
        <w:rPr>
          <w:rFonts w:eastAsia="Calibri" w:cs="Times New Roman"/>
          <w:caps/>
          <w:sz w:val="24"/>
          <w:szCs w:val="24"/>
          <w:lang w:val="it-IT" w:eastAsia="it-IT"/>
        </w:rPr>
      </w:pPr>
      <w:bookmarkStart w:id="2" w:name="_Toc152061816"/>
      <w:r w:rsidRPr="006816B5">
        <w:rPr>
          <w:rFonts w:eastAsia="Calibri" w:cs="Times New Roman"/>
          <w:caps/>
          <w:sz w:val="24"/>
          <w:szCs w:val="24"/>
          <w:lang w:val="it-IT" w:eastAsia="it-IT"/>
        </w:rPr>
        <w:t>1.</w:t>
      </w:r>
      <w:r w:rsidRPr="006816B5">
        <w:rPr>
          <w:rFonts w:eastAsia="Calibri" w:cs="Times New Roman"/>
          <w:caps/>
          <w:sz w:val="24"/>
          <w:szCs w:val="24"/>
          <w:lang w:val="it-IT" w:eastAsia="it-IT"/>
        </w:rPr>
        <w:tab/>
      </w:r>
      <w:r w:rsidR="00FA2014" w:rsidRPr="006816B5">
        <w:rPr>
          <w:rFonts w:eastAsia="Calibri" w:cs="Times New Roman"/>
          <w:caps/>
          <w:sz w:val="24"/>
          <w:szCs w:val="24"/>
          <w:lang w:val="it-IT" w:eastAsia="it-IT"/>
        </w:rPr>
        <w:t>PREMESSA</w:t>
      </w:r>
      <w:bookmarkEnd w:id="1"/>
      <w:bookmarkEnd w:id="2"/>
    </w:p>
    <w:p w:rsidR="00D649A8" w:rsidRPr="00B44F75" w:rsidRDefault="00FA2014" w:rsidP="007B63AA">
      <w:pPr>
        <w:pStyle w:val="StandardRisoluzionedelConsigliodiStato"/>
        <w:ind w:right="-1"/>
        <w:rPr>
          <w:szCs w:val="24"/>
        </w:rPr>
      </w:pPr>
      <w:r w:rsidRPr="00FA2014">
        <w:rPr>
          <w:szCs w:val="24"/>
        </w:rPr>
        <w:t>L'atto parlamentare è presentato sulla base dell'art. 160 cpv. 1 della Costituzione federale e dell'art. 106 della Legge sul Gran Consiglio e sui rapporti con il Consiglio di Stato.</w:t>
      </w:r>
    </w:p>
    <w:p w:rsidR="007B63AA" w:rsidRDefault="007B63AA" w:rsidP="00FA2014">
      <w:pPr>
        <w:pStyle w:val="StandardRisoluzionedelConsigliodiStato"/>
        <w:ind w:right="-1"/>
        <w:rPr>
          <w:szCs w:val="24"/>
        </w:rPr>
      </w:pPr>
    </w:p>
    <w:p w:rsidR="006816B5" w:rsidRDefault="006816B5" w:rsidP="00FA2014">
      <w:pPr>
        <w:pStyle w:val="StandardRisoluzionedelConsigliodiStato"/>
        <w:ind w:right="-1"/>
        <w:rPr>
          <w:szCs w:val="24"/>
        </w:rPr>
      </w:pPr>
    </w:p>
    <w:p w:rsidR="000F701A" w:rsidRDefault="000F701A" w:rsidP="00FA2014">
      <w:pPr>
        <w:pStyle w:val="StandardRisoluzionedelConsigliodiStato"/>
        <w:ind w:right="-1"/>
        <w:rPr>
          <w:szCs w:val="24"/>
        </w:rPr>
      </w:pPr>
    </w:p>
    <w:p w:rsidR="00FA2014" w:rsidRPr="006816B5" w:rsidRDefault="00FA2014" w:rsidP="006816B5">
      <w:pPr>
        <w:pStyle w:val="Titolo1"/>
        <w:tabs>
          <w:tab w:val="left" w:pos="567"/>
        </w:tabs>
        <w:spacing w:before="0"/>
        <w:ind w:left="567" w:hanging="567"/>
        <w:jc w:val="both"/>
        <w:rPr>
          <w:rFonts w:eastAsia="Calibri" w:cs="Times New Roman"/>
          <w:caps/>
          <w:sz w:val="24"/>
          <w:szCs w:val="24"/>
          <w:lang w:val="it-IT" w:eastAsia="it-IT"/>
        </w:rPr>
      </w:pPr>
      <w:bookmarkStart w:id="3" w:name="_Toc152061817"/>
      <w:r w:rsidRPr="006816B5">
        <w:rPr>
          <w:rFonts w:eastAsia="Calibri" w:cs="Times New Roman"/>
          <w:caps/>
          <w:sz w:val="24"/>
          <w:szCs w:val="24"/>
          <w:lang w:val="it-IT" w:eastAsia="it-IT"/>
        </w:rPr>
        <w:t>2.</w:t>
      </w:r>
      <w:r w:rsidRPr="006816B5">
        <w:rPr>
          <w:rFonts w:eastAsia="Calibri" w:cs="Times New Roman"/>
          <w:caps/>
          <w:sz w:val="24"/>
          <w:szCs w:val="24"/>
          <w:lang w:val="it-IT" w:eastAsia="it-IT"/>
        </w:rPr>
        <w:tab/>
      </w:r>
      <w:bookmarkStart w:id="4" w:name="_Toc150620671"/>
      <w:r w:rsidRPr="006816B5">
        <w:rPr>
          <w:rFonts w:eastAsia="Calibri" w:cs="Times New Roman"/>
          <w:caps/>
          <w:sz w:val="24"/>
          <w:szCs w:val="24"/>
          <w:lang w:val="it-IT" w:eastAsia="it-IT"/>
        </w:rPr>
        <w:t>L’INIZIATIVA CANTONALE</w:t>
      </w:r>
      <w:bookmarkEnd w:id="4"/>
      <w:bookmarkEnd w:id="3"/>
    </w:p>
    <w:p w:rsidR="00FA2014" w:rsidRPr="00FA2014" w:rsidRDefault="00FA2014" w:rsidP="006816B5">
      <w:pPr>
        <w:pBdr>
          <w:top w:val="nil"/>
          <w:left w:val="nil"/>
          <w:bottom w:val="nil"/>
          <w:right w:val="nil"/>
          <w:between w:val="nil"/>
        </w:pBdr>
        <w:spacing w:after="120"/>
        <w:rPr>
          <w:rFonts w:cs="Arial"/>
          <w:sz w:val="24"/>
          <w:szCs w:val="24"/>
        </w:rPr>
      </w:pPr>
      <w:r w:rsidRPr="00FA2014">
        <w:rPr>
          <w:rFonts w:cs="Arial"/>
          <w:sz w:val="24"/>
          <w:szCs w:val="24"/>
        </w:rPr>
        <w:t>Con l'iniziativa in oggetto, il Cantone Ticino chiede all'Assemblea federale che la Confederazione sia invitata:</w:t>
      </w:r>
    </w:p>
    <w:p w:rsidR="00FA2014" w:rsidRPr="00FA2014" w:rsidRDefault="00FA2014" w:rsidP="00FA2014">
      <w:pPr>
        <w:pBdr>
          <w:top w:val="nil"/>
          <w:left w:val="nil"/>
          <w:bottom w:val="nil"/>
          <w:right w:val="nil"/>
          <w:between w:val="nil"/>
        </w:pBdr>
        <w:rPr>
          <w:rFonts w:cs="Arial"/>
          <w:sz w:val="24"/>
          <w:szCs w:val="24"/>
        </w:rPr>
      </w:pPr>
      <w:r w:rsidRPr="00B42DF4">
        <w:rPr>
          <w:rFonts w:cs="Arial"/>
          <w:i/>
          <w:sz w:val="24"/>
          <w:szCs w:val="24"/>
        </w:rPr>
        <w:t>“a mettere in atto il più rapidamente possibile tutte le misure per promuovere la reintegrazione della Svizzera nel programma di ricerca dell’UE in modo che le ricercatrici e i ricercatori svizzeri siano ancora una volta pienamente associati a Horizon Europe”</w:t>
      </w:r>
      <w:r w:rsidR="00B42DF4">
        <w:rPr>
          <w:rFonts w:cs="Arial"/>
          <w:sz w:val="24"/>
          <w:szCs w:val="24"/>
        </w:rPr>
        <w:t>.</w:t>
      </w:r>
    </w:p>
    <w:p w:rsidR="00FA2014" w:rsidRPr="00FA2014" w:rsidRDefault="00FA2014" w:rsidP="00FA2014">
      <w:pPr>
        <w:pBdr>
          <w:top w:val="nil"/>
          <w:left w:val="nil"/>
          <w:bottom w:val="nil"/>
          <w:right w:val="nil"/>
          <w:between w:val="nil"/>
        </w:pBdr>
        <w:rPr>
          <w:rFonts w:cs="Arial"/>
          <w:sz w:val="24"/>
          <w:szCs w:val="24"/>
        </w:rPr>
      </w:pPr>
    </w:p>
    <w:p w:rsidR="00B44F75" w:rsidRDefault="00FA2014" w:rsidP="00FA2014">
      <w:pPr>
        <w:pBdr>
          <w:top w:val="nil"/>
          <w:left w:val="nil"/>
          <w:bottom w:val="nil"/>
          <w:right w:val="nil"/>
          <w:between w:val="nil"/>
        </w:pBdr>
        <w:rPr>
          <w:rFonts w:cs="Arial"/>
          <w:sz w:val="24"/>
          <w:szCs w:val="24"/>
        </w:rPr>
      </w:pPr>
      <w:r w:rsidRPr="00FA2014">
        <w:rPr>
          <w:rFonts w:cs="Arial"/>
          <w:sz w:val="24"/>
          <w:szCs w:val="24"/>
        </w:rPr>
        <w:t xml:space="preserve">Lo scorso 16 ottobre 2023, è stata presentata da Maddalena Ermotti-Lepori (cofirmatari: Canetta - Tenconi – Valsangiacomo) per la maggioranza della Commissione di controllo </w:t>
      </w:r>
      <w:r w:rsidRPr="00FA2014">
        <w:rPr>
          <w:rFonts w:cs="Arial"/>
          <w:sz w:val="24"/>
          <w:szCs w:val="24"/>
        </w:rPr>
        <w:lastRenderedPageBreak/>
        <w:t xml:space="preserve">su USI e SUPSI, l’Iniziativa cantonale IC93 </w:t>
      </w:r>
      <w:r w:rsidRPr="00B42DF4">
        <w:rPr>
          <w:rFonts w:cs="Arial"/>
          <w:i/>
          <w:sz w:val="24"/>
          <w:szCs w:val="24"/>
        </w:rPr>
        <w:t>“Per la reintegrazione della Svizzera al programma di ricerca Horizon Europe”</w:t>
      </w:r>
      <w:r w:rsidRPr="00FA2014">
        <w:rPr>
          <w:rFonts w:cs="Arial"/>
          <w:sz w:val="24"/>
          <w:szCs w:val="24"/>
        </w:rPr>
        <w:t>. Attraverso l’IC93 i deputati e le deputate auspicano che il Canton</w:t>
      </w:r>
      <w:r w:rsidR="00B42DF4">
        <w:rPr>
          <w:rFonts w:cs="Arial"/>
          <w:sz w:val="24"/>
          <w:szCs w:val="24"/>
        </w:rPr>
        <w:t>e</w:t>
      </w:r>
      <w:r w:rsidRPr="00FA2014">
        <w:rPr>
          <w:rFonts w:cs="Arial"/>
          <w:sz w:val="24"/>
          <w:szCs w:val="24"/>
        </w:rPr>
        <w:t xml:space="preserve"> Ticino eserciti il suo diritto d'iniziativa cantonale davanti all'Assemblea federale (art. 160 Cost. Fed).</w:t>
      </w:r>
    </w:p>
    <w:p w:rsidR="00020534" w:rsidRDefault="00020534" w:rsidP="007B63AA">
      <w:pPr>
        <w:pBdr>
          <w:top w:val="nil"/>
          <w:left w:val="nil"/>
          <w:bottom w:val="nil"/>
          <w:right w:val="nil"/>
          <w:between w:val="nil"/>
        </w:pBdr>
        <w:rPr>
          <w:rFonts w:cs="Arial"/>
          <w:b/>
          <w:sz w:val="24"/>
          <w:szCs w:val="24"/>
        </w:rPr>
      </w:pPr>
    </w:p>
    <w:p w:rsidR="000F701A" w:rsidRDefault="000F701A" w:rsidP="007B63AA">
      <w:pPr>
        <w:pBdr>
          <w:top w:val="nil"/>
          <w:left w:val="nil"/>
          <w:bottom w:val="nil"/>
          <w:right w:val="nil"/>
          <w:between w:val="nil"/>
        </w:pBdr>
        <w:rPr>
          <w:rFonts w:cs="Arial"/>
          <w:b/>
          <w:sz w:val="24"/>
          <w:szCs w:val="24"/>
        </w:rPr>
      </w:pPr>
    </w:p>
    <w:p w:rsidR="006816B5" w:rsidRPr="00B44F75" w:rsidRDefault="006816B5" w:rsidP="007B63AA">
      <w:pPr>
        <w:pBdr>
          <w:top w:val="nil"/>
          <w:left w:val="nil"/>
          <w:bottom w:val="nil"/>
          <w:right w:val="nil"/>
          <w:between w:val="nil"/>
        </w:pBdr>
        <w:rPr>
          <w:rFonts w:cs="Arial"/>
          <w:b/>
          <w:sz w:val="24"/>
          <w:szCs w:val="24"/>
        </w:rPr>
      </w:pPr>
    </w:p>
    <w:p w:rsidR="00FA2014" w:rsidRPr="006816B5" w:rsidRDefault="00FA2014" w:rsidP="006816B5">
      <w:pPr>
        <w:pStyle w:val="Titolo1"/>
        <w:tabs>
          <w:tab w:val="left" w:pos="567"/>
        </w:tabs>
        <w:spacing w:before="0"/>
        <w:ind w:left="567" w:hanging="567"/>
        <w:jc w:val="both"/>
        <w:rPr>
          <w:rFonts w:eastAsia="Calibri" w:cs="Times New Roman"/>
          <w:caps/>
          <w:sz w:val="24"/>
          <w:szCs w:val="24"/>
          <w:lang w:val="it-IT" w:eastAsia="it-IT"/>
        </w:rPr>
      </w:pPr>
      <w:bookmarkStart w:id="5" w:name="_Toc150620672"/>
      <w:bookmarkStart w:id="6" w:name="_Toc152061818"/>
      <w:r w:rsidRPr="006816B5">
        <w:rPr>
          <w:rFonts w:eastAsia="Calibri" w:cs="Times New Roman"/>
          <w:caps/>
          <w:sz w:val="24"/>
          <w:szCs w:val="24"/>
          <w:lang w:val="it-IT" w:eastAsia="it-IT"/>
        </w:rPr>
        <w:t>3.</w:t>
      </w:r>
      <w:r w:rsidRPr="006816B5">
        <w:rPr>
          <w:rFonts w:eastAsia="Calibri" w:cs="Times New Roman"/>
          <w:caps/>
          <w:sz w:val="24"/>
          <w:szCs w:val="24"/>
          <w:lang w:val="it-IT" w:eastAsia="it-IT"/>
        </w:rPr>
        <w:tab/>
        <w:t>IL PARERE DEL CONSIGLIO DI STATO</w:t>
      </w:r>
      <w:bookmarkEnd w:id="5"/>
      <w:bookmarkEnd w:id="6"/>
    </w:p>
    <w:p w:rsidR="00A96F92" w:rsidRPr="00A96F92" w:rsidRDefault="00A96F92" w:rsidP="00A96F92">
      <w:pPr>
        <w:pStyle w:val="StandardRisoluzionedelConsigliodiStato"/>
        <w:ind w:right="-1"/>
        <w:rPr>
          <w:szCs w:val="24"/>
        </w:rPr>
      </w:pPr>
      <w:r w:rsidRPr="00A96F92">
        <w:rPr>
          <w:szCs w:val="24"/>
        </w:rPr>
        <w:t>Il Consiglio di Stato prende atto con soddisfazione dell’iniziativa in oggetto e sottolinea come essa riprenda un tema di grande importanza per il mondo della ricerca svizzero e cantonale. Osserva che il Cantone Ticino in più occasioni ha sostenuto presso le autorità federali la proposta di un mandato negoziale al Consiglio federale affinché si attivasse con urgenza presso le competenti istituzioni europee per un’adesione piena della Svizzera ai programmi europei che riguardano sia la formazione (Erasmus+) sia l’innovazione e la ricerca (</w:t>
      </w:r>
      <w:proofErr w:type="spellStart"/>
      <w:r w:rsidRPr="00A96F92">
        <w:rPr>
          <w:szCs w:val="24"/>
        </w:rPr>
        <w:t>Horizon</w:t>
      </w:r>
      <w:proofErr w:type="spellEnd"/>
      <w:r w:rsidRPr="00A96F92">
        <w:rPr>
          <w:szCs w:val="24"/>
        </w:rPr>
        <w:t xml:space="preserve"> Europe), scindendo tali accordi da quello quadro istituzionale, di più complessa attuazione. </w:t>
      </w:r>
    </w:p>
    <w:p w:rsidR="00020534" w:rsidRDefault="00A96F92" w:rsidP="00A96F92">
      <w:pPr>
        <w:pStyle w:val="StandardRisoluzionedelConsigliodiStato"/>
        <w:ind w:right="-1"/>
        <w:rPr>
          <w:szCs w:val="24"/>
        </w:rPr>
      </w:pPr>
      <w:r w:rsidRPr="00A96F92">
        <w:rPr>
          <w:szCs w:val="24"/>
        </w:rPr>
        <w:t>Pertanto il Consiglio di Stato appoggia l’iniziativa cantonale, anche in vista della ripresa delle discussioni sul tema in seno al Consiglio federale in programma nella seduta di dicembre.</w:t>
      </w:r>
    </w:p>
    <w:p w:rsidR="000F701A" w:rsidRDefault="000F701A" w:rsidP="007B63AA">
      <w:pPr>
        <w:pStyle w:val="StandardRisoluzionedelConsigliodiStato"/>
        <w:ind w:right="-1"/>
        <w:rPr>
          <w:szCs w:val="24"/>
        </w:rPr>
      </w:pPr>
    </w:p>
    <w:p w:rsidR="006816B5" w:rsidRDefault="006816B5" w:rsidP="007B63AA">
      <w:pPr>
        <w:pStyle w:val="StandardRisoluzionedelConsigliodiStato"/>
        <w:ind w:right="-1"/>
        <w:rPr>
          <w:szCs w:val="24"/>
        </w:rPr>
      </w:pPr>
    </w:p>
    <w:p w:rsidR="00A96F92" w:rsidRDefault="00A96F92" w:rsidP="007B63AA">
      <w:pPr>
        <w:pStyle w:val="StandardRisoluzionedelConsigliodiStato"/>
        <w:ind w:right="-1"/>
        <w:rPr>
          <w:szCs w:val="24"/>
        </w:rPr>
      </w:pPr>
    </w:p>
    <w:p w:rsidR="00B44F75" w:rsidRPr="006816B5" w:rsidRDefault="00B44F75" w:rsidP="006816B5">
      <w:pPr>
        <w:pStyle w:val="Titolo1"/>
        <w:tabs>
          <w:tab w:val="left" w:pos="567"/>
        </w:tabs>
        <w:spacing w:before="0"/>
        <w:ind w:left="567" w:hanging="567"/>
        <w:jc w:val="both"/>
        <w:rPr>
          <w:rFonts w:eastAsia="Calibri" w:cs="Times New Roman"/>
          <w:caps/>
          <w:sz w:val="24"/>
          <w:szCs w:val="24"/>
          <w:lang w:val="it-IT" w:eastAsia="it-IT"/>
        </w:rPr>
      </w:pPr>
      <w:bookmarkStart w:id="7" w:name="_Toc152061819"/>
      <w:r w:rsidRPr="006816B5">
        <w:rPr>
          <w:rFonts w:eastAsia="Calibri" w:cs="Times New Roman"/>
          <w:caps/>
          <w:sz w:val="24"/>
          <w:szCs w:val="24"/>
          <w:lang w:val="it-IT" w:eastAsia="it-IT"/>
        </w:rPr>
        <w:t>4.</w:t>
      </w:r>
      <w:r w:rsidRPr="006816B5">
        <w:rPr>
          <w:rFonts w:eastAsia="Calibri" w:cs="Times New Roman"/>
          <w:caps/>
          <w:sz w:val="24"/>
          <w:szCs w:val="24"/>
          <w:lang w:val="it-IT" w:eastAsia="it-IT"/>
        </w:rPr>
        <w:tab/>
      </w:r>
      <w:r w:rsidR="00FA2014" w:rsidRPr="006816B5">
        <w:rPr>
          <w:rFonts w:eastAsia="Calibri" w:cs="Times New Roman"/>
          <w:caps/>
          <w:sz w:val="24"/>
          <w:szCs w:val="24"/>
          <w:lang w:val="it-IT" w:eastAsia="it-IT"/>
        </w:rPr>
        <w:t>DISCUSSIONI COMMISSIONALI</w:t>
      </w:r>
      <w:bookmarkEnd w:id="7"/>
    </w:p>
    <w:p w:rsidR="00FA2014" w:rsidRPr="006816B5" w:rsidRDefault="006816B5" w:rsidP="006816B5">
      <w:pPr>
        <w:pStyle w:val="Titolo2"/>
        <w:numPr>
          <w:ilvl w:val="0"/>
          <w:numId w:val="0"/>
        </w:numPr>
        <w:tabs>
          <w:tab w:val="left" w:pos="567"/>
        </w:tabs>
        <w:spacing w:before="0" w:after="120"/>
        <w:jc w:val="both"/>
        <w:rPr>
          <w:rFonts w:eastAsia="Calibri" w:cs="Times New Roman"/>
          <w:sz w:val="24"/>
          <w:lang w:val="it-IT" w:eastAsia="it-IT"/>
        </w:rPr>
      </w:pPr>
      <w:bookmarkStart w:id="8" w:name="_Toc152061820"/>
      <w:r>
        <w:rPr>
          <w:rFonts w:eastAsia="Calibri" w:cs="Times New Roman"/>
          <w:sz w:val="24"/>
          <w:lang w:val="it-IT" w:eastAsia="it-IT"/>
        </w:rPr>
        <w:t>4.1</w:t>
      </w:r>
      <w:r w:rsidR="00FA2014" w:rsidRPr="006816B5">
        <w:rPr>
          <w:rFonts w:eastAsia="Calibri" w:cs="Times New Roman"/>
          <w:sz w:val="24"/>
          <w:lang w:val="it-IT" w:eastAsia="it-IT"/>
        </w:rPr>
        <w:tab/>
        <w:t>Contesto</w:t>
      </w:r>
      <w:bookmarkEnd w:id="8"/>
    </w:p>
    <w:p w:rsidR="00FA2014" w:rsidRPr="00FA2014" w:rsidRDefault="00FA2014" w:rsidP="00FA2014">
      <w:pPr>
        <w:rPr>
          <w:sz w:val="24"/>
          <w:szCs w:val="24"/>
        </w:rPr>
      </w:pPr>
      <w:r w:rsidRPr="00FA2014">
        <w:rPr>
          <w:sz w:val="24"/>
          <w:szCs w:val="24"/>
        </w:rPr>
        <w:t>Da più di 35 anni la Svizzera partecipa ai programmi quadro di ricerca europei. Attraverso la conclusione dei contratti bilaterali II nel 2004, la Svizzera ha potuto ottenere lo statuto di paese associato che è stato valido fino al 2021 grazie alle reiterate negoziazioni alla scadenza di ogni periodo definito dai programmi di ricerca. Per il programma Horizon Europe (2021-2027), dotato di un budget di 95</w:t>
      </w:r>
      <w:r w:rsidR="00C1024F">
        <w:rPr>
          <w:sz w:val="24"/>
          <w:szCs w:val="24"/>
        </w:rPr>
        <w:t>.</w:t>
      </w:r>
      <w:r w:rsidRPr="00FA2014">
        <w:rPr>
          <w:sz w:val="24"/>
          <w:szCs w:val="24"/>
        </w:rPr>
        <w:t xml:space="preserve">5 miliardi di euro, l’Unione </w:t>
      </w:r>
      <w:r w:rsidR="00C1024F">
        <w:rPr>
          <w:sz w:val="24"/>
          <w:szCs w:val="24"/>
        </w:rPr>
        <w:t>europea</w:t>
      </w:r>
      <w:r w:rsidRPr="00FA2014">
        <w:rPr>
          <w:sz w:val="24"/>
          <w:szCs w:val="24"/>
        </w:rPr>
        <w:t xml:space="preserve"> ha deciso di sospendere la procedura d’assoc</w:t>
      </w:r>
      <w:r w:rsidR="009B0231">
        <w:rPr>
          <w:sz w:val="24"/>
          <w:szCs w:val="24"/>
        </w:rPr>
        <w:t xml:space="preserve">iazione della Svizzera fintanto che </w:t>
      </w:r>
      <w:r w:rsidRPr="00FA2014">
        <w:rPr>
          <w:sz w:val="24"/>
          <w:szCs w:val="24"/>
        </w:rPr>
        <w:t>non verrà concluso un nuovo contratto quadro. A seguito</w:t>
      </w:r>
      <w:r w:rsidR="009B0231">
        <w:rPr>
          <w:sz w:val="24"/>
          <w:szCs w:val="24"/>
        </w:rPr>
        <w:t xml:space="preserve"> della decisione del Consiglio f</w:t>
      </w:r>
      <w:r w:rsidRPr="00FA2014">
        <w:rPr>
          <w:sz w:val="24"/>
          <w:szCs w:val="24"/>
        </w:rPr>
        <w:t xml:space="preserve">ederale di rinunciare a concludere l’accordo quadro istituzionale con l’UE nel maggio 2021, alla Svizzera è stato ritirato da parte della Commissione </w:t>
      </w:r>
      <w:r w:rsidR="00C1024F">
        <w:rPr>
          <w:sz w:val="24"/>
          <w:szCs w:val="24"/>
        </w:rPr>
        <w:t>europea</w:t>
      </w:r>
      <w:r w:rsidRPr="00FA2014">
        <w:rPr>
          <w:sz w:val="24"/>
          <w:szCs w:val="24"/>
        </w:rPr>
        <w:t xml:space="preserve"> lo statuto di paese associato al programma Horizon Europe.</w:t>
      </w:r>
    </w:p>
    <w:p w:rsidR="00FA2014" w:rsidRPr="00FA2014" w:rsidRDefault="00FA2014" w:rsidP="00FA2014">
      <w:pPr>
        <w:rPr>
          <w:sz w:val="24"/>
          <w:szCs w:val="24"/>
        </w:rPr>
      </w:pPr>
      <w:r w:rsidRPr="00FA2014">
        <w:rPr>
          <w:sz w:val="24"/>
          <w:szCs w:val="24"/>
        </w:rPr>
        <w:t>Il Consiglio federale ha messo in atto delle misure transitorie che comprendono un finanziamento diretto dei progetti che non sono più sostenuti dal programma Horizon Europe da parte del Segretariato di Stato per la formazione, la ricerca e l’innovazione (SEFRI) e da parte del Fondo nazionale svizzer</w:t>
      </w:r>
      <w:r w:rsidR="009B0231">
        <w:rPr>
          <w:sz w:val="24"/>
          <w:szCs w:val="24"/>
        </w:rPr>
        <w:t xml:space="preserve">o per la ricerca (FNS) fintanto che </w:t>
      </w:r>
      <w:r w:rsidRPr="00FA2014">
        <w:rPr>
          <w:sz w:val="24"/>
          <w:szCs w:val="24"/>
        </w:rPr>
        <w:t>non sarà effettiva la completa reintegrazione della Svizzera al programma europeo.</w:t>
      </w:r>
    </w:p>
    <w:p w:rsidR="00FA2014" w:rsidRPr="00FA2014" w:rsidRDefault="00FA2014" w:rsidP="00FA2014">
      <w:pPr>
        <w:rPr>
          <w:sz w:val="24"/>
          <w:szCs w:val="24"/>
          <w:highlight w:val="yellow"/>
        </w:rPr>
      </w:pPr>
    </w:p>
    <w:p w:rsidR="00FA2014" w:rsidRPr="00A96F92" w:rsidRDefault="00FA2014" w:rsidP="00FA2014">
      <w:pPr>
        <w:rPr>
          <w:sz w:val="24"/>
          <w:szCs w:val="24"/>
        </w:rPr>
      </w:pPr>
      <w:r w:rsidRPr="00A96F92">
        <w:rPr>
          <w:sz w:val="24"/>
          <w:szCs w:val="24"/>
        </w:rPr>
        <w:t xml:space="preserve">Nell’aprile del 2022 sono inoltre terminati i colloqui esplorativi con l’Unione </w:t>
      </w:r>
      <w:r w:rsidR="00C1024F" w:rsidRPr="00A96F92">
        <w:rPr>
          <w:sz w:val="24"/>
          <w:szCs w:val="24"/>
        </w:rPr>
        <w:t>europea</w:t>
      </w:r>
      <w:r w:rsidRPr="00A96F92">
        <w:rPr>
          <w:sz w:val="24"/>
          <w:szCs w:val="24"/>
        </w:rPr>
        <w:t xml:space="preserve"> e lo scorso 8 novembre 2023, il Consiglio federale ha comunicato di voler elaborare un progetto di mandato negoziale per concludere nuovi accordi. Il mandato è stato dato al Dipartimento degli affari esteri coinvolgendo anche gli altri dipartimenti interessati. Entro fine anno, il Consiglio federale deciderà se adottarlo per poi sottoporlo alle commissioni di politica estera e alla Conferenza dei governi cantonali. Tra i diversi temi trattati vi è anche quello della partecipazione de</w:t>
      </w:r>
      <w:r w:rsidR="003152FC" w:rsidRPr="00A96F92">
        <w:rPr>
          <w:sz w:val="24"/>
          <w:szCs w:val="24"/>
        </w:rPr>
        <w:t>lla Svizzera al programma Horiz</w:t>
      </w:r>
      <w:r w:rsidR="00AE0A94" w:rsidRPr="00A96F92">
        <w:rPr>
          <w:sz w:val="24"/>
          <w:szCs w:val="24"/>
        </w:rPr>
        <w:t>on Europe.</w:t>
      </w:r>
    </w:p>
    <w:p w:rsidR="00B44F75" w:rsidRPr="00FA2014" w:rsidRDefault="00FA2014" w:rsidP="00FA2014">
      <w:pPr>
        <w:pStyle w:val="StandardRisoluzionedelConsigliodiStato"/>
        <w:ind w:right="-1"/>
        <w:rPr>
          <w:szCs w:val="24"/>
        </w:rPr>
      </w:pPr>
      <w:r w:rsidRPr="00A96F92">
        <w:rPr>
          <w:szCs w:val="24"/>
        </w:rPr>
        <w:lastRenderedPageBreak/>
        <w:t>La decisione di elaborare un progetto di mandato da parte del Consiglio federale e il fatto che recentemente, malgrado la Brexit, la Gran Bretagna sia stata reintegrata al programma di ricerca europeo sono sicuramente segnali di buon auspicio.</w:t>
      </w:r>
    </w:p>
    <w:p w:rsidR="00FA2014" w:rsidRDefault="00FA2014" w:rsidP="00FA2014">
      <w:pPr>
        <w:pStyle w:val="StandardRisoluzionedelConsigliodiStato"/>
        <w:ind w:right="-1"/>
      </w:pPr>
    </w:p>
    <w:p w:rsidR="00FA2014" w:rsidRDefault="00FA2014" w:rsidP="00FA2014">
      <w:pPr>
        <w:pStyle w:val="StandardRisoluzionedelConsigliodiStato"/>
        <w:ind w:right="-1"/>
      </w:pPr>
    </w:p>
    <w:p w:rsidR="00FA2014" w:rsidRPr="006816B5" w:rsidRDefault="006816B5" w:rsidP="006816B5">
      <w:pPr>
        <w:pStyle w:val="Titolo2"/>
        <w:numPr>
          <w:ilvl w:val="0"/>
          <w:numId w:val="0"/>
        </w:numPr>
        <w:tabs>
          <w:tab w:val="left" w:pos="567"/>
        </w:tabs>
        <w:spacing w:before="0" w:after="120"/>
        <w:jc w:val="both"/>
        <w:rPr>
          <w:rFonts w:eastAsia="Calibri" w:cs="Times New Roman"/>
          <w:sz w:val="24"/>
          <w:lang w:val="it-IT" w:eastAsia="it-IT"/>
        </w:rPr>
      </w:pPr>
      <w:bookmarkStart w:id="9" w:name="_Toc152061821"/>
      <w:r>
        <w:rPr>
          <w:rFonts w:eastAsia="Calibri" w:cs="Times New Roman"/>
          <w:sz w:val="24"/>
          <w:lang w:val="it-IT" w:eastAsia="it-IT"/>
        </w:rPr>
        <w:t>4.2</w:t>
      </w:r>
      <w:r w:rsidR="00FA2014" w:rsidRPr="006816B5">
        <w:rPr>
          <w:rFonts w:eastAsia="Calibri" w:cs="Times New Roman"/>
          <w:sz w:val="24"/>
          <w:lang w:val="it-IT" w:eastAsia="it-IT"/>
        </w:rPr>
        <w:tab/>
        <w:t>Finanziamenti europei per gli istituti universitari ticinesi negli scorsi anni</w:t>
      </w:r>
      <w:bookmarkEnd w:id="9"/>
    </w:p>
    <w:p w:rsidR="00FA2014" w:rsidRDefault="00FA2014" w:rsidP="00FA2014">
      <w:pPr>
        <w:rPr>
          <w:sz w:val="24"/>
          <w:szCs w:val="24"/>
        </w:rPr>
      </w:pPr>
      <w:r w:rsidRPr="00FA2014">
        <w:rPr>
          <w:sz w:val="24"/>
          <w:szCs w:val="24"/>
        </w:rPr>
        <w:t xml:space="preserve">I finanziamenti ricevuti per la ricerca dagli istituti universitari (USI e SUPSI) grazie ai programmi di collaborazione </w:t>
      </w:r>
      <w:r w:rsidR="00C1024F">
        <w:rPr>
          <w:sz w:val="24"/>
          <w:szCs w:val="24"/>
        </w:rPr>
        <w:t>europea</w:t>
      </w:r>
      <w:r w:rsidRPr="00FA2014">
        <w:rPr>
          <w:sz w:val="24"/>
          <w:szCs w:val="24"/>
        </w:rPr>
        <w:t xml:space="preserve"> rappresentano una parte importate dei finanziamenti totali in questo settore. </w:t>
      </w:r>
    </w:p>
    <w:p w:rsidR="006816B5" w:rsidRPr="00FA2014" w:rsidRDefault="006816B5" w:rsidP="00FA2014">
      <w:pPr>
        <w:rPr>
          <w:sz w:val="24"/>
          <w:szCs w:val="24"/>
        </w:rPr>
      </w:pPr>
    </w:p>
    <w:p w:rsidR="00FA2014" w:rsidRDefault="00FA2014" w:rsidP="00FA2014">
      <w:pPr>
        <w:rPr>
          <w:sz w:val="24"/>
          <w:szCs w:val="24"/>
        </w:rPr>
      </w:pPr>
      <w:r w:rsidRPr="00FA2014">
        <w:rPr>
          <w:sz w:val="24"/>
          <w:szCs w:val="24"/>
        </w:rPr>
        <w:t xml:space="preserve">Per l’USI, fino al 2021 l’UE ha rappresentato la seconda fonte di finanziamento pubblico per i ricercatori svizzeri dopo il Fondo nazionale svizzero per la ricerca scientifica. Il totale ottenuto dall'USI nel 2022 per la ricerca competitiva è di circa 27 milioni di </w:t>
      </w:r>
      <w:r w:rsidR="00C1024F">
        <w:rPr>
          <w:sz w:val="24"/>
          <w:szCs w:val="24"/>
        </w:rPr>
        <w:t>franchi</w:t>
      </w:r>
      <w:r w:rsidRPr="00FA2014">
        <w:rPr>
          <w:sz w:val="24"/>
          <w:szCs w:val="24"/>
        </w:rPr>
        <w:t xml:space="preserve"> (~30% del bilancio), di cui: circa 19.2 milioni di </w:t>
      </w:r>
      <w:r w:rsidR="00C1024F">
        <w:rPr>
          <w:sz w:val="24"/>
          <w:szCs w:val="24"/>
        </w:rPr>
        <w:t>franchi</w:t>
      </w:r>
      <w:r w:rsidRPr="00FA2014">
        <w:rPr>
          <w:sz w:val="24"/>
          <w:szCs w:val="24"/>
        </w:rPr>
        <w:t xml:space="preserve"> dal FNS, </w:t>
      </w:r>
      <w:r w:rsidR="00C1024F">
        <w:rPr>
          <w:b/>
          <w:bCs/>
          <w:sz w:val="24"/>
          <w:szCs w:val="24"/>
        </w:rPr>
        <w:t>4.2 milioni di franchi</w:t>
      </w:r>
      <w:r w:rsidRPr="00FA2014">
        <w:rPr>
          <w:b/>
          <w:bCs/>
          <w:sz w:val="24"/>
          <w:szCs w:val="24"/>
        </w:rPr>
        <w:t xml:space="preserve"> dall'Unione </w:t>
      </w:r>
      <w:r w:rsidR="00C1024F">
        <w:rPr>
          <w:b/>
          <w:bCs/>
          <w:sz w:val="24"/>
          <w:szCs w:val="24"/>
        </w:rPr>
        <w:t>europea</w:t>
      </w:r>
      <w:r w:rsidRPr="00FA2014">
        <w:rPr>
          <w:sz w:val="24"/>
          <w:szCs w:val="24"/>
        </w:rPr>
        <w:t xml:space="preserve">, 1.2 milioni di </w:t>
      </w:r>
      <w:r w:rsidR="00C1024F">
        <w:rPr>
          <w:sz w:val="24"/>
          <w:szCs w:val="24"/>
        </w:rPr>
        <w:t>franchi</w:t>
      </w:r>
      <w:r w:rsidRPr="00FA2014">
        <w:rPr>
          <w:sz w:val="24"/>
          <w:szCs w:val="24"/>
        </w:rPr>
        <w:t xml:space="preserve"> da Innosuisse, 164’946 </w:t>
      </w:r>
      <w:r w:rsidR="00C1024F">
        <w:rPr>
          <w:sz w:val="24"/>
          <w:szCs w:val="24"/>
        </w:rPr>
        <w:t>franchi</w:t>
      </w:r>
      <w:r w:rsidRPr="00FA2014">
        <w:rPr>
          <w:sz w:val="24"/>
          <w:szCs w:val="24"/>
        </w:rPr>
        <w:t xml:space="preserve"> da swissuniversities, 3 milioni di </w:t>
      </w:r>
      <w:r w:rsidR="00C1024F">
        <w:rPr>
          <w:sz w:val="24"/>
          <w:szCs w:val="24"/>
        </w:rPr>
        <w:t>franchi</w:t>
      </w:r>
      <w:r w:rsidRPr="00FA2014">
        <w:rPr>
          <w:sz w:val="24"/>
          <w:szCs w:val="24"/>
        </w:rPr>
        <w:t xml:space="preserve"> da altri enti.</w:t>
      </w:r>
      <w:r w:rsidRPr="00FA2014">
        <w:rPr>
          <w:rStyle w:val="Rimandonotaapidipagina"/>
          <w:sz w:val="24"/>
          <w:szCs w:val="24"/>
        </w:rPr>
        <w:footnoteReference w:id="1"/>
      </w:r>
    </w:p>
    <w:p w:rsidR="006816B5" w:rsidRPr="00FA2014" w:rsidRDefault="006816B5" w:rsidP="00FA2014">
      <w:pPr>
        <w:rPr>
          <w:sz w:val="24"/>
          <w:szCs w:val="24"/>
        </w:rPr>
      </w:pPr>
    </w:p>
    <w:p w:rsidR="00FA2014" w:rsidRPr="00FA2014" w:rsidRDefault="00FA2014" w:rsidP="00FA2014">
      <w:pPr>
        <w:rPr>
          <w:sz w:val="24"/>
          <w:szCs w:val="24"/>
        </w:rPr>
      </w:pPr>
      <w:r w:rsidRPr="00FA2014">
        <w:rPr>
          <w:sz w:val="24"/>
          <w:szCs w:val="24"/>
        </w:rPr>
        <w:t xml:space="preserve">Anche per la SUPSI, gli importo provenienti dall’Unione </w:t>
      </w:r>
      <w:r w:rsidR="00C1024F">
        <w:rPr>
          <w:sz w:val="24"/>
          <w:szCs w:val="24"/>
        </w:rPr>
        <w:t>europea</w:t>
      </w:r>
      <w:r w:rsidRPr="00FA2014">
        <w:rPr>
          <w:sz w:val="24"/>
          <w:szCs w:val="24"/>
        </w:rPr>
        <w:t xml:space="preserve"> hanno rappresentato e rappresentano tutt’ora un importante fonte di finanziamento. Le tabelle seguenti mostrano l’evoluzione del volume di ricerca della SUPSI (escluse affiliate) tra il 2016 e il 2022.</w:t>
      </w:r>
    </w:p>
    <w:p w:rsidR="00FA2014" w:rsidRPr="00FA2014" w:rsidRDefault="00FA2014" w:rsidP="00FA2014">
      <w:pPr>
        <w:rPr>
          <w:sz w:val="24"/>
          <w:szCs w:val="24"/>
        </w:rPr>
      </w:pPr>
    </w:p>
    <w:tbl>
      <w:tblPr>
        <w:tblW w:w="9630" w:type="dxa"/>
        <w:tblCellMar>
          <w:left w:w="0" w:type="dxa"/>
          <w:right w:w="0" w:type="dxa"/>
        </w:tblCellMar>
        <w:tblLook w:val="04A0" w:firstRow="1" w:lastRow="0" w:firstColumn="1" w:lastColumn="0" w:noHBand="0" w:noVBand="1"/>
      </w:tblPr>
      <w:tblGrid>
        <w:gridCol w:w="2127"/>
        <w:gridCol w:w="1417"/>
        <w:gridCol w:w="1418"/>
        <w:gridCol w:w="1417"/>
        <w:gridCol w:w="1418"/>
        <w:gridCol w:w="1520"/>
        <w:gridCol w:w="313"/>
      </w:tblGrid>
      <w:tr w:rsidR="00FA2014" w:rsidRPr="00FA2014" w:rsidTr="00CD10BB">
        <w:trPr>
          <w:trHeight w:val="300"/>
        </w:trPr>
        <w:tc>
          <w:tcPr>
            <w:tcW w:w="9630" w:type="dxa"/>
            <w:gridSpan w:val="7"/>
            <w:noWrap/>
            <w:tcMar>
              <w:top w:w="0" w:type="dxa"/>
              <w:left w:w="70" w:type="dxa"/>
              <w:bottom w:w="0" w:type="dxa"/>
              <w:right w:w="70" w:type="dxa"/>
            </w:tcMar>
            <w:vAlign w:val="bottom"/>
            <w:hideMark/>
          </w:tcPr>
          <w:p w:rsidR="00FA2014" w:rsidRDefault="00FA2014" w:rsidP="00CD10BB">
            <w:pPr>
              <w:rPr>
                <w:sz w:val="24"/>
                <w:szCs w:val="24"/>
              </w:rPr>
            </w:pPr>
            <w:r w:rsidRPr="00FA2014">
              <w:rPr>
                <w:sz w:val="24"/>
                <w:szCs w:val="24"/>
              </w:rPr>
              <w:t>Evoluzione del volume di ricerca della SUPSI (escluse affiliate)</w:t>
            </w:r>
            <w:r w:rsidRPr="00FA2014">
              <w:rPr>
                <w:rStyle w:val="Rimandonotaapidipagina"/>
                <w:sz w:val="24"/>
                <w:szCs w:val="24"/>
              </w:rPr>
              <w:t xml:space="preserve"> </w:t>
            </w:r>
            <w:r w:rsidRPr="00FA2014">
              <w:rPr>
                <w:rStyle w:val="Rimandonotaapidipagina"/>
                <w:sz w:val="24"/>
                <w:szCs w:val="24"/>
              </w:rPr>
              <w:footnoteReference w:id="2"/>
            </w:r>
            <w:r w:rsidRPr="00FA2014">
              <w:rPr>
                <w:sz w:val="24"/>
                <w:szCs w:val="24"/>
              </w:rPr>
              <w:t xml:space="preserve"> </w:t>
            </w:r>
          </w:p>
          <w:p w:rsidR="006816B5" w:rsidRPr="00FA2014" w:rsidRDefault="006816B5" w:rsidP="00CD10BB">
            <w:pPr>
              <w:rPr>
                <w:sz w:val="24"/>
                <w:szCs w:val="24"/>
              </w:rPr>
            </w:pPr>
          </w:p>
        </w:tc>
      </w:tr>
      <w:tr w:rsidR="00FA2014" w:rsidRPr="00FA2014" w:rsidTr="00CD10BB">
        <w:trPr>
          <w:gridAfter w:val="1"/>
          <w:wAfter w:w="313" w:type="dxa"/>
          <w:trHeight w:val="300"/>
        </w:trPr>
        <w:tc>
          <w:tcPr>
            <w:tcW w:w="212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2014" w:rsidRPr="00FA2014" w:rsidRDefault="00FA2014" w:rsidP="00C1024F">
            <w:pPr>
              <w:rPr>
                <w:i/>
                <w:iCs/>
                <w:sz w:val="24"/>
                <w:szCs w:val="24"/>
              </w:rPr>
            </w:pPr>
            <w:r w:rsidRPr="00FA2014">
              <w:rPr>
                <w:i/>
                <w:iCs/>
                <w:sz w:val="24"/>
                <w:szCs w:val="24"/>
              </w:rPr>
              <w:t xml:space="preserve">importi in 1'000 </w:t>
            </w:r>
            <w:r w:rsidR="00C1024F">
              <w:rPr>
                <w:i/>
                <w:iCs/>
                <w:sz w:val="24"/>
                <w:szCs w:val="24"/>
              </w:rPr>
              <w:t>CHF</w:t>
            </w:r>
          </w:p>
        </w:tc>
        <w:tc>
          <w:tcPr>
            <w:tcW w:w="14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FA2014" w:rsidRPr="00FA2014" w:rsidRDefault="00FA2014" w:rsidP="00CD10BB">
            <w:pPr>
              <w:rPr>
                <w:sz w:val="24"/>
                <w:szCs w:val="24"/>
              </w:rPr>
            </w:pPr>
            <w:r w:rsidRPr="00FA2014">
              <w:rPr>
                <w:sz w:val="24"/>
                <w:szCs w:val="24"/>
              </w:rPr>
              <w:t>2016</w:t>
            </w:r>
          </w:p>
        </w:tc>
        <w:tc>
          <w:tcPr>
            <w:tcW w:w="141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FA2014" w:rsidRPr="00FA2014" w:rsidRDefault="00FA2014" w:rsidP="00CD10BB">
            <w:pPr>
              <w:rPr>
                <w:sz w:val="24"/>
                <w:szCs w:val="24"/>
              </w:rPr>
            </w:pPr>
            <w:r w:rsidRPr="00FA2014">
              <w:rPr>
                <w:sz w:val="24"/>
                <w:szCs w:val="24"/>
              </w:rPr>
              <w:t>2017</w:t>
            </w:r>
          </w:p>
        </w:tc>
        <w:tc>
          <w:tcPr>
            <w:tcW w:w="1417" w:type="dxa"/>
            <w:tcBorders>
              <w:top w:val="single" w:sz="8" w:space="0" w:color="auto"/>
              <w:left w:val="nil"/>
              <w:bottom w:val="single" w:sz="8" w:space="0" w:color="auto"/>
              <w:right w:val="nil"/>
            </w:tcBorders>
            <w:tcMar>
              <w:top w:w="0" w:type="dxa"/>
              <w:left w:w="70" w:type="dxa"/>
              <w:bottom w:w="0" w:type="dxa"/>
              <w:right w:w="70" w:type="dxa"/>
            </w:tcMar>
            <w:vAlign w:val="center"/>
            <w:hideMark/>
          </w:tcPr>
          <w:p w:rsidR="00FA2014" w:rsidRPr="00FA2014" w:rsidRDefault="00FA2014" w:rsidP="00CD10BB">
            <w:pPr>
              <w:rPr>
                <w:sz w:val="24"/>
                <w:szCs w:val="24"/>
              </w:rPr>
            </w:pPr>
            <w:r w:rsidRPr="00FA2014">
              <w:rPr>
                <w:sz w:val="24"/>
                <w:szCs w:val="24"/>
              </w:rPr>
              <w:t>2018</w:t>
            </w:r>
          </w:p>
        </w:tc>
        <w:tc>
          <w:tcPr>
            <w:tcW w:w="1418" w:type="dxa"/>
            <w:tcBorders>
              <w:top w:val="single" w:sz="8" w:space="0" w:color="auto"/>
              <w:left w:val="single" w:sz="8" w:space="0" w:color="auto"/>
              <w:bottom w:val="single" w:sz="8" w:space="0" w:color="auto"/>
              <w:right w:val="nil"/>
            </w:tcBorders>
            <w:tcMar>
              <w:top w:w="0" w:type="dxa"/>
              <w:left w:w="70" w:type="dxa"/>
              <w:bottom w:w="0" w:type="dxa"/>
              <w:right w:w="70" w:type="dxa"/>
            </w:tcMar>
            <w:vAlign w:val="center"/>
            <w:hideMark/>
          </w:tcPr>
          <w:p w:rsidR="00FA2014" w:rsidRPr="00FA2014" w:rsidRDefault="00FA2014" w:rsidP="00CD10BB">
            <w:pPr>
              <w:rPr>
                <w:sz w:val="24"/>
                <w:szCs w:val="24"/>
              </w:rPr>
            </w:pPr>
            <w:r w:rsidRPr="00FA2014">
              <w:rPr>
                <w:sz w:val="24"/>
                <w:szCs w:val="24"/>
              </w:rPr>
              <w:t>2019</w:t>
            </w:r>
          </w:p>
        </w:tc>
        <w:tc>
          <w:tcPr>
            <w:tcW w:w="15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FA2014" w:rsidRPr="00FA2014" w:rsidRDefault="00FA2014" w:rsidP="00CD10BB">
            <w:pPr>
              <w:rPr>
                <w:sz w:val="24"/>
                <w:szCs w:val="24"/>
              </w:rPr>
            </w:pPr>
            <w:r w:rsidRPr="00FA2014">
              <w:rPr>
                <w:sz w:val="24"/>
                <w:szCs w:val="24"/>
              </w:rPr>
              <w:t>2020</w:t>
            </w:r>
          </w:p>
        </w:tc>
      </w:tr>
      <w:tr w:rsidR="00FA2014" w:rsidRPr="00FA2014" w:rsidTr="00CD10BB">
        <w:trPr>
          <w:gridAfter w:val="1"/>
          <w:wAfter w:w="313" w:type="dxa"/>
          <w:trHeight w:val="300"/>
        </w:trPr>
        <w:tc>
          <w:tcPr>
            <w:tcW w:w="21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2014" w:rsidRPr="00FA2014" w:rsidRDefault="00FA2014" w:rsidP="00CD10BB">
            <w:pPr>
              <w:rPr>
                <w:sz w:val="24"/>
                <w:szCs w:val="24"/>
              </w:rPr>
            </w:pPr>
            <w:r w:rsidRPr="00FA2014">
              <w:rPr>
                <w:sz w:val="24"/>
                <w:szCs w:val="24"/>
              </w:rPr>
              <w:t>FNRS</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2014" w:rsidRPr="00FA2014" w:rsidRDefault="00FA2014" w:rsidP="00CD10BB">
            <w:pPr>
              <w:rPr>
                <w:sz w:val="24"/>
                <w:szCs w:val="24"/>
              </w:rPr>
            </w:pPr>
            <w:r w:rsidRPr="00FA2014">
              <w:rPr>
                <w:sz w:val="24"/>
                <w:szCs w:val="24"/>
              </w:rPr>
              <w:t xml:space="preserve">1'572 </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2014" w:rsidRPr="00FA2014" w:rsidRDefault="00FA2014" w:rsidP="00CD10BB">
            <w:pPr>
              <w:rPr>
                <w:sz w:val="24"/>
                <w:szCs w:val="24"/>
              </w:rPr>
            </w:pPr>
            <w:r w:rsidRPr="00FA2014">
              <w:rPr>
                <w:sz w:val="24"/>
                <w:szCs w:val="24"/>
              </w:rPr>
              <w:t xml:space="preserve">1'662 </w:t>
            </w:r>
          </w:p>
        </w:tc>
        <w:tc>
          <w:tcPr>
            <w:tcW w:w="1417" w:type="dxa"/>
            <w:tcBorders>
              <w:top w:val="nil"/>
              <w:left w:val="nil"/>
              <w:bottom w:val="single" w:sz="8" w:space="0" w:color="auto"/>
              <w:right w:val="nil"/>
            </w:tcBorders>
            <w:noWrap/>
            <w:tcMar>
              <w:top w:w="0" w:type="dxa"/>
              <w:left w:w="70" w:type="dxa"/>
              <w:bottom w:w="0" w:type="dxa"/>
              <w:right w:w="70" w:type="dxa"/>
            </w:tcMar>
            <w:vAlign w:val="center"/>
            <w:hideMark/>
          </w:tcPr>
          <w:p w:rsidR="00FA2014" w:rsidRPr="00FA2014" w:rsidRDefault="00FA2014" w:rsidP="00CD10BB">
            <w:pPr>
              <w:rPr>
                <w:sz w:val="24"/>
                <w:szCs w:val="24"/>
              </w:rPr>
            </w:pPr>
            <w:r w:rsidRPr="00FA2014">
              <w:rPr>
                <w:sz w:val="24"/>
                <w:szCs w:val="24"/>
              </w:rPr>
              <w:t xml:space="preserve">1'474 </w:t>
            </w:r>
          </w:p>
        </w:tc>
        <w:tc>
          <w:tcPr>
            <w:tcW w:w="1418" w:type="dxa"/>
            <w:tcBorders>
              <w:top w:val="nil"/>
              <w:left w:val="single" w:sz="8" w:space="0" w:color="auto"/>
              <w:bottom w:val="single" w:sz="8" w:space="0" w:color="auto"/>
              <w:right w:val="nil"/>
            </w:tcBorders>
            <w:noWrap/>
            <w:tcMar>
              <w:top w:w="0" w:type="dxa"/>
              <w:left w:w="70" w:type="dxa"/>
              <w:bottom w:w="0" w:type="dxa"/>
              <w:right w:w="70" w:type="dxa"/>
            </w:tcMar>
            <w:vAlign w:val="center"/>
            <w:hideMark/>
          </w:tcPr>
          <w:p w:rsidR="00FA2014" w:rsidRPr="00FA2014" w:rsidRDefault="00FA2014" w:rsidP="00CD10BB">
            <w:pPr>
              <w:rPr>
                <w:sz w:val="24"/>
                <w:szCs w:val="24"/>
              </w:rPr>
            </w:pPr>
            <w:r w:rsidRPr="00FA2014">
              <w:rPr>
                <w:sz w:val="24"/>
                <w:szCs w:val="24"/>
              </w:rPr>
              <w:t xml:space="preserve">1'517 </w:t>
            </w:r>
          </w:p>
        </w:tc>
        <w:tc>
          <w:tcPr>
            <w:tcW w:w="15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2014" w:rsidRPr="00FA2014" w:rsidRDefault="00FA2014" w:rsidP="00CD10BB">
            <w:pPr>
              <w:rPr>
                <w:sz w:val="24"/>
                <w:szCs w:val="24"/>
              </w:rPr>
            </w:pPr>
            <w:r w:rsidRPr="00FA2014">
              <w:rPr>
                <w:sz w:val="24"/>
                <w:szCs w:val="24"/>
              </w:rPr>
              <w:t xml:space="preserve">1'582 </w:t>
            </w:r>
          </w:p>
        </w:tc>
      </w:tr>
      <w:tr w:rsidR="00FA2014" w:rsidRPr="00FA2014" w:rsidTr="00CD10BB">
        <w:trPr>
          <w:gridAfter w:val="1"/>
          <w:wAfter w:w="313" w:type="dxa"/>
          <w:trHeight w:val="300"/>
        </w:trPr>
        <w:tc>
          <w:tcPr>
            <w:tcW w:w="21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2014" w:rsidRPr="00FA2014" w:rsidRDefault="00FA2014" w:rsidP="00CD10BB">
            <w:pPr>
              <w:rPr>
                <w:sz w:val="24"/>
                <w:szCs w:val="24"/>
              </w:rPr>
            </w:pPr>
            <w:r w:rsidRPr="00FA2014">
              <w:rPr>
                <w:sz w:val="24"/>
                <w:szCs w:val="24"/>
              </w:rPr>
              <w:t>UE e altri enti internazionali</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A2014" w:rsidRPr="00FA2014" w:rsidRDefault="00FA2014" w:rsidP="00CD10BB">
            <w:pPr>
              <w:rPr>
                <w:sz w:val="24"/>
                <w:szCs w:val="24"/>
              </w:rPr>
            </w:pPr>
            <w:r w:rsidRPr="00FA2014">
              <w:rPr>
                <w:sz w:val="24"/>
                <w:szCs w:val="24"/>
              </w:rPr>
              <w:t xml:space="preserve">4'275 </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A2014" w:rsidRPr="00FA2014" w:rsidRDefault="00FA2014" w:rsidP="00CD10BB">
            <w:pPr>
              <w:rPr>
                <w:sz w:val="24"/>
                <w:szCs w:val="24"/>
              </w:rPr>
            </w:pPr>
            <w:r w:rsidRPr="00FA2014">
              <w:rPr>
                <w:sz w:val="24"/>
                <w:szCs w:val="24"/>
              </w:rPr>
              <w:t xml:space="preserve">4'239 </w:t>
            </w:r>
          </w:p>
        </w:tc>
        <w:tc>
          <w:tcPr>
            <w:tcW w:w="1417" w:type="dxa"/>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FA2014" w:rsidRPr="00FA2014" w:rsidRDefault="00FA2014" w:rsidP="00CD10BB">
            <w:pPr>
              <w:rPr>
                <w:sz w:val="24"/>
                <w:szCs w:val="24"/>
              </w:rPr>
            </w:pPr>
            <w:r w:rsidRPr="00FA2014">
              <w:rPr>
                <w:sz w:val="24"/>
                <w:szCs w:val="24"/>
              </w:rPr>
              <w:t xml:space="preserve">4'151 </w:t>
            </w:r>
          </w:p>
        </w:tc>
        <w:tc>
          <w:tcPr>
            <w:tcW w:w="1418"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rsidR="00FA2014" w:rsidRPr="00FA2014" w:rsidRDefault="00FA2014" w:rsidP="00CD10BB">
            <w:pPr>
              <w:rPr>
                <w:sz w:val="24"/>
                <w:szCs w:val="24"/>
              </w:rPr>
            </w:pPr>
            <w:r w:rsidRPr="00FA2014">
              <w:rPr>
                <w:sz w:val="24"/>
                <w:szCs w:val="24"/>
              </w:rPr>
              <w:t xml:space="preserve">5'245 </w:t>
            </w:r>
          </w:p>
        </w:tc>
        <w:tc>
          <w:tcPr>
            <w:tcW w:w="15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A2014" w:rsidRPr="00FA2014" w:rsidRDefault="00FA2014" w:rsidP="00CD10BB">
            <w:pPr>
              <w:rPr>
                <w:sz w:val="24"/>
                <w:szCs w:val="24"/>
              </w:rPr>
            </w:pPr>
            <w:r w:rsidRPr="00FA2014">
              <w:rPr>
                <w:sz w:val="24"/>
                <w:szCs w:val="24"/>
              </w:rPr>
              <w:t xml:space="preserve">5'312 </w:t>
            </w:r>
          </w:p>
        </w:tc>
      </w:tr>
      <w:tr w:rsidR="00FA2014" w:rsidRPr="00FA2014" w:rsidTr="00CD10BB">
        <w:trPr>
          <w:gridAfter w:val="1"/>
          <w:wAfter w:w="313" w:type="dxa"/>
          <w:trHeight w:val="300"/>
        </w:trPr>
        <w:tc>
          <w:tcPr>
            <w:tcW w:w="21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2014" w:rsidRPr="00FA2014" w:rsidRDefault="00FA2014" w:rsidP="00CD10BB">
            <w:pPr>
              <w:rPr>
                <w:sz w:val="24"/>
                <w:szCs w:val="24"/>
              </w:rPr>
            </w:pPr>
            <w:r w:rsidRPr="00FA2014">
              <w:rPr>
                <w:sz w:val="24"/>
                <w:szCs w:val="24"/>
              </w:rPr>
              <w:t>Innosuisse</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A2014" w:rsidRPr="00FA2014" w:rsidRDefault="00FA2014" w:rsidP="00CD10BB">
            <w:pPr>
              <w:rPr>
                <w:sz w:val="24"/>
                <w:szCs w:val="24"/>
              </w:rPr>
            </w:pPr>
            <w:r w:rsidRPr="00FA2014">
              <w:rPr>
                <w:sz w:val="24"/>
                <w:szCs w:val="24"/>
              </w:rPr>
              <w:t xml:space="preserve">3'300 </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A2014" w:rsidRPr="00FA2014" w:rsidRDefault="00FA2014" w:rsidP="00CD10BB">
            <w:pPr>
              <w:rPr>
                <w:sz w:val="24"/>
                <w:szCs w:val="24"/>
              </w:rPr>
            </w:pPr>
            <w:r w:rsidRPr="00FA2014">
              <w:rPr>
                <w:sz w:val="24"/>
                <w:szCs w:val="24"/>
              </w:rPr>
              <w:t xml:space="preserve">4'198 </w:t>
            </w:r>
          </w:p>
        </w:tc>
        <w:tc>
          <w:tcPr>
            <w:tcW w:w="1417" w:type="dxa"/>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FA2014" w:rsidRPr="00FA2014" w:rsidRDefault="00FA2014" w:rsidP="00CD10BB">
            <w:pPr>
              <w:rPr>
                <w:sz w:val="24"/>
                <w:szCs w:val="24"/>
              </w:rPr>
            </w:pPr>
            <w:r w:rsidRPr="00FA2014">
              <w:rPr>
                <w:sz w:val="24"/>
                <w:szCs w:val="24"/>
              </w:rPr>
              <w:t xml:space="preserve">3'652 </w:t>
            </w:r>
          </w:p>
        </w:tc>
        <w:tc>
          <w:tcPr>
            <w:tcW w:w="1418"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rsidR="00FA2014" w:rsidRPr="00FA2014" w:rsidRDefault="00FA2014" w:rsidP="00CD10BB">
            <w:pPr>
              <w:rPr>
                <w:sz w:val="24"/>
                <w:szCs w:val="24"/>
              </w:rPr>
            </w:pPr>
            <w:r w:rsidRPr="00FA2014">
              <w:rPr>
                <w:sz w:val="24"/>
                <w:szCs w:val="24"/>
              </w:rPr>
              <w:t xml:space="preserve">4'821 </w:t>
            </w:r>
          </w:p>
        </w:tc>
        <w:tc>
          <w:tcPr>
            <w:tcW w:w="15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A2014" w:rsidRPr="00FA2014" w:rsidRDefault="00FA2014" w:rsidP="00CD10BB">
            <w:pPr>
              <w:rPr>
                <w:sz w:val="24"/>
                <w:szCs w:val="24"/>
              </w:rPr>
            </w:pPr>
            <w:r w:rsidRPr="00FA2014">
              <w:rPr>
                <w:sz w:val="24"/>
                <w:szCs w:val="24"/>
              </w:rPr>
              <w:t xml:space="preserve">6'273 </w:t>
            </w:r>
          </w:p>
        </w:tc>
      </w:tr>
      <w:tr w:rsidR="00FA2014" w:rsidRPr="00FA2014" w:rsidTr="00CD10BB">
        <w:trPr>
          <w:gridAfter w:val="1"/>
          <w:wAfter w:w="313" w:type="dxa"/>
          <w:trHeight w:val="300"/>
        </w:trPr>
        <w:tc>
          <w:tcPr>
            <w:tcW w:w="21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2014" w:rsidRPr="00FA2014" w:rsidRDefault="00FA2014" w:rsidP="00CD10BB">
            <w:pPr>
              <w:rPr>
                <w:sz w:val="24"/>
                <w:szCs w:val="24"/>
              </w:rPr>
            </w:pPr>
            <w:r w:rsidRPr="00FA2014">
              <w:rPr>
                <w:sz w:val="24"/>
                <w:szCs w:val="24"/>
              </w:rPr>
              <w:t xml:space="preserve">Mandati diretti </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A2014" w:rsidRPr="00FA2014" w:rsidRDefault="00FA2014" w:rsidP="00CD10BB">
            <w:pPr>
              <w:rPr>
                <w:sz w:val="24"/>
                <w:szCs w:val="24"/>
              </w:rPr>
            </w:pPr>
            <w:r w:rsidRPr="00FA2014">
              <w:rPr>
                <w:sz w:val="24"/>
                <w:szCs w:val="24"/>
              </w:rPr>
              <w:t xml:space="preserve">8'952 </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A2014" w:rsidRPr="00FA2014" w:rsidRDefault="00FA2014" w:rsidP="00CD10BB">
            <w:pPr>
              <w:rPr>
                <w:sz w:val="24"/>
                <w:szCs w:val="24"/>
              </w:rPr>
            </w:pPr>
            <w:r w:rsidRPr="00FA2014">
              <w:rPr>
                <w:sz w:val="24"/>
                <w:szCs w:val="24"/>
              </w:rPr>
              <w:t xml:space="preserve">7'197 </w:t>
            </w:r>
          </w:p>
        </w:tc>
        <w:tc>
          <w:tcPr>
            <w:tcW w:w="1417" w:type="dxa"/>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FA2014" w:rsidRPr="00FA2014" w:rsidRDefault="00FA2014" w:rsidP="00CD10BB">
            <w:pPr>
              <w:rPr>
                <w:sz w:val="24"/>
                <w:szCs w:val="24"/>
              </w:rPr>
            </w:pPr>
            <w:r w:rsidRPr="00FA2014">
              <w:rPr>
                <w:sz w:val="24"/>
                <w:szCs w:val="24"/>
              </w:rPr>
              <w:t xml:space="preserve">7'678 </w:t>
            </w:r>
          </w:p>
        </w:tc>
        <w:tc>
          <w:tcPr>
            <w:tcW w:w="1418"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rsidR="00FA2014" w:rsidRPr="00FA2014" w:rsidRDefault="00FA2014" w:rsidP="00CD10BB">
            <w:pPr>
              <w:rPr>
                <w:sz w:val="24"/>
                <w:szCs w:val="24"/>
              </w:rPr>
            </w:pPr>
            <w:r w:rsidRPr="00FA2014">
              <w:rPr>
                <w:sz w:val="24"/>
                <w:szCs w:val="24"/>
              </w:rPr>
              <w:t xml:space="preserve">9'964 </w:t>
            </w:r>
          </w:p>
        </w:tc>
        <w:tc>
          <w:tcPr>
            <w:tcW w:w="15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A2014" w:rsidRPr="00FA2014" w:rsidRDefault="00FA2014" w:rsidP="00CD10BB">
            <w:pPr>
              <w:rPr>
                <w:sz w:val="24"/>
                <w:szCs w:val="24"/>
              </w:rPr>
            </w:pPr>
            <w:r w:rsidRPr="00FA2014">
              <w:rPr>
                <w:sz w:val="24"/>
                <w:szCs w:val="24"/>
              </w:rPr>
              <w:t xml:space="preserve">9'650 </w:t>
            </w:r>
          </w:p>
        </w:tc>
      </w:tr>
      <w:tr w:rsidR="00FA2014" w:rsidRPr="00FA2014" w:rsidTr="00CD10BB">
        <w:trPr>
          <w:gridAfter w:val="1"/>
          <w:wAfter w:w="313" w:type="dxa"/>
          <w:trHeight w:val="315"/>
        </w:trPr>
        <w:tc>
          <w:tcPr>
            <w:tcW w:w="21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2014" w:rsidRPr="00FA2014" w:rsidRDefault="00FA2014" w:rsidP="00CD10BB">
            <w:pPr>
              <w:rPr>
                <w:b/>
                <w:bCs/>
                <w:sz w:val="24"/>
                <w:szCs w:val="24"/>
              </w:rPr>
            </w:pPr>
            <w:r w:rsidRPr="00FA2014">
              <w:rPr>
                <w:b/>
                <w:bCs/>
                <w:sz w:val="24"/>
                <w:szCs w:val="24"/>
              </w:rPr>
              <w:t>Totale generale</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A2014" w:rsidRPr="00FA2014" w:rsidRDefault="00FA2014" w:rsidP="00CD10BB">
            <w:pPr>
              <w:rPr>
                <w:b/>
                <w:bCs/>
                <w:sz w:val="24"/>
                <w:szCs w:val="24"/>
              </w:rPr>
            </w:pPr>
            <w:r w:rsidRPr="00FA2014">
              <w:rPr>
                <w:b/>
                <w:bCs/>
                <w:sz w:val="24"/>
                <w:szCs w:val="24"/>
              </w:rPr>
              <w:t xml:space="preserve">18'099 </w:t>
            </w:r>
          </w:p>
        </w:tc>
        <w:tc>
          <w:tcPr>
            <w:tcW w:w="14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A2014" w:rsidRPr="00FA2014" w:rsidRDefault="00FA2014" w:rsidP="00CD10BB">
            <w:pPr>
              <w:rPr>
                <w:b/>
                <w:bCs/>
                <w:sz w:val="24"/>
                <w:szCs w:val="24"/>
              </w:rPr>
            </w:pPr>
            <w:r w:rsidRPr="00FA2014">
              <w:rPr>
                <w:b/>
                <w:bCs/>
                <w:sz w:val="24"/>
                <w:szCs w:val="24"/>
              </w:rPr>
              <w:t xml:space="preserve">17'296 </w:t>
            </w:r>
          </w:p>
        </w:tc>
        <w:tc>
          <w:tcPr>
            <w:tcW w:w="1417" w:type="dxa"/>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FA2014" w:rsidRPr="00FA2014" w:rsidRDefault="00FA2014" w:rsidP="00CD10BB">
            <w:pPr>
              <w:rPr>
                <w:b/>
                <w:bCs/>
                <w:sz w:val="24"/>
                <w:szCs w:val="24"/>
              </w:rPr>
            </w:pPr>
            <w:r w:rsidRPr="00FA2014">
              <w:rPr>
                <w:b/>
                <w:bCs/>
                <w:sz w:val="24"/>
                <w:szCs w:val="24"/>
              </w:rPr>
              <w:t xml:space="preserve">16'955 </w:t>
            </w:r>
          </w:p>
        </w:tc>
        <w:tc>
          <w:tcPr>
            <w:tcW w:w="1418"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rsidR="00FA2014" w:rsidRPr="00FA2014" w:rsidRDefault="00FA2014" w:rsidP="00CD10BB">
            <w:pPr>
              <w:rPr>
                <w:b/>
                <w:bCs/>
                <w:sz w:val="24"/>
                <w:szCs w:val="24"/>
              </w:rPr>
            </w:pPr>
            <w:r w:rsidRPr="00FA2014">
              <w:rPr>
                <w:b/>
                <w:bCs/>
                <w:sz w:val="24"/>
                <w:szCs w:val="24"/>
              </w:rPr>
              <w:t xml:space="preserve">21'546 </w:t>
            </w:r>
          </w:p>
        </w:tc>
        <w:tc>
          <w:tcPr>
            <w:tcW w:w="15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A2014" w:rsidRPr="00FA2014" w:rsidRDefault="00FA2014" w:rsidP="00CD10BB">
            <w:pPr>
              <w:rPr>
                <w:b/>
                <w:bCs/>
                <w:sz w:val="24"/>
                <w:szCs w:val="24"/>
              </w:rPr>
            </w:pPr>
            <w:r w:rsidRPr="00FA2014">
              <w:rPr>
                <w:b/>
                <w:bCs/>
                <w:sz w:val="24"/>
                <w:szCs w:val="24"/>
              </w:rPr>
              <w:t xml:space="preserve">22'816 </w:t>
            </w:r>
          </w:p>
        </w:tc>
      </w:tr>
    </w:tbl>
    <w:p w:rsidR="00FA2014" w:rsidRPr="00FA2014" w:rsidRDefault="00FA2014" w:rsidP="00FA2014">
      <w:pPr>
        <w:rPr>
          <w:b/>
          <w:bCs/>
          <w:sz w:val="24"/>
          <w:szCs w:val="24"/>
        </w:rPr>
      </w:pPr>
    </w:p>
    <w:tbl>
      <w:tblPr>
        <w:tblpPr w:leftFromText="141" w:rightFromText="141" w:vertAnchor="text" w:tblpY="1"/>
        <w:tblOverlap w:val="never"/>
        <w:tblW w:w="4952" w:type="dxa"/>
        <w:tblCellMar>
          <w:left w:w="0" w:type="dxa"/>
          <w:right w:w="0" w:type="dxa"/>
        </w:tblCellMar>
        <w:tblLook w:val="04A0" w:firstRow="1" w:lastRow="0" w:firstColumn="1" w:lastColumn="0" w:noHBand="0" w:noVBand="1"/>
      </w:tblPr>
      <w:tblGrid>
        <w:gridCol w:w="2127"/>
        <w:gridCol w:w="1454"/>
        <w:gridCol w:w="1371"/>
      </w:tblGrid>
      <w:tr w:rsidR="00FA2014" w:rsidRPr="00FA2014" w:rsidTr="00CD10BB">
        <w:trPr>
          <w:trHeight w:val="300"/>
        </w:trPr>
        <w:tc>
          <w:tcPr>
            <w:tcW w:w="212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2014" w:rsidRPr="00FA2014" w:rsidRDefault="00FA2014" w:rsidP="00CD10BB">
            <w:pPr>
              <w:rPr>
                <w:i/>
                <w:iCs/>
                <w:sz w:val="24"/>
                <w:szCs w:val="24"/>
              </w:rPr>
            </w:pPr>
            <w:r w:rsidRPr="00FA2014">
              <w:rPr>
                <w:i/>
                <w:iCs/>
                <w:sz w:val="24"/>
                <w:szCs w:val="24"/>
              </w:rPr>
              <w:t xml:space="preserve">importi in 1'000 </w:t>
            </w:r>
            <w:r w:rsidR="00C1024F">
              <w:rPr>
                <w:i/>
                <w:iCs/>
                <w:sz w:val="24"/>
                <w:szCs w:val="24"/>
              </w:rPr>
              <w:t>CHF</w:t>
            </w:r>
          </w:p>
        </w:tc>
        <w:tc>
          <w:tcPr>
            <w:tcW w:w="145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A2014" w:rsidRPr="00FA2014" w:rsidRDefault="00FA2014" w:rsidP="00CD10BB">
            <w:pPr>
              <w:rPr>
                <w:sz w:val="24"/>
                <w:szCs w:val="24"/>
              </w:rPr>
            </w:pPr>
            <w:r w:rsidRPr="00FA2014">
              <w:rPr>
                <w:sz w:val="24"/>
                <w:szCs w:val="24"/>
              </w:rPr>
              <w:t>2021</w:t>
            </w:r>
          </w:p>
        </w:tc>
        <w:tc>
          <w:tcPr>
            <w:tcW w:w="13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A2014" w:rsidRPr="00FA2014" w:rsidRDefault="00FA2014" w:rsidP="00CD10BB">
            <w:pPr>
              <w:rPr>
                <w:sz w:val="24"/>
                <w:szCs w:val="24"/>
              </w:rPr>
            </w:pPr>
            <w:r w:rsidRPr="00FA2014">
              <w:rPr>
                <w:sz w:val="24"/>
                <w:szCs w:val="24"/>
              </w:rPr>
              <w:t>2022</w:t>
            </w:r>
          </w:p>
        </w:tc>
      </w:tr>
      <w:tr w:rsidR="00FA2014" w:rsidRPr="00FA2014" w:rsidTr="00CD10BB">
        <w:trPr>
          <w:trHeight w:val="300"/>
        </w:trPr>
        <w:tc>
          <w:tcPr>
            <w:tcW w:w="21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2014" w:rsidRPr="00FA2014" w:rsidRDefault="00FA2014" w:rsidP="00CD10BB">
            <w:pPr>
              <w:rPr>
                <w:sz w:val="24"/>
                <w:szCs w:val="24"/>
              </w:rPr>
            </w:pPr>
            <w:r w:rsidRPr="00FA2014">
              <w:rPr>
                <w:sz w:val="24"/>
                <w:szCs w:val="24"/>
              </w:rPr>
              <w:t>FNRS</w:t>
            </w:r>
          </w:p>
        </w:tc>
        <w:tc>
          <w:tcPr>
            <w:tcW w:w="14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2014" w:rsidRPr="00FA2014" w:rsidRDefault="00FA2014" w:rsidP="00CD10BB">
            <w:pPr>
              <w:rPr>
                <w:sz w:val="24"/>
                <w:szCs w:val="24"/>
              </w:rPr>
            </w:pPr>
            <w:r w:rsidRPr="00FA2014">
              <w:rPr>
                <w:sz w:val="24"/>
                <w:szCs w:val="24"/>
              </w:rPr>
              <w:t xml:space="preserve">2'669 </w:t>
            </w:r>
          </w:p>
        </w:tc>
        <w:tc>
          <w:tcPr>
            <w:tcW w:w="13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A2014" w:rsidRPr="00FA2014" w:rsidRDefault="00FA2014" w:rsidP="00CD10BB">
            <w:pPr>
              <w:rPr>
                <w:sz w:val="24"/>
                <w:szCs w:val="24"/>
              </w:rPr>
            </w:pPr>
            <w:r w:rsidRPr="00FA2014">
              <w:rPr>
                <w:sz w:val="24"/>
                <w:szCs w:val="24"/>
              </w:rPr>
              <w:t xml:space="preserve">2'782 </w:t>
            </w:r>
          </w:p>
        </w:tc>
      </w:tr>
      <w:tr w:rsidR="00FA2014" w:rsidRPr="00FA2014" w:rsidTr="00CD10BB">
        <w:trPr>
          <w:trHeight w:val="300"/>
        </w:trPr>
        <w:tc>
          <w:tcPr>
            <w:tcW w:w="21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2014" w:rsidRPr="00FA2014" w:rsidRDefault="00FA2014" w:rsidP="00CD10BB">
            <w:pPr>
              <w:rPr>
                <w:sz w:val="24"/>
                <w:szCs w:val="24"/>
              </w:rPr>
            </w:pPr>
            <w:r w:rsidRPr="00FA2014">
              <w:rPr>
                <w:sz w:val="24"/>
                <w:szCs w:val="24"/>
              </w:rPr>
              <w:t>UE e altri enti internazionali</w:t>
            </w:r>
          </w:p>
        </w:tc>
        <w:tc>
          <w:tcPr>
            <w:tcW w:w="14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A2014" w:rsidRPr="00FA2014" w:rsidRDefault="00FA2014" w:rsidP="00CD10BB">
            <w:pPr>
              <w:rPr>
                <w:sz w:val="24"/>
                <w:szCs w:val="24"/>
              </w:rPr>
            </w:pPr>
            <w:r w:rsidRPr="00FA2014">
              <w:rPr>
                <w:sz w:val="24"/>
                <w:szCs w:val="24"/>
              </w:rPr>
              <w:t xml:space="preserve">6'846 </w:t>
            </w:r>
          </w:p>
        </w:tc>
        <w:tc>
          <w:tcPr>
            <w:tcW w:w="13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A2014" w:rsidRPr="00FA2014" w:rsidRDefault="00FA2014" w:rsidP="00CD10BB">
            <w:pPr>
              <w:rPr>
                <w:sz w:val="24"/>
                <w:szCs w:val="24"/>
              </w:rPr>
            </w:pPr>
            <w:r w:rsidRPr="00FA2014">
              <w:rPr>
                <w:sz w:val="24"/>
                <w:szCs w:val="24"/>
              </w:rPr>
              <w:t xml:space="preserve">6'066 </w:t>
            </w:r>
          </w:p>
        </w:tc>
      </w:tr>
      <w:tr w:rsidR="00FA2014" w:rsidRPr="00FA2014" w:rsidTr="00CD10BB">
        <w:trPr>
          <w:trHeight w:val="300"/>
        </w:trPr>
        <w:tc>
          <w:tcPr>
            <w:tcW w:w="21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2014" w:rsidRPr="00FA2014" w:rsidRDefault="00FA2014" w:rsidP="00CD10BB">
            <w:pPr>
              <w:rPr>
                <w:sz w:val="24"/>
                <w:szCs w:val="24"/>
              </w:rPr>
            </w:pPr>
            <w:r w:rsidRPr="00FA2014">
              <w:rPr>
                <w:sz w:val="24"/>
                <w:szCs w:val="24"/>
              </w:rPr>
              <w:t>Innosuisse</w:t>
            </w:r>
          </w:p>
        </w:tc>
        <w:tc>
          <w:tcPr>
            <w:tcW w:w="14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A2014" w:rsidRPr="00FA2014" w:rsidRDefault="00FA2014" w:rsidP="00CD10BB">
            <w:pPr>
              <w:rPr>
                <w:sz w:val="24"/>
                <w:szCs w:val="24"/>
              </w:rPr>
            </w:pPr>
            <w:r w:rsidRPr="00FA2014">
              <w:rPr>
                <w:sz w:val="24"/>
                <w:szCs w:val="24"/>
              </w:rPr>
              <w:t xml:space="preserve">6'942 </w:t>
            </w:r>
          </w:p>
        </w:tc>
        <w:tc>
          <w:tcPr>
            <w:tcW w:w="13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A2014" w:rsidRPr="00FA2014" w:rsidRDefault="00FA2014" w:rsidP="00CD10BB">
            <w:pPr>
              <w:rPr>
                <w:sz w:val="24"/>
                <w:szCs w:val="24"/>
              </w:rPr>
            </w:pPr>
            <w:r w:rsidRPr="00FA2014">
              <w:rPr>
                <w:sz w:val="24"/>
                <w:szCs w:val="24"/>
              </w:rPr>
              <w:t xml:space="preserve">8'557 </w:t>
            </w:r>
          </w:p>
        </w:tc>
      </w:tr>
      <w:tr w:rsidR="00FA2014" w:rsidRPr="00FA2014" w:rsidTr="00CD10BB">
        <w:trPr>
          <w:trHeight w:val="300"/>
        </w:trPr>
        <w:tc>
          <w:tcPr>
            <w:tcW w:w="21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2014" w:rsidRPr="00FA2014" w:rsidRDefault="00FA2014" w:rsidP="00CD10BB">
            <w:pPr>
              <w:rPr>
                <w:sz w:val="24"/>
                <w:szCs w:val="24"/>
              </w:rPr>
            </w:pPr>
            <w:r w:rsidRPr="00FA2014">
              <w:rPr>
                <w:sz w:val="24"/>
                <w:szCs w:val="24"/>
              </w:rPr>
              <w:t xml:space="preserve">Mandati diretti </w:t>
            </w:r>
          </w:p>
        </w:tc>
        <w:tc>
          <w:tcPr>
            <w:tcW w:w="14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A2014" w:rsidRPr="00FA2014" w:rsidRDefault="00FA2014" w:rsidP="00CD10BB">
            <w:pPr>
              <w:rPr>
                <w:sz w:val="24"/>
                <w:szCs w:val="24"/>
              </w:rPr>
            </w:pPr>
            <w:r w:rsidRPr="00FA2014">
              <w:rPr>
                <w:sz w:val="24"/>
                <w:szCs w:val="24"/>
              </w:rPr>
              <w:t xml:space="preserve">10'794 </w:t>
            </w:r>
          </w:p>
        </w:tc>
        <w:tc>
          <w:tcPr>
            <w:tcW w:w="13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A2014" w:rsidRPr="00FA2014" w:rsidRDefault="00FA2014" w:rsidP="00CD10BB">
            <w:pPr>
              <w:rPr>
                <w:sz w:val="24"/>
                <w:szCs w:val="24"/>
              </w:rPr>
            </w:pPr>
            <w:r w:rsidRPr="00FA2014">
              <w:rPr>
                <w:sz w:val="24"/>
                <w:szCs w:val="24"/>
              </w:rPr>
              <w:t xml:space="preserve">11'445 </w:t>
            </w:r>
          </w:p>
        </w:tc>
      </w:tr>
      <w:tr w:rsidR="00FA2014" w:rsidRPr="00FA2014" w:rsidTr="00CD10BB">
        <w:trPr>
          <w:trHeight w:val="315"/>
        </w:trPr>
        <w:tc>
          <w:tcPr>
            <w:tcW w:w="21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A2014" w:rsidRPr="00FA2014" w:rsidRDefault="00FA2014" w:rsidP="00CD10BB">
            <w:pPr>
              <w:rPr>
                <w:b/>
                <w:bCs/>
                <w:sz w:val="24"/>
                <w:szCs w:val="24"/>
              </w:rPr>
            </w:pPr>
            <w:r w:rsidRPr="00FA2014">
              <w:rPr>
                <w:b/>
                <w:bCs/>
                <w:sz w:val="24"/>
                <w:szCs w:val="24"/>
              </w:rPr>
              <w:t>Totale generale</w:t>
            </w:r>
          </w:p>
        </w:tc>
        <w:tc>
          <w:tcPr>
            <w:tcW w:w="14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A2014" w:rsidRPr="00FA2014" w:rsidRDefault="00FA2014" w:rsidP="00CD10BB">
            <w:pPr>
              <w:rPr>
                <w:b/>
                <w:bCs/>
                <w:sz w:val="24"/>
                <w:szCs w:val="24"/>
              </w:rPr>
            </w:pPr>
            <w:r w:rsidRPr="00FA2014">
              <w:rPr>
                <w:b/>
                <w:bCs/>
                <w:sz w:val="24"/>
                <w:szCs w:val="24"/>
              </w:rPr>
              <w:t xml:space="preserve">27'252 </w:t>
            </w:r>
          </w:p>
        </w:tc>
        <w:tc>
          <w:tcPr>
            <w:tcW w:w="137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A2014" w:rsidRPr="00FA2014" w:rsidRDefault="00FA2014" w:rsidP="00CD10BB">
            <w:pPr>
              <w:rPr>
                <w:b/>
                <w:bCs/>
                <w:sz w:val="24"/>
                <w:szCs w:val="24"/>
              </w:rPr>
            </w:pPr>
            <w:r w:rsidRPr="00FA2014">
              <w:rPr>
                <w:b/>
                <w:bCs/>
                <w:sz w:val="24"/>
                <w:szCs w:val="24"/>
              </w:rPr>
              <w:t xml:space="preserve">28'850 </w:t>
            </w:r>
          </w:p>
        </w:tc>
      </w:tr>
    </w:tbl>
    <w:p w:rsidR="00FA2014" w:rsidRPr="00FA2014" w:rsidRDefault="00FA2014" w:rsidP="00FA2014">
      <w:pPr>
        <w:pStyle w:val="StandardRisoluzionedelConsigliodiStato"/>
        <w:ind w:right="-1"/>
        <w:rPr>
          <w:szCs w:val="24"/>
        </w:rPr>
      </w:pPr>
    </w:p>
    <w:p w:rsidR="00FA2014" w:rsidRPr="00FA2014" w:rsidRDefault="00FA2014" w:rsidP="007B63AA">
      <w:pPr>
        <w:pStyle w:val="StandardRisoluzionedelConsigliodiStato"/>
        <w:ind w:right="-1"/>
        <w:rPr>
          <w:szCs w:val="24"/>
        </w:rPr>
      </w:pPr>
    </w:p>
    <w:p w:rsidR="00FA2014" w:rsidRPr="00FA2014" w:rsidRDefault="00FA2014" w:rsidP="007B63AA">
      <w:pPr>
        <w:pStyle w:val="StandardRisoluzionedelConsigliodiStato"/>
        <w:ind w:right="-1"/>
        <w:rPr>
          <w:szCs w:val="24"/>
        </w:rPr>
      </w:pPr>
    </w:p>
    <w:p w:rsidR="00FA2014" w:rsidRPr="00FA2014" w:rsidRDefault="00FA2014" w:rsidP="007B63AA">
      <w:pPr>
        <w:pStyle w:val="StandardRisoluzionedelConsigliodiStato"/>
        <w:ind w:right="-1"/>
        <w:rPr>
          <w:szCs w:val="24"/>
        </w:rPr>
      </w:pPr>
    </w:p>
    <w:p w:rsidR="00FA2014" w:rsidRPr="00FA2014" w:rsidRDefault="00FA2014" w:rsidP="007B63AA">
      <w:pPr>
        <w:pStyle w:val="StandardRisoluzionedelConsigliodiStato"/>
        <w:ind w:right="-1"/>
        <w:rPr>
          <w:szCs w:val="24"/>
        </w:rPr>
      </w:pPr>
    </w:p>
    <w:p w:rsidR="00FA2014" w:rsidRPr="00FA2014" w:rsidRDefault="00FA2014" w:rsidP="007B63AA">
      <w:pPr>
        <w:pStyle w:val="StandardRisoluzionedelConsigliodiStato"/>
        <w:ind w:right="-1"/>
        <w:rPr>
          <w:szCs w:val="24"/>
        </w:rPr>
      </w:pPr>
    </w:p>
    <w:p w:rsidR="00FA2014" w:rsidRPr="00FA2014" w:rsidRDefault="00FA2014" w:rsidP="007B63AA">
      <w:pPr>
        <w:pStyle w:val="StandardRisoluzionedelConsigliodiStato"/>
        <w:ind w:right="-1"/>
        <w:rPr>
          <w:szCs w:val="24"/>
        </w:rPr>
      </w:pPr>
    </w:p>
    <w:p w:rsidR="00FA2014" w:rsidRPr="00FA2014" w:rsidRDefault="00FA2014" w:rsidP="007B63AA">
      <w:pPr>
        <w:pStyle w:val="StandardRisoluzionedelConsigliodiStato"/>
        <w:ind w:right="-1"/>
        <w:rPr>
          <w:szCs w:val="24"/>
        </w:rPr>
      </w:pPr>
    </w:p>
    <w:p w:rsidR="00FA2014" w:rsidRDefault="00FA2014" w:rsidP="007B63AA">
      <w:pPr>
        <w:pStyle w:val="StandardRisoluzionedelConsigliodiStato"/>
        <w:ind w:right="-1"/>
      </w:pPr>
    </w:p>
    <w:p w:rsidR="00FA2014" w:rsidRDefault="00FA2014" w:rsidP="007B63AA">
      <w:pPr>
        <w:pStyle w:val="StandardRisoluzionedelConsigliodiStato"/>
        <w:ind w:right="-1"/>
      </w:pPr>
    </w:p>
    <w:p w:rsidR="006816B5" w:rsidRDefault="006816B5">
      <w:pPr>
        <w:rPr>
          <w:sz w:val="24"/>
        </w:rPr>
      </w:pPr>
      <w:r>
        <w:br w:type="page"/>
      </w:r>
    </w:p>
    <w:p w:rsidR="00FA2014" w:rsidRPr="006816B5" w:rsidRDefault="00FA2014" w:rsidP="006816B5">
      <w:pPr>
        <w:pStyle w:val="Titolo2"/>
        <w:numPr>
          <w:ilvl w:val="0"/>
          <w:numId w:val="0"/>
        </w:numPr>
        <w:tabs>
          <w:tab w:val="left" w:pos="567"/>
        </w:tabs>
        <w:spacing w:before="0" w:after="120"/>
        <w:jc w:val="both"/>
        <w:rPr>
          <w:rFonts w:eastAsia="Calibri" w:cs="Times New Roman"/>
          <w:sz w:val="24"/>
          <w:lang w:val="it-IT" w:eastAsia="it-IT"/>
        </w:rPr>
      </w:pPr>
      <w:bookmarkStart w:id="10" w:name="_Toc152061822"/>
      <w:r w:rsidRPr="006816B5">
        <w:rPr>
          <w:rFonts w:eastAsia="Calibri" w:cs="Times New Roman"/>
          <w:sz w:val="24"/>
          <w:lang w:val="it-IT" w:eastAsia="it-IT"/>
        </w:rPr>
        <w:lastRenderedPageBreak/>
        <w:t>4.3</w:t>
      </w:r>
      <w:r w:rsidRPr="006816B5">
        <w:rPr>
          <w:rFonts w:eastAsia="Calibri" w:cs="Times New Roman"/>
          <w:sz w:val="24"/>
          <w:lang w:val="it-IT" w:eastAsia="it-IT"/>
        </w:rPr>
        <w:tab/>
        <w:t xml:space="preserve">Conseguenze della sospensione della procedura di associazione al </w:t>
      </w:r>
      <w:r w:rsidR="006816B5">
        <w:rPr>
          <w:rFonts w:eastAsia="Calibri" w:cs="Times New Roman"/>
          <w:sz w:val="24"/>
          <w:lang w:val="it-IT" w:eastAsia="it-IT"/>
        </w:rPr>
        <w:tab/>
      </w:r>
      <w:r w:rsidRPr="006816B5">
        <w:rPr>
          <w:rFonts w:eastAsia="Calibri" w:cs="Times New Roman"/>
          <w:sz w:val="24"/>
          <w:lang w:val="it-IT" w:eastAsia="it-IT"/>
        </w:rPr>
        <w:t xml:space="preserve">programma </w:t>
      </w:r>
      <w:proofErr w:type="spellStart"/>
      <w:r w:rsidRPr="006816B5">
        <w:rPr>
          <w:rFonts w:eastAsia="Calibri" w:cs="Times New Roman"/>
          <w:sz w:val="24"/>
          <w:lang w:val="it-IT" w:eastAsia="it-IT"/>
        </w:rPr>
        <w:t>Horizon</w:t>
      </w:r>
      <w:proofErr w:type="spellEnd"/>
      <w:r w:rsidRPr="006816B5">
        <w:rPr>
          <w:rFonts w:eastAsia="Calibri" w:cs="Times New Roman"/>
          <w:sz w:val="24"/>
          <w:lang w:val="it-IT" w:eastAsia="it-IT"/>
        </w:rPr>
        <w:t xml:space="preserve"> Europe (2021-2027)</w:t>
      </w:r>
      <w:bookmarkEnd w:id="10"/>
    </w:p>
    <w:p w:rsidR="00FA2014" w:rsidRDefault="00FA2014" w:rsidP="00FA2014">
      <w:pPr>
        <w:rPr>
          <w:sz w:val="24"/>
          <w:szCs w:val="24"/>
        </w:rPr>
      </w:pPr>
      <w:r w:rsidRPr="00FA2014">
        <w:rPr>
          <w:sz w:val="24"/>
          <w:szCs w:val="24"/>
        </w:rPr>
        <w:t xml:space="preserve">Il programma quadro </w:t>
      </w:r>
      <w:proofErr w:type="spellStart"/>
      <w:r w:rsidRPr="00FA2014">
        <w:rPr>
          <w:sz w:val="24"/>
          <w:szCs w:val="24"/>
        </w:rPr>
        <w:t>Horizon</w:t>
      </w:r>
      <w:proofErr w:type="spellEnd"/>
      <w:r w:rsidRPr="00FA2014">
        <w:rPr>
          <w:sz w:val="24"/>
          <w:szCs w:val="24"/>
        </w:rPr>
        <w:t xml:space="preserve"> Europe dis</w:t>
      </w:r>
      <w:r w:rsidR="009B0231">
        <w:rPr>
          <w:sz w:val="24"/>
          <w:szCs w:val="24"/>
        </w:rPr>
        <w:t>pone di un bilancio di oltre 95.</w:t>
      </w:r>
      <w:r w:rsidRPr="00FA2014">
        <w:rPr>
          <w:sz w:val="24"/>
          <w:szCs w:val="24"/>
        </w:rPr>
        <w:t>5 miliardi di euro destinato a finanziare progetti di ricerca per il periodo 2021-2027. L'accesso a questi fondi è riservato ai paesi membri dell'UE, nonché ad una selezione di paesi terzi associati di cui la Svizzera non fa più parte dopo il fallimento delle trattative per l’accordo quadro con l’UE nel 2021. Non si tratta, infatti, solo dell’accesso a fondi europei (cui finora si è potuto sopperire grazie alla Confederazione, che ha offerto delle compensazioni finanziarie transitorie), ma della possibilità di partecipazione a reti di ricerca e soprattutto di poter dirigere dei progetti di ricerca.</w:t>
      </w:r>
    </w:p>
    <w:p w:rsidR="006816B5" w:rsidRPr="00FA2014" w:rsidRDefault="006816B5" w:rsidP="00FA2014">
      <w:pPr>
        <w:rPr>
          <w:sz w:val="24"/>
          <w:szCs w:val="24"/>
        </w:rPr>
      </w:pPr>
    </w:p>
    <w:p w:rsidR="00FA2014" w:rsidRDefault="00FA2014" w:rsidP="00FA2014">
      <w:pPr>
        <w:rPr>
          <w:sz w:val="24"/>
          <w:szCs w:val="24"/>
        </w:rPr>
      </w:pPr>
      <w:r w:rsidRPr="00FA2014">
        <w:rPr>
          <w:sz w:val="24"/>
          <w:szCs w:val="24"/>
        </w:rPr>
        <w:t>Lo statuto di paese terzo non associato limita la partecipazione delle ricercatrici e dei ricercatori della Svizzera a circa due terzi degli inviti a presentare proposte per progetti collaborativi, di cui peraltro non possono più assicurare il coordinamento. Le scuole universitarie svizzere non possono più ospitare i beneficiari dei prestigiosi finanziamenti individuali del Consiglio europeo della ricerca («ERC grants»)</w:t>
      </w:r>
      <w:r w:rsidRPr="00FA2014">
        <w:rPr>
          <w:rStyle w:val="Rimandonotaapidipagina"/>
          <w:sz w:val="24"/>
          <w:szCs w:val="24"/>
        </w:rPr>
        <w:footnoteReference w:id="3"/>
      </w:r>
      <w:r w:rsidRPr="00FA2014">
        <w:rPr>
          <w:sz w:val="24"/>
          <w:szCs w:val="24"/>
        </w:rPr>
        <w:t xml:space="preserve"> e delle borse post dottorali Marie Skłodowska-Curie (MSCA)</w:t>
      </w:r>
      <w:r w:rsidRPr="00FA2014">
        <w:rPr>
          <w:rStyle w:val="Rimandonotaapidipagina"/>
          <w:sz w:val="24"/>
          <w:szCs w:val="24"/>
        </w:rPr>
        <w:footnoteReference w:id="4"/>
      </w:r>
      <w:r w:rsidRPr="00FA2014">
        <w:rPr>
          <w:sz w:val="24"/>
          <w:szCs w:val="24"/>
        </w:rPr>
        <w:t>, particolarmente importanti per la ricerca scientifica. Infine, le imprese svizzere e ticinesi (industrie, PMI, start-up) non possono ottenere sovvenzioni dal nuovo Consiglio europeo dell'innovazione (EIC)</w:t>
      </w:r>
      <w:r w:rsidRPr="00FA2014">
        <w:rPr>
          <w:rStyle w:val="Rimandonotaapidipagina"/>
          <w:sz w:val="24"/>
          <w:szCs w:val="24"/>
        </w:rPr>
        <w:footnoteReference w:id="5"/>
      </w:r>
      <w:r w:rsidRPr="00FA2014">
        <w:rPr>
          <w:sz w:val="24"/>
          <w:szCs w:val="24"/>
        </w:rPr>
        <w:t xml:space="preserve">. </w:t>
      </w:r>
    </w:p>
    <w:p w:rsidR="006816B5" w:rsidRPr="00FA2014" w:rsidRDefault="006816B5" w:rsidP="00FA2014">
      <w:pPr>
        <w:rPr>
          <w:sz w:val="24"/>
          <w:szCs w:val="24"/>
        </w:rPr>
      </w:pPr>
    </w:p>
    <w:p w:rsidR="00FA2014" w:rsidRDefault="00FA2014" w:rsidP="00FA2014">
      <w:pPr>
        <w:rPr>
          <w:sz w:val="24"/>
          <w:szCs w:val="24"/>
        </w:rPr>
      </w:pPr>
      <w:r w:rsidRPr="00FA2014">
        <w:rPr>
          <w:sz w:val="24"/>
          <w:szCs w:val="24"/>
        </w:rPr>
        <w:t xml:space="preserve">L’esclusione della Svizzera comporterà un indebolimento della sua capacità di innovazione e della sua competitività. Come emerso anche in seno all’incontro avuto dalla Commissione di controllo di USI e SUPSI con la stessa USI, a medio termine i migliori ricercatori inizieranno a lasciare il Ticino e la Svizzera e spostarsi nelle università dei paesi completamente associati, dove potranno continuare a concorrere sia per i prestigiosi «ERC grants», sia per altri strumenti messi a disposizione dall’Unione </w:t>
      </w:r>
      <w:r w:rsidR="00C1024F">
        <w:rPr>
          <w:sz w:val="24"/>
          <w:szCs w:val="24"/>
        </w:rPr>
        <w:t>europea</w:t>
      </w:r>
      <w:r w:rsidRPr="00FA2014">
        <w:rPr>
          <w:sz w:val="24"/>
          <w:szCs w:val="24"/>
        </w:rPr>
        <w:t xml:space="preserve"> per la promozione della ricerca e l’innovazione.</w:t>
      </w:r>
    </w:p>
    <w:p w:rsidR="006816B5" w:rsidRPr="00FA2014" w:rsidRDefault="006816B5" w:rsidP="00FA2014">
      <w:pPr>
        <w:rPr>
          <w:sz w:val="24"/>
          <w:szCs w:val="24"/>
        </w:rPr>
      </w:pPr>
    </w:p>
    <w:p w:rsidR="00FA2014" w:rsidRDefault="00FA2014" w:rsidP="00FA2014">
      <w:pPr>
        <w:rPr>
          <w:sz w:val="24"/>
          <w:szCs w:val="24"/>
        </w:rPr>
      </w:pPr>
      <w:r w:rsidRPr="00FA2014">
        <w:rPr>
          <w:sz w:val="24"/>
          <w:szCs w:val="24"/>
        </w:rPr>
        <w:t xml:space="preserve">Le imprese più innovative saranno escluse dagli inviti a presentare progetti dell'EIC, che contribuiscono al rafforzamento e alla messa in rete degli ecosistemi di innovazione regionali, ai quali partecipano anche le università. Di conseguenza, è da prevedere anche il trasferimento di imprese innovative verso paesi membri dell'UE o pienamente associati a </w:t>
      </w:r>
      <w:proofErr w:type="spellStart"/>
      <w:r w:rsidRPr="00FA2014">
        <w:rPr>
          <w:sz w:val="24"/>
          <w:szCs w:val="24"/>
        </w:rPr>
        <w:t>Horizon</w:t>
      </w:r>
      <w:proofErr w:type="spellEnd"/>
      <w:r w:rsidRPr="00FA2014">
        <w:rPr>
          <w:sz w:val="24"/>
          <w:szCs w:val="24"/>
        </w:rPr>
        <w:t xml:space="preserve"> Europe</w:t>
      </w:r>
      <w:r w:rsidRPr="00FA2014">
        <w:rPr>
          <w:rStyle w:val="Rimandonotaapidipagina"/>
          <w:sz w:val="24"/>
          <w:szCs w:val="24"/>
        </w:rPr>
        <w:footnoteReference w:id="6"/>
      </w:r>
      <w:r w:rsidRPr="00FA2014">
        <w:rPr>
          <w:sz w:val="24"/>
          <w:szCs w:val="24"/>
        </w:rPr>
        <w:t>.</w:t>
      </w:r>
    </w:p>
    <w:p w:rsidR="006816B5" w:rsidRPr="00FA2014" w:rsidRDefault="006816B5" w:rsidP="00FA2014">
      <w:pPr>
        <w:rPr>
          <w:sz w:val="24"/>
          <w:szCs w:val="24"/>
        </w:rPr>
      </w:pPr>
    </w:p>
    <w:p w:rsidR="00FA2014" w:rsidRPr="00FA2014" w:rsidRDefault="00FA2014" w:rsidP="00FA2014">
      <w:pPr>
        <w:rPr>
          <w:sz w:val="24"/>
          <w:szCs w:val="24"/>
        </w:rPr>
      </w:pPr>
      <w:r w:rsidRPr="00FA2014">
        <w:rPr>
          <w:sz w:val="24"/>
          <w:szCs w:val="24"/>
        </w:rPr>
        <w:t>Inoltre, si rileva anche come la mancata piena associazione della Svizzera al programma Horizon Europe impedirà l’accesso alla partecipazione alle azioni nei settori delle tematiche strategiche per la sicurezza e lo sviluppo dell'UE, che sono in particolare le tecnologie quantistiche, lo spazio e la cybersicurezza, riservate in linea di principio ai paesi associati.</w:t>
      </w:r>
    </w:p>
    <w:p w:rsidR="00FA2014" w:rsidRPr="00FA2014" w:rsidRDefault="00FA2014" w:rsidP="00FA2014">
      <w:pPr>
        <w:rPr>
          <w:sz w:val="24"/>
          <w:szCs w:val="24"/>
        </w:rPr>
      </w:pPr>
    </w:p>
    <w:p w:rsidR="00FA2014" w:rsidRDefault="00FA2014" w:rsidP="00FA2014">
      <w:pPr>
        <w:pStyle w:val="StandardRisoluzionedelConsigliodiStato"/>
        <w:spacing w:after="120"/>
        <w:ind w:right="-1"/>
        <w:rPr>
          <w:szCs w:val="24"/>
        </w:rPr>
      </w:pPr>
      <w:r w:rsidRPr="00FA2014">
        <w:rPr>
          <w:szCs w:val="24"/>
        </w:rPr>
        <w:t>Malgrado i crediti transitori garantiti dalla Confederazione per compensare i mancati finanziamenti da parte dell’UE, questi non possono compensare la perdita delle reti di ricerca, la perdita dei migliori ricercatori e ricercatrici e l’indebolimento de</w:t>
      </w:r>
      <w:r w:rsidR="006816B5">
        <w:rPr>
          <w:szCs w:val="24"/>
        </w:rPr>
        <w:t xml:space="preserve">l tessuto economico legato </w:t>
      </w:r>
      <w:proofErr w:type="gramStart"/>
      <w:r w:rsidR="006816B5">
        <w:rPr>
          <w:szCs w:val="24"/>
        </w:rPr>
        <w:t xml:space="preserve">alle </w:t>
      </w:r>
      <w:r w:rsidRPr="00FA2014">
        <w:rPr>
          <w:szCs w:val="24"/>
        </w:rPr>
        <w:t>start-up</w:t>
      </w:r>
      <w:proofErr w:type="gramEnd"/>
      <w:r w:rsidRPr="00FA2014">
        <w:rPr>
          <w:szCs w:val="24"/>
        </w:rPr>
        <w:t xml:space="preserve"> interconnesse al settore della ricerca e della sperimentazione competitiva.</w:t>
      </w:r>
    </w:p>
    <w:p w:rsidR="00FA2014" w:rsidRDefault="00FA2014" w:rsidP="00FA2014">
      <w:pPr>
        <w:pStyle w:val="StandardRisoluzionedelConsigliodiStato"/>
        <w:spacing w:after="120"/>
        <w:ind w:right="-1"/>
        <w:rPr>
          <w:szCs w:val="24"/>
        </w:rPr>
      </w:pPr>
    </w:p>
    <w:p w:rsidR="00FA2014" w:rsidRPr="006816B5" w:rsidRDefault="00FA2014" w:rsidP="006816B5">
      <w:pPr>
        <w:pStyle w:val="Titolo2"/>
        <w:numPr>
          <w:ilvl w:val="0"/>
          <w:numId w:val="0"/>
        </w:numPr>
        <w:tabs>
          <w:tab w:val="left" w:pos="567"/>
        </w:tabs>
        <w:spacing w:before="0" w:after="120"/>
        <w:jc w:val="both"/>
        <w:rPr>
          <w:rFonts w:eastAsia="Calibri" w:cs="Times New Roman"/>
          <w:sz w:val="24"/>
          <w:lang w:val="it-IT" w:eastAsia="it-IT"/>
        </w:rPr>
      </w:pPr>
      <w:bookmarkStart w:id="11" w:name="_Toc152061823"/>
      <w:r w:rsidRPr="006816B5">
        <w:rPr>
          <w:rFonts w:eastAsia="Calibri" w:cs="Times New Roman"/>
          <w:sz w:val="24"/>
          <w:lang w:val="it-IT" w:eastAsia="it-IT"/>
        </w:rPr>
        <w:t xml:space="preserve">4.4 </w:t>
      </w:r>
      <w:r w:rsidRPr="006816B5">
        <w:rPr>
          <w:rFonts w:eastAsia="Calibri" w:cs="Times New Roman"/>
          <w:sz w:val="24"/>
          <w:lang w:val="it-IT" w:eastAsia="it-IT"/>
        </w:rPr>
        <w:tab/>
        <w:t>Iniziative di altri Cantoni</w:t>
      </w:r>
      <w:bookmarkEnd w:id="11"/>
    </w:p>
    <w:p w:rsidR="00FA2014" w:rsidRPr="00FA2014" w:rsidRDefault="00FA2014" w:rsidP="00FA2014">
      <w:pPr>
        <w:pStyle w:val="StandardRisoluzionedelConsigliodiStato"/>
        <w:ind w:right="-1"/>
        <w:rPr>
          <w:szCs w:val="24"/>
        </w:rPr>
      </w:pPr>
      <w:r w:rsidRPr="00FA2014">
        <w:rPr>
          <w:szCs w:val="24"/>
        </w:rPr>
        <w:t>L’iniziativa qui presa in esame si inserisce nel contesto di altre iniziative cantonali con il medesimo obiettivo depositate presso l’Assemblea federale dai Cantoni Ginevra, Basilea Città e Basilea Campagna, Friborgo e Vaud che chiedono l’associazione integrale della Svizzera al programma Horizon Europe (2021-2027).</w:t>
      </w:r>
    </w:p>
    <w:p w:rsidR="00FA2014" w:rsidRDefault="00FA2014" w:rsidP="00FA2014">
      <w:pPr>
        <w:pStyle w:val="StandardRisoluzionedelConsigliodiStato"/>
        <w:ind w:left="567" w:right="-1" w:hanging="567"/>
        <w:rPr>
          <w:b/>
        </w:rPr>
      </w:pPr>
    </w:p>
    <w:p w:rsidR="00FA2014" w:rsidRDefault="00FA2014" w:rsidP="00FA2014">
      <w:pPr>
        <w:pStyle w:val="StandardRisoluzionedelConsigliodiStato"/>
        <w:ind w:left="567" w:right="-1" w:hanging="567"/>
        <w:rPr>
          <w:b/>
        </w:rPr>
      </w:pPr>
    </w:p>
    <w:p w:rsidR="006816B5" w:rsidRPr="00FA2014" w:rsidRDefault="006816B5" w:rsidP="00FA2014">
      <w:pPr>
        <w:pStyle w:val="StandardRisoluzionedelConsigliodiStato"/>
        <w:ind w:left="567" w:right="-1" w:hanging="567"/>
        <w:rPr>
          <w:b/>
        </w:rPr>
      </w:pPr>
    </w:p>
    <w:p w:rsidR="00FA2014" w:rsidRPr="006816B5" w:rsidRDefault="00FA2014" w:rsidP="006816B5">
      <w:pPr>
        <w:pStyle w:val="Titolo2"/>
        <w:numPr>
          <w:ilvl w:val="0"/>
          <w:numId w:val="0"/>
        </w:numPr>
        <w:tabs>
          <w:tab w:val="left" w:pos="567"/>
        </w:tabs>
        <w:spacing w:before="0" w:after="120"/>
        <w:jc w:val="both"/>
        <w:rPr>
          <w:rFonts w:eastAsia="Calibri" w:cs="Times New Roman"/>
          <w:sz w:val="24"/>
          <w:lang w:val="it-IT" w:eastAsia="it-IT"/>
        </w:rPr>
      </w:pPr>
      <w:bookmarkStart w:id="12" w:name="_Toc152061824"/>
      <w:r w:rsidRPr="006816B5">
        <w:rPr>
          <w:rFonts w:eastAsia="Calibri" w:cs="Times New Roman"/>
          <w:sz w:val="24"/>
          <w:lang w:val="it-IT" w:eastAsia="it-IT"/>
        </w:rPr>
        <w:t>5.</w:t>
      </w:r>
      <w:r w:rsidRPr="006816B5">
        <w:rPr>
          <w:rFonts w:eastAsia="Calibri" w:cs="Times New Roman"/>
          <w:sz w:val="24"/>
          <w:lang w:val="it-IT" w:eastAsia="it-IT"/>
        </w:rPr>
        <w:tab/>
        <w:t>CONCLUSIONI</w:t>
      </w:r>
      <w:bookmarkEnd w:id="12"/>
    </w:p>
    <w:p w:rsidR="00FA2014" w:rsidRDefault="00FA2014" w:rsidP="005A047A">
      <w:pPr>
        <w:rPr>
          <w:sz w:val="24"/>
          <w:szCs w:val="24"/>
        </w:rPr>
      </w:pPr>
      <w:r w:rsidRPr="00FA2014">
        <w:rPr>
          <w:sz w:val="24"/>
          <w:szCs w:val="24"/>
        </w:rPr>
        <w:t xml:space="preserve">Dopo aver raccolto le preoccupazioni degli operatori </w:t>
      </w:r>
      <w:r w:rsidRPr="00A96F92">
        <w:rPr>
          <w:sz w:val="24"/>
          <w:szCs w:val="24"/>
        </w:rPr>
        <w:t xml:space="preserve">coinvolti e l'approvazione del Consiglio di Stato a voler procedere, la </w:t>
      </w:r>
      <w:r w:rsidR="006816B5">
        <w:rPr>
          <w:sz w:val="24"/>
          <w:szCs w:val="24"/>
        </w:rPr>
        <w:t xml:space="preserve">maggioranza della </w:t>
      </w:r>
      <w:r w:rsidRPr="00A96F92">
        <w:rPr>
          <w:sz w:val="24"/>
          <w:szCs w:val="24"/>
        </w:rPr>
        <w:t>Commissione formazione e cultura chiede ai deputati di questo Gran Consiglio d</w:t>
      </w:r>
      <w:r w:rsidRPr="00FA2014">
        <w:rPr>
          <w:sz w:val="24"/>
          <w:szCs w:val="24"/>
        </w:rPr>
        <w:t>i accettare l'iniziativa cantonale presentata affinché la si possa i</w:t>
      </w:r>
      <w:r w:rsidR="00386B74">
        <w:rPr>
          <w:sz w:val="24"/>
          <w:szCs w:val="24"/>
        </w:rPr>
        <w:t xml:space="preserve">noltrare all'Assemblea federale, </w:t>
      </w:r>
      <w:r w:rsidR="00386B74" w:rsidRPr="00386B74">
        <w:rPr>
          <w:sz w:val="24"/>
          <w:szCs w:val="24"/>
        </w:rPr>
        <w:t>anche in vista della ripresa delle discussioni sul tema in seno al Consiglio federale in programma nella seduta di dicembre.</w:t>
      </w:r>
    </w:p>
    <w:p w:rsidR="00A96F92" w:rsidRDefault="00A96F92" w:rsidP="005A047A">
      <w:pPr>
        <w:rPr>
          <w:rFonts w:cs="Arial"/>
          <w:b/>
          <w:sz w:val="24"/>
          <w:szCs w:val="24"/>
        </w:rPr>
      </w:pPr>
    </w:p>
    <w:p w:rsidR="005A047A" w:rsidRPr="00FA2014" w:rsidRDefault="005A047A" w:rsidP="005A047A">
      <w:pPr>
        <w:rPr>
          <w:rFonts w:cs="Arial"/>
          <w:b/>
          <w:sz w:val="24"/>
          <w:szCs w:val="24"/>
        </w:rPr>
      </w:pPr>
    </w:p>
    <w:p w:rsidR="00FA2014" w:rsidRDefault="00B44F75" w:rsidP="00481F06">
      <w:pPr>
        <w:pStyle w:val="StandardRisoluzionedelConsigliodiStato"/>
        <w:spacing w:after="120"/>
        <w:ind w:right="-1"/>
      </w:pPr>
      <w:r>
        <w:t xml:space="preserve">Per la </w:t>
      </w:r>
      <w:r w:rsidR="005A047A">
        <w:t xml:space="preserve">maggioranza </w:t>
      </w:r>
      <w:r>
        <w:t>Commissione formazione e cultura:</w:t>
      </w:r>
    </w:p>
    <w:p w:rsidR="00B44F75" w:rsidRPr="000F701A" w:rsidRDefault="00FA2014" w:rsidP="007B63AA">
      <w:pPr>
        <w:pStyle w:val="StandardRisoluzionedelConsigliodiStato"/>
        <w:ind w:right="-1"/>
        <w:rPr>
          <w:szCs w:val="24"/>
        </w:rPr>
      </w:pPr>
      <w:r>
        <w:t>Diana Tenconi</w:t>
      </w:r>
      <w:r>
        <w:rPr>
          <w:szCs w:val="24"/>
        </w:rPr>
        <w:t>, relatrice</w:t>
      </w:r>
    </w:p>
    <w:p w:rsidR="00A96F92" w:rsidRDefault="005A047A" w:rsidP="00020534">
      <w:pPr>
        <w:rPr>
          <w:rFonts w:cs="Arial"/>
          <w:sz w:val="24"/>
          <w:szCs w:val="24"/>
        </w:rPr>
      </w:pPr>
      <w:r>
        <w:rPr>
          <w:rFonts w:cs="Arial"/>
          <w:sz w:val="24"/>
          <w:szCs w:val="24"/>
        </w:rPr>
        <w:t>Caccia - Canetta -</w:t>
      </w:r>
      <w:r w:rsidR="00051CD2" w:rsidRPr="000F701A">
        <w:rPr>
          <w:rFonts w:cs="Arial"/>
          <w:sz w:val="24"/>
          <w:szCs w:val="24"/>
        </w:rPr>
        <w:t xml:space="preserve"> Ermotti-Lepori </w:t>
      </w:r>
      <w:r>
        <w:rPr>
          <w:rFonts w:cs="Arial"/>
          <w:sz w:val="24"/>
          <w:szCs w:val="24"/>
        </w:rPr>
        <w:t>-</w:t>
      </w:r>
      <w:r w:rsidR="00051CD2" w:rsidRPr="000F701A">
        <w:rPr>
          <w:rFonts w:cs="Arial"/>
          <w:sz w:val="24"/>
          <w:szCs w:val="24"/>
        </w:rPr>
        <w:t xml:space="preserve"> Ghisla </w:t>
      </w:r>
      <w:r>
        <w:rPr>
          <w:rFonts w:cs="Arial"/>
          <w:sz w:val="24"/>
          <w:szCs w:val="24"/>
        </w:rPr>
        <w:t>-</w:t>
      </w:r>
      <w:r w:rsidR="00051CD2" w:rsidRPr="000F701A">
        <w:rPr>
          <w:rFonts w:cs="Arial"/>
          <w:sz w:val="24"/>
          <w:szCs w:val="24"/>
        </w:rPr>
        <w:t xml:space="preserve"> </w:t>
      </w:r>
    </w:p>
    <w:p w:rsidR="00A96F92" w:rsidRDefault="00051CD2" w:rsidP="00020534">
      <w:pPr>
        <w:rPr>
          <w:rFonts w:cs="Arial"/>
          <w:sz w:val="24"/>
          <w:szCs w:val="24"/>
        </w:rPr>
      </w:pPr>
      <w:r w:rsidRPr="000F701A">
        <w:rPr>
          <w:rFonts w:cs="Arial"/>
          <w:sz w:val="24"/>
          <w:szCs w:val="24"/>
        </w:rPr>
        <w:t xml:space="preserve">Giudici </w:t>
      </w:r>
      <w:r w:rsidR="00A96F92">
        <w:rPr>
          <w:rFonts w:cs="Arial"/>
          <w:sz w:val="24"/>
          <w:szCs w:val="24"/>
        </w:rPr>
        <w:t xml:space="preserve">(con riserva) </w:t>
      </w:r>
      <w:r w:rsidR="005A047A">
        <w:rPr>
          <w:rFonts w:cs="Arial"/>
          <w:sz w:val="24"/>
          <w:szCs w:val="24"/>
        </w:rPr>
        <w:t>-</w:t>
      </w:r>
      <w:r w:rsidR="00A96F92">
        <w:rPr>
          <w:rFonts w:cs="Arial"/>
          <w:sz w:val="24"/>
          <w:szCs w:val="24"/>
        </w:rPr>
        <w:t xml:space="preserve"> </w:t>
      </w:r>
      <w:r w:rsidRPr="000F701A">
        <w:rPr>
          <w:rFonts w:cs="Arial"/>
          <w:sz w:val="24"/>
          <w:szCs w:val="24"/>
        </w:rPr>
        <w:t>Morisoli</w:t>
      </w:r>
      <w:r w:rsidR="00A96F92">
        <w:rPr>
          <w:rFonts w:cs="Arial"/>
          <w:sz w:val="24"/>
          <w:szCs w:val="24"/>
        </w:rPr>
        <w:t xml:space="preserve"> (con riserva)</w:t>
      </w:r>
      <w:r w:rsidRPr="000F701A">
        <w:rPr>
          <w:rFonts w:cs="Arial"/>
          <w:sz w:val="24"/>
          <w:szCs w:val="24"/>
        </w:rPr>
        <w:t xml:space="preserve"> </w:t>
      </w:r>
      <w:r w:rsidR="005A047A">
        <w:rPr>
          <w:rFonts w:cs="Arial"/>
          <w:sz w:val="24"/>
          <w:szCs w:val="24"/>
        </w:rPr>
        <w:t>-</w:t>
      </w:r>
      <w:r w:rsidRPr="000F701A">
        <w:rPr>
          <w:rFonts w:cs="Arial"/>
          <w:sz w:val="24"/>
          <w:szCs w:val="24"/>
        </w:rPr>
        <w:t xml:space="preserve"> </w:t>
      </w:r>
    </w:p>
    <w:p w:rsidR="00FA2014" w:rsidRDefault="00FA2014" w:rsidP="00020534">
      <w:pPr>
        <w:rPr>
          <w:rFonts w:cs="Arial"/>
          <w:sz w:val="24"/>
          <w:szCs w:val="24"/>
        </w:rPr>
      </w:pPr>
      <w:r w:rsidRPr="000F701A">
        <w:rPr>
          <w:rFonts w:cs="Arial"/>
          <w:sz w:val="24"/>
          <w:szCs w:val="24"/>
        </w:rPr>
        <w:t xml:space="preserve">Ortelli P. -  </w:t>
      </w:r>
      <w:r w:rsidR="005A047A">
        <w:rPr>
          <w:rFonts w:cs="Arial"/>
          <w:sz w:val="24"/>
          <w:szCs w:val="24"/>
        </w:rPr>
        <w:t>Piezzi -</w:t>
      </w:r>
      <w:r>
        <w:rPr>
          <w:rFonts w:cs="Arial"/>
          <w:sz w:val="24"/>
          <w:szCs w:val="24"/>
        </w:rPr>
        <w:t xml:space="preserve"> </w:t>
      </w:r>
      <w:r w:rsidR="00051CD2" w:rsidRPr="000F701A">
        <w:rPr>
          <w:rFonts w:cs="Arial"/>
          <w:sz w:val="24"/>
          <w:szCs w:val="24"/>
        </w:rPr>
        <w:t>Prati</w:t>
      </w:r>
      <w:r>
        <w:rPr>
          <w:rFonts w:cs="Arial"/>
          <w:sz w:val="24"/>
          <w:szCs w:val="24"/>
        </w:rPr>
        <w:t xml:space="preserve"> </w:t>
      </w:r>
      <w:r w:rsidR="005A047A">
        <w:rPr>
          <w:rFonts w:cs="Arial"/>
          <w:sz w:val="24"/>
          <w:szCs w:val="24"/>
        </w:rPr>
        <w:t>-</w:t>
      </w:r>
      <w:r w:rsidR="00A96F92">
        <w:rPr>
          <w:rFonts w:cs="Arial"/>
          <w:sz w:val="24"/>
          <w:szCs w:val="24"/>
        </w:rPr>
        <w:t xml:space="preserve"> </w:t>
      </w:r>
      <w:r w:rsidR="005A047A">
        <w:rPr>
          <w:rFonts w:cs="Arial"/>
          <w:sz w:val="24"/>
          <w:szCs w:val="24"/>
        </w:rPr>
        <w:t>Speziali -</w:t>
      </w:r>
      <w:r w:rsidRPr="000F701A">
        <w:rPr>
          <w:rFonts w:cs="Arial"/>
          <w:sz w:val="24"/>
          <w:szCs w:val="24"/>
        </w:rPr>
        <w:t xml:space="preserve"> </w:t>
      </w:r>
    </w:p>
    <w:p w:rsidR="00051CD2" w:rsidRPr="00FA2014" w:rsidRDefault="005A047A" w:rsidP="00020534">
      <w:pPr>
        <w:rPr>
          <w:rFonts w:cs="Arial"/>
          <w:sz w:val="24"/>
          <w:szCs w:val="24"/>
          <w:highlight w:val="yellow"/>
        </w:rPr>
      </w:pPr>
      <w:r>
        <w:rPr>
          <w:rFonts w:cs="Arial"/>
          <w:sz w:val="24"/>
          <w:szCs w:val="24"/>
        </w:rPr>
        <w:t>Tricarico -</w:t>
      </w:r>
      <w:r w:rsidR="00051CD2" w:rsidRPr="000F701A">
        <w:rPr>
          <w:rFonts w:cs="Arial"/>
          <w:sz w:val="24"/>
          <w:szCs w:val="24"/>
        </w:rPr>
        <w:t xml:space="preserve"> Valsangiacomo</w:t>
      </w:r>
      <w:r w:rsidR="009F0672" w:rsidRPr="000F701A">
        <w:rPr>
          <w:rFonts w:cs="Arial"/>
          <w:sz w:val="24"/>
          <w:szCs w:val="24"/>
        </w:rPr>
        <w:t xml:space="preserve"> </w:t>
      </w:r>
      <w:r w:rsidR="00051CD2" w:rsidRPr="000F701A">
        <w:rPr>
          <w:rFonts w:cs="Arial"/>
          <w:sz w:val="24"/>
          <w:szCs w:val="24"/>
        </w:rPr>
        <w:t>- Zanetti</w:t>
      </w:r>
    </w:p>
    <w:sectPr w:rsidR="00051CD2" w:rsidRPr="00FA2014"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57D" w:rsidRDefault="002C157D" w:rsidP="00F657BF">
      <w:r>
        <w:separator/>
      </w:r>
    </w:p>
  </w:endnote>
  <w:endnote w:type="continuationSeparator" w:id="0">
    <w:p w:rsidR="002C157D" w:rsidRDefault="002C157D"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FA71AB" w:rsidP="00912E34">
          <w:pPr>
            <w:tabs>
              <w:tab w:val="center" w:pos="2382"/>
            </w:tabs>
          </w:pPr>
        </w:p>
      </w:tc>
      <w:tc>
        <w:tcPr>
          <w:tcW w:w="721" w:type="dxa"/>
        </w:tcPr>
        <w:p w:rsidR="00912E34" w:rsidRPr="003D1008" w:rsidRDefault="004D4B1E"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4D4B1E"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FA71AB"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FA71AB">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57D" w:rsidRDefault="002C157D" w:rsidP="00F657BF">
      <w:r>
        <w:separator/>
      </w:r>
    </w:p>
  </w:footnote>
  <w:footnote w:type="continuationSeparator" w:id="0">
    <w:p w:rsidR="002C157D" w:rsidRDefault="002C157D" w:rsidP="00F657BF">
      <w:r>
        <w:continuationSeparator/>
      </w:r>
    </w:p>
  </w:footnote>
  <w:footnote w:id="1">
    <w:p w:rsidR="00FA2014" w:rsidRPr="005A047A" w:rsidRDefault="00FA2014" w:rsidP="00FA2014">
      <w:pPr>
        <w:pStyle w:val="Testonotaapidipagina"/>
        <w:rPr>
          <w:sz w:val="18"/>
          <w:szCs w:val="18"/>
          <w:lang w:val="it-CH"/>
        </w:rPr>
      </w:pPr>
      <w:r w:rsidRPr="00FA2014">
        <w:rPr>
          <w:rStyle w:val="Rimandonotaapidipagina"/>
          <w:sz w:val="18"/>
          <w:szCs w:val="18"/>
        </w:rPr>
        <w:footnoteRef/>
      </w:r>
      <w:r w:rsidRPr="005A047A">
        <w:rPr>
          <w:sz w:val="18"/>
          <w:szCs w:val="18"/>
          <w:lang w:val="it-CH"/>
        </w:rPr>
        <w:t xml:space="preserve"> Fonte: USI.</w:t>
      </w:r>
    </w:p>
  </w:footnote>
  <w:footnote w:id="2">
    <w:p w:rsidR="00FA2014" w:rsidRPr="005A047A" w:rsidRDefault="00FA2014" w:rsidP="00FA2014">
      <w:pPr>
        <w:pStyle w:val="Testonotaapidipagina"/>
        <w:rPr>
          <w:sz w:val="18"/>
          <w:szCs w:val="18"/>
          <w:lang w:val="it-CH"/>
        </w:rPr>
      </w:pPr>
      <w:r w:rsidRPr="00FA2014">
        <w:rPr>
          <w:rStyle w:val="Rimandonotaapidipagina"/>
          <w:sz w:val="18"/>
          <w:szCs w:val="18"/>
        </w:rPr>
        <w:footnoteRef/>
      </w:r>
      <w:r w:rsidRPr="005A047A">
        <w:rPr>
          <w:sz w:val="18"/>
          <w:szCs w:val="18"/>
          <w:lang w:val="it-CH"/>
        </w:rPr>
        <w:t xml:space="preserve"> Fonte: SUPSI.</w:t>
      </w:r>
    </w:p>
  </w:footnote>
  <w:footnote w:id="3">
    <w:p w:rsidR="00FA2014" w:rsidRPr="005A047A" w:rsidRDefault="00FA2014" w:rsidP="00FA2014">
      <w:pPr>
        <w:pStyle w:val="Testonotaapidipagina"/>
        <w:rPr>
          <w:lang w:val="it-CH"/>
        </w:rPr>
      </w:pPr>
      <w:r w:rsidRPr="00FA2014">
        <w:rPr>
          <w:rStyle w:val="Rimandonotaapidipagina"/>
          <w:sz w:val="18"/>
          <w:szCs w:val="18"/>
        </w:rPr>
        <w:footnoteRef/>
      </w:r>
      <w:r w:rsidRPr="005A047A">
        <w:rPr>
          <w:sz w:val="18"/>
          <w:szCs w:val="18"/>
          <w:lang w:val="it-CH"/>
        </w:rPr>
        <w:t xml:space="preserve"> Gli ERC </w:t>
      </w:r>
      <w:proofErr w:type="spellStart"/>
      <w:r w:rsidRPr="005A047A">
        <w:rPr>
          <w:sz w:val="18"/>
          <w:szCs w:val="18"/>
          <w:lang w:val="it-CH"/>
        </w:rPr>
        <w:t>grants</w:t>
      </w:r>
      <w:proofErr w:type="spellEnd"/>
      <w:r w:rsidRPr="005A047A">
        <w:rPr>
          <w:sz w:val="18"/>
          <w:szCs w:val="18"/>
          <w:lang w:val="it-CH"/>
        </w:rPr>
        <w:t xml:space="preserve"> sono borse individuali assegnate dal Consiglio europeo della ricerca. Si tratta di un programma scientifico dedicato alla ricerca di esplorativa, il cui unico criterio di selezione è l'eccellenza scientifica.</w:t>
      </w:r>
    </w:p>
  </w:footnote>
  <w:footnote w:id="4">
    <w:p w:rsidR="00FA2014" w:rsidRPr="005A047A" w:rsidRDefault="00FA2014" w:rsidP="00FA2014">
      <w:pPr>
        <w:pStyle w:val="Testonotaapidipagina"/>
        <w:rPr>
          <w:sz w:val="18"/>
          <w:szCs w:val="18"/>
          <w:lang w:val="it-CH"/>
        </w:rPr>
      </w:pPr>
      <w:r w:rsidRPr="00FA2014">
        <w:rPr>
          <w:rStyle w:val="Rimandonotaapidipagina"/>
          <w:sz w:val="18"/>
          <w:szCs w:val="18"/>
        </w:rPr>
        <w:footnoteRef/>
      </w:r>
      <w:r w:rsidRPr="005A047A">
        <w:rPr>
          <w:sz w:val="18"/>
          <w:szCs w:val="18"/>
          <w:lang w:val="it-CH"/>
        </w:rPr>
        <w:t xml:space="preserve"> Le Marie </w:t>
      </w:r>
      <w:proofErr w:type="spellStart"/>
      <w:r w:rsidRPr="005A047A">
        <w:rPr>
          <w:sz w:val="18"/>
          <w:szCs w:val="18"/>
          <w:lang w:val="it-CH"/>
        </w:rPr>
        <w:t>Skłodowska</w:t>
      </w:r>
      <w:proofErr w:type="spellEnd"/>
      <w:r w:rsidRPr="005A047A">
        <w:rPr>
          <w:sz w:val="18"/>
          <w:szCs w:val="18"/>
          <w:lang w:val="it-CH"/>
        </w:rPr>
        <w:t>-Curie Action (MSCA) mirano a stimolare l'eccellenza nella formazione dei ricercatori e delle ricercatrici attraverso l'apertura internazionale, intersettoriale e interdisciplinare necessaria per il loro sviluppo di carriera garantendo buone condizioni di lavoro. Esse finanziano la realizzazione di progetti di formazione alla ricerca e attraverso la ricerca, comprendenti una parte importante di mobilità tra paesi e settori, su scala individuale o collettiva.</w:t>
      </w:r>
    </w:p>
  </w:footnote>
  <w:footnote w:id="5">
    <w:p w:rsidR="00FA2014" w:rsidRPr="005A047A" w:rsidRDefault="00FA2014" w:rsidP="00FA2014">
      <w:pPr>
        <w:pStyle w:val="Testonotaapidipagina"/>
        <w:rPr>
          <w:sz w:val="18"/>
          <w:szCs w:val="18"/>
          <w:lang w:val="it-CH"/>
        </w:rPr>
      </w:pPr>
      <w:r w:rsidRPr="00FA2014">
        <w:rPr>
          <w:rStyle w:val="Rimandonotaapidipagina"/>
          <w:sz w:val="18"/>
          <w:szCs w:val="18"/>
        </w:rPr>
        <w:footnoteRef/>
      </w:r>
      <w:r w:rsidRPr="005A047A">
        <w:rPr>
          <w:sz w:val="18"/>
          <w:szCs w:val="18"/>
          <w:lang w:val="it-CH"/>
        </w:rPr>
        <w:t xml:space="preserve"> EIC Accelerator è lo strumento principale di incoraggiamento del Consiglio europeo dell'innovazione, destinato </w:t>
      </w:r>
      <w:proofErr w:type="gramStart"/>
      <w:r w:rsidRPr="005A047A">
        <w:rPr>
          <w:sz w:val="18"/>
          <w:szCs w:val="18"/>
          <w:lang w:val="it-CH"/>
        </w:rPr>
        <w:t>alle start-up</w:t>
      </w:r>
      <w:proofErr w:type="gramEnd"/>
      <w:r w:rsidRPr="005A047A">
        <w:rPr>
          <w:sz w:val="18"/>
          <w:szCs w:val="18"/>
          <w:lang w:val="it-CH"/>
        </w:rPr>
        <w:t xml:space="preserve"> e alle PMI ad «alto rischio e alto potenziale» attive nell'innovazione tecnologica o applicativa.</w:t>
      </w:r>
    </w:p>
  </w:footnote>
  <w:footnote w:id="6">
    <w:p w:rsidR="00FA2014" w:rsidRPr="005A047A" w:rsidRDefault="00FA2014" w:rsidP="00FA2014">
      <w:pPr>
        <w:pStyle w:val="Testonotaapidipagina"/>
        <w:rPr>
          <w:lang w:val="it-CH"/>
        </w:rPr>
      </w:pPr>
      <w:r w:rsidRPr="00A96F92">
        <w:rPr>
          <w:rStyle w:val="Rimandonotaapidipagina"/>
          <w:sz w:val="18"/>
          <w:szCs w:val="18"/>
        </w:rPr>
        <w:footnoteRef/>
      </w:r>
      <w:r w:rsidRPr="005A047A">
        <w:rPr>
          <w:sz w:val="18"/>
          <w:szCs w:val="18"/>
          <w:lang w:val="it-CH"/>
        </w:rPr>
        <w:t xml:space="preserve"> I paesi terzi associati a </w:t>
      </w:r>
      <w:proofErr w:type="spellStart"/>
      <w:r w:rsidRPr="005A047A">
        <w:rPr>
          <w:sz w:val="18"/>
          <w:szCs w:val="18"/>
          <w:lang w:val="it-CH"/>
        </w:rPr>
        <w:t>Horizon</w:t>
      </w:r>
      <w:proofErr w:type="spellEnd"/>
      <w:r w:rsidRPr="005A047A">
        <w:rPr>
          <w:sz w:val="18"/>
          <w:szCs w:val="18"/>
          <w:lang w:val="it-CH"/>
        </w:rPr>
        <w:t xml:space="preserve"> Europe sono: Islanda, Norvegia, Ucraina, Turchia, Moldavia, Armenia, Israele, Georgia, Bosnia ed Erzegovina, Kosovo, Montenegro, Nord Macedonia, Serbia, Albania, Tunisia, Isole </w:t>
      </w:r>
      <w:proofErr w:type="spellStart"/>
      <w:r w:rsidRPr="005A047A">
        <w:rPr>
          <w:sz w:val="18"/>
          <w:szCs w:val="18"/>
          <w:lang w:val="it-CH"/>
        </w:rPr>
        <w:t>Faroe</w:t>
      </w:r>
      <w:proofErr w:type="spellEnd"/>
      <w:r w:rsidRPr="005A047A">
        <w:rPr>
          <w:sz w:val="18"/>
          <w:szCs w:val="18"/>
          <w:lang w:val="it-CH"/>
        </w:rPr>
        <w:t xml:space="preserve">, Nuova Zelanda (per il pilastro II “Global </w:t>
      </w:r>
      <w:proofErr w:type="spellStart"/>
      <w:r w:rsidRPr="005A047A">
        <w:rPr>
          <w:sz w:val="18"/>
          <w:szCs w:val="18"/>
          <w:lang w:val="it-CH"/>
        </w:rPr>
        <w:t>Challenges</w:t>
      </w:r>
      <w:proofErr w:type="spellEnd"/>
      <w:r w:rsidRPr="005A047A">
        <w:rPr>
          <w:sz w:val="18"/>
          <w:szCs w:val="18"/>
          <w:lang w:val="it-CH"/>
        </w:rPr>
        <w:t xml:space="preserve"> &amp; </w:t>
      </w:r>
      <w:proofErr w:type="spellStart"/>
      <w:r w:rsidRPr="005A047A">
        <w:rPr>
          <w:sz w:val="18"/>
          <w:szCs w:val="18"/>
          <w:lang w:val="it-CH"/>
        </w:rPr>
        <w:t>European</w:t>
      </w:r>
      <w:proofErr w:type="spellEnd"/>
      <w:r w:rsidRPr="005A047A">
        <w:rPr>
          <w:sz w:val="18"/>
          <w:szCs w:val="18"/>
          <w:lang w:val="it-CH"/>
        </w:rPr>
        <w:t xml:space="preserve"> Industrial </w:t>
      </w:r>
      <w:proofErr w:type="spellStart"/>
      <w:r w:rsidRPr="005A047A">
        <w:rPr>
          <w:sz w:val="18"/>
          <w:szCs w:val="18"/>
          <w:lang w:val="it-CH"/>
        </w:rPr>
        <w:t>Competitiveness</w:t>
      </w:r>
      <w:proofErr w:type="spellEnd"/>
      <w:r w:rsidRPr="005A047A">
        <w:rPr>
          <w:sz w:val="18"/>
          <w:szCs w:val="18"/>
          <w:lang w:val="it-CH"/>
        </w:rPr>
        <w:t>”) cui si è aggiunto il Regno Unito.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CCBCA820-4CF2-4900-8B18-A783C1C83870}"/>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5A2602" w:rsidP="00A532F6">
              <w:pPr>
                <w:pStyle w:val="Page"/>
                <w:rPr>
                  <w:rFonts w:ascii="Gill Alt One MT Light" w:hAnsi="Gill Alt One MT Light"/>
                  <w:sz w:val="16"/>
                  <w:szCs w:val="16"/>
                </w:rPr>
              </w:pPr>
              <w:r>
                <w:rPr>
                  <w:rFonts w:ascii="Gill Alt One MT Light" w:hAnsi="Gill Alt One MT Light"/>
                  <w:sz w:val="16"/>
                  <w:szCs w:val="16"/>
                </w:rPr>
                <w:t>Gran Consiglio</w:t>
              </w:r>
            </w:p>
          </w:tc>
        </w:sdtContent>
      </w:sdt>
      <w:tc>
        <w:tcPr>
          <w:tcW w:w="1710" w:type="dxa"/>
          <w:tcBorders>
            <w:bottom w:val="single" w:sz="4" w:space="0" w:color="auto"/>
          </w:tcBorders>
          <w:vAlign w:val="bottom"/>
        </w:tcPr>
        <w:p w:rsidR="005012EC" w:rsidRPr="004204CB" w:rsidRDefault="004D4B1E"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3D690E">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3D690E">
            <w:rPr>
              <w:noProof/>
              <w:sz w:val="24"/>
            </w:rPr>
            <w:t>5</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CCBCA820-4CF2-4900-8B18-A783C1C83870}"/>
          <w:text w:multiLine="1"/>
        </w:sdtPr>
        <w:sdtEndPr/>
        <w:sdtContent>
          <w:tc>
            <w:tcPr>
              <w:tcW w:w="8383" w:type="dxa"/>
              <w:tcBorders>
                <w:left w:val="single" w:sz="4" w:space="0" w:color="auto"/>
              </w:tcBorders>
              <w:tcMar>
                <w:top w:w="0" w:type="dxa"/>
                <w:left w:w="142" w:type="dxa"/>
              </w:tcMar>
            </w:tcPr>
            <w:p w:rsidR="005012EC" w:rsidRPr="005A047A" w:rsidRDefault="00B13EAA"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maggioranza del 27 novembre 2023</w:t>
              </w:r>
            </w:p>
          </w:tc>
        </w:sdtContent>
      </w:sdt>
      <w:tc>
        <w:tcPr>
          <w:tcW w:w="1710" w:type="dxa"/>
          <w:tcBorders>
            <w:top w:val="single" w:sz="4" w:space="0" w:color="auto"/>
          </w:tcBorders>
        </w:tcPr>
        <w:p w:rsidR="005012EC" w:rsidRPr="005A047A" w:rsidRDefault="00FA71AB" w:rsidP="00662409">
          <w:pPr>
            <w:pStyle w:val="InvisibleLine"/>
            <w:rPr>
              <w:lang w:val="it-CH"/>
            </w:rPr>
          </w:pPr>
        </w:p>
      </w:tc>
    </w:tr>
  </w:tbl>
  <w:p w:rsidR="00F657BF" w:rsidRPr="00980362" w:rsidRDefault="004D4B1E"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CCBCA820-4CF2-4900-8B18-A783C1C83870}"/>
                            <w:text w:multiLine="1"/>
                          </w:sdtPr>
                          <w:sdtEndPr/>
                          <w:sdtContent>
                            <w:p w:rsidR="008065E8" w:rsidRPr="00411371" w:rsidRDefault="004D4B1E"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3C8A850D-0091-40F3-89EC-41944A189070}"/>
                      <w:text w:multiLine="1"/>
                    </w:sdtPr>
                    <w:sdtEndPr/>
                    <w:sdtContent>
                      <w:p w:rsidR="008065E8" w:rsidRPr="00411371" w:rsidRDefault="004D4B1E"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FA71AB" w:rsidP="00D07D6E">
          <w:pPr>
            <w:pStyle w:val="InvisibleLine"/>
            <w:ind w:left="150"/>
            <w:rPr>
              <w:sz w:val="16"/>
            </w:rPr>
          </w:pPr>
        </w:p>
      </w:tc>
      <w:tc>
        <w:tcPr>
          <w:tcW w:w="373" w:type="pct"/>
          <w:tcBorders>
            <w:top w:val="nil"/>
            <w:bottom w:val="single" w:sz="4" w:space="0" w:color="auto"/>
          </w:tcBorders>
          <w:vAlign w:val="bottom"/>
        </w:tcPr>
        <w:p w:rsidR="00662409" w:rsidRPr="003108C0" w:rsidRDefault="00FA71AB" w:rsidP="00D07D6E">
          <w:pPr>
            <w:pStyle w:val="Level"/>
            <w:ind w:left="150"/>
            <w:rPr>
              <w:sz w:val="16"/>
            </w:rPr>
          </w:pPr>
        </w:p>
      </w:tc>
      <w:tc>
        <w:tcPr>
          <w:tcW w:w="209" w:type="pct"/>
          <w:tcBorders>
            <w:top w:val="nil"/>
            <w:bottom w:val="single" w:sz="4" w:space="0" w:color="auto"/>
          </w:tcBorders>
        </w:tcPr>
        <w:p w:rsidR="00662409" w:rsidRDefault="004D4B1E"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086008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4D4B1E"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3D690E">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3D690E">
            <w:rPr>
              <w:rFonts w:asciiTheme="minorHAnsi" w:hAnsiTheme="minorHAnsi" w:cstheme="minorHAnsi"/>
              <w:noProof/>
              <w:sz w:val="24"/>
            </w:rPr>
            <w:t>5</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CCBCA820-4CF2-4900-8B18-A783C1C83870}"/>
          <w:text w:multiLine="1"/>
        </w:sdtPr>
        <w:sdtEndPr/>
        <w:sdtContent>
          <w:tc>
            <w:tcPr>
              <w:tcW w:w="5000" w:type="pct"/>
              <w:gridSpan w:val="6"/>
              <w:tcBorders>
                <w:left w:val="nil"/>
                <w:right w:val="nil"/>
              </w:tcBorders>
              <w:noWrap/>
              <w:tcMar>
                <w:top w:w="0" w:type="dxa"/>
              </w:tcMar>
              <w:vAlign w:val="bottom"/>
            </w:tcPr>
            <w:p w:rsidR="00662409" w:rsidRPr="008C03B5" w:rsidRDefault="00B13EAA"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maggioranza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4D4B1E"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FA71AB"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4D4B1E"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FA71AB"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4D4B1E"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FA71AB"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FA71AB"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CCBCA820-4CF2-4900-8B18-A783C1C83870}"/>
              <w:text w:multiLine="1"/>
            </w:sdtPr>
            <w:sdtEndPr/>
            <w:sdtContent>
              <w:r w:rsidR="005A2602">
                <w:rPr>
                  <w:rFonts w:cstheme="minorHAnsi"/>
                  <w:b/>
                  <w:sz w:val="24"/>
                  <w:szCs w:val="24"/>
                </w:rPr>
                <w:t xml:space="preserve"> </w:t>
              </w:r>
            </w:sdtContent>
          </w:sdt>
        </w:p>
      </w:tc>
      <w:sdt>
        <w:sdtPr>
          <w:rPr>
            <w:sz w:val="24"/>
          </w:rPr>
          <w:alias w:val="DocParam.Date"/>
          <w:id w:val="-464426178"/>
          <w:dataBinding w:xpath="//DateTime[@id='DocParam.Date']" w:storeItemID="{CCBCA820-4CF2-4900-8B18-A783C1C83870}"/>
          <w:date w:fullDate="2023-11-27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B13EAA" w:rsidP="00A532F6">
              <w:pPr>
                <w:pStyle w:val="Data"/>
              </w:pPr>
              <w:r>
                <w:rPr>
                  <w:sz w:val="24"/>
                </w:rPr>
                <w:t>27 novembre 2023</w:t>
              </w:r>
            </w:p>
          </w:tc>
        </w:sdtContent>
      </w:sdt>
      <w:tc>
        <w:tcPr>
          <w:tcW w:w="3218" w:type="pct"/>
          <w:gridSpan w:val="4"/>
          <w:tcBorders>
            <w:top w:val="nil"/>
            <w:left w:val="nil"/>
            <w:bottom w:val="nil"/>
            <w:right w:val="nil"/>
          </w:tcBorders>
        </w:tcPr>
        <w:p w:rsidR="008C03B5" w:rsidRPr="00BE22A2" w:rsidRDefault="00FA71AB"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CCBCA820-4CF2-4900-8B18-A783C1C83870}"/>
              <w:text w:multiLine="1"/>
            </w:sdtPr>
            <w:sdtEndPr/>
            <w:sdtContent>
              <w:r w:rsidR="005A2602">
                <w:rPr>
                  <w:smallCaps/>
                  <w:sz w:val="23"/>
                  <w:szCs w:val="23"/>
                </w:rPr>
                <w:t>Gran Consiglio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FA71AB" w:rsidP="00D07D6E">
          <w:pPr>
            <w:pStyle w:val="Level"/>
            <w:ind w:left="150"/>
            <w:rPr>
              <w:rFonts w:ascii="Gill Alt One MT Light" w:hAnsi="Gill Alt One MT Light"/>
              <w:sz w:val="16"/>
              <w:szCs w:val="16"/>
            </w:rPr>
          </w:pPr>
        </w:p>
      </w:tc>
    </w:tr>
  </w:tbl>
  <w:p w:rsidR="00F657BF" w:rsidRPr="00DA2879" w:rsidRDefault="004D4B1E"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386228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CCBCA820-4CF2-4900-8B18-A783C1C83870}"/>
                            <w:text w:multiLine="1"/>
                          </w:sdtPr>
                          <w:sdtEndPr/>
                          <w:sdtContent>
                            <w:p w:rsidR="00E93620" w:rsidRPr="00411371" w:rsidRDefault="004D4B1E"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3C8A850D-0091-40F3-89EC-41944A189070}"/>
                      <w:text w:multiLine="1"/>
                    </w:sdtPr>
                    <w:sdtEndPr/>
                    <w:sdtContent>
                      <w:p w:rsidR="00E93620" w:rsidRPr="00411371" w:rsidRDefault="004D4B1E"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112035E"/>
    <w:multiLevelType w:val="multilevel"/>
    <w:tmpl w:val="A4F61762"/>
    <w:lvl w:ilvl="0">
      <w:start w:val="1"/>
      <w:numFmt w:val="decimal"/>
      <w:pStyle w:val="StileGC1"/>
      <w:lvlText w:val="%1."/>
      <w:lvlJc w:val="left"/>
      <w:pPr>
        <w:ind w:left="720" w:hanging="360"/>
      </w:pPr>
      <w:rPr>
        <w:rFonts w:hint="default"/>
      </w:rPr>
    </w:lvl>
    <w:lvl w:ilvl="1">
      <w:start w:val="1"/>
      <w:numFmt w:val="decimal"/>
      <w:pStyle w:val="StileGC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3AB1D1D"/>
    <w:multiLevelType w:val="hybridMultilevel"/>
    <w:tmpl w:val="DF3E0C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49A6801"/>
    <w:multiLevelType w:val="multilevel"/>
    <w:tmpl w:val="9CAE632E"/>
    <w:lvl w:ilvl="0">
      <w:start w:val="1"/>
      <w:numFmt w:val="decimal"/>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313"/>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13"/>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13"/>
      </w:pPr>
      <w:rPr>
        <w:b/>
        <w:smallCaps w:val="0"/>
        <w:strike w:val="0"/>
        <w:shd w:val="clear" w:color="auto" w:fill="auto"/>
        <w:vertAlign w:val="baseline"/>
      </w:rPr>
    </w:lvl>
  </w:abstractNum>
  <w:abstractNum w:abstractNumId="16"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49D524CC"/>
    <w:multiLevelType w:val="multilevel"/>
    <w:tmpl w:val="953CA1B2"/>
    <w:numStyleLink w:val="HeadingList"/>
  </w:abstractNum>
  <w:num w:numId="1">
    <w:abstractNumId w:val="12"/>
  </w:num>
  <w:num w:numId="2">
    <w:abstractNumId w:val="19"/>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8"/>
  </w:num>
  <w:num w:numId="5">
    <w:abstractNumId w:val="17"/>
  </w:num>
  <w:num w:numId="6">
    <w:abstractNumId w:val="13"/>
  </w:num>
  <w:num w:numId="7">
    <w:abstractNumId w:val="16"/>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5"/>
  </w:num>
  <w:num w:numId="19">
    <w:abstractNumId w:val="14"/>
  </w:num>
  <w:num w:numId="2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57D"/>
    <w:rsid w:val="00000FA1"/>
    <w:rsid w:val="00020534"/>
    <w:rsid w:val="000267E3"/>
    <w:rsid w:val="00036CF5"/>
    <w:rsid w:val="00051CD2"/>
    <w:rsid w:val="00055834"/>
    <w:rsid w:val="00060916"/>
    <w:rsid w:val="00075B44"/>
    <w:rsid w:val="00097A42"/>
    <w:rsid w:val="000A7B30"/>
    <w:rsid w:val="000D511E"/>
    <w:rsid w:val="000F3B02"/>
    <w:rsid w:val="000F701A"/>
    <w:rsid w:val="00130A9E"/>
    <w:rsid w:val="00163EED"/>
    <w:rsid w:val="001A6433"/>
    <w:rsid w:val="001B3902"/>
    <w:rsid w:val="001F25A6"/>
    <w:rsid w:val="00204104"/>
    <w:rsid w:val="00207E8E"/>
    <w:rsid w:val="00241F64"/>
    <w:rsid w:val="002B5D9F"/>
    <w:rsid w:val="002C157D"/>
    <w:rsid w:val="002C6FEB"/>
    <w:rsid w:val="003152FC"/>
    <w:rsid w:val="003231ED"/>
    <w:rsid w:val="00386B74"/>
    <w:rsid w:val="003965B3"/>
    <w:rsid w:val="003B756D"/>
    <w:rsid w:val="003C3A6D"/>
    <w:rsid w:val="003D690E"/>
    <w:rsid w:val="003E1483"/>
    <w:rsid w:val="003E5787"/>
    <w:rsid w:val="00403ADB"/>
    <w:rsid w:val="00413341"/>
    <w:rsid w:val="00422F2B"/>
    <w:rsid w:val="00425797"/>
    <w:rsid w:val="004739FB"/>
    <w:rsid w:val="00477B54"/>
    <w:rsid w:val="00481F06"/>
    <w:rsid w:val="004B47A2"/>
    <w:rsid w:val="004D12D3"/>
    <w:rsid w:val="004D4B1E"/>
    <w:rsid w:val="004E546E"/>
    <w:rsid w:val="004F4876"/>
    <w:rsid w:val="005032C0"/>
    <w:rsid w:val="00505071"/>
    <w:rsid w:val="005234E9"/>
    <w:rsid w:val="005267F7"/>
    <w:rsid w:val="00572FD3"/>
    <w:rsid w:val="005A047A"/>
    <w:rsid w:val="005A2602"/>
    <w:rsid w:val="005C7C76"/>
    <w:rsid w:val="005E7009"/>
    <w:rsid w:val="005F57DC"/>
    <w:rsid w:val="006131E0"/>
    <w:rsid w:val="006146CD"/>
    <w:rsid w:val="00615455"/>
    <w:rsid w:val="006816B5"/>
    <w:rsid w:val="006D4BA8"/>
    <w:rsid w:val="006D70EA"/>
    <w:rsid w:val="006E4434"/>
    <w:rsid w:val="006F5600"/>
    <w:rsid w:val="00716485"/>
    <w:rsid w:val="007319CF"/>
    <w:rsid w:val="007843E6"/>
    <w:rsid w:val="007B63AA"/>
    <w:rsid w:val="00845FCE"/>
    <w:rsid w:val="00860BF6"/>
    <w:rsid w:val="008720C4"/>
    <w:rsid w:val="0087580E"/>
    <w:rsid w:val="008A48E7"/>
    <w:rsid w:val="008E3FE5"/>
    <w:rsid w:val="008F23A5"/>
    <w:rsid w:val="008F52AF"/>
    <w:rsid w:val="008F679F"/>
    <w:rsid w:val="008F6C69"/>
    <w:rsid w:val="00931BAE"/>
    <w:rsid w:val="0094503B"/>
    <w:rsid w:val="00947849"/>
    <w:rsid w:val="0098075C"/>
    <w:rsid w:val="00984E62"/>
    <w:rsid w:val="00987BA5"/>
    <w:rsid w:val="009A33E5"/>
    <w:rsid w:val="009A3C87"/>
    <w:rsid w:val="009B0231"/>
    <w:rsid w:val="009B70A4"/>
    <w:rsid w:val="009C5E5A"/>
    <w:rsid w:val="009D0DFA"/>
    <w:rsid w:val="009E0B45"/>
    <w:rsid w:val="009E213F"/>
    <w:rsid w:val="009E7AC9"/>
    <w:rsid w:val="009F0672"/>
    <w:rsid w:val="009F1E05"/>
    <w:rsid w:val="00A24A2E"/>
    <w:rsid w:val="00A374FB"/>
    <w:rsid w:val="00A51975"/>
    <w:rsid w:val="00A524C7"/>
    <w:rsid w:val="00A6169B"/>
    <w:rsid w:val="00A96F92"/>
    <w:rsid w:val="00AA594B"/>
    <w:rsid w:val="00AE0A94"/>
    <w:rsid w:val="00AE38D7"/>
    <w:rsid w:val="00AE730F"/>
    <w:rsid w:val="00AF0268"/>
    <w:rsid w:val="00B101D3"/>
    <w:rsid w:val="00B13EAA"/>
    <w:rsid w:val="00B246C5"/>
    <w:rsid w:val="00B42DF4"/>
    <w:rsid w:val="00B44F75"/>
    <w:rsid w:val="00B505FD"/>
    <w:rsid w:val="00B5743C"/>
    <w:rsid w:val="00B73DBA"/>
    <w:rsid w:val="00BB68B1"/>
    <w:rsid w:val="00BE53ED"/>
    <w:rsid w:val="00BF0A1F"/>
    <w:rsid w:val="00BF2FA3"/>
    <w:rsid w:val="00BF3FC4"/>
    <w:rsid w:val="00C1024F"/>
    <w:rsid w:val="00C341CF"/>
    <w:rsid w:val="00C70A41"/>
    <w:rsid w:val="00C801CE"/>
    <w:rsid w:val="00CF04EB"/>
    <w:rsid w:val="00D06EED"/>
    <w:rsid w:val="00D21B51"/>
    <w:rsid w:val="00D27422"/>
    <w:rsid w:val="00D31C52"/>
    <w:rsid w:val="00D33940"/>
    <w:rsid w:val="00D343E2"/>
    <w:rsid w:val="00D600FD"/>
    <w:rsid w:val="00D649A8"/>
    <w:rsid w:val="00D83436"/>
    <w:rsid w:val="00DC0D72"/>
    <w:rsid w:val="00DC53D5"/>
    <w:rsid w:val="00E17A60"/>
    <w:rsid w:val="00E318EE"/>
    <w:rsid w:val="00E65ED1"/>
    <w:rsid w:val="00E71BA3"/>
    <w:rsid w:val="00E8656F"/>
    <w:rsid w:val="00E87007"/>
    <w:rsid w:val="00E92093"/>
    <w:rsid w:val="00EB088A"/>
    <w:rsid w:val="00EB4BAE"/>
    <w:rsid w:val="00EE2950"/>
    <w:rsid w:val="00EF201B"/>
    <w:rsid w:val="00F33955"/>
    <w:rsid w:val="00F657BF"/>
    <w:rsid w:val="00F84404"/>
    <w:rsid w:val="00FA2014"/>
    <w:rsid w:val="00FA71AB"/>
    <w:rsid w:val="00FE044E"/>
    <w:rsid w:val="00FE2E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46F9323"/>
  <w15:docId w15:val="{1295E2FD-283A-4ACC-8EA1-A7A54BFA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qFormat/>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qFormat/>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character" w:styleId="Collegamentoipertestuale">
    <w:name w:val="Hyperlink"/>
    <w:basedOn w:val="Carpredefinitoparagrafo"/>
    <w:uiPriority w:val="99"/>
    <w:unhideWhenUsed/>
    <w:rsid w:val="005A2602"/>
    <w:rPr>
      <w:color w:val="0000FF" w:themeColor="hyperlink"/>
      <w:u w:val="single"/>
    </w:rPr>
  </w:style>
  <w:style w:type="paragraph" w:customStyle="1" w:styleId="StileGC1">
    <w:name w:val="StileGC1"/>
    <w:basedOn w:val="Normale"/>
    <w:next w:val="Normale"/>
    <w:link w:val="StileGC1Carattere"/>
    <w:qFormat/>
    <w:rsid w:val="00FA2014"/>
    <w:pPr>
      <w:numPr>
        <w:numId w:val="20"/>
      </w:numPr>
      <w:spacing w:before="120" w:after="120" w:line="276" w:lineRule="auto"/>
      <w:ind w:left="360"/>
    </w:pPr>
    <w:rPr>
      <w:b/>
      <w:bCs/>
      <w:kern w:val="2"/>
      <w:sz w:val="24"/>
      <w14:ligatures w14:val="standardContextual"/>
    </w:rPr>
  </w:style>
  <w:style w:type="character" w:customStyle="1" w:styleId="StileGC1Carattere">
    <w:name w:val="StileGC1 Carattere"/>
    <w:basedOn w:val="Carpredefinitoparagrafo"/>
    <w:link w:val="StileGC1"/>
    <w:rsid w:val="00FA2014"/>
    <w:rPr>
      <w:rFonts w:ascii="Arial" w:hAnsi="Arial"/>
      <w:b/>
      <w:bCs/>
      <w:kern w:val="2"/>
      <w:sz w:val="24"/>
      <w:lang w:val="it-CH"/>
      <w14:ligatures w14:val="standardContextual"/>
    </w:rPr>
  </w:style>
  <w:style w:type="paragraph" w:customStyle="1" w:styleId="StileGC2">
    <w:name w:val="StileGC2"/>
    <w:basedOn w:val="Normale"/>
    <w:qFormat/>
    <w:rsid w:val="00FA2014"/>
    <w:pPr>
      <w:numPr>
        <w:ilvl w:val="1"/>
        <w:numId w:val="20"/>
      </w:numPr>
      <w:spacing w:before="120" w:after="120" w:line="276" w:lineRule="auto"/>
      <w:ind w:left="360"/>
    </w:pPr>
    <w:rPr>
      <w:b/>
      <w:bCs/>
      <w:kern w:val="2"/>
      <w:sz w:val="24"/>
      <w14:ligatures w14:val="standardContextual"/>
    </w:rPr>
  </w:style>
  <w:style w:type="paragraph" w:styleId="Testofumetto">
    <w:name w:val="Balloon Text"/>
    <w:basedOn w:val="Normale"/>
    <w:link w:val="TestofumettoCarattere"/>
    <w:uiPriority w:val="99"/>
    <w:semiHidden/>
    <w:unhideWhenUsed/>
    <w:rsid w:val="00C70A4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70A41"/>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15175\AppData\Local\Temp\OneOffixx\generated\5c5176c7-4eae-49f2-813f-184611d904ab.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1086008322</Id>
      <Width>0</Width>
      <Height>0</Height>
      <XPath>//Image[@id='Profile.Org.WappenSW']</XPath>
      <ImageHash>02f1c0cdac6aeac316213b2e7cb733a0</ImageHash>
    </ImageSizeDefinition>
    <ImageSizeDefinition>
      <Id>386228271</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2 d 6 9 0 0 f 0 - f 8 a 3 - 4 a 2 4 - a a f a - 4 0 d 9 7 9 4 f 4 b a 8 "   t I d = " a 3 6 2 a 5 d 4 - 9 5 8 9 - 4 1 b f - a 4 e 6 - 4 f 8 7 c 4 e 4 1 2 3 9 "   i n t e r n a l T I d = " 9 0 6 4 c c 7 f - 3 1 6 d - 4 6 b 1 - a 4 a c - 7 4 8 6 0 c 3 f 8 a 5 b "   m t I d = " 2 7 5 a f 3 2 e - b c 4 0 - 4 5 c 2 - 8 5 b 7 - a f b 1 c 0 3 8 2 6 5 3 "   r e v i s i o n = " 0 "   c r e a t e d m a j o r v e r s i o n = " 0 "   c r e a t e d m i n o r v e r s i o n = " 0 "   c r e a t e d = " 2 0 2 3 - 1 0 - 3 0 T 1 5 : 5 4 : 0 3 . 6 4 0 3 6 5 Z "   m o d i f i e d m a j o r v e r s i o n = " 0 "   m o d i f i e d m i n o r v e r s i o n = " 0 "   m o d i f i e d = " 0 0 0 1 - 0 1 - 0 1 T 0 0 : 0 0 : 0 0 "   p r o f i l e = " a 8 c 9 c 3 2 0 - 5 b 5 e - 4 2 1 4 - 9 e 5 4 - 6 8 4 e 7 1 7 5 9 3 e 5 "   m o d e = " S a v e d D o c u m e n t "   c o l o r m o d e = " C o l o r "   l c i d = " 2 0 6 4 "   x m l n s = " h t t p : / / s c h e m a . o n e o f f i x x . c o m / O n e O f f i x x D o c u m e n t P a r t / 1 " >  
     < C o n t e n t >  
         < D a t a M o d e l   x m l n s = " " >  
             < S c r i p t i n g >  
                 < T e x t   i d = " C u s t o m E l e m e n t s . S u b T e m p l a t e . L a n d s c a p e . H e a d e r . O r g I n f o s "   l a b e l = " C u s t o m E l e m e n t s . S u b T e m p l a t e . L a n d s c a p e . H e a d e r . O r g I n f o s " > < ! [ C D A T A [ G r a n   C o n s i g l i o ] ] > < / T e x t >  
                 < T e x t   i d = " C u s t o m E l e m e n t s . S u b T e m p l a t e . L a n d s c a p e . H e a d e r . T i t o l o "   l a b e l = " C u s t o m E l e m e n t s . S u b T e m p l a t e . L a n d s c a p e . H e a d e r . T i t o l o " > < ! [ C D A T A [ R a p p o r t o   d i   m a g g i o r a n z a   d e l   2 7   n o v e m b r e   2 0 2 3 ] ] > < / T e x t >  
                 < T e x t   i d = " C u s t o m E l e m e n t s . T e x t s . D r a f t "   l a b e l = " C u s t o m E l e m e n t s . T e x t s . D r a f t " > < ! [ C D A T A [ B o z z a ] ] > < / T e x t >  
                 < T e x t   i d = " C u s t o m E l e m e n t s . F i e l d s . D i p a r t i m e n t i "   l a b e l = " C u s t o m E l e m e n t s . F i e l d s . D i p a r t i m e n t i " > < ! [ C D A T A [ G r a n   C o n s i g l i o ] ] > < / T e x t >  
                 < T e x t   i d = " C u s t o m E l e m e n t s . F i e l d s . T i t o l o 1 "   l a b e l = " C u s t o m E l e m e n t s . F i e l d s . T i t o l o 1 " > < ! [ C D A T A [ R a p p o r t o   d i   m a g g i o r a n z a ] ] > < / T e x t >  
                 < T e x t   i d = " C u s t o m E l e m e n t s . F i e l d s . T i t o l o 2 "   l a b e l = " C u s t o m E l e m e n t s . F i e l d s . T i t o l o 2 " > < ! [ C D A T A [ R a p p o r t o   d i   m a g g i o r a n z a   d e l   2 7   n o v e m b r e   2 0 2 3 ] ] > < / T e x t >  
                 < T e x t   i d = " C u s t o m E l e m e n t s . F i e l d s . O r g L i v e l l o 1 "   l a b e l = " C u s t o m E l e m e n t s . F i e l d s . O r g L i v e l l o 1 " > < ! [ C D A T A [ R e p u b b l i c a   e   C a n t o n e   T i c i n o ] ] > < / T e x t >  
             < / S c r i p t i n g >  
             < P r o f i l e >  
                 < T e x t   i d = " P r o f i l e . I d "   l a b e l = " P r o f i l e . I d " > < ! [ C D A T A [ a 8 c 9 c 3 2 0 - 5 b 5 e - 4 2 1 4 - 9 e 5 4 - 6 8 4 e 7 1 7 5 9 3 e 5 ] ] > < / 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d a n i e l a . a r a t o @ t i . c h ] ] > < / T e x t >  
                 < T e x t   i d = " P r o f i l e . U s e r . F i r s t N a m e "   l a b e l = " P r o f i l e . U s e r . F i r s t N a m e " > < ! [ C D A T A [ D a n i e l a ] ] > < / T e x t >  
                 < T e x t   i d = " P r o f i l e . U s e r . F u n c t i o n "   l a b e l = " P r o f i l e . U s e r . F u n c t i o n " > < ! [ C D A T A [ S G C ] ] > < / T e x t >  
                 < T e x t   i d = " P r o f i l e . U s e r . L a s t N a m e "   l a b e l = " P r o f i l e . U s e r . L a s t N a m e " > < ! [ C D A T A [ A r a t o ] ] > < / T e x t >  
                 < T e x t   i d = " P r o f i l e . U s e r . M o b i l e "   l a b e l = " P r o f i l e . U s e r . M o b i l e " > < ! [ C D A T A [   ] ] > < / T e x t >  
                 < T e x t   i d = " P r o f i l e . U s e r . P h o n e "   l a b e l = " P r o f i l e . U s e r . P h o n e " > < ! [ C D A T A [ + 4 1 9 1 8 1 4 4 3 1 3 ] ] > < / 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d a n i e l a . a r a t o @ t i . c h ] ] > < / T e x t >  
                 < T e x t   i d = " A u t h o r . U s e r . F i r s t N a m e "   l a b e l = " A u t h o r . U s e r . F i r s t N a m e " > < ! [ C D A T A [ D a n i e l a ] ] > < / T e x t >  
                 < T e x t   i d = " A u t h o r . U s e r . F u n c t i o n "   l a b e l = " A u t h o r . U s e r . F u n c t i o n " > < ! [ C D A T A [ S G C ] ] > < / T e x t >  
                 < T e x t   i d = " A u t h o r . U s e r . L a s t N a m e "   l a b e l = " A u t h o r . U s e r . L a s t N a m e " > < ! [ C D A T A [ A r a t o ] ] > < / T e x t >  
                 < T e x t   i d = " A u t h o r . U s e r . M o b i l e "   l a b e l = " A u t h o r . U s e r . M o b i l e " > < ! [ C D A T A [   ] ] > < / T e x t >  
                 < T e x t   i d = " A u t h o r . U s e r . P h o n e "   l a b e l = " A u t h o r . U s e r . P h o n e " > < ! [ C D A T A [ + 4 1 9 1 8 1 4 4 3 1 3 ] ] > < / T e x t >  
                 < T e x t   i d = " A u t h o r . U s e r . S a l u t a t i o n "   l a b e l = " A u t h o r . U s e r . S a l u t a t i o n " > < ! [ C D A T A [   ] ] > < / T e x t >  
                 < T e x t   i d = " A u t h o r . U s e r . T i t l e "   l a b e l = " A u t h o r . U s e r . T i t l e " > < ! [ C D A T A [   ] ] > < / T e x t >  
             < / A u t h o r >  
             < S i g n e r _ 0 >  
                 < T e x t   i d = " S i g n e r _ 0 . I d "   l a b e l = " S i g n e r _ 0 . I d " > < ! [ C D A T A [ a 8 c 9 c 3 2 0 - 5 b 5 e - 4 2 1 4 - 9 e 5 4 - 6 8 4 e 7 1 7 5 9 3 e 5 ] ] > < / 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d a n i e l a . a r a t o @ t i . c h ] ] > < / T e x t >  
                 < T e x t   i d = " S i g n e r _ 0 . U s e r . F i r s t N a m e "   l a b e l = " S i g n e r _ 0 . U s e r . F i r s t N a m e " > < ! [ C D A T A [ D a n i e l a ] ] > < / T e x t >  
                 < T e x t   i d = " S i g n e r _ 0 . U s e r . F u n c t i o n "   l a b e l = " S i g n e r _ 0 . U s e r . F u n c t i o n " > < ! [ C D A T A [ S G C ] ] > < / T e x t >  
                 < T e x t   i d = " S i g n e r _ 0 . U s e r . L a s t N a m e "   l a b e l = " S i g n e r _ 0 . U s e r . L a s t N a m e " > < ! [ C D A T A [ A r a t o ] ] > < / T e x t >  
                 < T e x t   i d = " S i g n e r _ 0 . U s e r . M o b i l e "   l a b e l = " S i g n e r _ 0 . U s e r . M o b i l e " > < ! [ C D A T A [   ] ] > < / T e x t >  
                 < T e x t   i d = " S i g n e r _ 0 . U s e r . P h o n e "   l a b e l = " S i g n e r _ 0 . U s e r . P h o n e " > < ! [ C D A T A [ + 4 1 9 1 8 1 4 4 3 1 3 ] ] > < / 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 2 0 2 3 - 1 1 - 2 7 T 0 0 : 0 0 : 0 0 Z < / D a t e T i m e >  
                 < T e x t   i d = " D o c P a r a m . N u m b e r " > < ! [ C D A T A [   ] ] > < / T e x t >  
                 < T e x t   i d = " D o c P a r a m . D o c u m e n t o " > < ! [ C D A T A [ R a p p o r t o   d i   m a g g i o r a n z a ] ] > < / T e x t >  
                 < T e x t   i d = " D o c P a r a m . A g g i u n t a D o c "   t o o l t i p = " ( e s .   b i s ,   a g g i u n t i v o ,   a g g i u n t i v o   b i s ,   1 ,   2   e c c . ) " > < ! [ C D A T A [   ] ] > < / T e x t >  
                 < T e x t   i d = " D o c P a r a m . D i p a r t i m e n t i " > < ! [ C D A T A [ G r a n   C o n s i g l i o ] ] > < / 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FE43E8D-3844-450F-9256-6B90196F2DC1}">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CCBCA820-4CF2-4900-8B18-A783C1C83870}">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5c5176c7-4eae-49f2-813f-184611d904ab.dotx</Template>
  <TotalTime>10</TotalTime>
  <Pages>5</Pages>
  <Words>1667</Words>
  <Characters>9502</Characters>
  <Application>Microsoft Office Word</Application>
  <DocSecurity>0</DocSecurity>
  <Lines>79</Lines>
  <Paragraphs>22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Arato Daniela / t115175</dc:creator>
  <cp:lastModifiedBy>Venturi Luca</cp:lastModifiedBy>
  <cp:revision>23</cp:revision>
  <cp:lastPrinted>2023-11-28T10:13:00Z</cp:lastPrinted>
  <dcterms:created xsi:type="dcterms:W3CDTF">2023-11-28T09:59:00Z</dcterms:created>
  <dcterms:modified xsi:type="dcterms:W3CDTF">2023-11-28T10:15:00Z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