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D8B" w:rsidRPr="00713D8B" w:rsidRDefault="00713D8B" w:rsidP="00713D8B">
      <w:pPr>
        <w:rPr>
          <w:rFonts w:eastAsia="Times New Roman" w:cs="Arial"/>
          <w:b/>
          <w:snapToGrid w:val="0"/>
          <w:sz w:val="28"/>
          <w:szCs w:val="28"/>
          <w:lang w:val="it-IT" w:eastAsia="it-IT"/>
        </w:rPr>
      </w:pPr>
      <w:r w:rsidRPr="00713D8B">
        <w:rPr>
          <w:rFonts w:eastAsia="Times New Roman" w:cs="Arial"/>
          <w:b/>
          <w:snapToGrid w:val="0"/>
          <w:sz w:val="28"/>
          <w:szCs w:val="28"/>
          <w:lang w:val="it-IT" w:eastAsia="it-IT"/>
        </w:rPr>
        <w:t xml:space="preserve">della Commissione </w:t>
      </w:r>
      <w:r w:rsidR="00FF7F82">
        <w:rPr>
          <w:rFonts w:eastAsia="Times New Roman" w:cs="Arial"/>
          <w:b/>
          <w:sz w:val="28"/>
          <w:szCs w:val="28"/>
          <w:lang w:val="it-IT" w:eastAsia="it-IT"/>
        </w:rPr>
        <w:t>Costituzione e l</w:t>
      </w:r>
      <w:bookmarkStart w:id="0" w:name="_GoBack"/>
      <w:bookmarkEnd w:id="0"/>
      <w:r w:rsidRPr="00713D8B">
        <w:rPr>
          <w:rFonts w:eastAsia="Times New Roman" w:cs="Arial"/>
          <w:b/>
          <w:sz w:val="28"/>
          <w:szCs w:val="28"/>
          <w:lang w:val="it-IT" w:eastAsia="it-IT"/>
        </w:rPr>
        <w:t>eggi</w:t>
      </w:r>
    </w:p>
    <w:p w:rsidR="00713D8B" w:rsidRPr="00713D8B" w:rsidRDefault="00713D8B" w:rsidP="00713D8B">
      <w:pPr>
        <w:rPr>
          <w:rFonts w:eastAsia="Times New Roman" w:cs="Times New Roman"/>
          <w:b/>
          <w:sz w:val="28"/>
          <w:szCs w:val="28"/>
          <w:lang w:val="it-IT" w:eastAsia="it-IT"/>
        </w:rPr>
      </w:pPr>
      <w:bookmarkStart w:id="1" w:name="_Toc151192545"/>
      <w:bookmarkStart w:id="2" w:name="_Toc151192911"/>
      <w:r w:rsidRPr="00713D8B">
        <w:rPr>
          <w:rFonts w:eastAsia="Times New Roman" w:cs="Times New Roman"/>
          <w:b/>
          <w:sz w:val="28"/>
          <w:szCs w:val="28"/>
          <w:lang w:val="it-IT" w:eastAsia="it-IT"/>
        </w:rPr>
        <w:t>sull'iniziativa parlamentare 13 febbraio 2023 presentata nella forma elaborata dalla Commissione giustizia e diritti per la modifica dell’art. 23 della Legge sul Gran Consiglio e sui rapporti con il Consiglio di Stato (LGC)</w:t>
      </w:r>
      <w:r w:rsidRPr="00713D8B">
        <w:rPr>
          <w:rFonts w:eastAsia="Times New Roman" w:cs="Times New Roman"/>
          <w:b/>
          <w:sz w:val="28"/>
          <w:szCs w:val="20"/>
          <w:lang w:val="it-IT" w:eastAsia="it-IT"/>
        </w:rPr>
        <w:t xml:space="preserve"> </w:t>
      </w:r>
    </w:p>
    <w:p w:rsidR="00713D8B" w:rsidRDefault="00713D8B" w:rsidP="00713D8B">
      <w:pPr>
        <w:rPr>
          <w:rFonts w:eastAsia="Times New Roman" w:cs="Times New Roman"/>
          <w:sz w:val="24"/>
          <w:szCs w:val="20"/>
          <w:lang w:val="it-IT" w:eastAsia="it-IT"/>
        </w:rPr>
      </w:pPr>
    </w:p>
    <w:p w:rsidR="00713D8B" w:rsidRDefault="00713D8B" w:rsidP="00713D8B">
      <w:pPr>
        <w:rPr>
          <w:rFonts w:eastAsia="Times New Roman" w:cs="Times New Roman"/>
          <w:sz w:val="24"/>
          <w:szCs w:val="20"/>
          <w:lang w:val="it-IT" w:eastAsia="it-IT"/>
        </w:rPr>
      </w:pPr>
    </w:p>
    <w:p w:rsidR="00F53B7A" w:rsidRPr="00713D8B" w:rsidRDefault="00F53B7A" w:rsidP="00713D8B">
      <w:pPr>
        <w:rPr>
          <w:rFonts w:eastAsia="Times New Roman" w:cs="Times New Roman"/>
          <w:sz w:val="24"/>
          <w:szCs w:val="20"/>
          <w:lang w:val="it-IT" w:eastAsia="it-IT"/>
        </w:rPr>
      </w:pPr>
    </w:p>
    <w:p w:rsidR="00713D8B" w:rsidRPr="00713D8B" w:rsidRDefault="00F53B7A" w:rsidP="00F53B7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1.</w:t>
      </w:r>
      <w:r>
        <w:rPr>
          <w:rFonts w:eastAsia="Calibri" w:cs="Times New Roman"/>
          <w:caps/>
          <w:sz w:val="24"/>
          <w:szCs w:val="24"/>
          <w:lang w:val="it-IT" w:eastAsia="it-IT"/>
        </w:rPr>
        <w:tab/>
      </w:r>
      <w:r w:rsidR="00713D8B" w:rsidRPr="00713D8B">
        <w:rPr>
          <w:rFonts w:eastAsia="Calibri" w:cs="Times New Roman"/>
          <w:caps/>
          <w:sz w:val="24"/>
          <w:szCs w:val="24"/>
          <w:lang w:val="it-IT" w:eastAsia="it-IT"/>
        </w:rPr>
        <w:t>PREMESSA</w:t>
      </w: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L’iniziativa parlamentare qui in discussione nasce da alcune riflessioni sviluppate dalla Commissione giustizia e diritti in merito alla natura delle competenze e dei compiti che le sono demandati, rispettivamente delle modalità concrete del loro espletamento. Riflessioni che sono state esplicitate in seno al rapporto 30 gennaio 2023 relativo alla Procedura di elezione dei magistrati (cfr. pag. 10).</w:t>
      </w:r>
    </w:p>
    <w:p w:rsidR="00713D8B" w:rsidRDefault="00713D8B" w:rsidP="00713D8B">
      <w:pPr>
        <w:rPr>
          <w:rFonts w:eastAsia="Times New Roman" w:cs="Times New Roman"/>
          <w:sz w:val="24"/>
          <w:szCs w:val="20"/>
          <w:lang w:val="it-IT" w:eastAsia="it-IT"/>
        </w:rPr>
      </w:pPr>
    </w:p>
    <w:p w:rsidR="00F53B7A" w:rsidRDefault="00F53B7A" w:rsidP="00713D8B">
      <w:pPr>
        <w:rPr>
          <w:rFonts w:eastAsia="Times New Roman" w:cs="Times New Roman"/>
          <w:sz w:val="24"/>
          <w:szCs w:val="20"/>
          <w:lang w:val="it-IT" w:eastAsia="it-IT"/>
        </w:rPr>
      </w:pPr>
    </w:p>
    <w:p w:rsidR="00F53B7A" w:rsidRPr="00713D8B" w:rsidRDefault="00F53B7A" w:rsidP="00713D8B">
      <w:pPr>
        <w:rPr>
          <w:rFonts w:eastAsia="Times New Roman" w:cs="Times New Roman"/>
          <w:sz w:val="24"/>
          <w:szCs w:val="20"/>
          <w:lang w:val="it-IT" w:eastAsia="it-IT"/>
        </w:rPr>
      </w:pPr>
    </w:p>
    <w:p w:rsidR="00713D8B" w:rsidRPr="00713D8B" w:rsidRDefault="00F53B7A" w:rsidP="00F53B7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713D8B" w:rsidRPr="00713D8B">
        <w:rPr>
          <w:rFonts w:eastAsia="Calibri" w:cs="Times New Roman"/>
          <w:caps/>
          <w:sz w:val="24"/>
          <w:szCs w:val="24"/>
          <w:lang w:val="it-IT" w:eastAsia="it-IT"/>
        </w:rPr>
        <w:t xml:space="preserve">L'INIZIATIVA PARLAMENTARE ELABORATA PRESENTATA DALLA </w:t>
      </w:r>
      <w:r>
        <w:rPr>
          <w:rFonts w:eastAsia="Calibri" w:cs="Times New Roman"/>
          <w:caps/>
          <w:sz w:val="24"/>
          <w:szCs w:val="24"/>
          <w:lang w:val="it-IT" w:eastAsia="it-IT"/>
        </w:rPr>
        <w:tab/>
      </w:r>
      <w:r w:rsidR="00713D8B" w:rsidRPr="00713D8B">
        <w:rPr>
          <w:rFonts w:eastAsia="Calibri" w:cs="Times New Roman"/>
          <w:caps/>
          <w:sz w:val="24"/>
          <w:szCs w:val="24"/>
          <w:lang w:val="it-IT" w:eastAsia="it-IT"/>
        </w:rPr>
        <w:t>COMMISSIONE GIUSTIZIA E DIRITTI DEL 13 FEBBRAIO 2023</w:t>
      </w: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Concretamente la proposta della Commissione giustizia e diritti è quella di procedere ad una modifica della formulazione del testo dell’art. 23 della Legge sul Gran Consiglio e sui rapporti con il Consiglio di Stato</w:t>
      </w:r>
      <w:r w:rsidRPr="00713D8B">
        <w:rPr>
          <w:rFonts w:eastAsia="Times New Roman" w:cs="Arial"/>
          <w:color w:val="000000"/>
          <w:sz w:val="24"/>
          <w:szCs w:val="20"/>
          <w:lang w:val="it-IT" w:eastAsia="it-IT"/>
        </w:rPr>
        <w:t xml:space="preserve"> del 24 febbraio 2015 </w:t>
      </w:r>
      <w:r w:rsidRPr="00713D8B">
        <w:rPr>
          <w:rFonts w:eastAsia="Times New Roman" w:cs="Times New Roman"/>
          <w:sz w:val="24"/>
          <w:szCs w:val="20"/>
          <w:lang w:val="it-IT" w:eastAsia="it-IT"/>
        </w:rPr>
        <w:t>(LGC), ossia della disposizione di Legge che definisce le competenze della Commissione stessa.</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Attualmente l’art. 23 LGC ha il seguente tenore letterale:</w:t>
      </w:r>
    </w:p>
    <w:p w:rsidR="00713D8B" w:rsidRPr="00713D8B" w:rsidRDefault="00713D8B" w:rsidP="00713D8B">
      <w:pPr>
        <w:rPr>
          <w:rFonts w:eastAsia="Times New Roman" w:cs="Times New Roman"/>
          <w:sz w:val="10"/>
          <w:szCs w:val="10"/>
          <w:lang w:val="it-IT" w:eastAsia="it-IT"/>
        </w:rPr>
      </w:pP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b/>
          <w:bCs/>
          <w:color w:val="000000"/>
          <w:sz w:val="24"/>
          <w:szCs w:val="24"/>
          <w:lang w:eastAsia="it-IT"/>
        </w:rPr>
        <w:t>Art. 23</w:t>
      </w:r>
      <w:bookmarkStart w:id="3" w:name="_ftnref11"/>
      <w:bookmarkEnd w:id="3"/>
      <w:r w:rsidRPr="00713D8B">
        <w:rPr>
          <w:rFonts w:eastAsia="Times New Roman" w:cs="Arial"/>
          <w:color w:val="000000"/>
          <w:sz w:val="24"/>
          <w:szCs w:val="24"/>
          <w:lang w:eastAsia="it-IT"/>
        </w:rPr>
        <w:t xml:space="preserve"> La Commissione giustizia e diritti esamina e preavvisa:</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a)</w:t>
      </w:r>
      <w:r w:rsidRPr="00713D8B">
        <w:rPr>
          <w:rFonts w:eastAsia="Times New Roman" w:cs="Arial"/>
          <w:color w:val="000000"/>
          <w:sz w:val="24"/>
          <w:szCs w:val="24"/>
          <w:lang w:eastAsia="it-IT"/>
        </w:rPr>
        <w:tab/>
        <w:t>le questioni inerenti all’alta vigilanza sulle autorità giudiziarie, curando altresì le relazioni con il Consiglio della magistratura;</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b)</w:t>
      </w:r>
      <w:r w:rsidRPr="00713D8B">
        <w:rPr>
          <w:rFonts w:eastAsia="Times New Roman" w:cs="Arial"/>
          <w:color w:val="000000"/>
          <w:sz w:val="24"/>
          <w:szCs w:val="24"/>
          <w:lang w:eastAsia="it-IT"/>
        </w:rPr>
        <w:tab/>
        <w:t>l’elezione dei magistrati, secondo quanto disposto dalla legge sull’organizzazione giudiziaria, istituendo a tal fine un’apposita sottocommissione, composta di un membro per gruppo, alla quale potrà delegare l’esercizio di determinate competenze;</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c)</w:t>
      </w:r>
      <w:r w:rsidRPr="00713D8B">
        <w:rPr>
          <w:rFonts w:eastAsia="Times New Roman" w:cs="Arial"/>
          <w:color w:val="000000"/>
          <w:sz w:val="24"/>
          <w:szCs w:val="24"/>
          <w:lang w:eastAsia="it-IT"/>
        </w:rPr>
        <w:tab/>
        <w:t>gli oggetti riguardanti l’organizzazione giudiziaria, nonché la procedura civile, penale e amministrativa;</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d)</w:t>
      </w:r>
      <w:r w:rsidRPr="00713D8B">
        <w:rPr>
          <w:rFonts w:eastAsia="Times New Roman" w:cs="Arial"/>
          <w:color w:val="000000"/>
          <w:sz w:val="24"/>
          <w:szCs w:val="24"/>
          <w:lang w:eastAsia="it-IT"/>
        </w:rPr>
        <w:tab/>
        <w:t>le petizioni indirizzate al Gran Consiglio relative a oggetti non assegnati ad altre Commissioni;</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e)</w:t>
      </w:r>
      <w:r w:rsidRPr="00713D8B">
        <w:rPr>
          <w:rFonts w:eastAsia="Times New Roman" w:cs="Arial"/>
          <w:color w:val="000000"/>
          <w:sz w:val="24"/>
          <w:szCs w:val="24"/>
          <w:lang w:eastAsia="it-IT"/>
        </w:rPr>
        <w:tab/>
        <w:t>le domande di naturalizzazione;</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f)</w:t>
      </w:r>
      <w:r w:rsidRPr="00713D8B">
        <w:rPr>
          <w:rFonts w:eastAsia="Times New Roman" w:cs="Arial"/>
          <w:color w:val="000000"/>
          <w:sz w:val="24"/>
          <w:szCs w:val="24"/>
          <w:lang w:eastAsia="it-IT"/>
        </w:rPr>
        <w:tab/>
        <w:t>le domande di grazia;</w:t>
      </w:r>
    </w:p>
    <w:p w:rsidR="00713D8B" w:rsidRPr="00713D8B" w:rsidRDefault="00713D8B" w:rsidP="00F53B7A">
      <w:pPr>
        <w:ind w:left="284" w:right="187"/>
        <w:rPr>
          <w:rFonts w:eastAsia="Times New Roman" w:cs="Arial"/>
          <w:color w:val="000000"/>
          <w:sz w:val="24"/>
          <w:szCs w:val="24"/>
          <w:lang w:eastAsia="it-IT"/>
        </w:rPr>
      </w:pPr>
      <w:r w:rsidRPr="00713D8B">
        <w:rPr>
          <w:rFonts w:eastAsia="Times New Roman" w:cs="Arial"/>
          <w:color w:val="000000"/>
          <w:sz w:val="24"/>
          <w:szCs w:val="24"/>
          <w:lang w:eastAsia="it-IT"/>
        </w:rPr>
        <w:t>g)</w:t>
      </w:r>
      <w:r w:rsidRPr="00713D8B">
        <w:rPr>
          <w:rFonts w:eastAsia="Times New Roman" w:cs="Arial"/>
          <w:color w:val="000000"/>
          <w:sz w:val="24"/>
          <w:szCs w:val="24"/>
          <w:lang w:eastAsia="it-IT"/>
        </w:rPr>
        <w:tab/>
        <w:t>i ricorsi interposti al Gran Consiglio non assegnati ad altre Commissioni.</w:t>
      </w:r>
    </w:p>
    <w:p w:rsidR="00713D8B" w:rsidRPr="00713D8B" w:rsidRDefault="00713D8B" w:rsidP="00713D8B">
      <w:pPr>
        <w:rPr>
          <w:rFonts w:eastAsia="Times New Roman" w:cs="Times New Roman"/>
          <w:sz w:val="24"/>
          <w:szCs w:val="20"/>
          <w:lang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La Commissione giustizia e diritti ritiene in primo luogo impreciso l’impiego del verbo “</w:t>
      </w:r>
      <w:r w:rsidRPr="00713D8B">
        <w:rPr>
          <w:rFonts w:eastAsia="Times New Roman" w:cs="Times New Roman"/>
          <w:i/>
          <w:iCs/>
          <w:sz w:val="24"/>
          <w:szCs w:val="20"/>
          <w:lang w:val="it-IT" w:eastAsia="it-IT"/>
        </w:rPr>
        <w:t>preavvisare</w:t>
      </w:r>
      <w:r w:rsidRPr="00713D8B">
        <w:rPr>
          <w:rFonts w:eastAsia="Times New Roman" w:cs="Times New Roman"/>
          <w:sz w:val="24"/>
          <w:szCs w:val="20"/>
          <w:lang w:val="it-IT" w:eastAsia="it-IT"/>
        </w:rPr>
        <w:t xml:space="preserve">” per quanto attiene all’esercizio della competenza di cui all’art. 23 </w:t>
      </w:r>
      <w:proofErr w:type="spellStart"/>
      <w:r w:rsidRPr="00713D8B">
        <w:rPr>
          <w:rFonts w:eastAsia="Times New Roman" w:cs="Times New Roman"/>
          <w:sz w:val="24"/>
          <w:szCs w:val="20"/>
          <w:lang w:val="it-IT" w:eastAsia="it-IT"/>
        </w:rPr>
        <w:t>lett</w:t>
      </w:r>
      <w:proofErr w:type="spellEnd"/>
      <w:r w:rsidRPr="00713D8B">
        <w:rPr>
          <w:rFonts w:eastAsia="Times New Roman" w:cs="Times New Roman"/>
          <w:sz w:val="24"/>
          <w:szCs w:val="20"/>
          <w:lang w:val="it-IT" w:eastAsia="it-IT"/>
        </w:rPr>
        <w:t xml:space="preserve">. b LGC, </w:t>
      </w:r>
      <w:r w:rsidRPr="00713D8B">
        <w:rPr>
          <w:rFonts w:eastAsia="Times New Roman" w:cs="Times New Roman"/>
          <w:sz w:val="24"/>
          <w:szCs w:val="20"/>
          <w:lang w:val="it-IT" w:eastAsia="it-IT"/>
        </w:rPr>
        <w:lastRenderedPageBreak/>
        <w:t>ritenuto che nella realtà delle cose la Commissione giustizia e diritti raccoglie i preavvisi della Commissione di esperti indipendenti per l’elezione dei magistrati e del Consiglio della Magistratura e poi formula all’attenzione del Gran Consiglio delle proposte di elezione. In questo senso al posto del verbo “</w:t>
      </w:r>
      <w:r w:rsidRPr="00713D8B">
        <w:rPr>
          <w:rFonts w:eastAsia="Times New Roman" w:cs="Times New Roman"/>
          <w:i/>
          <w:iCs/>
          <w:sz w:val="24"/>
          <w:szCs w:val="20"/>
          <w:lang w:val="it-IT" w:eastAsia="it-IT"/>
        </w:rPr>
        <w:t>preavvisare</w:t>
      </w:r>
      <w:r w:rsidRPr="00713D8B">
        <w:rPr>
          <w:rFonts w:eastAsia="Times New Roman" w:cs="Times New Roman"/>
          <w:sz w:val="24"/>
          <w:szCs w:val="20"/>
          <w:lang w:val="it-IT" w:eastAsia="it-IT"/>
        </w:rPr>
        <w:t>”, a mente della Commissione giustizia e diritti, risulta più corretto il ricorso alla locuzione “formulare delle proposte”.</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Partendo da questa riflessione la Commissione giustizia e diritti ha ritenuto di proporre una revisione redazionale della norma, proponendo di definire in maniera più precisa, con scelte verbali più puntuali, l’esercizio di ciascuna delle puntuali competenze attribuite alla commissione stessa.</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La nuova formulazione dell’art. 23 LGC proposta dalla Commissione giustizia e diritti è la seguente:</w:t>
      </w:r>
    </w:p>
    <w:p w:rsidR="00713D8B" w:rsidRPr="00713D8B" w:rsidRDefault="00713D8B" w:rsidP="00713D8B">
      <w:pPr>
        <w:rPr>
          <w:rFonts w:eastAsia="Times New Roman" w:cs="Times New Roman"/>
          <w:sz w:val="10"/>
          <w:szCs w:val="10"/>
          <w:lang w:val="it-IT" w:eastAsia="it-IT"/>
        </w:rPr>
      </w:pPr>
    </w:p>
    <w:p w:rsidR="00713D8B" w:rsidRPr="00713D8B" w:rsidRDefault="00713D8B" w:rsidP="00F53B7A">
      <w:pPr>
        <w:spacing w:before="120"/>
        <w:ind w:left="142" w:right="187"/>
        <w:rPr>
          <w:rFonts w:eastAsia="Times New Roman" w:cs="Arial"/>
          <w:color w:val="000000"/>
          <w:sz w:val="24"/>
          <w:szCs w:val="24"/>
          <w:lang w:eastAsia="it-IT"/>
        </w:rPr>
      </w:pPr>
      <w:r w:rsidRPr="00713D8B">
        <w:rPr>
          <w:rFonts w:eastAsia="Times New Roman" w:cs="Arial"/>
          <w:b/>
          <w:bCs/>
          <w:color w:val="000000"/>
          <w:sz w:val="24"/>
          <w:szCs w:val="24"/>
          <w:lang w:eastAsia="it-IT"/>
        </w:rPr>
        <w:t>Art. 23</w:t>
      </w:r>
      <w:r w:rsidRPr="00713D8B">
        <w:rPr>
          <w:rFonts w:eastAsia="Times New Roman" w:cs="Arial"/>
          <w:color w:val="000000"/>
          <w:sz w:val="24"/>
          <w:szCs w:val="24"/>
          <w:lang w:eastAsia="it-IT"/>
        </w:rPr>
        <w:t xml:space="preserve"> La Commissione giustizia e diritti </w:t>
      </w:r>
      <w:r w:rsidRPr="00713D8B">
        <w:rPr>
          <w:rFonts w:eastAsia="Times New Roman" w:cs="Arial"/>
          <w:b/>
          <w:bCs/>
          <w:strike/>
          <w:color w:val="000000"/>
          <w:sz w:val="24"/>
          <w:szCs w:val="24"/>
          <w:lang w:eastAsia="it-IT"/>
        </w:rPr>
        <w:t>esamina e preavvisa</w:t>
      </w:r>
      <w:r w:rsidRPr="00713D8B">
        <w:rPr>
          <w:rFonts w:eastAsia="Times New Roman" w:cs="Arial"/>
          <w:color w:val="000000"/>
          <w:sz w:val="24"/>
          <w:szCs w:val="24"/>
          <w:lang w:eastAsia="it-IT"/>
        </w:rPr>
        <w:t>:</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a)</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 xml:space="preserve">esamina </w:t>
      </w:r>
      <w:r w:rsidRPr="00713D8B">
        <w:rPr>
          <w:rFonts w:eastAsia="Times New Roman" w:cs="Arial"/>
          <w:color w:val="000000"/>
          <w:sz w:val="24"/>
          <w:szCs w:val="24"/>
          <w:lang w:eastAsia="it-IT"/>
        </w:rPr>
        <w:t>le questioni inerenti all’alta vigilanza sulle autorità giudiziarie, curando altresì le relazioni con il Consiglio della magistratura;</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b)</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 xml:space="preserve">formula le proposte di </w:t>
      </w:r>
      <w:proofErr w:type="gramStart"/>
      <w:r w:rsidRPr="00713D8B">
        <w:rPr>
          <w:rFonts w:eastAsia="Times New Roman" w:cs="Arial"/>
          <w:b/>
          <w:bCs/>
          <w:strike/>
          <w:color w:val="000000"/>
          <w:sz w:val="24"/>
          <w:szCs w:val="24"/>
          <w:lang w:eastAsia="it-IT"/>
        </w:rPr>
        <w:t>l’</w:t>
      </w:r>
      <w:r w:rsidRPr="00713D8B">
        <w:rPr>
          <w:rFonts w:eastAsia="Times New Roman" w:cs="Arial"/>
          <w:color w:val="000000"/>
          <w:sz w:val="24"/>
          <w:szCs w:val="24"/>
          <w:lang w:eastAsia="it-IT"/>
        </w:rPr>
        <w:t xml:space="preserve"> elezione</w:t>
      </w:r>
      <w:proofErr w:type="gramEnd"/>
      <w:r w:rsidRPr="00713D8B">
        <w:rPr>
          <w:rFonts w:eastAsia="Times New Roman" w:cs="Arial"/>
          <w:color w:val="000000"/>
          <w:sz w:val="24"/>
          <w:szCs w:val="24"/>
          <w:lang w:eastAsia="it-IT"/>
        </w:rPr>
        <w:t xml:space="preserve"> dei magistrati, secondo quanto disposto dalla legge sull’organizzazione giudiziaria, istituendo a tal fine un’apposita sottocommissione, composta di un membro per gruppo, alla quale potrà delegare l’esercizio di determinate competenze;</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c)</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 xml:space="preserve">esamina </w:t>
      </w:r>
      <w:r w:rsidRPr="00713D8B">
        <w:rPr>
          <w:rFonts w:eastAsia="Times New Roman" w:cs="Arial"/>
          <w:color w:val="000000"/>
          <w:sz w:val="24"/>
          <w:szCs w:val="24"/>
          <w:lang w:eastAsia="it-IT"/>
        </w:rPr>
        <w:t>gli oggetti riguardanti l’organizzazione giudiziaria, nonché la procedura civile, penale e amministrativa;</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d)</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esamina e preavvisa</w:t>
      </w:r>
      <w:r w:rsidRPr="00713D8B">
        <w:rPr>
          <w:rFonts w:eastAsia="Times New Roman" w:cs="Arial"/>
          <w:color w:val="000000"/>
          <w:sz w:val="24"/>
          <w:szCs w:val="24"/>
          <w:lang w:eastAsia="it-IT"/>
        </w:rPr>
        <w:t xml:space="preserve"> le petizioni indirizzate al Gran Consiglio relative a oggetti non assegnati ad altre Commissioni;</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e)</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esamina e preavvisa</w:t>
      </w:r>
      <w:r w:rsidRPr="00713D8B">
        <w:rPr>
          <w:rFonts w:eastAsia="Times New Roman" w:cs="Arial"/>
          <w:color w:val="000000"/>
          <w:sz w:val="24"/>
          <w:szCs w:val="24"/>
          <w:lang w:eastAsia="it-IT"/>
        </w:rPr>
        <w:t xml:space="preserve"> le domande di naturalizzazione;</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f)</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esamina e preavvisa</w:t>
      </w:r>
      <w:r w:rsidRPr="00713D8B">
        <w:rPr>
          <w:rFonts w:eastAsia="Times New Roman" w:cs="Arial"/>
          <w:color w:val="000000"/>
          <w:sz w:val="24"/>
          <w:szCs w:val="24"/>
          <w:lang w:eastAsia="it-IT"/>
        </w:rPr>
        <w:t xml:space="preserve"> le domande di grazia;</w:t>
      </w:r>
    </w:p>
    <w:p w:rsidR="00713D8B" w:rsidRPr="00713D8B" w:rsidRDefault="00713D8B" w:rsidP="00F53B7A">
      <w:pPr>
        <w:spacing w:before="120"/>
        <w:ind w:left="567" w:right="187" w:hanging="414"/>
        <w:rPr>
          <w:rFonts w:eastAsia="Times New Roman" w:cs="Arial"/>
          <w:color w:val="000000"/>
          <w:sz w:val="24"/>
          <w:szCs w:val="24"/>
          <w:lang w:eastAsia="it-IT"/>
        </w:rPr>
      </w:pPr>
      <w:r w:rsidRPr="00713D8B">
        <w:rPr>
          <w:rFonts w:eastAsia="Times New Roman" w:cs="Arial"/>
          <w:color w:val="000000"/>
          <w:sz w:val="24"/>
          <w:szCs w:val="24"/>
          <w:lang w:eastAsia="it-IT"/>
        </w:rPr>
        <w:t>g)</w:t>
      </w:r>
      <w:r w:rsidRPr="00713D8B">
        <w:rPr>
          <w:rFonts w:eastAsia="Times New Roman" w:cs="Arial"/>
          <w:color w:val="000000"/>
          <w:sz w:val="24"/>
          <w:szCs w:val="24"/>
          <w:lang w:eastAsia="it-IT"/>
        </w:rPr>
        <w:tab/>
      </w:r>
      <w:r w:rsidRPr="00713D8B">
        <w:rPr>
          <w:rFonts w:eastAsia="Times New Roman" w:cs="Arial"/>
          <w:b/>
          <w:bCs/>
          <w:color w:val="000000"/>
          <w:sz w:val="24"/>
          <w:szCs w:val="24"/>
          <w:lang w:eastAsia="it-IT"/>
        </w:rPr>
        <w:t>esamina e propone le decisioni su</w:t>
      </w:r>
      <w:r w:rsidRPr="00713D8B">
        <w:rPr>
          <w:rFonts w:eastAsia="Times New Roman" w:cs="Arial"/>
          <w:color w:val="000000"/>
          <w:sz w:val="24"/>
          <w:szCs w:val="24"/>
          <w:lang w:eastAsia="it-IT"/>
        </w:rPr>
        <w:t>i ricorsi interposti al Gran Consiglio non assegnati ad altre Commissioni.</w:t>
      </w:r>
    </w:p>
    <w:p w:rsidR="00713D8B" w:rsidRDefault="00713D8B" w:rsidP="00713D8B">
      <w:pPr>
        <w:rPr>
          <w:rFonts w:eastAsia="Times New Roman" w:cs="Times New Roman"/>
          <w:sz w:val="24"/>
          <w:szCs w:val="20"/>
          <w:lang w:val="it-IT" w:eastAsia="it-IT"/>
        </w:rPr>
      </w:pPr>
    </w:p>
    <w:p w:rsidR="00F53B7A" w:rsidRDefault="00F53B7A" w:rsidP="00713D8B">
      <w:pPr>
        <w:rPr>
          <w:rFonts w:eastAsia="Times New Roman" w:cs="Times New Roman"/>
          <w:sz w:val="24"/>
          <w:szCs w:val="20"/>
          <w:lang w:val="it-IT" w:eastAsia="it-IT"/>
        </w:rPr>
      </w:pPr>
    </w:p>
    <w:p w:rsidR="00F53B7A" w:rsidRPr="00713D8B" w:rsidRDefault="00F53B7A" w:rsidP="00713D8B">
      <w:pPr>
        <w:rPr>
          <w:rFonts w:eastAsia="Times New Roman" w:cs="Times New Roman"/>
          <w:sz w:val="24"/>
          <w:szCs w:val="20"/>
          <w:lang w:val="it-IT" w:eastAsia="it-IT"/>
        </w:rPr>
      </w:pPr>
    </w:p>
    <w:p w:rsidR="00713D8B" w:rsidRPr="00713D8B" w:rsidRDefault="00F53B7A" w:rsidP="00F53B7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00713D8B" w:rsidRPr="00713D8B">
        <w:rPr>
          <w:rFonts w:eastAsia="Calibri" w:cs="Times New Roman"/>
          <w:caps/>
          <w:sz w:val="24"/>
          <w:szCs w:val="24"/>
          <w:lang w:val="it-IT" w:eastAsia="it-IT"/>
        </w:rPr>
        <w:t>LAVORI COMMISSIONALI</w:t>
      </w: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La Commissione Costituzione e leggi ha esaminato e discusso il contenuto dell’iniziativa parlamentare e ha ritenuto di aderire, di principio, alla proposta dalla Commissione giustizia e diritti.</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Come per la Commissione giustizia e diritti, anche a giudizio della Commissione Costituzione e leggi, una riformulazione del testo dell’art. 23 LGC, che vada nel senso di eliminare la locuzione “</w:t>
      </w:r>
      <w:r w:rsidRPr="00713D8B">
        <w:rPr>
          <w:rFonts w:eastAsia="Times New Roman" w:cs="Times New Roman"/>
          <w:i/>
          <w:iCs/>
          <w:sz w:val="24"/>
          <w:szCs w:val="20"/>
          <w:lang w:val="it-IT" w:eastAsia="it-IT"/>
        </w:rPr>
        <w:t>esamina e preavvisa</w:t>
      </w:r>
      <w:r w:rsidRPr="00713D8B">
        <w:rPr>
          <w:rFonts w:eastAsia="Times New Roman" w:cs="Times New Roman"/>
          <w:sz w:val="24"/>
          <w:szCs w:val="20"/>
          <w:lang w:val="it-IT" w:eastAsia="it-IT"/>
        </w:rPr>
        <w:t xml:space="preserve">” dalla prima riga del testo e, nel contempo, ad inserire i verbi e/o le locuzioni più indicate per ciascuna delle competenze elencate nelle lettere da a) </w:t>
      </w:r>
      <w:proofErr w:type="gramStart"/>
      <w:r w:rsidRPr="00713D8B">
        <w:rPr>
          <w:rFonts w:eastAsia="Times New Roman" w:cs="Times New Roman"/>
          <w:sz w:val="24"/>
          <w:szCs w:val="20"/>
          <w:lang w:val="it-IT" w:eastAsia="it-IT"/>
        </w:rPr>
        <w:t>ad</w:t>
      </w:r>
      <w:proofErr w:type="gramEnd"/>
      <w:r w:rsidRPr="00713D8B">
        <w:rPr>
          <w:rFonts w:eastAsia="Times New Roman" w:cs="Times New Roman"/>
          <w:sz w:val="24"/>
          <w:szCs w:val="20"/>
          <w:lang w:val="it-IT" w:eastAsia="it-IT"/>
        </w:rPr>
        <w:t xml:space="preserve"> g) appare sicuramente opportuna ed è dunque pienamente condivisa.</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Per quanto attiene alla formulazione proposta, dopo aver approfondito la genesi dell’iniziativa e delle scelte semantiche operate, la Commissione Costituzione e leggi ritiene opportuno proporre una puntuale riformulazione delle lettere d) e g) e meglio:</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ind w:left="851" w:hanging="851"/>
        <w:rPr>
          <w:rFonts w:eastAsia="Times New Roman" w:cs="Times New Roman"/>
          <w:sz w:val="24"/>
          <w:szCs w:val="20"/>
          <w:lang w:val="it-IT" w:eastAsia="it-IT"/>
        </w:rPr>
      </w:pPr>
      <w:proofErr w:type="spellStart"/>
      <w:r w:rsidRPr="00713D8B">
        <w:rPr>
          <w:rFonts w:eastAsia="Times New Roman" w:cs="Times New Roman"/>
          <w:sz w:val="24"/>
          <w:szCs w:val="20"/>
          <w:lang w:val="it-IT" w:eastAsia="it-IT"/>
        </w:rPr>
        <w:t>lett</w:t>
      </w:r>
      <w:proofErr w:type="spellEnd"/>
      <w:r w:rsidRPr="00713D8B">
        <w:rPr>
          <w:rFonts w:eastAsia="Times New Roman" w:cs="Times New Roman"/>
          <w:sz w:val="24"/>
          <w:szCs w:val="20"/>
          <w:lang w:val="it-IT" w:eastAsia="it-IT"/>
        </w:rPr>
        <w:t xml:space="preserve">. d: </w:t>
      </w:r>
      <w:r w:rsidRPr="00713D8B">
        <w:rPr>
          <w:rFonts w:eastAsia="Times New Roman" w:cs="Times New Roman"/>
          <w:sz w:val="24"/>
          <w:szCs w:val="20"/>
          <w:lang w:val="it-IT" w:eastAsia="it-IT"/>
        </w:rPr>
        <w:tab/>
      </w:r>
      <w:r w:rsidRPr="00713D8B">
        <w:rPr>
          <w:rFonts w:eastAsia="Times New Roman" w:cs="Arial"/>
          <w:b/>
          <w:bCs/>
          <w:i/>
          <w:iCs/>
          <w:color w:val="000000"/>
          <w:sz w:val="24"/>
          <w:szCs w:val="20"/>
          <w:lang w:val="it-IT" w:eastAsia="it-IT"/>
        </w:rPr>
        <w:t>esamina e formula le proposte di decisione sull’entrata in materia e sull’esame del</w:t>
      </w:r>
      <w:r w:rsidRPr="00713D8B">
        <w:rPr>
          <w:rFonts w:eastAsia="Times New Roman" w:cs="Arial"/>
          <w:color w:val="000000"/>
          <w:sz w:val="24"/>
          <w:szCs w:val="20"/>
          <w:lang w:val="it-IT" w:eastAsia="it-IT"/>
        </w:rPr>
        <w:t>le petizioni indirizzate al Gran Consiglio relative a oggetti non assegnati ad altre Commissioni;</w:t>
      </w:r>
    </w:p>
    <w:p w:rsidR="00713D8B" w:rsidRPr="00713D8B" w:rsidRDefault="00713D8B" w:rsidP="00713D8B">
      <w:pPr>
        <w:rPr>
          <w:rFonts w:eastAsia="Times New Roman" w:cs="Times New Roman"/>
          <w:sz w:val="24"/>
          <w:szCs w:val="20"/>
          <w:lang w:eastAsia="it-IT"/>
        </w:rPr>
      </w:pPr>
    </w:p>
    <w:p w:rsidR="00713D8B" w:rsidRPr="00713D8B" w:rsidRDefault="00713D8B" w:rsidP="00713D8B">
      <w:pPr>
        <w:ind w:left="851" w:hanging="851"/>
        <w:rPr>
          <w:rFonts w:eastAsia="Times New Roman" w:cs="Times New Roman"/>
          <w:sz w:val="24"/>
          <w:szCs w:val="20"/>
          <w:lang w:val="it-IT" w:eastAsia="it-IT"/>
        </w:rPr>
      </w:pPr>
      <w:proofErr w:type="spellStart"/>
      <w:r w:rsidRPr="00713D8B">
        <w:rPr>
          <w:rFonts w:eastAsia="Times New Roman" w:cs="Times New Roman"/>
          <w:sz w:val="24"/>
          <w:szCs w:val="20"/>
          <w:lang w:val="it-IT" w:eastAsia="it-IT"/>
        </w:rPr>
        <w:t>lett</w:t>
      </w:r>
      <w:proofErr w:type="spellEnd"/>
      <w:r w:rsidRPr="00713D8B">
        <w:rPr>
          <w:rFonts w:eastAsia="Times New Roman" w:cs="Times New Roman"/>
          <w:sz w:val="24"/>
          <w:szCs w:val="20"/>
          <w:lang w:val="it-IT" w:eastAsia="it-IT"/>
        </w:rPr>
        <w:t xml:space="preserve">. g: </w:t>
      </w:r>
      <w:r w:rsidRPr="00713D8B">
        <w:rPr>
          <w:rFonts w:eastAsia="Times New Roman" w:cs="Times New Roman"/>
          <w:sz w:val="24"/>
          <w:szCs w:val="20"/>
          <w:lang w:val="it-IT" w:eastAsia="it-IT"/>
        </w:rPr>
        <w:tab/>
      </w:r>
      <w:r w:rsidRPr="00713D8B">
        <w:rPr>
          <w:rFonts w:eastAsia="Times New Roman" w:cs="Arial"/>
          <w:b/>
          <w:bCs/>
          <w:i/>
          <w:iCs/>
          <w:color w:val="000000" w:themeColor="text1"/>
          <w:sz w:val="24"/>
          <w:szCs w:val="20"/>
          <w:lang w:val="it-IT" w:eastAsia="it-IT"/>
        </w:rPr>
        <w:t>esamina il contenuto e formula le proposte di decisione</w:t>
      </w:r>
      <w:r w:rsidRPr="00713D8B">
        <w:rPr>
          <w:rFonts w:eastAsia="Times New Roman" w:cs="Arial"/>
          <w:i/>
          <w:iCs/>
          <w:color w:val="000000" w:themeColor="text1"/>
          <w:sz w:val="24"/>
          <w:szCs w:val="20"/>
          <w:lang w:val="it-IT" w:eastAsia="it-IT"/>
        </w:rPr>
        <w:t> </w:t>
      </w:r>
      <w:r w:rsidRPr="00713D8B">
        <w:rPr>
          <w:rFonts w:eastAsia="Times New Roman" w:cs="Arial"/>
          <w:color w:val="000000" w:themeColor="text1"/>
          <w:sz w:val="24"/>
          <w:szCs w:val="20"/>
          <w:lang w:val="it-IT" w:eastAsia="it-IT"/>
        </w:rPr>
        <w:t>sui</w:t>
      </w:r>
      <w:r w:rsidRPr="00713D8B">
        <w:rPr>
          <w:rFonts w:eastAsia="Times New Roman" w:cs="Arial"/>
          <w:i/>
          <w:iCs/>
          <w:color w:val="000000" w:themeColor="text1"/>
          <w:sz w:val="24"/>
          <w:szCs w:val="20"/>
          <w:lang w:val="it-IT" w:eastAsia="it-IT"/>
        </w:rPr>
        <w:t xml:space="preserve"> </w:t>
      </w:r>
      <w:r w:rsidRPr="00713D8B">
        <w:rPr>
          <w:rFonts w:eastAsia="Times New Roman" w:cs="Arial"/>
          <w:color w:val="000000"/>
          <w:sz w:val="24"/>
          <w:szCs w:val="20"/>
          <w:lang w:val="it-IT" w:eastAsia="it-IT"/>
        </w:rPr>
        <w:t>ricorsi interposti al Gran Consiglio non assegnati ad altre Commissioni.</w:t>
      </w:r>
    </w:p>
    <w:p w:rsidR="00713D8B" w:rsidRPr="00713D8B" w:rsidRDefault="00713D8B" w:rsidP="00713D8B">
      <w:pPr>
        <w:rPr>
          <w:rFonts w:eastAsia="Times New Roman" w:cs="Times New Roman"/>
          <w:sz w:val="24"/>
          <w:szCs w:val="20"/>
          <w:lang w:val="it-IT"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 xml:space="preserve">La proposta di riformulazione della </w:t>
      </w:r>
      <w:proofErr w:type="spellStart"/>
      <w:r w:rsidRPr="00713D8B">
        <w:rPr>
          <w:rFonts w:eastAsia="Times New Roman" w:cs="Times New Roman"/>
          <w:sz w:val="24"/>
          <w:szCs w:val="20"/>
          <w:lang w:val="it-IT" w:eastAsia="it-IT"/>
        </w:rPr>
        <w:t>lett</w:t>
      </w:r>
      <w:proofErr w:type="spellEnd"/>
      <w:r w:rsidRPr="00713D8B">
        <w:rPr>
          <w:rFonts w:eastAsia="Times New Roman" w:cs="Times New Roman"/>
          <w:sz w:val="24"/>
          <w:szCs w:val="20"/>
          <w:lang w:val="it-IT" w:eastAsia="it-IT"/>
        </w:rPr>
        <w:t>. d è stata elaborata considerando il tenore letterale dell’art. 84 LGC, il quale, al suo cpv. 2, definisce come segue i compiti attribuiti ad una Commissione allorquando viene investita del compito di esaminare una petizione indirizzata al Gran Consiglio:</w:t>
      </w:r>
    </w:p>
    <w:p w:rsidR="00713D8B" w:rsidRPr="00713D8B" w:rsidRDefault="00713D8B" w:rsidP="00713D8B">
      <w:pPr>
        <w:rPr>
          <w:rFonts w:eastAsia="Times New Roman" w:cs="Times New Roman"/>
          <w:sz w:val="10"/>
          <w:szCs w:val="10"/>
          <w:lang w:val="it-IT" w:eastAsia="it-IT"/>
        </w:rPr>
      </w:pPr>
    </w:p>
    <w:p w:rsidR="00713D8B" w:rsidRPr="00713D8B" w:rsidRDefault="00713D8B" w:rsidP="00F53B7A">
      <w:pPr>
        <w:ind w:left="284"/>
        <w:rPr>
          <w:rFonts w:eastAsia="Times New Roman" w:cs="Arial"/>
          <w:color w:val="000000"/>
          <w:sz w:val="24"/>
          <w:szCs w:val="24"/>
          <w:lang w:eastAsia="it-IT"/>
        </w:rPr>
      </w:pPr>
      <w:r w:rsidRPr="00713D8B">
        <w:rPr>
          <w:rFonts w:eastAsia="Times New Roman" w:cs="Arial"/>
          <w:color w:val="000000"/>
          <w:position w:val="4"/>
          <w:sz w:val="24"/>
          <w:szCs w:val="24"/>
          <w:vertAlign w:val="superscript"/>
          <w:lang w:eastAsia="it-IT"/>
        </w:rPr>
        <w:t>2</w:t>
      </w:r>
      <w:r w:rsidRPr="00713D8B">
        <w:rPr>
          <w:rFonts w:eastAsia="Times New Roman" w:cs="Arial"/>
          <w:color w:val="000000"/>
          <w:sz w:val="24"/>
          <w:szCs w:val="24"/>
          <w:lang w:eastAsia="it-IT"/>
        </w:rPr>
        <w:t>La Commissione riferisce al Gran Consiglio proponendo:</w:t>
      </w:r>
    </w:p>
    <w:p w:rsidR="00713D8B" w:rsidRPr="00713D8B" w:rsidRDefault="00713D8B" w:rsidP="00F53B7A">
      <w:pPr>
        <w:ind w:left="284"/>
        <w:rPr>
          <w:rFonts w:eastAsia="Times New Roman" w:cs="Arial"/>
          <w:color w:val="000000"/>
          <w:sz w:val="24"/>
          <w:szCs w:val="24"/>
          <w:lang w:eastAsia="it-IT"/>
        </w:rPr>
      </w:pPr>
      <w:r w:rsidRPr="00713D8B">
        <w:rPr>
          <w:rFonts w:eastAsia="Times New Roman" w:cs="Arial"/>
          <w:color w:val="000000"/>
          <w:sz w:val="24"/>
          <w:szCs w:val="24"/>
          <w:lang w:eastAsia="it-IT"/>
        </w:rPr>
        <w:t>a)</w:t>
      </w:r>
      <w:r w:rsidRPr="00713D8B">
        <w:rPr>
          <w:rFonts w:eastAsia="Times New Roman" w:cs="Arial"/>
          <w:color w:val="000000"/>
          <w:sz w:val="24"/>
          <w:szCs w:val="24"/>
          <w:lang w:eastAsia="it-IT"/>
        </w:rPr>
        <w:tab/>
        <w:t>di entrare nel merito della petizione e di esaminarla;</w:t>
      </w:r>
    </w:p>
    <w:p w:rsidR="00713D8B" w:rsidRPr="00713D8B" w:rsidRDefault="00713D8B" w:rsidP="00F53B7A">
      <w:pPr>
        <w:ind w:left="284"/>
        <w:rPr>
          <w:rFonts w:eastAsia="Times New Roman" w:cs="Arial"/>
          <w:color w:val="000000"/>
          <w:sz w:val="24"/>
          <w:szCs w:val="24"/>
          <w:lang w:eastAsia="it-IT"/>
        </w:rPr>
      </w:pPr>
      <w:r w:rsidRPr="00713D8B">
        <w:rPr>
          <w:rFonts w:eastAsia="Times New Roman" w:cs="Arial"/>
          <w:color w:val="000000"/>
          <w:sz w:val="24"/>
          <w:szCs w:val="24"/>
          <w:lang w:eastAsia="it-IT"/>
        </w:rPr>
        <w:t>b)</w:t>
      </w:r>
      <w:r w:rsidRPr="00713D8B">
        <w:rPr>
          <w:rFonts w:eastAsia="Times New Roman" w:cs="Arial"/>
          <w:color w:val="000000"/>
          <w:sz w:val="24"/>
          <w:szCs w:val="24"/>
          <w:lang w:eastAsia="it-IT"/>
        </w:rPr>
        <w:tab/>
        <w:t>di non entrare nel merito della petizione e di archiviarla;</w:t>
      </w:r>
    </w:p>
    <w:p w:rsidR="00713D8B" w:rsidRPr="00713D8B" w:rsidRDefault="00713D8B" w:rsidP="00F53B7A">
      <w:pPr>
        <w:ind w:left="284"/>
        <w:rPr>
          <w:rFonts w:eastAsia="Times New Roman" w:cs="Arial"/>
          <w:color w:val="000000"/>
          <w:sz w:val="20"/>
          <w:szCs w:val="20"/>
          <w:lang w:eastAsia="it-IT"/>
        </w:rPr>
      </w:pPr>
      <w:r w:rsidRPr="00713D8B">
        <w:rPr>
          <w:rFonts w:eastAsia="Times New Roman" w:cs="Arial"/>
          <w:color w:val="000000"/>
          <w:sz w:val="24"/>
          <w:szCs w:val="24"/>
          <w:lang w:eastAsia="it-IT"/>
        </w:rPr>
        <w:t>c)</w:t>
      </w:r>
      <w:r w:rsidRPr="00713D8B">
        <w:rPr>
          <w:rFonts w:eastAsia="Times New Roman" w:cs="Arial"/>
          <w:color w:val="000000"/>
          <w:sz w:val="24"/>
          <w:szCs w:val="24"/>
          <w:lang w:eastAsia="it-IT"/>
        </w:rPr>
        <w:tab/>
        <w:t xml:space="preserve">di non entrare nel merito della petizione e di rinviarla, se del caso, ad altra autorità </w:t>
      </w:r>
      <w:r w:rsidR="00F53B7A">
        <w:rPr>
          <w:rFonts w:eastAsia="Times New Roman" w:cs="Arial"/>
          <w:color w:val="000000"/>
          <w:sz w:val="24"/>
          <w:szCs w:val="24"/>
          <w:lang w:eastAsia="it-IT"/>
        </w:rPr>
        <w:tab/>
      </w:r>
      <w:r w:rsidRPr="00713D8B">
        <w:rPr>
          <w:rFonts w:eastAsia="Times New Roman" w:cs="Arial"/>
          <w:color w:val="000000"/>
          <w:sz w:val="24"/>
          <w:szCs w:val="24"/>
          <w:lang w:eastAsia="it-IT"/>
        </w:rPr>
        <w:t>competente</w:t>
      </w:r>
      <w:r w:rsidRPr="00713D8B">
        <w:rPr>
          <w:rFonts w:eastAsia="Times New Roman" w:cs="Arial"/>
          <w:color w:val="000000"/>
          <w:sz w:val="20"/>
          <w:szCs w:val="20"/>
          <w:lang w:eastAsia="it-IT"/>
        </w:rPr>
        <w:t>.</w:t>
      </w:r>
    </w:p>
    <w:p w:rsidR="00713D8B" w:rsidRPr="00713D8B" w:rsidRDefault="00713D8B" w:rsidP="00713D8B">
      <w:pPr>
        <w:rPr>
          <w:rFonts w:eastAsia="Times New Roman" w:cs="Times New Roman"/>
          <w:sz w:val="24"/>
          <w:szCs w:val="20"/>
          <w:lang w:eastAsia="it-IT"/>
        </w:rPr>
      </w:pPr>
    </w:p>
    <w:p w:rsidR="00713D8B" w:rsidRPr="00713D8B" w:rsidRDefault="00713D8B" w:rsidP="00713D8B">
      <w:pPr>
        <w:rPr>
          <w:rFonts w:eastAsia="Times New Roman" w:cs="Times New Roman"/>
          <w:sz w:val="24"/>
          <w:szCs w:val="20"/>
          <w:lang w:val="it-IT" w:eastAsia="it-IT"/>
        </w:rPr>
      </w:pPr>
      <w:r w:rsidRPr="00713D8B">
        <w:rPr>
          <w:rFonts w:eastAsia="Times New Roman" w:cs="Times New Roman"/>
          <w:sz w:val="24"/>
          <w:szCs w:val="20"/>
          <w:lang w:val="it-IT" w:eastAsia="it-IT"/>
        </w:rPr>
        <w:t xml:space="preserve">La proposta di riformulazione della </w:t>
      </w:r>
      <w:proofErr w:type="spellStart"/>
      <w:r w:rsidRPr="00713D8B">
        <w:rPr>
          <w:rFonts w:eastAsia="Times New Roman" w:cs="Times New Roman"/>
          <w:sz w:val="24"/>
          <w:szCs w:val="20"/>
          <w:lang w:val="it-IT" w:eastAsia="it-IT"/>
        </w:rPr>
        <w:t>lett</w:t>
      </w:r>
      <w:proofErr w:type="spellEnd"/>
      <w:r w:rsidRPr="00713D8B">
        <w:rPr>
          <w:rFonts w:eastAsia="Times New Roman" w:cs="Times New Roman"/>
          <w:sz w:val="24"/>
          <w:szCs w:val="20"/>
          <w:lang w:val="it-IT" w:eastAsia="it-IT"/>
        </w:rPr>
        <w:t>. g è invece stata elaborata avuto riguardo del fatto che se, all’interno di un medesimo articolo, le modalità di esercizio di una determinata competenza sono analoghe ad un’altra, allora sia opportuno optare per la medesima formulazione. In presenza di una motivazione particolare, può invece essere sensato fare capo a locuzioni divere. Nel caso specifico appare pertanto da preferire il ricorso alla locuzione “</w:t>
      </w:r>
      <w:r w:rsidRPr="00713D8B">
        <w:rPr>
          <w:rFonts w:eastAsia="Times New Roman" w:cs="Times New Roman"/>
          <w:i/>
          <w:iCs/>
          <w:sz w:val="24"/>
          <w:szCs w:val="20"/>
          <w:lang w:val="it-IT" w:eastAsia="it-IT"/>
        </w:rPr>
        <w:t>formula le proposte</w:t>
      </w:r>
      <w:r w:rsidRPr="00713D8B">
        <w:rPr>
          <w:rFonts w:eastAsia="Times New Roman" w:cs="Times New Roman"/>
          <w:sz w:val="24"/>
          <w:szCs w:val="20"/>
          <w:lang w:val="it-IT" w:eastAsia="it-IT"/>
        </w:rPr>
        <w:t>”, piuttosto che “</w:t>
      </w:r>
      <w:r w:rsidRPr="00713D8B">
        <w:rPr>
          <w:rFonts w:eastAsia="Times New Roman" w:cs="Times New Roman"/>
          <w:i/>
          <w:iCs/>
          <w:sz w:val="24"/>
          <w:szCs w:val="20"/>
          <w:lang w:val="it-IT" w:eastAsia="it-IT"/>
        </w:rPr>
        <w:t>propone</w:t>
      </w:r>
      <w:r w:rsidRPr="00713D8B">
        <w:rPr>
          <w:rFonts w:eastAsia="Times New Roman" w:cs="Times New Roman"/>
          <w:sz w:val="24"/>
          <w:szCs w:val="20"/>
          <w:lang w:val="it-IT" w:eastAsia="it-IT"/>
        </w:rPr>
        <w:t>”.</w:t>
      </w:r>
    </w:p>
    <w:p w:rsidR="00713D8B" w:rsidRDefault="00713D8B" w:rsidP="00713D8B">
      <w:pPr>
        <w:rPr>
          <w:rFonts w:eastAsia="Times New Roman" w:cs="Times New Roman"/>
          <w:sz w:val="24"/>
          <w:szCs w:val="20"/>
          <w:lang w:val="it-IT" w:eastAsia="it-IT"/>
        </w:rPr>
      </w:pPr>
    </w:p>
    <w:p w:rsidR="00F53B7A" w:rsidRPr="00713D8B" w:rsidRDefault="00F53B7A" w:rsidP="00713D8B">
      <w:pPr>
        <w:rPr>
          <w:rFonts w:eastAsia="Times New Roman" w:cs="Times New Roman"/>
          <w:sz w:val="24"/>
          <w:szCs w:val="20"/>
          <w:lang w:val="it-IT" w:eastAsia="it-IT"/>
        </w:rPr>
      </w:pPr>
    </w:p>
    <w:p w:rsidR="00713D8B" w:rsidRPr="00713D8B" w:rsidRDefault="00F53B7A" w:rsidP="00F53B7A">
      <w:pPr>
        <w:pStyle w:val="Titolo1"/>
        <w:tabs>
          <w:tab w:val="left" w:pos="0"/>
        </w:tabs>
        <w:spacing w:before="0"/>
        <w:jc w:val="both"/>
        <w:rPr>
          <w:rFonts w:eastAsia="Calibri" w:cs="Times New Roman"/>
          <w:caps/>
          <w:sz w:val="24"/>
          <w:szCs w:val="24"/>
          <w:lang w:val="it-IT" w:eastAsia="it-IT"/>
        </w:rPr>
      </w:pPr>
      <w:r>
        <w:rPr>
          <w:rFonts w:eastAsia="Calibri" w:cs="Times New Roman"/>
          <w:caps/>
          <w:sz w:val="24"/>
          <w:szCs w:val="24"/>
          <w:lang w:val="it-IT" w:eastAsia="it-IT"/>
        </w:rPr>
        <w:t>4.</w:t>
      </w:r>
      <w:r>
        <w:rPr>
          <w:rFonts w:eastAsia="Calibri" w:cs="Times New Roman"/>
          <w:caps/>
          <w:sz w:val="24"/>
          <w:szCs w:val="24"/>
          <w:lang w:val="it-IT" w:eastAsia="it-IT"/>
        </w:rPr>
        <w:tab/>
      </w:r>
      <w:r w:rsidR="00713D8B" w:rsidRPr="00713D8B">
        <w:rPr>
          <w:rFonts w:eastAsia="Calibri" w:cs="Times New Roman"/>
          <w:caps/>
          <w:sz w:val="24"/>
          <w:szCs w:val="24"/>
          <w:lang w:val="it-IT" w:eastAsia="it-IT"/>
        </w:rPr>
        <w:t>CONCLUSIONI</w:t>
      </w:r>
    </w:p>
    <w:p w:rsidR="00713D8B" w:rsidRPr="00713D8B" w:rsidRDefault="00713D8B" w:rsidP="00713D8B">
      <w:pPr>
        <w:rPr>
          <w:rFonts w:eastAsia="Times New Roman" w:cs="Arial"/>
          <w:iCs/>
          <w:color w:val="000000" w:themeColor="text1"/>
          <w:sz w:val="24"/>
          <w:szCs w:val="24"/>
        </w:rPr>
      </w:pPr>
      <w:r w:rsidRPr="00713D8B">
        <w:rPr>
          <w:rFonts w:eastAsia="Times New Roman" w:cs="Arial"/>
          <w:iCs/>
          <w:color w:val="000000" w:themeColor="text1"/>
          <w:sz w:val="24"/>
          <w:szCs w:val="24"/>
          <w:lang w:val="it-IT"/>
        </w:rPr>
        <w:t>Visto quanto precede la Commissione Costituzione e leggi, accogliendo il principio dell'iniziativa parlamentare elaborata del 23 febbraio 2023 presentata dalla Commissione giustizia e diritti per la modifica dell’art. 23 della Legge sul Gran Consiglio e sui rapporti con il Consiglio di Stato del 24 febbraio 2015 (LGC), formula le seguenti modifiche puramente formali:</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b/>
          <w:bCs/>
          <w:color w:val="000000" w:themeColor="text1"/>
          <w:sz w:val="24"/>
          <w:szCs w:val="24"/>
          <w:lang w:eastAsia="it-IT"/>
        </w:rPr>
        <w:t>Art. 23</w:t>
      </w:r>
      <w:r w:rsidRPr="00713D8B">
        <w:rPr>
          <w:rFonts w:eastAsia="Times New Roman" w:cs="Arial"/>
          <w:color w:val="000000" w:themeColor="text1"/>
          <w:sz w:val="24"/>
          <w:szCs w:val="24"/>
          <w:lang w:eastAsia="it-IT"/>
        </w:rPr>
        <w:t xml:space="preserve"> La Commissione giustizia e diritti:</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a)</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 xml:space="preserve">esamina </w:t>
      </w:r>
      <w:r w:rsidRPr="00713D8B">
        <w:rPr>
          <w:rFonts w:eastAsia="Times New Roman" w:cs="Arial"/>
          <w:color w:val="000000" w:themeColor="text1"/>
          <w:sz w:val="24"/>
          <w:szCs w:val="24"/>
          <w:lang w:eastAsia="it-IT"/>
        </w:rPr>
        <w:t xml:space="preserve">le questioni inerenti all’alta vigilanza sulle autorità giudiziarie, curando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altresì le relazioni con il Consiglio della magistratura;</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b)</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 xml:space="preserve">formula le proposte di </w:t>
      </w:r>
      <w:proofErr w:type="gramStart"/>
      <w:r w:rsidRPr="00713D8B">
        <w:rPr>
          <w:rFonts w:eastAsia="Times New Roman" w:cs="Arial"/>
          <w:b/>
          <w:bCs/>
          <w:strike/>
          <w:color w:val="000000" w:themeColor="text1"/>
          <w:sz w:val="24"/>
          <w:szCs w:val="24"/>
          <w:lang w:eastAsia="it-IT"/>
        </w:rPr>
        <w:t>l’</w:t>
      </w:r>
      <w:r w:rsidRPr="00713D8B">
        <w:rPr>
          <w:rFonts w:eastAsia="Times New Roman" w:cs="Arial"/>
          <w:color w:val="000000" w:themeColor="text1"/>
          <w:sz w:val="24"/>
          <w:szCs w:val="24"/>
          <w:lang w:eastAsia="it-IT"/>
        </w:rPr>
        <w:t xml:space="preserve"> elezione</w:t>
      </w:r>
      <w:proofErr w:type="gramEnd"/>
      <w:r w:rsidRPr="00713D8B">
        <w:rPr>
          <w:rFonts w:eastAsia="Times New Roman" w:cs="Arial"/>
          <w:color w:val="000000" w:themeColor="text1"/>
          <w:sz w:val="24"/>
          <w:szCs w:val="24"/>
          <w:lang w:eastAsia="it-IT"/>
        </w:rPr>
        <w:t xml:space="preserve"> dei magistrati, secondo quanto disposto dalla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 xml:space="preserve">legge sull’organizzazione giudiziaria, istituendo a tal fine un’apposita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 xml:space="preserve">sottocommissione, composta di un membro per gruppo, alla quale potrà delegare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l’esercizio di determinate competenze;</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c)</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 xml:space="preserve">esamina </w:t>
      </w:r>
      <w:r w:rsidRPr="00713D8B">
        <w:rPr>
          <w:rFonts w:eastAsia="Times New Roman" w:cs="Arial"/>
          <w:color w:val="000000" w:themeColor="text1"/>
          <w:sz w:val="24"/>
          <w:szCs w:val="24"/>
          <w:lang w:eastAsia="it-IT"/>
        </w:rPr>
        <w:t xml:space="preserve">gli oggetti riguardanti l’organizzazione giudiziaria, nonché la procedura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civile, penale e amministrativa;</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d)</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 xml:space="preserve">esamina e formula le proposte di decisione sull’entrata in materia e </w:t>
      </w:r>
      <w:r w:rsidR="00F53B7A">
        <w:rPr>
          <w:rFonts w:eastAsia="Times New Roman" w:cs="Arial"/>
          <w:b/>
          <w:bCs/>
          <w:color w:val="000000" w:themeColor="text1"/>
          <w:sz w:val="24"/>
          <w:szCs w:val="24"/>
          <w:lang w:eastAsia="it-IT"/>
        </w:rPr>
        <w:tab/>
      </w:r>
      <w:r w:rsidRPr="00713D8B">
        <w:rPr>
          <w:rFonts w:eastAsia="Times New Roman" w:cs="Arial"/>
          <w:b/>
          <w:bCs/>
          <w:color w:val="000000" w:themeColor="text1"/>
          <w:sz w:val="24"/>
          <w:szCs w:val="24"/>
          <w:lang w:eastAsia="it-IT"/>
        </w:rPr>
        <w:t>sull’esame</w:t>
      </w:r>
      <w:r w:rsidRPr="00713D8B">
        <w:rPr>
          <w:rFonts w:eastAsia="Times New Roman" w:cs="Arial"/>
          <w:color w:val="000000" w:themeColor="text1"/>
          <w:sz w:val="24"/>
          <w:szCs w:val="24"/>
          <w:lang w:eastAsia="it-IT"/>
        </w:rPr>
        <w:t xml:space="preserve"> delle petizioni indirizzate al Gran Consiglio relative a oggetti non </w:t>
      </w:r>
      <w:r w:rsidR="00F53B7A">
        <w:rPr>
          <w:rFonts w:eastAsia="Times New Roman" w:cs="Arial"/>
          <w:color w:val="000000" w:themeColor="text1"/>
          <w:sz w:val="24"/>
          <w:szCs w:val="24"/>
          <w:lang w:eastAsia="it-IT"/>
        </w:rPr>
        <w:tab/>
      </w:r>
      <w:r w:rsidRPr="00713D8B">
        <w:rPr>
          <w:rFonts w:eastAsia="Times New Roman" w:cs="Arial"/>
          <w:color w:val="000000" w:themeColor="text1"/>
          <w:sz w:val="24"/>
          <w:szCs w:val="24"/>
          <w:lang w:eastAsia="it-IT"/>
        </w:rPr>
        <w:t>assegnati ad altre Commissioni;</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e)</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esamina e preavvisa</w:t>
      </w:r>
      <w:r w:rsidRPr="00713D8B">
        <w:rPr>
          <w:rFonts w:eastAsia="Times New Roman" w:cs="Arial"/>
          <w:color w:val="000000" w:themeColor="text1"/>
          <w:sz w:val="24"/>
          <w:szCs w:val="24"/>
          <w:lang w:eastAsia="it-IT"/>
        </w:rPr>
        <w:t xml:space="preserve"> le domande di naturalizzazione;</w:t>
      </w:r>
    </w:p>
    <w:p w:rsidR="00713D8B" w:rsidRPr="00713D8B" w:rsidRDefault="00713D8B" w:rsidP="00F53B7A">
      <w:pPr>
        <w:spacing w:before="120"/>
        <w:ind w:left="284" w:right="187"/>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lastRenderedPageBreak/>
        <w:t>f)</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esamina e preavvisa</w:t>
      </w:r>
      <w:r w:rsidRPr="00713D8B">
        <w:rPr>
          <w:rFonts w:eastAsia="Times New Roman" w:cs="Arial"/>
          <w:color w:val="000000" w:themeColor="text1"/>
          <w:sz w:val="24"/>
          <w:szCs w:val="24"/>
          <w:lang w:eastAsia="it-IT"/>
        </w:rPr>
        <w:t xml:space="preserve"> le domande di grazia;</w:t>
      </w:r>
    </w:p>
    <w:p w:rsidR="00713D8B" w:rsidRPr="00713D8B" w:rsidRDefault="00713D8B" w:rsidP="00F53B7A">
      <w:pPr>
        <w:spacing w:before="120"/>
        <w:ind w:left="1134" w:right="187" w:hanging="414"/>
        <w:rPr>
          <w:rFonts w:eastAsia="Times New Roman" w:cs="Arial"/>
          <w:color w:val="000000" w:themeColor="text1"/>
          <w:sz w:val="24"/>
          <w:szCs w:val="24"/>
          <w:lang w:eastAsia="it-IT"/>
        </w:rPr>
      </w:pPr>
      <w:r w:rsidRPr="00713D8B">
        <w:rPr>
          <w:rFonts w:eastAsia="Times New Roman" w:cs="Arial"/>
          <w:color w:val="000000" w:themeColor="text1"/>
          <w:sz w:val="24"/>
          <w:szCs w:val="24"/>
          <w:lang w:eastAsia="it-IT"/>
        </w:rPr>
        <w:t>g)</w:t>
      </w:r>
      <w:r w:rsidRPr="00713D8B">
        <w:rPr>
          <w:rFonts w:eastAsia="Times New Roman" w:cs="Arial"/>
          <w:color w:val="000000" w:themeColor="text1"/>
          <w:sz w:val="24"/>
          <w:szCs w:val="24"/>
          <w:lang w:eastAsia="it-IT"/>
        </w:rPr>
        <w:tab/>
      </w:r>
      <w:r w:rsidRPr="00713D8B">
        <w:rPr>
          <w:rFonts w:eastAsia="Times New Roman" w:cs="Arial"/>
          <w:b/>
          <w:bCs/>
          <w:color w:val="000000" w:themeColor="text1"/>
          <w:sz w:val="24"/>
          <w:szCs w:val="24"/>
          <w:lang w:eastAsia="it-IT"/>
        </w:rPr>
        <w:t>esamina il contenuto e formula le proposte di decisione</w:t>
      </w:r>
      <w:r w:rsidRPr="00713D8B">
        <w:rPr>
          <w:rFonts w:eastAsia="Times New Roman" w:cs="Arial"/>
          <w:iCs/>
          <w:color w:val="000000" w:themeColor="text1"/>
          <w:sz w:val="24"/>
          <w:szCs w:val="24"/>
          <w:lang w:eastAsia="it-IT"/>
        </w:rPr>
        <w:t> </w:t>
      </w:r>
      <w:r w:rsidRPr="00713D8B">
        <w:rPr>
          <w:rFonts w:eastAsia="Times New Roman" w:cs="Arial"/>
          <w:color w:val="000000" w:themeColor="text1"/>
          <w:sz w:val="24"/>
          <w:szCs w:val="24"/>
          <w:lang w:eastAsia="it-IT"/>
        </w:rPr>
        <w:t>sui</w:t>
      </w:r>
      <w:r w:rsidRPr="00713D8B">
        <w:rPr>
          <w:rFonts w:eastAsia="Times New Roman" w:cs="Arial"/>
          <w:iCs/>
          <w:color w:val="000000" w:themeColor="text1"/>
          <w:sz w:val="24"/>
          <w:szCs w:val="24"/>
          <w:lang w:eastAsia="it-IT"/>
        </w:rPr>
        <w:t xml:space="preserve"> </w:t>
      </w:r>
      <w:r w:rsidRPr="00713D8B">
        <w:rPr>
          <w:rFonts w:eastAsia="Times New Roman" w:cs="Arial"/>
          <w:color w:val="000000" w:themeColor="text1"/>
          <w:sz w:val="24"/>
          <w:szCs w:val="24"/>
          <w:lang w:eastAsia="it-IT"/>
        </w:rPr>
        <w:t>ricorsi interposti al Gran Consiglio non assegnati ad altre Commissioni.</w:t>
      </w:r>
    </w:p>
    <w:p w:rsidR="00713D8B" w:rsidRPr="00713D8B" w:rsidRDefault="00713D8B" w:rsidP="00713D8B">
      <w:pPr>
        <w:rPr>
          <w:rFonts w:eastAsia="Times New Roman" w:cs="Arial"/>
          <w:iCs/>
          <w:color w:val="000000" w:themeColor="text1"/>
          <w:sz w:val="24"/>
          <w:szCs w:val="24"/>
          <w:lang w:val="it-IT"/>
        </w:rPr>
      </w:pPr>
    </w:p>
    <w:p w:rsidR="00713D8B" w:rsidRPr="00713D8B" w:rsidRDefault="00713D8B" w:rsidP="00713D8B">
      <w:pPr>
        <w:rPr>
          <w:rFonts w:eastAsia="Times New Roman" w:cs="Arial"/>
          <w:color w:val="000000" w:themeColor="text1"/>
          <w:sz w:val="24"/>
          <w:szCs w:val="24"/>
          <w:lang w:val="it-IT"/>
        </w:rPr>
      </w:pPr>
      <w:r w:rsidRPr="00713D8B">
        <w:rPr>
          <w:rFonts w:eastAsia="Times New Roman" w:cs="Arial"/>
          <w:iCs/>
          <w:color w:val="000000" w:themeColor="text1"/>
          <w:sz w:val="24"/>
          <w:szCs w:val="24"/>
          <w:lang w:val="it-IT"/>
        </w:rPr>
        <w:t>e invita il Gran Consiglio ad approvare il disegno di legge annesso al presente rapporto.</w:t>
      </w:r>
    </w:p>
    <w:p w:rsidR="00713D8B" w:rsidRDefault="00713D8B" w:rsidP="00713D8B">
      <w:pPr>
        <w:rPr>
          <w:rFonts w:eastAsia="Times New Roman" w:cs="Arial"/>
          <w:color w:val="000000" w:themeColor="text1"/>
          <w:sz w:val="24"/>
          <w:szCs w:val="24"/>
          <w:lang w:val="it-IT" w:eastAsia="it-IT"/>
        </w:rPr>
      </w:pPr>
    </w:p>
    <w:p w:rsidR="00F53B7A" w:rsidRPr="00713D8B" w:rsidRDefault="00F53B7A" w:rsidP="00713D8B">
      <w:pPr>
        <w:rPr>
          <w:rFonts w:eastAsia="Times New Roman" w:cs="Arial"/>
          <w:color w:val="000000" w:themeColor="text1"/>
          <w:sz w:val="24"/>
          <w:szCs w:val="24"/>
          <w:lang w:val="it-IT" w:eastAsia="it-IT"/>
        </w:rPr>
      </w:pPr>
    </w:p>
    <w:p w:rsidR="00713D8B" w:rsidRPr="00713D8B" w:rsidRDefault="00713D8B" w:rsidP="00713D8B">
      <w:pPr>
        <w:spacing w:after="120"/>
        <w:rPr>
          <w:rFonts w:eastAsia="Times New Roman" w:cs="Arial"/>
          <w:color w:val="000000" w:themeColor="text1"/>
          <w:sz w:val="24"/>
          <w:szCs w:val="24"/>
          <w:lang w:val="it-IT" w:eastAsia="it-IT"/>
        </w:rPr>
      </w:pPr>
      <w:r w:rsidRPr="00713D8B">
        <w:rPr>
          <w:rFonts w:eastAsia="Times New Roman" w:cs="Arial"/>
          <w:color w:val="000000" w:themeColor="text1"/>
          <w:sz w:val="24"/>
          <w:szCs w:val="24"/>
          <w:lang w:val="it-IT" w:eastAsia="it-IT"/>
        </w:rPr>
        <w:t>Per la Commissione Costituzioni e leggi:</w:t>
      </w:r>
    </w:p>
    <w:p w:rsidR="00713D8B" w:rsidRPr="00713D8B" w:rsidRDefault="00713D8B" w:rsidP="00F53B7A">
      <w:pPr>
        <w:rPr>
          <w:rFonts w:eastAsia="Times New Roman" w:cs="Arial"/>
          <w:color w:val="000000" w:themeColor="text1"/>
          <w:sz w:val="24"/>
          <w:szCs w:val="24"/>
          <w:lang w:val="it-IT" w:eastAsia="it-IT"/>
        </w:rPr>
      </w:pPr>
      <w:r w:rsidRPr="00713D8B">
        <w:rPr>
          <w:rFonts w:eastAsia="Times New Roman" w:cs="Arial"/>
          <w:color w:val="000000" w:themeColor="text1"/>
          <w:sz w:val="24"/>
          <w:szCs w:val="24"/>
          <w:lang w:val="it-IT" w:eastAsia="it-IT"/>
        </w:rPr>
        <w:t>Gianluca Padlina, relatore</w:t>
      </w:r>
      <w:bookmarkEnd w:id="1"/>
      <w:bookmarkEnd w:id="2"/>
    </w:p>
    <w:p w:rsidR="00F53B7A" w:rsidRDefault="00713D8B" w:rsidP="00F53B7A">
      <w:pPr>
        <w:rPr>
          <w:rFonts w:eastAsia="Times New Roman" w:cs="Times New Roman"/>
          <w:sz w:val="24"/>
          <w:szCs w:val="20"/>
          <w:lang w:val="it-IT" w:eastAsia="it-IT"/>
        </w:rPr>
      </w:pPr>
      <w:r w:rsidRPr="00713D8B">
        <w:rPr>
          <w:rFonts w:eastAsia="Times New Roman" w:cs="Times New Roman"/>
          <w:sz w:val="24"/>
          <w:szCs w:val="20"/>
          <w:lang w:val="it-IT" w:eastAsia="it-IT"/>
        </w:rPr>
        <w:t xml:space="preserve">Boscolo - Caroni - Censi - Filippini - Gendotti </w:t>
      </w:r>
      <w:r w:rsidR="00F53B7A">
        <w:rPr>
          <w:rFonts w:eastAsia="Times New Roman" w:cs="Times New Roman"/>
          <w:sz w:val="24"/>
          <w:szCs w:val="20"/>
          <w:lang w:val="it-IT" w:eastAsia="it-IT"/>
        </w:rPr>
        <w:t>-</w:t>
      </w:r>
      <w:r w:rsidRPr="00713D8B">
        <w:rPr>
          <w:rFonts w:eastAsia="Times New Roman" w:cs="Times New Roman"/>
          <w:sz w:val="24"/>
          <w:szCs w:val="20"/>
          <w:lang w:val="it-IT" w:eastAsia="it-IT"/>
        </w:rPr>
        <w:t xml:space="preserve"> </w:t>
      </w:r>
      <w:r w:rsidR="00F53B7A" w:rsidRPr="00713D8B">
        <w:rPr>
          <w:rFonts w:eastAsia="Times New Roman" w:cs="Times New Roman"/>
          <w:sz w:val="24"/>
          <w:szCs w:val="20"/>
          <w:lang w:val="it-IT" w:eastAsia="it-IT"/>
        </w:rPr>
        <w:t>Genini Simona -</w:t>
      </w:r>
    </w:p>
    <w:p w:rsidR="00F53B7A" w:rsidRDefault="00713D8B" w:rsidP="00F53B7A">
      <w:pPr>
        <w:rPr>
          <w:rFonts w:eastAsia="Times New Roman" w:cs="Times New Roman"/>
          <w:sz w:val="24"/>
          <w:szCs w:val="20"/>
          <w:lang w:val="it-IT" w:eastAsia="it-IT"/>
        </w:rPr>
      </w:pPr>
      <w:r w:rsidRPr="00713D8B">
        <w:rPr>
          <w:rFonts w:eastAsia="Times New Roman" w:cs="Times New Roman"/>
          <w:sz w:val="24"/>
          <w:szCs w:val="20"/>
          <w:lang w:val="it-IT" w:eastAsia="it-IT"/>
        </w:rPr>
        <w:t xml:space="preserve">Genini </w:t>
      </w:r>
      <w:r w:rsidR="00F53B7A" w:rsidRPr="00713D8B">
        <w:rPr>
          <w:rFonts w:eastAsia="Times New Roman" w:cs="Times New Roman"/>
          <w:sz w:val="24"/>
          <w:szCs w:val="20"/>
          <w:lang w:val="it-IT" w:eastAsia="it-IT"/>
        </w:rPr>
        <w:t xml:space="preserve">Sem </w:t>
      </w:r>
      <w:r w:rsidRPr="00713D8B">
        <w:rPr>
          <w:rFonts w:eastAsia="Times New Roman" w:cs="Times New Roman"/>
          <w:sz w:val="24"/>
          <w:szCs w:val="20"/>
          <w:lang w:val="it-IT" w:eastAsia="it-IT"/>
        </w:rPr>
        <w:t xml:space="preserve">- Ghisolfi - Giudici </w:t>
      </w:r>
      <w:r w:rsidR="00F53B7A">
        <w:rPr>
          <w:rFonts w:eastAsia="Times New Roman" w:cs="Times New Roman"/>
          <w:sz w:val="24"/>
          <w:szCs w:val="20"/>
          <w:lang w:val="it-IT" w:eastAsia="it-IT"/>
        </w:rPr>
        <w:t>-</w:t>
      </w:r>
      <w:r w:rsidRPr="00713D8B">
        <w:rPr>
          <w:rFonts w:eastAsia="Times New Roman" w:cs="Times New Roman"/>
          <w:sz w:val="24"/>
          <w:szCs w:val="20"/>
          <w:lang w:val="it-IT" w:eastAsia="it-IT"/>
        </w:rPr>
        <w:t xml:space="preserve"> </w:t>
      </w:r>
      <w:r w:rsidR="00F53B7A">
        <w:rPr>
          <w:rFonts w:eastAsia="Times New Roman" w:cs="Times New Roman"/>
          <w:sz w:val="24"/>
          <w:szCs w:val="20"/>
          <w:lang w:val="it-IT" w:eastAsia="it-IT"/>
        </w:rPr>
        <w:t xml:space="preserve">Lepori - </w:t>
      </w:r>
      <w:r w:rsidRPr="00713D8B">
        <w:rPr>
          <w:rFonts w:eastAsia="Times New Roman" w:cs="Times New Roman"/>
          <w:sz w:val="24"/>
          <w:szCs w:val="20"/>
          <w:lang w:val="it-IT" w:eastAsia="it-IT"/>
        </w:rPr>
        <w:t xml:space="preserve">Ortelli </w:t>
      </w:r>
      <w:r w:rsidR="00F53B7A">
        <w:rPr>
          <w:rFonts w:eastAsia="Times New Roman" w:cs="Times New Roman"/>
          <w:sz w:val="24"/>
          <w:szCs w:val="20"/>
          <w:lang w:val="it-IT" w:eastAsia="it-IT"/>
        </w:rPr>
        <w:t>P. -</w:t>
      </w:r>
      <w:r w:rsidRPr="00713D8B">
        <w:rPr>
          <w:rFonts w:eastAsia="Times New Roman" w:cs="Times New Roman"/>
          <w:sz w:val="24"/>
          <w:szCs w:val="20"/>
          <w:lang w:val="it-IT" w:eastAsia="it-IT"/>
        </w:rPr>
        <w:t xml:space="preserve"> </w:t>
      </w:r>
    </w:p>
    <w:p w:rsidR="00F53B7A" w:rsidRDefault="00713D8B" w:rsidP="00F53B7A">
      <w:pPr>
        <w:rPr>
          <w:rFonts w:eastAsia="Times New Roman" w:cs="Times New Roman"/>
          <w:sz w:val="24"/>
          <w:szCs w:val="20"/>
          <w:lang w:val="it-IT" w:eastAsia="it-IT"/>
        </w:rPr>
      </w:pPr>
      <w:r w:rsidRPr="00713D8B">
        <w:rPr>
          <w:rFonts w:eastAsia="Times New Roman" w:cs="Times New Roman"/>
          <w:sz w:val="24"/>
          <w:szCs w:val="20"/>
          <w:lang w:val="it-IT" w:eastAsia="it-IT"/>
        </w:rPr>
        <w:t xml:space="preserve">Passardi - Petralli - Ponti - Terraneo </w:t>
      </w:r>
      <w:r w:rsidR="00F53B7A">
        <w:rPr>
          <w:rFonts w:eastAsia="Times New Roman" w:cs="Times New Roman"/>
          <w:sz w:val="24"/>
          <w:szCs w:val="20"/>
          <w:lang w:val="it-IT" w:eastAsia="it-IT"/>
        </w:rPr>
        <w:t>–</w:t>
      </w:r>
      <w:r w:rsidRPr="00713D8B">
        <w:rPr>
          <w:rFonts w:eastAsia="Times New Roman" w:cs="Times New Roman"/>
          <w:sz w:val="24"/>
          <w:szCs w:val="20"/>
          <w:lang w:val="it-IT" w:eastAsia="it-IT"/>
        </w:rPr>
        <w:t xml:space="preserve"> Tonini</w:t>
      </w:r>
    </w:p>
    <w:p w:rsidR="00F53B7A" w:rsidRDefault="00F53B7A">
      <w:pPr>
        <w:rPr>
          <w:rFonts w:eastAsia="Times New Roman" w:cs="Times New Roman"/>
          <w:sz w:val="24"/>
          <w:szCs w:val="20"/>
          <w:lang w:val="it-IT" w:eastAsia="it-IT"/>
        </w:rPr>
      </w:pPr>
      <w:r>
        <w:rPr>
          <w:rFonts w:eastAsia="Times New Roman" w:cs="Times New Roman"/>
          <w:sz w:val="24"/>
          <w:szCs w:val="20"/>
          <w:lang w:val="it-IT" w:eastAsia="it-IT"/>
        </w:rPr>
        <w:br w:type="page"/>
      </w: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4"/>
          <w:lang w:val="it-IT" w:eastAsia="it-IT"/>
        </w:rPr>
        <w:lastRenderedPageBreak/>
        <w:t>Disegno di</w:t>
      </w:r>
    </w:p>
    <w:p w:rsidR="00F53B7A" w:rsidRPr="00F53B7A" w:rsidRDefault="00F53B7A" w:rsidP="00F53B7A">
      <w:pPr>
        <w:rPr>
          <w:rFonts w:eastAsia="Times New Roman" w:cs="Times New Roman"/>
          <w:b/>
          <w:sz w:val="24"/>
          <w:szCs w:val="24"/>
          <w:lang w:val="it-IT" w:eastAsia="it-IT"/>
        </w:rPr>
      </w:pPr>
    </w:p>
    <w:p w:rsidR="00F53B7A" w:rsidRPr="00F53B7A" w:rsidRDefault="00F53B7A" w:rsidP="00F53B7A">
      <w:pPr>
        <w:rPr>
          <w:rFonts w:eastAsia="Times New Roman" w:cs="Times New Roman"/>
          <w:b/>
          <w:sz w:val="24"/>
          <w:szCs w:val="24"/>
          <w:lang w:val="it-IT" w:eastAsia="it-IT"/>
        </w:rPr>
      </w:pPr>
      <w:r w:rsidRPr="00F53B7A">
        <w:rPr>
          <w:rFonts w:eastAsia="Times New Roman" w:cs="Times New Roman"/>
          <w:b/>
          <w:sz w:val="24"/>
          <w:szCs w:val="24"/>
          <w:lang w:val="it-IT" w:eastAsia="it-IT"/>
        </w:rPr>
        <w:t>Legge</w:t>
      </w:r>
    </w:p>
    <w:p w:rsidR="00F53B7A" w:rsidRPr="00F53B7A" w:rsidRDefault="00F53B7A" w:rsidP="00F53B7A">
      <w:pPr>
        <w:rPr>
          <w:rFonts w:eastAsia="Times New Roman" w:cs="Times New Roman"/>
          <w:b/>
          <w:sz w:val="24"/>
          <w:szCs w:val="24"/>
          <w:lang w:val="it-IT" w:eastAsia="it-IT"/>
        </w:rPr>
      </w:pPr>
      <w:r w:rsidRPr="00F53B7A">
        <w:rPr>
          <w:rFonts w:eastAsia="Times New Roman" w:cs="Times New Roman"/>
          <w:b/>
          <w:bCs/>
          <w:sz w:val="24"/>
          <w:szCs w:val="24"/>
          <w:lang w:eastAsia="it-IT"/>
        </w:rPr>
        <w:t>sul Gran Consiglio e i suoi rapporti con il Consiglio di Stato del 24 febbraio 2015</w:t>
      </w: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4"/>
          <w:lang w:val="it-IT" w:eastAsia="it-IT"/>
        </w:rPr>
        <w:t xml:space="preserve">modifica del </w:t>
      </w:r>
      <w:r w:rsidRPr="00F53B7A">
        <w:rPr>
          <w:rFonts w:eastAsia="Times New Roman" w:cs="Times New Roman"/>
          <w:sz w:val="24"/>
          <w:szCs w:val="24"/>
          <w:lang w:eastAsia="it-IT"/>
        </w:rPr>
        <w:t>....................</w:t>
      </w:r>
    </w:p>
    <w:p w:rsidR="00F53B7A" w:rsidRPr="00F53B7A" w:rsidRDefault="00F53B7A" w:rsidP="00F53B7A">
      <w:pPr>
        <w:rPr>
          <w:rFonts w:eastAsia="Times New Roman" w:cs="Times New Roman"/>
          <w:sz w:val="24"/>
          <w:szCs w:val="24"/>
          <w:lang w:val="it-IT" w:eastAsia="it-IT"/>
        </w:rPr>
      </w:pP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4"/>
          <w:lang w:val="it-IT" w:eastAsia="it-IT"/>
        </w:rPr>
        <w:t>IL GRAN CONSIGLIO</w:t>
      </w: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4"/>
          <w:lang w:val="it-IT" w:eastAsia="it-IT"/>
        </w:rPr>
        <w:t>DELLA REPUBBLICA E CANTONE TICINO</w:t>
      </w:r>
    </w:p>
    <w:p w:rsidR="00F53B7A" w:rsidRPr="00F53B7A" w:rsidRDefault="00F53B7A" w:rsidP="00F53B7A">
      <w:pPr>
        <w:rPr>
          <w:rFonts w:eastAsia="Times New Roman" w:cs="Times New Roman"/>
          <w:sz w:val="24"/>
          <w:szCs w:val="24"/>
          <w:lang w:val="it-IT" w:eastAsia="it-IT"/>
        </w:rPr>
      </w:pPr>
    </w:p>
    <w:p w:rsidR="00F53B7A" w:rsidRPr="00C8688A" w:rsidRDefault="00F53B7A" w:rsidP="00C8688A">
      <w:pPr>
        <w:pStyle w:val="Paragrafoelenco"/>
        <w:numPr>
          <w:ilvl w:val="0"/>
          <w:numId w:val="19"/>
        </w:numPr>
        <w:ind w:left="284" w:hanging="284"/>
        <w:rPr>
          <w:rFonts w:eastAsia="Times New Roman" w:cs="Times New Roman"/>
          <w:sz w:val="24"/>
          <w:szCs w:val="24"/>
          <w:lang w:val="it-IT" w:eastAsia="it-IT"/>
        </w:rPr>
      </w:pPr>
      <w:r w:rsidRPr="00C8688A">
        <w:rPr>
          <w:rFonts w:eastAsia="Times New Roman" w:cs="Times New Roman"/>
          <w:sz w:val="24"/>
          <w:szCs w:val="24"/>
          <w:lang w:val="it-IT" w:eastAsia="it-IT"/>
        </w:rPr>
        <w:t>vista l’iniziativa</w:t>
      </w:r>
      <w:r w:rsidRPr="00C8688A">
        <w:rPr>
          <w:rFonts w:eastAsia="Times New Roman" w:cs="Times New Roman"/>
          <w:sz w:val="24"/>
          <w:szCs w:val="20"/>
          <w:lang w:val="it-IT" w:eastAsia="it-IT"/>
        </w:rPr>
        <w:t xml:space="preserve"> </w:t>
      </w:r>
      <w:r w:rsidRPr="00C8688A">
        <w:rPr>
          <w:rFonts w:eastAsia="Times New Roman" w:cs="Times New Roman"/>
          <w:sz w:val="24"/>
          <w:szCs w:val="24"/>
          <w:lang w:val="it-IT" w:eastAsia="it-IT"/>
        </w:rPr>
        <w:t>parlamentare 13 febbraio 2023 presentata nella forma elaborata dalla Commissione giustizia e diritti per la modifica dell’art. 23 della Legge sul Gran Consiglio e sui rapporti con il Consiglio di Stato (LGC),</w:t>
      </w:r>
    </w:p>
    <w:p w:rsidR="00F53B7A" w:rsidRPr="00C8688A" w:rsidRDefault="00F53B7A" w:rsidP="00C8688A">
      <w:pPr>
        <w:pStyle w:val="Paragrafoelenco"/>
        <w:numPr>
          <w:ilvl w:val="0"/>
          <w:numId w:val="19"/>
        </w:numPr>
        <w:ind w:left="284" w:hanging="284"/>
        <w:rPr>
          <w:rFonts w:eastAsia="Times New Roman" w:cs="Times New Roman"/>
          <w:sz w:val="24"/>
          <w:szCs w:val="24"/>
          <w:lang w:val="it-IT" w:eastAsia="it-IT"/>
        </w:rPr>
      </w:pPr>
      <w:r w:rsidRPr="00C8688A">
        <w:rPr>
          <w:rFonts w:eastAsia="Times New Roman" w:cs="Times New Roman"/>
          <w:sz w:val="24"/>
          <w:szCs w:val="24"/>
          <w:lang w:val="it-IT" w:eastAsia="it-IT"/>
        </w:rPr>
        <w:t xml:space="preserve">visto il rapporto </w:t>
      </w:r>
      <w:r w:rsidR="00414C75" w:rsidRPr="00C8688A">
        <w:rPr>
          <w:rFonts w:eastAsia="Times New Roman" w:cs="Times New Roman"/>
          <w:sz w:val="24"/>
          <w:szCs w:val="24"/>
          <w:lang w:val="it-IT" w:eastAsia="it-IT"/>
        </w:rPr>
        <w:t xml:space="preserve">28 novembre </w:t>
      </w:r>
      <w:r w:rsidRPr="00C8688A">
        <w:rPr>
          <w:rFonts w:eastAsia="Times New Roman" w:cs="Times New Roman"/>
          <w:sz w:val="24"/>
          <w:szCs w:val="24"/>
          <w:lang w:val="it-IT" w:eastAsia="it-IT"/>
        </w:rPr>
        <w:t xml:space="preserve">2023 della Commissione Costituzione e leggi, </w:t>
      </w:r>
    </w:p>
    <w:p w:rsidR="00F53B7A" w:rsidRPr="00F53B7A" w:rsidRDefault="00F53B7A" w:rsidP="00F53B7A">
      <w:pPr>
        <w:rPr>
          <w:rFonts w:eastAsia="Times New Roman" w:cs="Times New Roman"/>
          <w:sz w:val="24"/>
          <w:szCs w:val="24"/>
          <w:lang w:val="it-IT" w:eastAsia="it-IT"/>
        </w:rPr>
      </w:pPr>
    </w:p>
    <w:p w:rsidR="00F53B7A" w:rsidRPr="00F53B7A" w:rsidRDefault="00F53B7A" w:rsidP="00F53B7A">
      <w:pPr>
        <w:rPr>
          <w:rFonts w:eastAsia="Times New Roman" w:cs="Times New Roman"/>
          <w:sz w:val="24"/>
          <w:szCs w:val="24"/>
          <w:lang w:val="it-IT" w:eastAsia="it-IT"/>
        </w:rPr>
      </w:pP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4"/>
          <w:lang w:val="it-IT" w:eastAsia="it-IT"/>
        </w:rPr>
        <w:t>decreta:</w:t>
      </w:r>
    </w:p>
    <w:p w:rsidR="00F53B7A" w:rsidRPr="00F53B7A" w:rsidRDefault="00F53B7A" w:rsidP="00F53B7A">
      <w:pPr>
        <w:rPr>
          <w:rFonts w:eastAsia="Times New Roman" w:cs="Times New Roman"/>
          <w:sz w:val="24"/>
          <w:szCs w:val="24"/>
          <w:lang w:val="it-IT" w:eastAsia="it-IT"/>
        </w:rPr>
      </w:pPr>
    </w:p>
    <w:p w:rsidR="00F53B7A" w:rsidRPr="00F53B7A" w:rsidRDefault="00F53B7A" w:rsidP="00F53B7A">
      <w:pPr>
        <w:rPr>
          <w:rFonts w:eastAsia="Times New Roman" w:cs="Times New Roman"/>
          <w:sz w:val="24"/>
          <w:szCs w:val="24"/>
          <w:lang w:val="it-IT" w:eastAsia="it-IT"/>
        </w:rPr>
      </w:pPr>
    </w:p>
    <w:p w:rsidR="00F53B7A" w:rsidRPr="00F53B7A" w:rsidRDefault="00F53B7A" w:rsidP="00F53B7A">
      <w:pPr>
        <w:rPr>
          <w:rFonts w:eastAsia="Times New Roman" w:cs="Times New Roman"/>
          <w:b/>
          <w:bCs/>
          <w:sz w:val="24"/>
          <w:szCs w:val="20"/>
          <w:lang w:val="it-IT" w:eastAsia="it-IT"/>
        </w:rPr>
      </w:pPr>
      <w:r w:rsidRPr="00F53B7A">
        <w:rPr>
          <w:rFonts w:eastAsia="Times New Roman" w:cs="Times New Roman"/>
          <w:b/>
          <w:bCs/>
          <w:sz w:val="24"/>
          <w:szCs w:val="20"/>
          <w:lang w:val="it-IT" w:eastAsia="it-IT"/>
        </w:rPr>
        <w:t>I</w:t>
      </w:r>
    </w:p>
    <w:p w:rsidR="00F53B7A" w:rsidRPr="00F53B7A" w:rsidRDefault="00F53B7A" w:rsidP="00F53B7A">
      <w:pPr>
        <w:rPr>
          <w:rFonts w:eastAsia="Times New Roman" w:cs="Times New Roman"/>
          <w:sz w:val="24"/>
          <w:szCs w:val="20"/>
          <w:lang w:val="it-IT" w:eastAsia="it-IT"/>
        </w:rPr>
      </w:pPr>
      <w:r w:rsidRPr="00F53B7A">
        <w:rPr>
          <w:rFonts w:eastAsia="Times New Roman" w:cs="Times New Roman"/>
          <w:sz w:val="24"/>
          <w:szCs w:val="20"/>
          <w:lang w:val="it-IT" w:eastAsia="it-IT"/>
        </w:rPr>
        <w:t xml:space="preserve">La legge </w:t>
      </w:r>
      <w:r w:rsidRPr="00F53B7A">
        <w:rPr>
          <w:rFonts w:eastAsia="Times New Roman" w:cs="Times New Roman"/>
          <w:bCs/>
          <w:sz w:val="24"/>
          <w:szCs w:val="20"/>
          <w:lang w:eastAsia="it-IT"/>
        </w:rPr>
        <w:t>sul Gran Consiglio e i suoi rapporti con il Consiglio di Stato del 24 febbraio 2015 (LGC</w:t>
      </w:r>
      <w:r w:rsidRPr="00F53B7A">
        <w:rPr>
          <w:rFonts w:eastAsia="Times New Roman" w:cs="Times New Roman"/>
          <w:sz w:val="24"/>
          <w:szCs w:val="20"/>
          <w:lang w:val="it-IT" w:eastAsia="it-IT"/>
        </w:rPr>
        <w:t>) è modificata come segue:</w:t>
      </w:r>
    </w:p>
    <w:p w:rsidR="00F53B7A" w:rsidRPr="00F53B7A" w:rsidRDefault="00F53B7A" w:rsidP="00F53B7A">
      <w:pPr>
        <w:rPr>
          <w:rFonts w:eastAsia="Times New Roman" w:cs="Times New Roman"/>
          <w:sz w:val="24"/>
          <w:szCs w:val="20"/>
          <w:lang w:val="it-IT" w:eastAsia="it-IT"/>
        </w:rPr>
      </w:pPr>
    </w:p>
    <w:p w:rsidR="00F53B7A" w:rsidRPr="00F53B7A" w:rsidRDefault="00F53B7A" w:rsidP="00F53B7A">
      <w:pPr>
        <w:rPr>
          <w:rFonts w:eastAsia="Times New Roman" w:cs="Times New Roman"/>
          <w:b/>
          <w:bCs/>
          <w:sz w:val="24"/>
          <w:szCs w:val="20"/>
          <w:lang w:val="it-IT" w:eastAsia="it-IT"/>
        </w:rPr>
      </w:pPr>
      <w:r w:rsidRPr="00F53B7A">
        <w:rPr>
          <w:rFonts w:eastAsia="Times New Roman" w:cs="Times New Roman"/>
          <w:b/>
          <w:bCs/>
          <w:sz w:val="24"/>
          <w:szCs w:val="20"/>
          <w:lang w:val="it-IT" w:eastAsia="it-IT"/>
        </w:rPr>
        <w:t>Art. 23</w:t>
      </w:r>
    </w:p>
    <w:p w:rsidR="00F53B7A" w:rsidRPr="00F53B7A" w:rsidRDefault="00F53B7A" w:rsidP="00F53B7A">
      <w:pPr>
        <w:rPr>
          <w:rFonts w:eastAsia="Times New Roman" w:cs="Times New Roman"/>
          <w:bCs/>
          <w:sz w:val="24"/>
          <w:szCs w:val="20"/>
          <w:lang w:val="it-IT" w:eastAsia="it-IT"/>
        </w:rPr>
      </w:pPr>
      <w:r w:rsidRPr="00F53B7A">
        <w:rPr>
          <w:rFonts w:eastAsia="Times New Roman" w:cs="Times New Roman"/>
          <w:bCs/>
          <w:sz w:val="24"/>
          <w:szCs w:val="20"/>
          <w:lang w:val="it-IT" w:eastAsia="it-IT"/>
        </w:rPr>
        <w:t>La Commissione giustizia e diritti:</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a)</w:t>
      </w:r>
      <w:r w:rsidRPr="00F53B7A">
        <w:rPr>
          <w:rFonts w:eastAsia="Times New Roman" w:cs="Times New Roman"/>
          <w:bCs/>
          <w:sz w:val="24"/>
          <w:szCs w:val="20"/>
          <w:lang w:val="it-IT" w:eastAsia="it-IT"/>
        </w:rPr>
        <w:tab/>
        <w:t>esamina le questioni inerenti all’alta vigilanza sulle autorità giudiziarie, curando altresì le relazioni con il Consiglio della magistratura;</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b)</w:t>
      </w:r>
      <w:r w:rsidRPr="00F53B7A">
        <w:rPr>
          <w:rFonts w:eastAsia="Times New Roman" w:cs="Times New Roman"/>
          <w:bCs/>
          <w:sz w:val="24"/>
          <w:szCs w:val="20"/>
          <w:lang w:val="it-IT" w:eastAsia="it-IT"/>
        </w:rPr>
        <w:tab/>
        <w:t>formula le proposte di l’elezione dei magistrati, secondo quanto disposto dalla legge sull’organizzazione giudiziaria, istituendo a tal fine un’apposita sottocommissione, composta di un membro per gruppo, alla quale potrà delegare l’esercizio di determinate competenze;</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c)</w:t>
      </w:r>
      <w:r w:rsidRPr="00F53B7A">
        <w:rPr>
          <w:rFonts w:eastAsia="Times New Roman" w:cs="Times New Roman"/>
          <w:bCs/>
          <w:sz w:val="24"/>
          <w:szCs w:val="20"/>
          <w:lang w:val="it-IT" w:eastAsia="it-IT"/>
        </w:rPr>
        <w:tab/>
        <w:t>esamina gli oggetti riguardanti l’organizzazione giudiziaria, nonché la procedura civile, penale e amministrativa;</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d)</w:t>
      </w:r>
      <w:r w:rsidRPr="00F53B7A">
        <w:rPr>
          <w:rFonts w:eastAsia="Times New Roman" w:cs="Times New Roman"/>
          <w:bCs/>
          <w:sz w:val="24"/>
          <w:szCs w:val="20"/>
          <w:lang w:val="it-IT" w:eastAsia="it-IT"/>
        </w:rPr>
        <w:tab/>
        <w:t>esamina e formula le proposte di decisione sull’entrata in materia e sull’esame delle petizioni indirizzate al Gran Consiglio relative a oggetti non assegnati ad altre Commissioni;</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e)</w:t>
      </w:r>
      <w:r w:rsidRPr="00F53B7A">
        <w:rPr>
          <w:rFonts w:eastAsia="Times New Roman" w:cs="Times New Roman"/>
          <w:bCs/>
          <w:sz w:val="24"/>
          <w:szCs w:val="20"/>
          <w:lang w:val="it-IT" w:eastAsia="it-IT"/>
        </w:rPr>
        <w:tab/>
        <w:t>esamina e preavvisa le domande di naturalizzazione;</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f)</w:t>
      </w:r>
      <w:r w:rsidRPr="00F53B7A">
        <w:rPr>
          <w:rFonts w:eastAsia="Times New Roman" w:cs="Times New Roman"/>
          <w:bCs/>
          <w:sz w:val="24"/>
          <w:szCs w:val="20"/>
          <w:lang w:val="it-IT" w:eastAsia="it-IT"/>
        </w:rPr>
        <w:tab/>
        <w:t>esamina e preavvisa le domande di grazia;</w:t>
      </w:r>
    </w:p>
    <w:p w:rsidR="00F53B7A" w:rsidRPr="00F53B7A" w:rsidRDefault="00F53B7A" w:rsidP="00F53B7A">
      <w:pPr>
        <w:ind w:left="567" w:hanging="567"/>
        <w:rPr>
          <w:rFonts w:eastAsia="Times New Roman" w:cs="Times New Roman"/>
          <w:bCs/>
          <w:sz w:val="24"/>
          <w:szCs w:val="20"/>
          <w:lang w:val="it-IT" w:eastAsia="it-IT"/>
        </w:rPr>
      </w:pPr>
      <w:r w:rsidRPr="00F53B7A">
        <w:rPr>
          <w:rFonts w:eastAsia="Times New Roman" w:cs="Times New Roman"/>
          <w:bCs/>
          <w:sz w:val="24"/>
          <w:szCs w:val="20"/>
          <w:lang w:val="it-IT" w:eastAsia="it-IT"/>
        </w:rPr>
        <w:t>g)</w:t>
      </w:r>
      <w:r w:rsidRPr="00F53B7A">
        <w:rPr>
          <w:rFonts w:eastAsia="Times New Roman" w:cs="Times New Roman"/>
          <w:bCs/>
          <w:sz w:val="24"/>
          <w:szCs w:val="20"/>
          <w:lang w:val="it-IT" w:eastAsia="it-IT"/>
        </w:rPr>
        <w:tab/>
        <w:t>esamina il contenuto e formula le proposte di decisione sui ricorsi interposti al Gran Consiglio non assegnati ad altre Commissioni.</w:t>
      </w:r>
    </w:p>
    <w:p w:rsidR="00F53B7A" w:rsidRPr="00F53B7A" w:rsidRDefault="00F53B7A" w:rsidP="00F53B7A">
      <w:pPr>
        <w:rPr>
          <w:rFonts w:eastAsia="Times New Roman" w:cs="Times New Roman"/>
          <w:sz w:val="24"/>
          <w:szCs w:val="20"/>
          <w:lang w:val="it-IT" w:eastAsia="it-IT"/>
        </w:rPr>
      </w:pPr>
    </w:p>
    <w:p w:rsidR="00F53B7A" w:rsidRPr="00F53B7A" w:rsidRDefault="00F53B7A" w:rsidP="00F53B7A">
      <w:pPr>
        <w:rPr>
          <w:rFonts w:eastAsia="Times New Roman" w:cs="Times New Roman"/>
          <w:sz w:val="24"/>
          <w:szCs w:val="20"/>
          <w:lang w:val="it-IT" w:eastAsia="it-IT"/>
        </w:rPr>
      </w:pPr>
    </w:p>
    <w:p w:rsidR="00F53B7A" w:rsidRPr="00F53B7A" w:rsidRDefault="00F53B7A" w:rsidP="00F53B7A">
      <w:pPr>
        <w:rPr>
          <w:rFonts w:eastAsia="Times New Roman" w:cs="Times New Roman"/>
          <w:b/>
          <w:bCs/>
          <w:sz w:val="24"/>
          <w:szCs w:val="20"/>
          <w:lang w:val="it-IT" w:eastAsia="it-IT"/>
        </w:rPr>
      </w:pPr>
      <w:r w:rsidRPr="00F53B7A">
        <w:rPr>
          <w:rFonts w:eastAsia="Times New Roman" w:cs="Times New Roman"/>
          <w:b/>
          <w:bCs/>
          <w:sz w:val="24"/>
          <w:szCs w:val="20"/>
          <w:lang w:val="it-IT" w:eastAsia="it-IT"/>
        </w:rPr>
        <w:t>II</w:t>
      </w:r>
    </w:p>
    <w:p w:rsidR="00F53B7A" w:rsidRPr="00F53B7A" w:rsidRDefault="00F53B7A" w:rsidP="00F53B7A">
      <w:pPr>
        <w:rPr>
          <w:rFonts w:eastAsia="Times New Roman" w:cs="Times New Roman"/>
          <w:sz w:val="24"/>
          <w:szCs w:val="20"/>
          <w:lang w:val="it-IT" w:eastAsia="it-IT"/>
        </w:rPr>
      </w:pPr>
      <w:r w:rsidRPr="00F53B7A">
        <w:rPr>
          <w:rFonts w:eastAsia="Times New Roman" w:cs="Times New Roman"/>
          <w:sz w:val="24"/>
          <w:szCs w:val="20"/>
          <w:vertAlign w:val="superscript"/>
          <w:lang w:val="it-IT" w:eastAsia="it-IT"/>
        </w:rPr>
        <w:t>1</w:t>
      </w:r>
      <w:r w:rsidRPr="00F53B7A">
        <w:rPr>
          <w:rFonts w:eastAsia="Times New Roman" w:cs="Times New Roman"/>
          <w:sz w:val="24"/>
          <w:szCs w:val="20"/>
          <w:lang w:val="it-IT" w:eastAsia="it-IT"/>
        </w:rPr>
        <w:t>La presente legge sottostà a referendum facoltativo.</w:t>
      </w:r>
    </w:p>
    <w:p w:rsidR="00F53B7A" w:rsidRPr="00F53B7A" w:rsidRDefault="00F53B7A" w:rsidP="00F53B7A">
      <w:pPr>
        <w:rPr>
          <w:rFonts w:eastAsia="Times New Roman" w:cs="Times New Roman"/>
          <w:sz w:val="24"/>
          <w:szCs w:val="24"/>
          <w:lang w:val="it-IT" w:eastAsia="it-IT"/>
        </w:rPr>
      </w:pPr>
      <w:r w:rsidRPr="00F53B7A">
        <w:rPr>
          <w:rFonts w:eastAsia="Times New Roman" w:cs="Times New Roman"/>
          <w:sz w:val="24"/>
          <w:szCs w:val="20"/>
          <w:vertAlign w:val="superscript"/>
          <w:lang w:val="it-IT" w:eastAsia="it-IT"/>
        </w:rPr>
        <w:t>2</w:t>
      </w:r>
      <w:r w:rsidRPr="00F53B7A">
        <w:rPr>
          <w:rFonts w:eastAsia="Times New Roman" w:cs="Times New Roman"/>
          <w:sz w:val="24"/>
          <w:szCs w:val="20"/>
          <w:lang w:val="it-IT" w:eastAsia="it-IT"/>
        </w:rPr>
        <w:t xml:space="preserve">Essa entra in vigore </w:t>
      </w:r>
      <w:r w:rsidR="00433530">
        <w:rPr>
          <w:rFonts w:eastAsia="Times New Roman" w:cs="Times New Roman"/>
          <w:sz w:val="24"/>
          <w:szCs w:val="20"/>
          <w:lang w:val="it-IT" w:eastAsia="it-IT"/>
        </w:rPr>
        <w:t>immediatamente.</w:t>
      </w:r>
    </w:p>
    <w:p w:rsidR="00F53B7A" w:rsidRPr="00F53B7A" w:rsidRDefault="00F53B7A" w:rsidP="00F53B7A">
      <w:pPr>
        <w:rPr>
          <w:rFonts w:eastAsia="Times New Roman" w:cs="Arial"/>
          <w:sz w:val="24"/>
          <w:szCs w:val="24"/>
          <w:lang w:val="it-IT" w:eastAsia="it-IT"/>
        </w:rPr>
      </w:pPr>
    </w:p>
    <w:p w:rsidR="00F53B7A" w:rsidRPr="00F53B7A" w:rsidRDefault="00F53B7A" w:rsidP="00F53B7A">
      <w:pPr>
        <w:ind w:right="-1"/>
        <w:rPr>
          <w:rFonts w:eastAsia="Times New Roman" w:cs="Times New Roman"/>
          <w:sz w:val="24"/>
          <w:szCs w:val="20"/>
          <w:lang w:eastAsia="it-IT"/>
        </w:rPr>
      </w:pPr>
    </w:p>
    <w:p w:rsidR="00713D8B" w:rsidRPr="00713D8B" w:rsidRDefault="00713D8B" w:rsidP="00F53B7A">
      <w:pPr>
        <w:rPr>
          <w:rFonts w:eastAsia="Times New Roman" w:cs="Times New Roman"/>
          <w:sz w:val="24"/>
          <w:szCs w:val="20"/>
          <w:lang w:eastAsia="it-IT"/>
        </w:rPr>
      </w:pPr>
    </w:p>
    <w:sectPr w:rsidR="00713D8B" w:rsidRPr="00713D8B" w:rsidSect="00375115">
      <w:headerReference w:type="even" r:id="rId11"/>
      <w:headerReference w:type="default" r:id="rId12"/>
      <w:footerReference w:type="even"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D8B" w:rsidRDefault="00713D8B" w:rsidP="00F657BF">
      <w:r>
        <w:separator/>
      </w:r>
    </w:p>
  </w:endnote>
  <w:endnote w:type="continuationSeparator" w:id="0">
    <w:p w:rsidR="00713D8B" w:rsidRDefault="00713D8B"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6" w:rsidRDefault="00B40D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CA5CDB" w:rsidP="00912E34">
          <w:pPr>
            <w:tabs>
              <w:tab w:val="center" w:pos="2382"/>
            </w:tabs>
          </w:pPr>
        </w:p>
      </w:tc>
      <w:tc>
        <w:tcPr>
          <w:tcW w:w="721" w:type="dxa"/>
        </w:tcPr>
        <w:p w:rsidR="00912E34" w:rsidRPr="003D1008" w:rsidRDefault="00E2458A"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2458A"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CA5CDB" w:rsidP="00912E34"/>
      </w:tc>
    </w:tr>
  </w:tbl>
  <w:p w:rsidR="00F657BF" w:rsidRDefault="00F657BF" w:rsidP="00F5689F">
    <w:pPr>
      <w:pStyle w:val="InvisibleLi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CA5CDB">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D8B" w:rsidRDefault="00713D8B" w:rsidP="00F657BF">
      <w:r>
        <w:separator/>
      </w:r>
    </w:p>
  </w:footnote>
  <w:footnote w:type="continuationSeparator" w:id="0">
    <w:p w:rsidR="00713D8B" w:rsidRDefault="00713D8B"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6" w:rsidRDefault="00B40DA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CA5CDB"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E259DC75-9CA2-4915-9195-118A99293BEC}"/>
              <w:text w:multiLine="1"/>
            </w:sdtPr>
            <w:sdtEndPr/>
            <w:sdtContent>
              <w:r w:rsidR="00E2458A">
                <w:rPr>
                  <w:rFonts w:ascii="Gill Alt One MT Light" w:hAnsi="Gill Alt One MT Light"/>
                  <w:sz w:val="16"/>
                  <w:szCs w:val="16"/>
                </w:rPr>
                <w:t>Repubblica e Cantone Ticino</w:t>
              </w:r>
            </w:sdtContent>
          </w:sdt>
        </w:p>
        <w:p w:rsidR="005012EC" w:rsidRPr="00E8185F" w:rsidRDefault="00CA5CDB"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E259DC75-9CA2-4915-9195-118A99293BEC}"/>
              <w:text w:multiLine="1"/>
            </w:sdtPr>
            <w:sdtEndPr/>
            <w:sdtContent>
              <w:r w:rsidR="00B40DA6">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E2458A"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A44EB7">
            <w:rPr>
              <w:noProof/>
              <w:sz w:val="24"/>
            </w:rPr>
            <w:t>5</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A44EB7">
            <w:rPr>
              <w:noProof/>
              <w:sz w:val="24"/>
            </w:rPr>
            <w:t>5</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E259DC75-9CA2-4915-9195-118A99293BEC}"/>
          <w:text w:multiLine="1"/>
        </w:sdtPr>
        <w:sdtEndPr/>
        <w:sdtContent>
          <w:tc>
            <w:tcPr>
              <w:tcW w:w="8383" w:type="dxa"/>
              <w:tcBorders>
                <w:left w:val="single" w:sz="4" w:space="0" w:color="auto"/>
              </w:tcBorders>
              <w:tcMar>
                <w:top w:w="0" w:type="dxa"/>
                <w:left w:w="142" w:type="dxa"/>
              </w:tcMar>
            </w:tcPr>
            <w:p w:rsidR="005012EC" w:rsidRPr="00E8185F" w:rsidRDefault="00A86E34" w:rsidP="00A532F6">
              <w:pPr>
                <w:pStyle w:val="Information"/>
                <w:rPr>
                  <w:rFonts w:ascii="Gill Sans Display MT Pro BdCn" w:hAnsi="Gill Sans Display MT Pro BdCn"/>
                  <w:sz w:val="18"/>
                  <w:szCs w:val="18"/>
                  <w:lang w:val="de-DE"/>
                </w:rPr>
              </w:pPr>
              <w:r>
                <w:rPr>
                  <w:rFonts w:ascii="Gill Sans Display MT Pro BdCn" w:hAnsi="Gill Sans Display MT Pro BdCn"/>
                  <w:sz w:val="18"/>
                  <w:szCs w:val="18"/>
                </w:rPr>
                <w:t>Rapporto del 28 novembre 2023</w:t>
              </w:r>
            </w:p>
          </w:tc>
        </w:sdtContent>
      </w:sdt>
      <w:tc>
        <w:tcPr>
          <w:tcW w:w="1710" w:type="dxa"/>
          <w:tcBorders>
            <w:top w:val="single" w:sz="4" w:space="0" w:color="auto"/>
          </w:tcBorders>
        </w:tcPr>
        <w:p w:rsidR="005012EC" w:rsidRPr="00E043A3" w:rsidRDefault="00CA5CDB" w:rsidP="00662409">
          <w:pPr>
            <w:pStyle w:val="InvisibleLine"/>
            <w:rPr>
              <w:lang w:val="de-DE"/>
            </w:rPr>
          </w:pPr>
        </w:p>
      </w:tc>
    </w:tr>
  </w:tbl>
  <w:p w:rsidR="00F657BF" w:rsidRPr="00980362" w:rsidRDefault="00E245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E259DC75-9CA2-4915-9195-118A99293BEC}"/>
                            <w:text w:multiLine="1"/>
                          </w:sdtPr>
                          <w:sdtEndPr/>
                          <w:sdtContent>
                            <w:p w:rsidR="008065E8" w:rsidRPr="00411371" w:rsidRDefault="00E245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A138F2F-A83A-4D80-85D5-F5057B450923}"/>
                      <w:text w:multiLine="1"/>
                    </w:sdtPr>
                    <w:sdtEndPr/>
                    <w:sdtContent>
                      <w:p w:rsidR="008065E8" w:rsidRPr="00411371" w:rsidRDefault="00E245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CA5CDB" w:rsidP="00932E26">
          <w:pPr>
            <w:pStyle w:val="InvisibleLine"/>
            <w:spacing w:line="240" w:lineRule="auto"/>
            <w:ind w:left="15"/>
            <w:rPr>
              <w:rFonts w:ascii="Gill Alt One MT Light" w:hAnsi="Gill Alt One MT Light"/>
              <w:sz w:val="16"/>
              <w:lang w:val="it-CH"/>
            </w:rPr>
          </w:pPr>
        </w:p>
        <w:p w:rsidR="00CD5F73" w:rsidRDefault="00E2458A"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CA5CDB"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CA5CDB" w:rsidP="00D07D6E">
          <w:pPr>
            <w:pStyle w:val="Level"/>
            <w:ind w:left="150"/>
            <w:rPr>
              <w:sz w:val="16"/>
            </w:rPr>
          </w:pPr>
        </w:p>
      </w:tc>
      <w:tc>
        <w:tcPr>
          <w:tcW w:w="209" w:type="pct"/>
          <w:tcBorders>
            <w:top w:val="nil"/>
            <w:bottom w:val="single" w:sz="4" w:space="0" w:color="auto"/>
          </w:tcBorders>
        </w:tcPr>
        <w:p w:rsidR="00662409" w:rsidRDefault="00E245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34034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2458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A44EB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A44EB7">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E259DC75-9CA2-4915-9195-118A99293BEC}"/>
          <w:text w:multiLine="1"/>
        </w:sdtPr>
        <w:sdtEndPr/>
        <w:sdtContent>
          <w:tc>
            <w:tcPr>
              <w:tcW w:w="5000" w:type="pct"/>
              <w:gridSpan w:val="6"/>
              <w:tcBorders>
                <w:left w:val="nil"/>
                <w:right w:val="nil"/>
              </w:tcBorders>
              <w:noWrap/>
              <w:tcMar>
                <w:top w:w="0" w:type="dxa"/>
              </w:tcMar>
              <w:vAlign w:val="bottom"/>
            </w:tcPr>
            <w:p w:rsidR="00662409" w:rsidRPr="008C03B5" w:rsidRDefault="00A86E34"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245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CA5CDB"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245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CA5CDB"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245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CA5CDB"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CA5CDB"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E259DC75-9CA2-4915-9195-118A99293BEC}"/>
              <w:text w:multiLine="1"/>
            </w:sdtPr>
            <w:sdtEndPr/>
            <w:sdtContent>
              <w:r w:rsidR="00E2458A" w:rsidRPr="00BE22A2">
                <w:rPr>
                  <w:rFonts w:cstheme="minorHAnsi"/>
                  <w:b/>
                  <w:sz w:val="24"/>
                  <w:szCs w:val="24"/>
                </w:rPr>
                <w:t xml:space="preserve"> </w:t>
              </w:r>
            </w:sdtContent>
          </w:sdt>
        </w:p>
      </w:tc>
      <w:sdt>
        <w:sdtPr>
          <w:rPr>
            <w:sz w:val="24"/>
          </w:rPr>
          <w:alias w:val="DocParam.Date"/>
          <w:id w:val="-464426178"/>
          <w:dataBinding w:xpath="//DateTime[@id='DocParam.Date']" w:storeItemID="{E259DC75-9CA2-4915-9195-118A99293BEC}"/>
          <w:date w:fullDate="2023-11-28T01: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B40DA6" w:rsidP="00A532F6">
              <w:pPr>
                <w:pStyle w:val="Data"/>
              </w:pPr>
              <w:r>
                <w:rPr>
                  <w:sz w:val="24"/>
                </w:rPr>
                <w:t>28 novembre 2023</w:t>
              </w:r>
            </w:p>
          </w:tc>
        </w:sdtContent>
      </w:sdt>
      <w:tc>
        <w:tcPr>
          <w:tcW w:w="3218" w:type="pct"/>
          <w:gridSpan w:val="4"/>
          <w:tcBorders>
            <w:top w:val="nil"/>
            <w:left w:val="nil"/>
            <w:bottom w:val="nil"/>
            <w:right w:val="nil"/>
          </w:tcBorders>
        </w:tcPr>
        <w:p w:rsidR="008C03B5" w:rsidRPr="00BE22A2" w:rsidRDefault="00CA5CDB"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E259DC75-9CA2-4915-9195-118A99293BEC}"/>
              <w:text w:multiLine="1"/>
            </w:sdtPr>
            <w:sdtEndPr/>
            <w:sdtContent>
              <w:r w:rsidR="00B40DA6">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CA5CDB" w:rsidP="00D07D6E">
          <w:pPr>
            <w:pStyle w:val="Level"/>
            <w:ind w:left="150"/>
            <w:rPr>
              <w:rFonts w:ascii="Gill Alt One MT Light" w:hAnsi="Gill Alt One MT Light"/>
              <w:sz w:val="16"/>
              <w:szCs w:val="16"/>
            </w:rPr>
          </w:pPr>
        </w:p>
      </w:tc>
    </w:tr>
  </w:tbl>
  <w:p w:rsidR="00F657BF" w:rsidRPr="00DA2879" w:rsidRDefault="00E245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8716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E259DC75-9CA2-4915-9195-118A99293BEC}"/>
                            <w:text w:multiLine="1"/>
                          </w:sdtPr>
                          <w:sdtEndPr/>
                          <w:sdtContent>
                            <w:p w:rsidR="00E93620" w:rsidRPr="00411371" w:rsidRDefault="00E245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A138F2F-A83A-4D80-85D5-F5057B450923}"/>
                      <w:text w:multiLine="1"/>
                    </w:sdtPr>
                    <w:sdtEndPr/>
                    <w:sdtContent>
                      <w:p w:rsidR="00E93620" w:rsidRPr="00411371" w:rsidRDefault="00E245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D524CC"/>
    <w:multiLevelType w:val="multilevel"/>
    <w:tmpl w:val="953CA1B2"/>
    <w:numStyleLink w:val="HeadingList"/>
  </w:abstractNum>
  <w:abstractNum w:abstractNumId="17" w15:restartNumberingAfterBreak="0">
    <w:nsid w:val="53C61170"/>
    <w:multiLevelType w:val="hybridMultilevel"/>
    <w:tmpl w:val="5ADAF052"/>
    <w:lvl w:ilvl="0" w:tplc="39E0C9B6">
      <w:start w:val="25"/>
      <w:numFmt w:val="bullet"/>
      <w:lvlText w:val="-"/>
      <w:lvlJc w:val="left"/>
      <w:pPr>
        <w:ind w:left="720" w:hanging="360"/>
      </w:pPr>
      <w:rPr>
        <w:rFonts w:ascii="Arial" w:eastAsia="Times New Roman"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5D943866"/>
    <w:multiLevelType w:val="hybridMultilevel"/>
    <w:tmpl w:val="B0E84508"/>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1"/>
  </w:num>
  <w:num w:numId="2">
    <w:abstractNumId w:val="16"/>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5"/>
  </w:num>
  <w:num w:numId="5">
    <w:abstractNumId w:val="14"/>
  </w:num>
  <w:num w:numId="6">
    <w:abstractNumId w:val="12"/>
  </w:num>
  <w:num w:numId="7">
    <w:abstractNumId w:val="13"/>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8B"/>
    <w:rsid w:val="00012F9B"/>
    <w:rsid w:val="0013095B"/>
    <w:rsid w:val="00152A0C"/>
    <w:rsid w:val="001C2BD4"/>
    <w:rsid w:val="00231203"/>
    <w:rsid w:val="002B5D9F"/>
    <w:rsid w:val="00377CA8"/>
    <w:rsid w:val="003949D5"/>
    <w:rsid w:val="003B756D"/>
    <w:rsid w:val="00403ADB"/>
    <w:rsid w:val="00414C75"/>
    <w:rsid w:val="004156B8"/>
    <w:rsid w:val="00433530"/>
    <w:rsid w:val="004934B0"/>
    <w:rsid w:val="004E148A"/>
    <w:rsid w:val="004E45B9"/>
    <w:rsid w:val="00572FD3"/>
    <w:rsid w:val="0059390A"/>
    <w:rsid w:val="005A049C"/>
    <w:rsid w:val="005A3EE4"/>
    <w:rsid w:val="006848BA"/>
    <w:rsid w:val="006C350B"/>
    <w:rsid w:val="00713D8B"/>
    <w:rsid w:val="0081497C"/>
    <w:rsid w:val="008720C4"/>
    <w:rsid w:val="008B14CF"/>
    <w:rsid w:val="008C2607"/>
    <w:rsid w:val="008F52AF"/>
    <w:rsid w:val="00925171"/>
    <w:rsid w:val="0092647C"/>
    <w:rsid w:val="00962BEC"/>
    <w:rsid w:val="009A1CC1"/>
    <w:rsid w:val="009B2F13"/>
    <w:rsid w:val="009C5E5A"/>
    <w:rsid w:val="009C7E3D"/>
    <w:rsid w:val="009F0362"/>
    <w:rsid w:val="00A42172"/>
    <w:rsid w:val="00A44EB7"/>
    <w:rsid w:val="00A86E34"/>
    <w:rsid w:val="00AF0268"/>
    <w:rsid w:val="00B02A91"/>
    <w:rsid w:val="00B40DA6"/>
    <w:rsid w:val="00B52BF9"/>
    <w:rsid w:val="00BE4F27"/>
    <w:rsid w:val="00BF0A1F"/>
    <w:rsid w:val="00BF1A6D"/>
    <w:rsid w:val="00C8688A"/>
    <w:rsid w:val="00CA5CDB"/>
    <w:rsid w:val="00D00064"/>
    <w:rsid w:val="00D33940"/>
    <w:rsid w:val="00D600FD"/>
    <w:rsid w:val="00D649A8"/>
    <w:rsid w:val="00DE4C80"/>
    <w:rsid w:val="00E2458A"/>
    <w:rsid w:val="00E435B5"/>
    <w:rsid w:val="00E50875"/>
    <w:rsid w:val="00EB088A"/>
    <w:rsid w:val="00F53B7A"/>
    <w:rsid w:val="00F657BF"/>
    <w:rsid w:val="00FF7CE6"/>
    <w:rsid w:val="00FF7F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AC8A1"/>
  <w15:docId w15:val="{48419B0B-7CAF-4F1C-98CF-70C0AF68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4E148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148A"/>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5064ed36-4d50-400e-b5f1-32aa06d999cd.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340344791</Id>
      <Width>0</Width>
      <Height>0</Height>
      <XPath>//Image[@id='Profile.Org.WappenSW']</XPath>
      <ImageHash>02f1c0cdac6aeac316213b2e7cb733a0</ImageHash>
    </ImageSizeDefinition>
    <ImageSizeDefinition>
      <Id>87167871</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4 1 9 c b f f e - c 2 8 e - 4 c 6 f - 8 0 3 a - 2 e b 3 a 6 5 e 2 f 8 4 "   t I d = " a 3 6 2 a 5 d 4 - 9 5 8 9 - 4 1 b f - a 4 e 6 - 4 f 8 7 c 4 e 4 1 2 3 9 "   i n t e r n a l T I d = " 9 0 6 4 c c 7 f - 3 1 6 d - 4 6 b 1 - a 4 a c - 7 4 8 6 0 c 3 f 8 a 5 b "   m t I d = " 2 7 5 a f 3 2 e - b c 4 0 - 4 5 c 2 - 8 5 b 7 - a f b 1 c 0 3 8 2 6 5 3 "   r e v i s i o n = " 0 "   c r e a t e d m a j o r v e r s i o n = " 0 "   c r e a t e d m i n o r v e r s i o n = " 0 "   c r e a t e d = " 2 0 2 3 - 1 1 - 2 8 T 1 2 : 3 8 : 0 0 . 4 2 1 3 3 9 6 Z "   m o d i f i e d m a j o r v e r s i o n = " 0 "   m o d i f i e d m i n o r v e r s i o n = " 0 "   m o d i f i e d = " 0 0 0 1 - 0 1 - 0 1 T 0 0 : 0 0 : 0 0 "   p r o f i l e = " 5 9 5 8 5 8 a 3 - 7 2 4 4 - 4 0 c 7 - b d b 3 - b c 5 b 5 5 b f f 6 f d "   m o d e = " S a v e d D o c u m e n t "   c o l o r m o d e = " C o l o r "   l c i d = " 2 0 6 4 "   x m l n s = " h t t p : / / s c h e m a . o n e o f f i x x . c o m / O n e O f f i x x D o c u m e n t P a r t / 1 " >  
     < C o n t e n t >  
         < D a t a M o d e l   x m l n s = " " >  
             < S c r i p t i n g >  
                 < T e x t   i d = " C u s t o m E l e m e n t s . S u b T e m p l a t e . L a n d s c a p e . H e a d e r . O r g I n f o s "   l a b e l = " C u s t o m E l e m e n t s . S u b T e m p l a t e . L a n d s c a p e . H e a d e r . O r g I n f o s " > < ! [ C D A T A [ G r a n   C o n s i g l i o ] ] > < / T e x t >  
                 < T e x t   i d = " C u s t o m E l e m e n t s . S u b T e m p l a t e . L a n d s c a p e . H e a d e r . T i t o l o "   l a b e l = " C u s t o m E l e m e n t s . S u b T e m p l a t e . L a n d s c a p e . H e a d e r . T i t o l o " > < ! [ C D A T A [ R a p p o r t o   d e l   2 8   n o v e m b r e   2 0 2 3 ] ] > < / 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T e x t >  
                 < T e x t   i d = " C u s t o m E l e m e n t s . F i e l d s . T i t o l o 2 "   l a b e l = " C u s t o m E l e m e n t s . F i e l d s . T i t o l o 2 " > < ! [ C D A T A [ R a p p o r t o   d e l   2 8   n o v e m b r e   2 0 2 3 ] ] > < / T e x t >  
                 < T e x t   i d = " C u s t o m E l e m e n t s . F i e l d s . O r g L i v e l l o 1 "   l a b e l = " C u s t o m E l e m e n t s . F i e l d s . O r g L i v e l l o 1 " > < ! [ C D A T A [ R e p u b b l i c a   e   C a n t o n e   T i c i n o ] ] > < / T e x t >  
             < / S c r i p t i n g >  
             < P r o f i l e >  
                 < T e x t   i d = " P r o f i l e . I d "   l a b e l = " P r o f i l e . I d " > < ! [ C D A T A [ 5 9 5 8 5 8 a 3 - 7 2 4 4 - 4 0 c 7 - b d b 3 - b c 5 b 5 5 b f f 6 f d ] ] > < / T e x t >  
                 < T e x t   i d = " P r o f i l e . O r g a n i z a t i o n U n i t I d "   l a b e l = " P r o f i l e . O r g a n i z a t i o n U n i t I d " > < ! [ C D A T A [ 9 d a a d 4 f f - 6 1 3 7 - 4 d d c - a 8 d 4 - 7 b 3 0 4 6 4 e 8 6 4 a ] ] > < / 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 2 0 2 3 - 1 1 - 2 8 T 0 0 : 0 0 : 0 0 Z < / D a t e T i m e >  
                 < T e x t   i d = " D o c P a r a m . N u m b e r " > < ! [ C D A T A [   ] ] > < / T e x t >  
                 < T e x t   i d = " D o c P a r a m . D o c u m e n t o " > < ! [ C D A T A [ R a p p o r t o ] ] > < / T e x t >  
                 < T e x t   i d = " D o c P a r a m . A g g i u n t a D o c "   t o o l t i p = " ( e s .   b i s ,   a g g i u n t i v o ,   a g g i u n t i v o   b i s ,   1 ,   2   e c c . ) " > < ! [ C D A T A [   ] ] > < / T e x t >  
                 < T e x t   i d = " D o c P a r a m . D i p a r t i m e n t i " > < ! [ C D A T A [ G r a n   C o n s i g l i o ] ] > < / 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164FB5FD-5E6D-46B2-8F44-1CC6926D18E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E259DC75-9CA2-4915-9195-118A99293BEC}">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5064ed36-4d50-400e-b5f1-32aa06d999cd.dotx</Template>
  <TotalTime>23</TotalTime>
  <Pages>5</Pages>
  <Words>1420</Words>
  <Characters>8336</Characters>
  <Application>Microsoft Office Word</Application>
  <DocSecurity>0</DocSecurity>
  <Lines>198</Lines>
  <Paragraphs>90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Venturi Luca</cp:lastModifiedBy>
  <cp:revision>46</cp:revision>
  <cp:lastPrinted>2023-11-28T15:43:00Z</cp:lastPrinted>
  <dcterms:created xsi:type="dcterms:W3CDTF">2023-11-28T12:40:00Z</dcterms:created>
  <dcterms:modified xsi:type="dcterms:W3CDTF">2023-11-28T15:43:00Z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