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93" w:rsidRDefault="00183793" w:rsidP="00183793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8B4137">
        <w:rPr>
          <w:rFonts w:cs="Arial"/>
          <w:b/>
          <w:sz w:val="28"/>
          <w:szCs w:val="28"/>
        </w:rPr>
        <w:t xml:space="preserve">della Commissione della </w:t>
      </w:r>
      <w:r>
        <w:rPr>
          <w:rFonts w:cs="Arial"/>
          <w:b/>
          <w:sz w:val="28"/>
          <w:szCs w:val="28"/>
        </w:rPr>
        <w:t>gestione e delle finanze</w:t>
      </w:r>
    </w:p>
    <w:p w:rsidR="00183793" w:rsidRPr="009F42CF" w:rsidRDefault="00183793" w:rsidP="0018379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sul messaggio </w:t>
      </w:r>
      <w:r w:rsidRPr="009F42CF">
        <w:rPr>
          <w:rFonts w:cs="Arial"/>
          <w:b/>
          <w:sz w:val="28"/>
          <w:szCs w:val="28"/>
        </w:rPr>
        <w:t xml:space="preserve">18 ottobre 2023 concernente la proposta di concessione al Patriziato Generale di </w:t>
      </w:r>
      <w:proofErr w:type="spellStart"/>
      <w:r w:rsidRPr="009F42CF">
        <w:rPr>
          <w:rFonts w:cs="Arial"/>
          <w:b/>
          <w:sz w:val="28"/>
          <w:szCs w:val="28"/>
        </w:rPr>
        <w:t>Olivone</w:t>
      </w:r>
      <w:proofErr w:type="spellEnd"/>
      <w:r w:rsidRPr="009F42CF">
        <w:rPr>
          <w:rFonts w:cs="Arial"/>
          <w:b/>
          <w:sz w:val="28"/>
          <w:szCs w:val="28"/>
        </w:rPr>
        <w:t xml:space="preserve">, Campo e </w:t>
      </w:r>
      <w:proofErr w:type="spellStart"/>
      <w:r w:rsidRPr="009F42CF">
        <w:rPr>
          <w:rFonts w:cs="Arial"/>
          <w:b/>
          <w:sz w:val="28"/>
          <w:szCs w:val="28"/>
        </w:rPr>
        <w:t>Largario</w:t>
      </w:r>
      <w:proofErr w:type="spellEnd"/>
      <w:r w:rsidRPr="009F42CF">
        <w:rPr>
          <w:rFonts w:cs="Arial"/>
          <w:b/>
          <w:sz w:val="28"/>
          <w:szCs w:val="28"/>
        </w:rPr>
        <w:t xml:space="preserve"> di un contributo complessivo massimo di 1'840'108 franchi per la ristrutturazione dell’Alpe </w:t>
      </w:r>
      <w:proofErr w:type="spellStart"/>
      <w:r w:rsidRPr="009F42CF">
        <w:rPr>
          <w:rFonts w:cs="Arial"/>
          <w:b/>
          <w:sz w:val="28"/>
          <w:szCs w:val="28"/>
        </w:rPr>
        <w:t>Predasca</w:t>
      </w:r>
      <w:proofErr w:type="spellEnd"/>
      <w:r w:rsidRPr="009F42CF">
        <w:rPr>
          <w:rFonts w:cs="Arial"/>
          <w:b/>
          <w:sz w:val="28"/>
          <w:szCs w:val="28"/>
        </w:rPr>
        <w:t xml:space="preserve"> nella Valle di Campo (Valle di </w:t>
      </w:r>
      <w:proofErr w:type="spellStart"/>
      <w:r w:rsidRPr="009F42CF">
        <w:rPr>
          <w:rFonts w:cs="Arial"/>
          <w:b/>
          <w:sz w:val="28"/>
          <w:szCs w:val="28"/>
        </w:rPr>
        <w:t>Blenio</w:t>
      </w:r>
      <w:proofErr w:type="spellEnd"/>
      <w:r w:rsidRPr="009F42CF">
        <w:rPr>
          <w:rFonts w:cs="Arial"/>
          <w:b/>
          <w:sz w:val="28"/>
          <w:szCs w:val="28"/>
        </w:rPr>
        <w:t>)</w:t>
      </w:r>
    </w:p>
    <w:p w:rsidR="00183793" w:rsidRDefault="00183793" w:rsidP="00183793">
      <w:pPr>
        <w:pStyle w:val="StandardRisoluzionedelConsigliodiStato"/>
        <w:ind w:right="-1"/>
      </w:pPr>
    </w:p>
    <w:p w:rsidR="00183793" w:rsidRDefault="00183793" w:rsidP="00183793">
      <w:pPr>
        <w:pStyle w:val="StandardRisoluzionedelConsigliodiStato"/>
        <w:ind w:right="-1"/>
      </w:pPr>
    </w:p>
    <w:p w:rsidR="00183793" w:rsidRDefault="00183793" w:rsidP="00183793">
      <w:pPr>
        <w:pStyle w:val="StandardRisoluzionedelConsigliodiStato"/>
        <w:ind w:right="-1"/>
      </w:pPr>
    </w:p>
    <w:p w:rsidR="00183793" w:rsidRPr="00183793" w:rsidRDefault="00183793" w:rsidP="0018379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83793">
        <w:rPr>
          <w:rFonts w:eastAsia="Calibri" w:cs="Times New Roman"/>
          <w:caps/>
          <w:sz w:val="24"/>
          <w:szCs w:val="24"/>
          <w:lang w:val="it-IT" w:eastAsia="it-IT"/>
        </w:rPr>
        <w:t>Introduzione</w:t>
      </w:r>
    </w:p>
    <w:p w:rsidR="00183793" w:rsidRDefault="00183793" w:rsidP="00183793">
      <w:pPr>
        <w:pStyle w:val="StandardRisoluzionedelConsigliodiStato"/>
        <w:ind w:right="-1"/>
      </w:pPr>
      <w:r>
        <w:t xml:space="preserve">Il presente rapporto si concentra sulla proposta di concedere un contributo di 1'840'108 franchi per la ristrutturazione e il miglioramento dell'Alpe </w:t>
      </w:r>
      <w:proofErr w:type="spellStart"/>
      <w:r>
        <w:t>Predasca</w:t>
      </w:r>
      <w:proofErr w:type="spellEnd"/>
      <w:r>
        <w:t xml:space="preserve">, un'area alpestre gestita dal Patriziato Generale di </w:t>
      </w:r>
      <w:proofErr w:type="spellStart"/>
      <w:r>
        <w:t>Olivone</w:t>
      </w:r>
      <w:proofErr w:type="spellEnd"/>
      <w:r>
        <w:t xml:space="preserve">, Campo e </w:t>
      </w:r>
      <w:proofErr w:type="spellStart"/>
      <w:r>
        <w:t>Largario</w:t>
      </w:r>
      <w:proofErr w:type="spellEnd"/>
      <w:r>
        <w:t>, situata nella Valle di Campo.</w:t>
      </w:r>
    </w:p>
    <w:p w:rsidR="00183793" w:rsidRDefault="00183793" w:rsidP="00183793">
      <w:pPr>
        <w:pStyle w:val="StandardRisoluzionedelConsigliodiStato"/>
        <w:ind w:right="-1"/>
      </w:pPr>
    </w:p>
    <w:p w:rsidR="00183793" w:rsidRDefault="00183793" w:rsidP="00183793">
      <w:pPr>
        <w:pStyle w:val="StandardRisoluzionedelConsigliodiStato"/>
        <w:ind w:right="-1"/>
      </w:pPr>
    </w:p>
    <w:p w:rsidR="00183793" w:rsidRPr="00183793" w:rsidRDefault="00183793" w:rsidP="0018379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83793">
        <w:rPr>
          <w:rFonts w:eastAsia="Calibri" w:cs="Times New Roman"/>
          <w:caps/>
          <w:sz w:val="24"/>
          <w:szCs w:val="24"/>
          <w:lang w:val="it-IT" w:eastAsia="it-IT"/>
        </w:rPr>
        <w:t>Situazione attuale e interventi proposti</w:t>
      </w:r>
    </w:p>
    <w:p w:rsidR="00183793" w:rsidRDefault="00183793" w:rsidP="00183793">
      <w:pPr>
        <w:pStyle w:val="StandardRisoluzionedelConsigliodiStato"/>
        <w:ind w:right="-1"/>
      </w:pPr>
      <w:r>
        <w:t xml:space="preserve">L'Alpe </w:t>
      </w:r>
      <w:proofErr w:type="spellStart"/>
      <w:r>
        <w:t>Predasca</w:t>
      </w:r>
      <w:proofErr w:type="spellEnd"/>
      <w:r>
        <w:t>, una zona di interesse agricolo e culturale, necessita di interventi significativi per modernizzare e ampliare le strutture esistenti, inclusi gli edifici, l'acquedotto e l'approvvigionamento elettrico. Questi miglioramenti sono cruciali per soddisfare gli standard attuali di produzione e per garantire condizioni di lavoro ottimali.</w:t>
      </w:r>
    </w:p>
    <w:p w:rsidR="00183793" w:rsidRDefault="00183793" w:rsidP="00183793">
      <w:pPr>
        <w:pStyle w:val="StandardRisoluzionedelConsigliodiStato"/>
        <w:ind w:right="-1"/>
      </w:pPr>
    </w:p>
    <w:p w:rsidR="00183793" w:rsidRDefault="00183793" w:rsidP="00183793">
      <w:pPr>
        <w:pStyle w:val="StandardRisoluzionedelConsigliodiStato"/>
        <w:ind w:right="-1"/>
      </w:pPr>
    </w:p>
    <w:p w:rsidR="00183793" w:rsidRPr="00183793" w:rsidRDefault="00183793" w:rsidP="0018379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83793">
        <w:rPr>
          <w:rFonts w:eastAsia="Calibri" w:cs="Times New Roman"/>
          <w:caps/>
          <w:sz w:val="24"/>
          <w:szCs w:val="24"/>
          <w:lang w:val="it-IT" w:eastAsia="it-IT"/>
        </w:rPr>
        <w:t>Progetto di miglioria alpestre</w:t>
      </w:r>
    </w:p>
    <w:p w:rsidR="00183793" w:rsidRDefault="00183793" w:rsidP="00183793">
      <w:pPr>
        <w:pStyle w:val="StandardRisoluzionedelConsigliodiStato"/>
        <w:spacing w:after="120"/>
        <w:ind w:right="-1"/>
      </w:pPr>
      <w:r>
        <w:t>Il progetto si focalizza su diversi aspetti:</w:t>
      </w:r>
    </w:p>
    <w:p w:rsidR="00183793" w:rsidRDefault="00183793" w:rsidP="00183793">
      <w:pPr>
        <w:pStyle w:val="StandardRisoluzionedelConsigliodiStato"/>
        <w:numPr>
          <w:ilvl w:val="0"/>
          <w:numId w:val="18"/>
        </w:numPr>
        <w:spacing w:after="60"/>
        <w:ind w:left="284" w:right="-1" w:hanging="284"/>
      </w:pPr>
      <w:proofErr w:type="spellStart"/>
      <w:r>
        <w:t>Predasca</w:t>
      </w:r>
      <w:proofErr w:type="spellEnd"/>
      <w:r>
        <w:t>: Ristrutturazione degli edifici esistenti, ampliamento del caseificio, miglioramento delle infrastrutture elettriche e idriche.</w:t>
      </w:r>
    </w:p>
    <w:p w:rsidR="00183793" w:rsidRDefault="00183793" w:rsidP="00183793">
      <w:pPr>
        <w:pStyle w:val="StandardRisoluzionedelConsigliodiStato"/>
        <w:numPr>
          <w:ilvl w:val="0"/>
          <w:numId w:val="18"/>
        </w:numPr>
        <w:spacing w:after="60"/>
        <w:ind w:left="284" w:right="-1" w:hanging="284"/>
      </w:pPr>
      <w:r>
        <w:t xml:space="preserve">Pian </w:t>
      </w:r>
      <w:proofErr w:type="spellStart"/>
      <w:r>
        <w:t>Prevat</w:t>
      </w:r>
      <w:proofErr w:type="spellEnd"/>
      <w:r>
        <w:t xml:space="preserve"> e Ronco Loda: Aggiornamento delle strutture per la mungitura e l'alloggio dei pastori.</w:t>
      </w:r>
    </w:p>
    <w:p w:rsidR="00183793" w:rsidRDefault="00183793" w:rsidP="00183793">
      <w:pPr>
        <w:pStyle w:val="StandardRisoluzionedelConsigliodiStato"/>
        <w:numPr>
          <w:ilvl w:val="0"/>
          <w:numId w:val="18"/>
        </w:numPr>
        <w:spacing w:after="60"/>
        <w:ind w:left="284" w:right="-1" w:hanging="284"/>
      </w:pPr>
      <w:r>
        <w:t xml:space="preserve">Ai </w:t>
      </w:r>
      <w:proofErr w:type="spellStart"/>
      <w:r>
        <w:t>Föpp</w:t>
      </w:r>
      <w:proofErr w:type="spellEnd"/>
      <w:r>
        <w:t>: Ristrutturazione dell'abitazione del pastore.</w:t>
      </w:r>
    </w:p>
    <w:p w:rsidR="00183793" w:rsidRDefault="00183793" w:rsidP="00183793">
      <w:pPr>
        <w:pStyle w:val="StandardRisoluzionedelConsigliodiStato"/>
        <w:numPr>
          <w:ilvl w:val="0"/>
          <w:numId w:val="18"/>
        </w:numPr>
        <w:ind w:left="284" w:hanging="284"/>
      </w:pPr>
      <w:r>
        <w:t>Acquedotto e Linea Elettrica: Risanamento e potenziamento dell'approvvigionamento idrico e elettrico.</w:t>
      </w:r>
    </w:p>
    <w:p w:rsidR="00183793" w:rsidRDefault="00183793" w:rsidP="00183793">
      <w:pPr>
        <w:pStyle w:val="StandardRisoluzionedelConsigliodiStato"/>
        <w:ind w:right="-1"/>
      </w:pPr>
    </w:p>
    <w:p w:rsidR="00183793" w:rsidRDefault="00183793" w:rsidP="00183793">
      <w:pPr>
        <w:pStyle w:val="StandardRisoluzionedelConsigliodiStato"/>
        <w:ind w:right="-1"/>
      </w:pPr>
      <w:r>
        <w:t>Il preventivo totale per la ristrutturazione ammonta a 5'060'000 franchi, coperti in parte da contributi cantonali, federali, e da altri finanziatori.</w:t>
      </w:r>
    </w:p>
    <w:p w:rsidR="00183793" w:rsidRDefault="00183793" w:rsidP="00183793">
      <w:pPr>
        <w:pStyle w:val="StandardRisoluzionedelConsigliodiStato"/>
        <w:ind w:right="-1"/>
        <w:rPr>
          <w:b/>
        </w:rPr>
      </w:pPr>
    </w:p>
    <w:p w:rsidR="00183793" w:rsidRPr="009F42CF" w:rsidRDefault="00183793" w:rsidP="00183793">
      <w:pPr>
        <w:pStyle w:val="StandardRisoluzionedelConsigliodiStato"/>
        <w:ind w:right="-1"/>
        <w:rPr>
          <w:b/>
        </w:rPr>
      </w:pPr>
    </w:p>
    <w:p w:rsidR="00183793" w:rsidRPr="00183793" w:rsidRDefault="00183793" w:rsidP="0018379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83793">
        <w:rPr>
          <w:rFonts w:eastAsia="Calibri" w:cs="Times New Roman"/>
          <w:caps/>
          <w:sz w:val="24"/>
          <w:szCs w:val="24"/>
          <w:lang w:val="it-IT" w:eastAsia="it-IT"/>
        </w:rPr>
        <w:t>Piano di finanziamento</w:t>
      </w:r>
    </w:p>
    <w:p w:rsidR="00183793" w:rsidRDefault="00183793" w:rsidP="00183793">
      <w:pPr>
        <w:pStyle w:val="StandardRisoluzionedelConsigliodiStato"/>
        <w:ind w:right="-1"/>
      </w:pPr>
      <w:r>
        <w:t>Il finanziamento del progetto è assicurato tramite una combinazione di contributi cantonali e federali, credito agricolo all’investimento, e altri aiuti. Un importo residuo di 157'999.70 franchi richiederà ulteriori fonti di finanziamento.</w:t>
      </w:r>
    </w:p>
    <w:p w:rsidR="00183793" w:rsidRDefault="00183793" w:rsidP="00183793">
      <w:pPr>
        <w:pStyle w:val="StandardRisoluzionedelConsigliodiStato"/>
        <w:ind w:right="-1"/>
      </w:pPr>
    </w:p>
    <w:p w:rsidR="00183793" w:rsidRPr="00183793" w:rsidRDefault="00183793" w:rsidP="00183793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183793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Conclusioni</w:t>
      </w:r>
    </w:p>
    <w:p w:rsidR="00183793" w:rsidRDefault="00183793" w:rsidP="00183793">
      <w:pPr>
        <w:pStyle w:val="StandardRisoluzionedelConsigliodiStato"/>
        <w:ind w:right="-1"/>
      </w:pPr>
      <w:r>
        <w:t xml:space="preserve">La ristrutturazione dell'Alpe </w:t>
      </w:r>
      <w:proofErr w:type="spellStart"/>
      <w:r>
        <w:t>Predasca</w:t>
      </w:r>
      <w:proofErr w:type="spellEnd"/>
      <w:r>
        <w:t xml:space="preserve"> è fondamentale per la valorizzazione dell'agricoltura e del paesaggio nella Valle di Campo. Gli investimenti proposti non solo garantiranno la continuità delle attività agricole, ma contribuiranno anche al benessere economico e ambientale della regione. Pertanto, si raccomanda vivamente al Gran Consiglio di approvare questo decreto legislativo, che rappresenta un passo importante verso un futuro sostenibile e produttivo per l'Alpe </w:t>
      </w:r>
      <w:proofErr w:type="spellStart"/>
      <w:r>
        <w:t>Predasca</w:t>
      </w:r>
      <w:proofErr w:type="spellEnd"/>
      <w:r>
        <w:t xml:space="preserve"> e per le comunità circostanti.</w:t>
      </w:r>
    </w:p>
    <w:p w:rsidR="00183793" w:rsidRDefault="00183793" w:rsidP="00183793">
      <w:pPr>
        <w:pStyle w:val="StandardRisoluzionedelConsigliodiStato"/>
        <w:ind w:right="-1"/>
      </w:pPr>
    </w:p>
    <w:p w:rsidR="00183793" w:rsidRPr="005948E2" w:rsidRDefault="00183793" w:rsidP="00183793">
      <w:pPr>
        <w:rPr>
          <w:sz w:val="24"/>
        </w:rPr>
      </w:pPr>
      <w:r w:rsidRPr="00E32F12">
        <w:rPr>
          <w:sz w:val="24"/>
        </w:rPr>
        <w:t>Sulla base delle considerazioni esp</w:t>
      </w:r>
      <w:r>
        <w:rPr>
          <w:sz w:val="24"/>
        </w:rPr>
        <w:t>oste nel presente rapporto, la C</w:t>
      </w:r>
      <w:r w:rsidRPr="00E32F12">
        <w:rPr>
          <w:sz w:val="24"/>
        </w:rPr>
        <w:t xml:space="preserve">ommissione invita il Gran Consiglio ad accettare il decreto legislativo annesso al messaggio governativo. </w:t>
      </w:r>
    </w:p>
    <w:p w:rsidR="00183793" w:rsidRPr="005948E2" w:rsidRDefault="00183793" w:rsidP="00183793">
      <w:pPr>
        <w:rPr>
          <w:sz w:val="24"/>
          <w:szCs w:val="24"/>
        </w:rPr>
      </w:pPr>
    </w:p>
    <w:p w:rsidR="00183793" w:rsidRPr="005948E2" w:rsidRDefault="00183793" w:rsidP="00183793">
      <w:pPr>
        <w:rPr>
          <w:sz w:val="24"/>
          <w:szCs w:val="24"/>
        </w:rPr>
      </w:pPr>
    </w:p>
    <w:p w:rsidR="00183793" w:rsidRPr="005948E2" w:rsidRDefault="00183793" w:rsidP="0018787E">
      <w:pPr>
        <w:spacing w:after="120"/>
        <w:rPr>
          <w:sz w:val="24"/>
          <w:szCs w:val="24"/>
        </w:rPr>
      </w:pPr>
      <w:r w:rsidRPr="005948E2">
        <w:rPr>
          <w:sz w:val="24"/>
          <w:szCs w:val="24"/>
        </w:rPr>
        <w:t>Per la Commissione gestione e finanze</w:t>
      </w:r>
      <w:r>
        <w:rPr>
          <w:sz w:val="24"/>
          <w:szCs w:val="24"/>
        </w:rPr>
        <w:t>:</w:t>
      </w:r>
    </w:p>
    <w:p w:rsidR="00183793" w:rsidRDefault="00183793" w:rsidP="00183793">
      <w:pPr>
        <w:rPr>
          <w:sz w:val="24"/>
          <w:szCs w:val="24"/>
        </w:rPr>
      </w:pPr>
      <w:r>
        <w:rPr>
          <w:sz w:val="24"/>
          <w:szCs w:val="24"/>
        </w:rPr>
        <w:t>Michele Guerra</w:t>
      </w:r>
      <w:r w:rsidRPr="005948E2">
        <w:rPr>
          <w:sz w:val="24"/>
          <w:szCs w:val="24"/>
        </w:rPr>
        <w:t>, relatore</w:t>
      </w:r>
    </w:p>
    <w:p w:rsidR="00183793" w:rsidRDefault="00183793" w:rsidP="00183793">
      <w:pPr>
        <w:rPr>
          <w:sz w:val="24"/>
          <w:szCs w:val="24"/>
        </w:rPr>
      </w:pPr>
      <w:r>
        <w:rPr>
          <w:sz w:val="24"/>
          <w:szCs w:val="24"/>
        </w:rPr>
        <w:t xml:space="preserve">Agustoni - Balli - Bignasca - Bourgoin - Caprara - </w:t>
      </w:r>
    </w:p>
    <w:p w:rsidR="00183793" w:rsidRDefault="00183793" w:rsidP="00183793">
      <w:pPr>
        <w:rPr>
          <w:sz w:val="24"/>
          <w:szCs w:val="24"/>
        </w:rPr>
      </w:pPr>
      <w:r>
        <w:rPr>
          <w:sz w:val="24"/>
          <w:szCs w:val="24"/>
        </w:rPr>
        <w:t>Dadò - Durisch - Ferrara - Gianella Alessandra -</w:t>
      </w:r>
    </w:p>
    <w:p w:rsidR="00183793" w:rsidRPr="005948E2" w:rsidRDefault="00183793" w:rsidP="00183793">
      <w:pPr>
        <w:rPr>
          <w:sz w:val="24"/>
          <w:szCs w:val="24"/>
        </w:rPr>
      </w:pPr>
      <w:r>
        <w:rPr>
          <w:sz w:val="24"/>
          <w:szCs w:val="24"/>
        </w:rPr>
        <w:t xml:space="preserve">Passalia </w:t>
      </w:r>
      <w:r w:rsidR="00D2009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20092">
        <w:rPr>
          <w:sz w:val="24"/>
          <w:szCs w:val="24"/>
        </w:rPr>
        <w:t xml:space="preserve">Pini - </w:t>
      </w:r>
      <w:r>
        <w:rPr>
          <w:sz w:val="24"/>
          <w:szCs w:val="24"/>
        </w:rPr>
        <w:t>Quadranti - Sirica</w:t>
      </w:r>
    </w:p>
    <w:p w:rsidR="007477B3" w:rsidRDefault="007477B3" w:rsidP="00183793"/>
    <w:p w:rsidR="007477B3" w:rsidRDefault="007477B3" w:rsidP="00183793"/>
    <w:p w:rsidR="00D649A8" w:rsidRPr="00183793" w:rsidRDefault="00D649A8" w:rsidP="00D33940">
      <w:pPr>
        <w:pStyle w:val="StandardRisoluzionedelConsigliodiStato"/>
        <w:ind w:right="-1"/>
      </w:pPr>
    </w:p>
    <w:sectPr w:rsidR="00D649A8" w:rsidRPr="00183793" w:rsidSect="003751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93" w:rsidRDefault="00183793" w:rsidP="00F657BF">
      <w:r>
        <w:separator/>
      </w:r>
    </w:p>
  </w:endnote>
  <w:endnote w:type="continuationSeparator" w:id="0">
    <w:p w:rsidR="00183793" w:rsidRDefault="00183793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0710CF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52523C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52523C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0710CF" w:rsidP="00912E34"/>
      </w:tc>
    </w:tr>
  </w:tbl>
  <w:p w:rsidR="00F657BF" w:rsidRDefault="00F657BF" w:rsidP="00F5689F">
    <w:pPr>
      <w:pStyle w:val="InvisibleLi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0710CF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93" w:rsidRDefault="00183793" w:rsidP="00F657BF">
      <w:r>
        <w:separator/>
      </w:r>
    </w:p>
  </w:footnote>
  <w:footnote w:type="continuationSeparator" w:id="0">
    <w:p w:rsidR="00183793" w:rsidRDefault="00183793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:rsidR="00736F8A" w:rsidRDefault="000710CF" w:rsidP="00736F8A">
          <w:pPr>
            <w:pStyle w:val="Page"/>
            <w:spacing w:after="0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OrgLivello1"/>
              <w:id w:val="-1459882544"/>
              <w:dataBinding w:xpath="//Text[@id='CustomElements.Fields.OrgLivello1']" w:storeItemID="{F9B897F4-C0B5-4D2E-85A8-A547B2B9ED8E}"/>
              <w:text w:multiLine="1"/>
            </w:sdtPr>
            <w:sdtEndPr/>
            <w:sdtContent>
              <w:r w:rsidR="0052523C">
                <w:rPr>
                  <w:rFonts w:ascii="Gill Alt One MT Light" w:hAnsi="Gill Alt One MT Light"/>
                  <w:sz w:val="16"/>
                  <w:szCs w:val="16"/>
                </w:rPr>
                <w:t>Repubblica e Cantone Ticino</w:t>
              </w:r>
            </w:sdtContent>
          </w:sdt>
        </w:p>
        <w:p w:rsidR="005012EC" w:rsidRPr="00E8185F" w:rsidRDefault="000710CF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sdt>
            <w:sdtPr>
              <w:rPr>
                <w:rFonts w:ascii="Gill Alt One MT Light" w:hAnsi="Gill Alt One MT Light"/>
                <w:sz w:val="16"/>
                <w:szCs w:val="16"/>
              </w:rPr>
              <w:alias w:val="CustomElements.Fields.Dipartimenti"/>
              <w:id w:val="1567676091"/>
              <w:dataBinding w:xpath="//Text[@id='CustomElements.Fields.Dipartimenti']" w:storeItemID="{F9B897F4-C0B5-4D2E-85A8-A547B2B9ED8E}"/>
              <w:text w:multiLine="1"/>
            </w:sdtPr>
            <w:sdtEndPr/>
            <w:sdtContent>
              <w:r w:rsidR="00DE3B55">
                <w:rPr>
                  <w:rFonts w:ascii="Gill Alt One MT Light" w:hAnsi="Gill Alt One MT Light"/>
                  <w:sz w:val="16"/>
                  <w:szCs w:val="16"/>
                </w:rPr>
                <w:t>Dipartimento delle finanze e dell’economia</w:t>
              </w:r>
            </w:sdtContent>
          </w:sdt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52523C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710CF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710CF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F9B897F4-C0B5-4D2E-85A8-A547B2B9ED8E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183793" w:rsidRDefault="00DE3B55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8344 R del 23 gennaio 2024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183793" w:rsidRDefault="000710CF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52523C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F9B897F4-C0B5-4D2E-85A8-A547B2B9ED8E}"/>
                            <w:text w:multiLine="1"/>
                          </w:sdtPr>
                          <w:sdtEndPr/>
                          <w:sdtContent>
                            <w:p w:rsidR="008065E8" w:rsidRPr="00411371" w:rsidRDefault="0052523C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F704590-93AE-4F50-A7CD-068A71E03B8D}"/>
                      <w:text w:multiLine="1"/>
                    </w:sdtPr>
                    <w:sdtEndPr/>
                    <w:sdtContent>
                      <w:p w:rsidR="008065E8" w:rsidRPr="00411371" w:rsidRDefault="0052523C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CD5F73">
      <w:trPr>
        <w:trHeight w:hRule="exact" w:val="584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</w:tcPr>
        <w:p w:rsidR="00662409" w:rsidRDefault="000710CF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  <w:p w:rsidR="00CD5F73" w:rsidRDefault="0052523C" w:rsidP="00CD5F73">
          <w:pPr>
            <w:pStyle w:val="InvisibleLine"/>
            <w:spacing w:line="240" w:lineRule="auto"/>
            <w:ind w:left="15"/>
            <w:jc w:val="left"/>
            <w:rPr>
              <w:rFonts w:ascii="Gill Alt One MT Light" w:hAnsi="Gill Alt One MT Light"/>
              <w:sz w:val="16"/>
              <w:lang w:val="it-CH"/>
            </w:rPr>
          </w:pPr>
          <w:r w:rsidRPr="008966E7">
            <w:rPr>
              <w:rFonts w:ascii="Gill Alt One MT Light" w:hAnsi="Gill Alt One MT Light"/>
              <w:sz w:val="16"/>
              <w:lang w:val="it-CH"/>
            </w:rPr>
            <w:t xml:space="preserve">Repubblica e Cantone </w:t>
          </w:r>
          <w:r>
            <w:rPr>
              <w:rFonts w:ascii="Gill Alt One MT Light" w:hAnsi="Gill Alt One MT Light"/>
              <w:sz w:val="16"/>
              <w:lang w:val="it-CH"/>
            </w:rPr>
            <w:br/>
          </w:r>
          <w:r w:rsidRPr="008966E7">
            <w:rPr>
              <w:rFonts w:ascii="Gill Alt One MT Light" w:hAnsi="Gill Alt One MT Light"/>
              <w:sz w:val="16"/>
              <w:lang w:val="it-CH"/>
            </w:rPr>
            <w:t>Ticino</w:t>
          </w:r>
        </w:p>
        <w:p w:rsidR="00CD5F73" w:rsidRPr="008966E7" w:rsidRDefault="000710CF" w:rsidP="00932E26">
          <w:pPr>
            <w:pStyle w:val="InvisibleLine"/>
            <w:spacing w:line="240" w:lineRule="auto"/>
            <w:ind w:left="15"/>
            <w:rPr>
              <w:rFonts w:ascii="Gill Alt One MT Light" w:hAnsi="Gill Alt One MT Light"/>
              <w:sz w:val="16"/>
              <w:lang w:val="it-CH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0710CF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52523C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887817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52523C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710CF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710CF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F9B897F4-C0B5-4D2E-85A8-A547B2B9ED8E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DE3B55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52523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0710C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52523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0710C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52523C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0710CF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0710CF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F9B897F4-C0B5-4D2E-85A8-A547B2B9ED8E}"/>
              <w:text w:multiLine="1"/>
            </w:sdtPr>
            <w:sdtEndPr/>
            <w:sdtContent>
              <w:r w:rsidR="00DE3B55">
                <w:rPr>
                  <w:rFonts w:cstheme="minorHAnsi"/>
                  <w:b/>
                  <w:sz w:val="24"/>
                  <w:szCs w:val="24"/>
                </w:rPr>
                <w:t>8344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F9B897F4-C0B5-4D2E-85A8-A547B2B9ED8E}"/>
          <w:date w:fullDate="2024-01-23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DE3B55" w:rsidP="00A532F6">
              <w:pPr>
                <w:pStyle w:val="Data"/>
              </w:pPr>
              <w:r>
                <w:rPr>
                  <w:sz w:val="24"/>
                </w:rPr>
                <w:t>23 gennaio 2024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0710CF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F9B897F4-C0B5-4D2E-85A8-A547B2B9ED8E}"/>
              <w:text w:multiLine="1"/>
            </w:sdtPr>
            <w:sdtEndPr/>
            <w:sdtContent>
              <w:r w:rsidR="00DE3B55">
                <w:rPr>
                  <w:smallCaps/>
                  <w:sz w:val="23"/>
                  <w:szCs w:val="23"/>
                </w:rPr>
                <w:t>Dipartimento delle finanze e dell’economia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0710CF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52523C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791390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F9B897F4-C0B5-4D2E-85A8-A547B2B9ED8E}"/>
                            <w:text w:multiLine="1"/>
                          </w:sdtPr>
                          <w:sdtEndPr/>
                          <w:sdtContent>
                            <w:p w:rsidR="00E93620" w:rsidRPr="00411371" w:rsidRDefault="0052523C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F704590-93AE-4F50-A7CD-068A71E03B8D}"/>
                      <w:text w:multiLine="1"/>
                    </w:sdtPr>
                    <w:sdtEndPr/>
                    <w:sdtContent>
                      <w:p w:rsidR="00E93620" w:rsidRPr="00411371" w:rsidRDefault="0052523C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67FD16EE"/>
    <w:multiLevelType w:val="hybridMultilevel"/>
    <w:tmpl w:val="B1E2D3A4"/>
    <w:lvl w:ilvl="0" w:tplc="8E38A2C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93"/>
    <w:rsid w:val="000710CF"/>
    <w:rsid w:val="000F446B"/>
    <w:rsid w:val="00183793"/>
    <w:rsid w:val="00183BB6"/>
    <w:rsid w:val="0018787E"/>
    <w:rsid w:val="002B5D9F"/>
    <w:rsid w:val="003561CF"/>
    <w:rsid w:val="003B756D"/>
    <w:rsid w:val="00403ADB"/>
    <w:rsid w:val="00427275"/>
    <w:rsid w:val="00435F20"/>
    <w:rsid w:val="0052523C"/>
    <w:rsid w:val="00572FD3"/>
    <w:rsid w:val="00632CD4"/>
    <w:rsid w:val="006E5854"/>
    <w:rsid w:val="007477B3"/>
    <w:rsid w:val="008720C4"/>
    <w:rsid w:val="008F52AF"/>
    <w:rsid w:val="0090506F"/>
    <w:rsid w:val="009B3079"/>
    <w:rsid w:val="009C5E5A"/>
    <w:rsid w:val="00A95EFA"/>
    <w:rsid w:val="00AF0268"/>
    <w:rsid w:val="00BF0A1F"/>
    <w:rsid w:val="00C437BD"/>
    <w:rsid w:val="00C53FDA"/>
    <w:rsid w:val="00D20092"/>
    <w:rsid w:val="00D33940"/>
    <w:rsid w:val="00D600FD"/>
    <w:rsid w:val="00D649A8"/>
    <w:rsid w:val="00DE3B55"/>
    <w:rsid w:val="00EB088A"/>
    <w:rsid w:val="00F07E54"/>
    <w:rsid w:val="00F470D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32573B90-6DB7-45B2-A7E1-78228ADA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793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0D2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cec15e08-a249-41e2-9478-97109e5922fe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1887817277</Id>
      <Width>0</Width>
      <Height>0</Height>
      <XPath>//Image[@id='Profile.Org.WappenSW']</XPath>
      <ImageHash>02f1c0cdac6aeac316213b2e7cb733a0</ImageHash>
    </ImageSizeDefinition>
    <ImageSizeDefinition>
      <Id>791390052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9 9 d 5 0 1 6 - d e 7 7 - 4 a 6 4 - 9 2 9 9 - 9 6 b 1 9 4 3 9 1 a 9 2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4 - 0 1 - 2 3 T 1 6 : 0 1 : 1 9 . 4 3 3 7 1 4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 2 0 2 4 - 0 1 - 2 3 T 0 0 : 0 0 : 0 0 Z < / D a t e T i m e >  
                 < T e x t   i d = " D o c P a r a m . N u m b e r " > < ! [ C D A T A [ 8 3 4 4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e   f i n a n z e   e   d e l l  e c o n o m i a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R e p u b b l i c a   e   C a n t o n e   T i c i n o  
 D i p a r t i m e n t o   d e l l e   f i n a n z e   e   d e l l  e c o n o m i a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3 4 4   R   d e l   2 3   g e n n a i o   2 0 2 4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e   f i n a n z e   e   d e l l  e c o n o m i a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3 4 4   R   d e l   2 3   g e n n a i o   2 0 2 4 ] ] > < / T e x t >  
                 < T e x t   i d = " C u s t o m E l e m e n t s . F i e l d s . O r g L i v e l l o 1 "   l a b e l = " C u s t o m E l e m e n t s . F i e l d s . O r g L i v e l l o 1 " > < ! [ C D A T A [ R e p u b b l i c a   e   C a n t o n e   T i c i n o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F58E0FE-B045-417B-8CE8-33171480D68B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F9B897F4-C0B5-4D2E-85A8-A547B2B9ED8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cec15e08-a249-41e2-9478-97109e5922fe.dotx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20</cp:revision>
  <cp:lastPrinted>2024-01-24T06:38:00Z</cp:lastPrinted>
  <dcterms:created xsi:type="dcterms:W3CDTF">2024-01-23T16:02:00Z</dcterms:created>
  <dcterms:modified xsi:type="dcterms:W3CDTF">2024-01-24T06:40:00Z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