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CA" w:rsidRPr="008136CA" w:rsidRDefault="008136CA" w:rsidP="008136CA">
      <w:pPr>
        <w:rPr>
          <w:rFonts w:eastAsia="Calibri" w:cs="Arial"/>
          <w:b/>
          <w:sz w:val="28"/>
          <w:szCs w:val="28"/>
        </w:rPr>
      </w:pPr>
      <w:r w:rsidRPr="008136CA">
        <w:rPr>
          <w:rFonts w:eastAsia="Calibri" w:cs="Arial"/>
          <w:b/>
          <w:sz w:val="28"/>
          <w:szCs w:val="28"/>
        </w:rPr>
        <w:t>della Commissione gestione e finanze</w:t>
      </w:r>
    </w:p>
    <w:p w:rsidR="008136CA" w:rsidRPr="008136CA" w:rsidRDefault="008136CA" w:rsidP="008136CA">
      <w:pPr>
        <w:rPr>
          <w:rFonts w:eastAsia="Calibri" w:cs="Arial"/>
          <w:b/>
          <w:sz w:val="28"/>
          <w:szCs w:val="28"/>
        </w:rPr>
      </w:pPr>
      <w:r w:rsidRPr="008136CA">
        <w:rPr>
          <w:rFonts w:eastAsia="Calibri" w:cs="Arial"/>
          <w:b/>
          <w:sz w:val="28"/>
          <w:szCs w:val="28"/>
        </w:rPr>
        <w:t>sul messaggio 26 aprile 2023 concernente l’approvazione del conto economico e del bilancio al 31 dicembre 2022 della Banca dello Stato del Cantone Ticino</w:t>
      </w:r>
    </w:p>
    <w:p w:rsidR="008136CA" w:rsidRPr="008136CA" w:rsidRDefault="008136CA" w:rsidP="008136CA">
      <w:pPr>
        <w:rPr>
          <w:rFonts w:eastAsia="Calibri" w:cs="Arial"/>
          <w:sz w:val="24"/>
          <w:szCs w:val="24"/>
        </w:rPr>
      </w:pPr>
    </w:p>
    <w:p w:rsidR="008136CA" w:rsidRPr="008136CA" w:rsidRDefault="008136CA" w:rsidP="008136CA">
      <w:pPr>
        <w:rPr>
          <w:rFonts w:eastAsia="Calibri" w:cs="Arial"/>
          <w:sz w:val="24"/>
          <w:szCs w:val="24"/>
        </w:rPr>
      </w:pPr>
    </w:p>
    <w:p w:rsidR="008136CA" w:rsidRPr="008136CA" w:rsidRDefault="008136CA" w:rsidP="008136CA">
      <w:pPr>
        <w:tabs>
          <w:tab w:val="left" w:pos="1134"/>
        </w:tabs>
        <w:rPr>
          <w:rFonts w:eastAsia="Calibri" w:cs="Arial"/>
          <w:b/>
          <w:sz w:val="24"/>
        </w:rPr>
      </w:pPr>
      <w:r w:rsidRPr="008136CA">
        <w:rPr>
          <w:rFonts w:eastAsia="Calibri" w:cs="Arial"/>
          <w:b/>
          <w:sz w:val="24"/>
          <w:u w:val="single"/>
        </w:rPr>
        <w:t>Allegato</w:t>
      </w:r>
      <w:r w:rsidRPr="008136CA">
        <w:rPr>
          <w:rFonts w:eastAsia="Calibri" w:cs="Arial"/>
          <w:b/>
          <w:sz w:val="24"/>
        </w:rPr>
        <w:t xml:space="preserve">: Rapporto della Commissione del controllo del mandato pubblico della </w:t>
      </w:r>
      <w:r w:rsidRPr="008136CA">
        <w:rPr>
          <w:rFonts w:eastAsia="Calibri" w:cs="Arial"/>
          <w:b/>
          <w:sz w:val="24"/>
        </w:rPr>
        <w:tab/>
        <w:t xml:space="preserve">Banca dello Stato all’attenzione del Gran Consiglio sul grado di </w:t>
      </w:r>
      <w:r w:rsidRPr="008136CA">
        <w:rPr>
          <w:rFonts w:eastAsia="Calibri" w:cs="Arial"/>
          <w:b/>
          <w:sz w:val="24"/>
        </w:rPr>
        <w:tab/>
        <w:t>raggiungimento degli obiettivi di mandato pubblico della Banca</w:t>
      </w:r>
    </w:p>
    <w:p w:rsidR="008136CA" w:rsidRPr="008136CA" w:rsidRDefault="008136CA" w:rsidP="008136CA">
      <w:pPr>
        <w:rPr>
          <w:rFonts w:eastAsia="Calibri" w:cs="Arial"/>
          <w:sz w:val="24"/>
          <w:szCs w:val="24"/>
        </w:rPr>
      </w:pPr>
    </w:p>
    <w:p w:rsidR="008136CA" w:rsidRPr="008136CA" w:rsidRDefault="008136CA" w:rsidP="008136CA">
      <w:pPr>
        <w:rPr>
          <w:rFonts w:eastAsia="Calibri" w:cs="Arial"/>
          <w:sz w:val="24"/>
          <w:szCs w:val="24"/>
        </w:rPr>
      </w:pPr>
    </w:p>
    <w:p w:rsidR="008136CA" w:rsidRPr="008136CA" w:rsidRDefault="008136CA" w:rsidP="008136CA">
      <w:pPr>
        <w:keepNext/>
        <w:numPr>
          <w:ilvl w:val="0"/>
          <w:numId w:val="18"/>
        </w:numPr>
        <w:tabs>
          <w:tab w:val="left" w:pos="567"/>
        </w:tabs>
        <w:spacing w:after="120"/>
        <w:ind w:left="567" w:hanging="567"/>
        <w:outlineLvl w:val="0"/>
        <w:rPr>
          <w:rFonts w:eastAsia="Calibri" w:cs="Times New Roman"/>
          <w:b/>
          <w:caps/>
          <w:sz w:val="24"/>
          <w:szCs w:val="24"/>
          <w:lang w:val="it-IT" w:eastAsia="it-IT"/>
        </w:rPr>
      </w:pPr>
      <w:r w:rsidRPr="008136CA">
        <w:rPr>
          <w:rFonts w:eastAsia="Calibri" w:cs="Times New Roman"/>
          <w:b/>
          <w:caps/>
          <w:sz w:val="24"/>
          <w:szCs w:val="24"/>
          <w:lang w:val="it-IT" w:eastAsia="it-IT"/>
        </w:rPr>
        <w:t>Introduzione</w:t>
      </w:r>
    </w:p>
    <w:p w:rsidR="008136CA" w:rsidRDefault="008136CA" w:rsidP="008136CA">
      <w:pPr>
        <w:rPr>
          <w:rFonts w:eastAsia="Calibri" w:cs="Arial"/>
          <w:sz w:val="24"/>
          <w:szCs w:val="24"/>
        </w:rPr>
      </w:pPr>
      <w:r w:rsidRPr="008136CA">
        <w:rPr>
          <w:rFonts w:eastAsia="Calibri" w:cs="Arial"/>
          <w:sz w:val="24"/>
          <w:szCs w:val="24"/>
        </w:rPr>
        <w:t>Con il messaggio in esame, il Consiglio di Stato chiede l’approvazione del conto economico e del bilancio della Banca dello Stato del Cantone Ticino (in seguito Banca Stato) al 31 dicembre 2022 e dunque del relativo rapporto annuale.</w:t>
      </w:r>
    </w:p>
    <w:p w:rsidR="008136CA" w:rsidRPr="008136CA" w:rsidRDefault="008136CA" w:rsidP="008136CA">
      <w:pPr>
        <w:rPr>
          <w:rFonts w:eastAsia="Calibri" w:cs="Arial"/>
          <w:sz w:val="20"/>
          <w:szCs w:val="20"/>
        </w:rPr>
      </w:pPr>
    </w:p>
    <w:p w:rsidR="008136CA" w:rsidRPr="008136CA" w:rsidRDefault="008136CA" w:rsidP="008136CA">
      <w:pPr>
        <w:rPr>
          <w:rFonts w:eastAsia="Calibri" w:cs="Arial"/>
          <w:sz w:val="24"/>
          <w:szCs w:val="24"/>
        </w:rPr>
      </w:pPr>
      <w:r w:rsidRPr="008136CA">
        <w:rPr>
          <w:rFonts w:eastAsia="Calibri" w:cs="Arial"/>
          <w:sz w:val="24"/>
          <w:szCs w:val="24"/>
        </w:rPr>
        <w:t>Il rapporto annuale di Banca Stato comprende la relazione del Consiglio di amministrazione; • i conti annuali di gruppo e individuali 2022 • il rapporto dell'Ufficio di revisione esterno del 29 marzo 2023, con il quale si conferma che la proposta d’impiego dell’utile è conforme alle normative e si raccomanda l’approvazione del conto annuale individuale e consolidato. Al messaggio in esame è pure allegato il relativo bilancio sociale e ambientale 2022.</w:t>
      </w:r>
    </w:p>
    <w:p w:rsidR="008136CA" w:rsidRPr="008136CA" w:rsidRDefault="008136CA" w:rsidP="008136CA">
      <w:pPr>
        <w:rPr>
          <w:rFonts w:eastAsia="Calibri" w:cs="Arial"/>
          <w:sz w:val="24"/>
          <w:szCs w:val="24"/>
        </w:rPr>
      </w:pPr>
    </w:p>
    <w:p w:rsidR="008136CA" w:rsidRPr="008136CA" w:rsidRDefault="008136CA" w:rsidP="008136CA">
      <w:pPr>
        <w:rPr>
          <w:rFonts w:eastAsia="Calibri" w:cs="Arial"/>
          <w:sz w:val="24"/>
          <w:szCs w:val="24"/>
        </w:rPr>
      </w:pPr>
    </w:p>
    <w:p w:rsidR="008136CA" w:rsidRPr="008136CA" w:rsidRDefault="008136CA" w:rsidP="008136CA">
      <w:pPr>
        <w:keepNext/>
        <w:numPr>
          <w:ilvl w:val="0"/>
          <w:numId w:val="18"/>
        </w:numPr>
        <w:tabs>
          <w:tab w:val="left" w:pos="567"/>
        </w:tabs>
        <w:spacing w:after="120"/>
        <w:ind w:left="567" w:hanging="567"/>
        <w:outlineLvl w:val="0"/>
        <w:rPr>
          <w:rFonts w:eastAsia="Calibri" w:cs="Times New Roman"/>
          <w:b/>
          <w:caps/>
          <w:sz w:val="24"/>
          <w:szCs w:val="24"/>
          <w:lang w:val="it-IT" w:eastAsia="it-IT"/>
        </w:rPr>
      </w:pPr>
      <w:r w:rsidRPr="008136CA">
        <w:rPr>
          <w:rFonts w:eastAsia="Calibri" w:cs="Times New Roman"/>
          <w:b/>
          <w:caps/>
          <w:sz w:val="24"/>
          <w:szCs w:val="24"/>
          <w:lang w:val="it-IT" w:eastAsia="it-IT"/>
        </w:rPr>
        <w:t xml:space="preserve">I risultati </w:t>
      </w:r>
    </w:p>
    <w:p w:rsidR="008136CA" w:rsidRPr="008136CA" w:rsidRDefault="008136CA" w:rsidP="008136CA">
      <w:pPr>
        <w:spacing w:after="200"/>
        <w:rPr>
          <w:rFonts w:eastAsia="Calibri" w:cs="Arial"/>
          <w:sz w:val="24"/>
          <w:szCs w:val="24"/>
        </w:rPr>
      </w:pPr>
      <w:r w:rsidRPr="008136CA">
        <w:rPr>
          <w:rFonts w:eastAsia="Calibri" w:cs="Arial"/>
          <w:sz w:val="24"/>
          <w:szCs w:val="24"/>
        </w:rPr>
        <w:t>I risultati principali del conto economico e del bilancio di Banca Stato al 31 dicembre 2022 e dunque del relativo rapporto annuale, già esposti nel messaggio in oggetto, sono in sintesi i seguenti.</w:t>
      </w:r>
    </w:p>
    <w:p w:rsidR="008136CA" w:rsidRPr="008136CA" w:rsidRDefault="008136CA" w:rsidP="008136CA">
      <w:pPr>
        <w:rPr>
          <w:rFonts w:eastAsia="Calibri" w:cs="Arial"/>
          <w:b/>
          <w:bCs/>
          <w:sz w:val="24"/>
          <w:szCs w:val="24"/>
        </w:rPr>
      </w:pPr>
      <w:r w:rsidRPr="008136CA">
        <w:rPr>
          <w:rFonts w:eastAsia="Calibri" w:cs="Arial"/>
          <w:sz w:val="24"/>
          <w:szCs w:val="24"/>
        </w:rPr>
        <w:t xml:space="preserve">L’utile netto prima dell’attribuzione alle riserve per rischi bancari </w:t>
      </w:r>
      <w:proofErr w:type="spellStart"/>
      <w:r w:rsidRPr="008136CA">
        <w:rPr>
          <w:rFonts w:eastAsia="Calibri" w:cs="Arial"/>
          <w:sz w:val="24"/>
          <w:szCs w:val="24"/>
        </w:rPr>
        <w:t>generari</w:t>
      </w:r>
      <w:proofErr w:type="spellEnd"/>
      <w:r w:rsidRPr="008136CA">
        <w:rPr>
          <w:rFonts w:eastAsia="Calibri" w:cs="Arial"/>
          <w:sz w:val="24"/>
          <w:szCs w:val="24"/>
        </w:rPr>
        <w:t xml:space="preserve"> è di CHF 87.5 milioni, con un miglioramento del 15.7% rispetto al risultato del 2021, influenzato però dal versamento una tantum di CHF 15,9 milioni destinato al fondo pensionistico (per cui l’utile netto ante attribuzione alle riserve sarebbe stato di CHF 91.6 milioni). Si tratta del miglior risultato di sempre il migliore di sempre. I ricavi netti ammontano a CHF 224.7 milioni, con un aumento del 3.7% rispetto al 2021. Questo risultato permette a Banca Stato di rafforzare il livello dei fondi propri, </w:t>
      </w:r>
      <w:r w:rsidRPr="008136CA">
        <w:rPr>
          <w:rFonts w:eastAsia="Calibri" w:cs="Times New Roman"/>
          <w:bCs/>
          <w:sz w:val="24"/>
        </w:rPr>
        <w:t>e di conseguenza la solidità della banca, grazie all’attribuzione di CHF 32 milioni alle riserve per rischi bancari generali. L’utile netto progredisce e si attesta a CHF 55,5 milioni, mentre nel 2021 era di CHF 52.5 milioni. Il versamento alla proprietà ammonta a CHF 45,3 milioni, in crescita rispetto all’anno precedente di CHF 2 milioni (+4.6%).</w:t>
      </w:r>
    </w:p>
    <w:p w:rsidR="008136CA" w:rsidRPr="008136CA" w:rsidRDefault="008136CA" w:rsidP="008136CA">
      <w:pPr>
        <w:rPr>
          <w:rFonts w:eastAsia="Calibri" w:cs="Arial"/>
          <w:sz w:val="20"/>
          <w:szCs w:val="20"/>
        </w:rPr>
      </w:pPr>
    </w:p>
    <w:p w:rsidR="008136CA" w:rsidRPr="008136CA" w:rsidRDefault="008136CA" w:rsidP="008136CA">
      <w:pPr>
        <w:spacing w:after="200"/>
        <w:rPr>
          <w:rFonts w:eastAsia="Calibri" w:cs="Times New Roman"/>
          <w:bCs/>
          <w:sz w:val="24"/>
        </w:rPr>
      </w:pPr>
      <w:r w:rsidRPr="008136CA">
        <w:rPr>
          <w:rFonts w:eastAsia="Calibri" w:cs="Times New Roman"/>
          <w:bCs/>
          <w:sz w:val="24"/>
        </w:rPr>
        <w:lastRenderedPageBreak/>
        <w:t>La voce principale dei ricavi di Banca Stato è quella concernente le operazioni su interessi. Il risultato netto segna una significativa crescita di CHF 13.8 milioni (+8.9%), attestandosi a CHF 167.8</w:t>
      </w:r>
      <w:bookmarkStart w:id="0" w:name="_GoBack"/>
      <w:bookmarkEnd w:id="0"/>
      <w:r w:rsidRPr="008136CA">
        <w:rPr>
          <w:rFonts w:eastAsia="Calibri" w:cs="Times New Roman"/>
          <w:bCs/>
          <w:sz w:val="24"/>
        </w:rPr>
        <w:t xml:space="preserve"> milioni. </w:t>
      </w:r>
    </w:p>
    <w:p w:rsidR="008136CA" w:rsidRPr="008136CA" w:rsidRDefault="008136CA" w:rsidP="008136CA">
      <w:pPr>
        <w:spacing w:after="200"/>
        <w:rPr>
          <w:rFonts w:eastAsia="Calibri" w:cs="Arial"/>
          <w:bCs/>
          <w:strike/>
          <w:sz w:val="24"/>
          <w:szCs w:val="24"/>
        </w:rPr>
      </w:pPr>
      <w:r w:rsidRPr="008136CA">
        <w:rPr>
          <w:rFonts w:eastAsia="Calibri" w:cs="Times New Roman"/>
          <w:bCs/>
          <w:sz w:val="24"/>
        </w:rPr>
        <w:t xml:space="preserve">Il risultato da operazioni in commissione e da prestazioni di servizio vede una leggera diminuzione di CHF 0.7 milioni (pari all’1.8%) a CHF 37.6 milioni (va osservato che nel 2021 si era registrato un aumento di CHF 6,9 milioni, pari a +21.9%). Questa </w:t>
      </w:r>
      <w:proofErr w:type="spellStart"/>
      <w:r w:rsidRPr="008136CA">
        <w:rPr>
          <w:rFonts w:eastAsia="Calibri" w:cs="Times New Roman"/>
          <w:bCs/>
          <w:sz w:val="24"/>
        </w:rPr>
        <w:t>diminuizione</w:t>
      </w:r>
      <w:proofErr w:type="spellEnd"/>
      <w:r w:rsidRPr="008136CA">
        <w:rPr>
          <w:rFonts w:eastAsia="Calibri" w:cs="Times New Roman"/>
          <w:bCs/>
          <w:sz w:val="24"/>
        </w:rPr>
        <w:t xml:space="preserve"> è principalmente da ricondurre alle incertezze derivanti dai mercati finanziari molto volatili che ha portato i </w:t>
      </w:r>
      <w:proofErr w:type="spellStart"/>
      <w:r w:rsidRPr="008136CA">
        <w:rPr>
          <w:rFonts w:eastAsia="Calibri" w:cs="Times New Roman"/>
          <w:bCs/>
          <w:sz w:val="24"/>
        </w:rPr>
        <w:t>cilienti</w:t>
      </w:r>
      <w:proofErr w:type="spellEnd"/>
      <w:r w:rsidRPr="008136CA">
        <w:rPr>
          <w:rFonts w:eastAsia="Calibri" w:cs="Times New Roman"/>
          <w:bCs/>
          <w:sz w:val="24"/>
        </w:rPr>
        <w:t xml:space="preserve"> a disinvestire i loro portafogli e </w:t>
      </w:r>
      <w:proofErr w:type="spellStart"/>
      <w:r w:rsidRPr="008136CA">
        <w:rPr>
          <w:rFonts w:eastAsia="Calibri" w:cs="Times New Roman"/>
          <w:bCs/>
          <w:sz w:val="24"/>
        </w:rPr>
        <w:t>manentenre</w:t>
      </w:r>
      <w:proofErr w:type="spellEnd"/>
      <w:r w:rsidRPr="008136CA">
        <w:rPr>
          <w:rFonts w:eastAsia="Calibri" w:cs="Times New Roman"/>
          <w:bCs/>
          <w:sz w:val="24"/>
        </w:rPr>
        <w:t xml:space="preserve"> maggiore liquidità, unitamente a un’importante riduzione del valore dei portafogli stessi, dovuti alle correzioni dei corsi borsistici.</w:t>
      </w:r>
    </w:p>
    <w:p w:rsidR="008136CA" w:rsidRPr="008136CA" w:rsidRDefault="008136CA" w:rsidP="008136CA">
      <w:pPr>
        <w:spacing w:after="200"/>
        <w:rPr>
          <w:rFonts w:eastAsia="Calibri" w:cs="Arial"/>
          <w:sz w:val="24"/>
          <w:szCs w:val="24"/>
        </w:rPr>
      </w:pPr>
      <w:r w:rsidRPr="008136CA">
        <w:rPr>
          <w:rFonts w:eastAsia="Calibri" w:cs="Arial"/>
          <w:sz w:val="24"/>
          <w:szCs w:val="24"/>
        </w:rPr>
        <w:t xml:space="preserve">I costi d’esercizio ammontano a CHF 120.4 milioni, con una diminuzione di CHF 8.4 milioni e dunque del 6.5% rispetto al 2021; occorre tuttavia rilevare che nel 2021 era stato conferito un importo di CHF 15.9 milioni a favore della cassa pensioni del personale. Al netto di questo aspetto, i costi di esercizio sono quindi aumentati di </w:t>
      </w:r>
      <w:proofErr w:type="spellStart"/>
      <w:r w:rsidRPr="008136CA">
        <w:rPr>
          <w:rFonts w:eastAsia="Calibri" w:cs="Arial"/>
          <w:sz w:val="24"/>
          <w:szCs w:val="24"/>
        </w:rPr>
        <w:t>ca</w:t>
      </w:r>
      <w:proofErr w:type="spellEnd"/>
      <w:r w:rsidRPr="008136CA">
        <w:rPr>
          <w:rFonts w:eastAsia="Calibri" w:cs="Arial"/>
          <w:sz w:val="24"/>
          <w:szCs w:val="24"/>
        </w:rPr>
        <w:t xml:space="preserve">. CHF 7.5 milioni. </w:t>
      </w:r>
    </w:p>
    <w:p w:rsidR="008136CA" w:rsidRPr="008136CA" w:rsidRDefault="008136CA" w:rsidP="008136CA">
      <w:pPr>
        <w:spacing w:after="200"/>
        <w:rPr>
          <w:rFonts w:eastAsia="Calibri" w:cs="Arial"/>
          <w:sz w:val="24"/>
          <w:szCs w:val="24"/>
        </w:rPr>
      </w:pPr>
      <w:r w:rsidRPr="008136CA">
        <w:rPr>
          <w:rFonts w:eastAsia="Calibri" w:cs="Arial"/>
          <w:sz w:val="24"/>
          <w:szCs w:val="24"/>
        </w:rPr>
        <w:t xml:space="preserve">Come noto, la principale attività di Banca Stato concerne la concessione di crediti ipotecari, come tale pari a CHF 11.4 miliardi, con una crescita di CHF 300 milioni e dunque del 2.9%, rispetto al 2021 (in quel caso l’aumento sul 2021 era stato di CHF 840 milioni, di cui CHF 411 milioni confluiti a seguito dell’accordo con EFG). I crediti in favore di privati e aziende sono diminuiti di CHF 20 milioni (pari all’1%) e si assestano ora a CHF 1.24 miliardi. I crediti a favore degli enti pubblici ammontano a CHF 783.1 milioni (con un </w:t>
      </w:r>
      <w:proofErr w:type="spellStart"/>
      <w:r w:rsidRPr="008136CA">
        <w:rPr>
          <w:rFonts w:eastAsia="Calibri" w:cs="Arial"/>
          <w:sz w:val="24"/>
          <w:szCs w:val="24"/>
        </w:rPr>
        <w:t>singificativo</w:t>
      </w:r>
      <w:proofErr w:type="spellEnd"/>
      <w:r w:rsidRPr="008136CA">
        <w:rPr>
          <w:rFonts w:eastAsia="Calibri" w:cs="Arial"/>
          <w:sz w:val="24"/>
          <w:szCs w:val="24"/>
        </w:rPr>
        <w:t xml:space="preserve"> aumento del 15% rispetto ai CHF 680.6 milioni 2021). Il volume dei patrimoni in gestione presso Banca Stato è aumentato di CHF 418.7 milioni, pari al 2.8%, attestandosi a CHF 15.4 miliardi. L’afflusso netto di denaro fresco (Net New Money) è di CHF 2.2 miliardi (in aumento del 46,6%).</w:t>
      </w:r>
    </w:p>
    <w:p w:rsidR="008136CA" w:rsidRPr="008136CA" w:rsidRDefault="008136CA" w:rsidP="008136CA">
      <w:pPr>
        <w:spacing w:after="200"/>
        <w:rPr>
          <w:rFonts w:eastAsia="Calibri" w:cs="Arial"/>
          <w:sz w:val="24"/>
          <w:szCs w:val="24"/>
        </w:rPr>
      </w:pPr>
      <w:r w:rsidRPr="008136CA">
        <w:rPr>
          <w:rFonts w:eastAsia="Calibri" w:cs="Arial"/>
          <w:sz w:val="24"/>
          <w:szCs w:val="24"/>
        </w:rPr>
        <w:t xml:space="preserve">I principali indicatori di Banca Stato si presentano come segue: la redditività dei fondi propri (Return on </w:t>
      </w:r>
      <w:proofErr w:type="spellStart"/>
      <w:r w:rsidRPr="008136CA">
        <w:rPr>
          <w:rFonts w:eastAsia="Calibri" w:cs="Arial"/>
          <w:sz w:val="24"/>
          <w:szCs w:val="24"/>
        </w:rPr>
        <w:t>Equity</w:t>
      </w:r>
      <w:proofErr w:type="spellEnd"/>
      <w:r w:rsidRPr="008136CA">
        <w:rPr>
          <w:rFonts w:eastAsia="Calibri" w:cs="Arial"/>
          <w:sz w:val="24"/>
          <w:szCs w:val="24"/>
        </w:rPr>
        <w:t xml:space="preserve">, ROE) è aumentata al 6.7% (rispetto all’8.3% del 2017, al 7.6% del 2018, al 7.1% del 2019, al 6.5% del 2020 e al 5.8% del 2021); quella dei fondi propri aggiustati al rischio (Return on </w:t>
      </w:r>
      <w:proofErr w:type="spellStart"/>
      <w:r w:rsidRPr="008136CA">
        <w:rPr>
          <w:rFonts w:eastAsia="Calibri" w:cs="Arial"/>
          <w:sz w:val="24"/>
          <w:szCs w:val="24"/>
        </w:rPr>
        <w:t>Risk</w:t>
      </w:r>
      <w:proofErr w:type="spellEnd"/>
      <w:r w:rsidRPr="008136CA">
        <w:rPr>
          <w:rFonts w:eastAsia="Calibri" w:cs="Arial"/>
          <w:sz w:val="24"/>
          <w:szCs w:val="24"/>
        </w:rPr>
        <w:t xml:space="preserve"> </w:t>
      </w:r>
      <w:proofErr w:type="spellStart"/>
      <w:r w:rsidRPr="008136CA">
        <w:rPr>
          <w:rFonts w:eastAsia="Calibri" w:cs="Arial"/>
          <w:sz w:val="24"/>
          <w:szCs w:val="24"/>
        </w:rPr>
        <w:t>Adjusted</w:t>
      </w:r>
      <w:proofErr w:type="spellEnd"/>
      <w:r w:rsidRPr="008136CA">
        <w:rPr>
          <w:rFonts w:eastAsia="Calibri" w:cs="Arial"/>
          <w:sz w:val="24"/>
          <w:szCs w:val="24"/>
        </w:rPr>
        <w:t xml:space="preserve"> Capital, RORAC) passa dal 11.9% all’11.5% (va tuttavia osservato che il RORAC del 2021 sarebbe stato del 15% senza il precitato intervento a favore della cassa pensioni del personale). L’indicatore di efficienza </w:t>
      </w:r>
      <w:proofErr w:type="spellStart"/>
      <w:r w:rsidRPr="008136CA">
        <w:rPr>
          <w:rFonts w:eastAsia="Calibri" w:cs="Arial"/>
          <w:sz w:val="24"/>
          <w:szCs w:val="24"/>
        </w:rPr>
        <w:t>Cost</w:t>
      </w:r>
      <w:proofErr w:type="spellEnd"/>
      <w:r w:rsidRPr="008136CA">
        <w:rPr>
          <w:rFonts w:eastAsia="Calibri" w:cs="Arial"/>
          <w:sz w:val="24"/>
          <w:szCs w:val="24"/>
        </w:rPr>
        <w:t>/</w:t>
      </w:r>
      <w:proofErr w:type="spellStart"/>
      <w:r w:rsidRPr="008136CA">
        <w:rPr>
          <w:rFonts w:eastAsia="Calibri" w:cs="Arial"/>
          <w:sz w:val="24"/>
          <w:szCs w:val="24"/>
        </w:rPr>
        <w:t>Income</w:t>
      </w:r>
      <w:proofErr w:type="spellEnd"/>
      <w:r w:rsidRPr="008136CA">
        <w:rPr>
          <w:rFonts w:eastAsia="Calibri" w:cs="Arial"/>
          <w:sz w:val="24"/>
          <w:szCs w:val="24"/>
        </w:rPr>
        <w:t xml:space="preserve"> I è del 53.6%, in miglioramento rispetto a quello del 59.4% del 2020. Gli effettivi del personale corrispondono a 413.65 UP, rispetto agli 391.4 UP nel 2021 (372.7 UP del 2020).</w:t>
      </w:r>
    </w:p>
    <w:p w:rsidR="008136CA" w:rsidRPr="008136CA" w:rsidRDefault="008136CA" w:rsidP="008136CA">
      <w:pPr>
        <w:spacing w:after="200"/>
        <w:rPr>
          <w:rFonts w:eastAsia="Calibri" w:cs="Arial"/>
          <w:bCs/>
          <w:sz w:val="24"/>
          <w:szCs w:val="24"/>
        </w:rPr>
      </w:pPr>
      <w:r w:rsidRPr="008136CA">
        <w:rPr>
          <w:rFonts w:eastAsia="Calibri" w:cs="Arial"/>
          <w:bCs/>
          <w:sz w:val="24"/>
          <w:szCs w:val="24"/>
        </w:rPr>
        <w:t>In merito alle attività dell’</w:t>
      </w:r>
      <w:proofErr w:type="spellStart"/>
      <w:r w:rsidRPr="008136CA">
        <w:rPr>
          <w:rFonts w:eastAsia="Calibri" w:cs="Arial"/>
          <w:bCs/>
          <w:sz w:val="24"/>
          <w:szCs w:val="24"/>
        </w:rPr>
        <w:t>Axion</w:t>
      </w:r>
      <w:proofErr w:type="spellEnd"/>
      <w:r w:rsidRPr="008136CA">
        <w:rPr>
          <w:rFonts w:eastAsia="Calibri" w:cs="Arial"/>
          <w:bCs/>
          <w:sz w:val="24"/>
          <w:szCs w:val="24"/>
        </w:rPr>
        <w:t xml:space="preserve"> SWISS </w:t>
      </w:r>
      <w:proofErr w:type="spellStart"/>
      <w:r w:rsidRPr="008136CA">
        <w:rPr>
          <w:rFonts w:eastAsia="Calibri" w:cs="Arial"/>
          <w:bCs/>
          <w:sz w:val="24"/>
          <w:szCs w:val="24"/>
        </w:rPr>
        <w:t>Bank</w:t>
      </w:r>
      <w:proofErr w:type="spellEnd"/>
      <w:r w:rsidRPr="008136CA">
        <w:rPr>
          <w:rFonts w:eastAsia="Calibri" w:cs="Arial"/>
          <w:bCs/>
          <w:sz w:val="24"/>
          <w:szCs w:val="24"/>
        </w:rPr>
        <w:t xml:space="preserve"> SA, i ricavi netti sono aumentati di CHF 10.9 milioni, con un aumento del 31.9%. I costi d’esercizio sono aumentati di CHF 1.3 milioni (+5.2%). L’utile netto è stato di CHF 12 milioni, con un miglioramento del 135.2%. Gli </w:t>
      </w:r>
      <w:proofErr w:type="spellStart"/>
      <w:r w:rsidRPr="008136CA">
        <w:rPr>
          <w:rFonts w:eastAsia="Calibri" w:cs="Arial"/>
          <w:bCs/>
          <w:i/>
          <w:sz w:val="24"/>
          <w:szCs w:val="24"/>
        </w:rPr>
        <w:t>Assets</w:t>
      </w:r>
      <w:proofErr w:type="spellEnd"/>
      <w:r w:rsidRPr="008136CA">
        <w:rPr>
          <w:rFonts w:eastAsia="Calibri" w:cs="Arial"/>
          <w:bCs/>
          <w:i/>
          <w:sz w:val="24"/>
          <w:szCs w:val="24"/>
        </w:rPr>
        <w:t xml:space="preserve"> under Management</w:t>
      </w:r>
      <w:r w:rsidRPr="008136CA">
        <w:rPr>
          <w:rFonts w:eastAsia="Calibri" w:cs="Arial"/>
          <w:bCs/>
          <w:sz w:val="24"/>
          <w:szCs w:val="24"/>
        </w:rPr>
        <w:t xml:space="preserve"> sono passati da CHF 6 miliardi a CHF 6.1 miliardi, con un aumento di </w:t>
      </w:r>
      <w:proofErr w:type="spellStart"/>
      <w:r w:rsidRPr="008136CA">
        <w:rPr>
          <w:rFonts w:eastAsia="Calibri" w:cs="Arial"/>
          <w:bCs/>
          <w:sz w:val="24"/>
          <w:szCs w:val="24"/>
        </w:rPr>
        <w:t>ca</w:t>
      </w:r>
      <w:proofErr w:type="spellEnd"/>
      <w:r w:rsidRPr="008136CA">
        <w:rPr>
          <w:rFonts w:eastAsia="Calibri" w:cs="Arial"/>
          <w:bCs/>
          <w:sz w:val="24"/>
          <w:szCs w:val="24"/>
        </w:rPr>
        <w:t>. 100 milioni di franchi; nel 2022 vi è stato un afflusso di nuovi averi di 965.7 milioni di denaro fresco.</w:t>
      </w:r>
    </w:p>
    <w:p w:rsidR="008136CA" w:rsidRPr="008136CA" w:rsidRDefault="008136CA" w:rsidP="008136CA">
      <w:pPr>
        <w:rPr>
          <w:rFonts w:eastAsia="Calibri" w:cs="Arial"/>
          <w:sz w:val="24"/>
          <w:szCs w:val="24"/>
        </w:rPr>
      </w:pPr>
      <w:r w:rsidRPr="008136CA">
        <w:rPr>
          <w:rFonts w:eastAsia="Calibri" w:cs="Arial"/>
          <w:sz w:val="24"/>
          <w:szCs w:val="24"/>
        </w:rPr>
        <w:t xml:space="preserve">A livello consolidato, l’utile di gruppo è di CHF 64.4 milioni, con un miglioramento di CHF 9.2 milioni, ovvero del 16.7% rispetto al 2022. Il grado di solidità della banca, calcolato secondo i criteri di Basilea III, corrisponde al 185.5%, ampiamente superiore al livello minimo del 150% previsto per la categoria III (banche di dimensioni medio-grandi) a cui appartiene, dal 2021, Banca Stato (fino al 2020 apparteneva alla </w:t>
      </w:r>
      <w:proofErr w:type="spellStart"/>
      <w:r w:rsidRPr="008136CA">
        <w:rPr>
          <w:rFonts w:eastAsia="Calibri" w:cs="Arial"/>
          <w:sz w:val="24"/>
          <w:szCs w:val="24"/>
        </w:rPr>
        <w:t>cateria</w:t>
      </w:r>
      <w:proofErr w:type="spellEnd"/>
      <w:r w:rsidRPr="008136CA">
        <w:rPr>
          <w:rFonts w:eastAsia="Calibri" w:cs="Arial"/>
          <w:sz w:val="24"/>
          <w:szCs w:val="24"/>
        </w:rPr>
        <w:t xml:space="preserve"> IV: banche di medie dimensioni). </w:t>
      </w:r>
    </w:p>
    <w:p w:rsidR="008136CA" w:rsidRPr="008136CA" w:rsidRDefault="008136CA" w:rsidP="008136CA">
      <w:pPr>
        <w:keepNext/>
        <w:numPr>
          <w:ilvl w:val="0"/>
          <w:numId w:val="18"/>
        </w:numPr>
        <w:tabs>
          <w:tab w:val="left" w:pos="567"/>
        </w:tabs>
        <w:spacing w:after="120"/>
        <w:ind w:left="567" w:hanging="567"/>
        <w:outlineLvl w:val="0"/>
        <w:rPr>
          <w:rFonts w:eastAsia="Calibri" w:cs="Times New Roman"/>
          <w:b/>
          <w:caps/>
          <w:sz w:val="24"/>
          <w:szCs w:val="24"/>
          <w:lang w:val="it-IT" w:eastAsia="it-IT"/>
        </w:rPr>
      </w:pPr>
      <w:r w:rsidRPr="008136CA">
        <w:rPr>
          <w:rFonts w:eastAsia="Calibri" w:cs="Times New Roman"/>
          <w:b/>
          <w:caps/>
          <w:sz w:val="24"/>
          <w:szCs w:val="24"/>
          <w:lang w:val="it-IT" w:eastAsia="it-IT"/>
        </w:rPr>
        <w:lastRenderedPageBreak/>
        <w:t>L’esame commissionale</w:t>
      </w:r>
    </w:p>
    <w:p w:rsidR="008136CA" w:rsidRPr="008136CA" w:rsidRDefault="008136CA" w:rsidP="008136CA">
      <w:pPr>
        <w:spacing w:after="200"/>
        <w:rPr>
          <w:rFonts w:eastAsia="Calibri" w:cs="Arial"/>
          <w:sz w:val="24"/>
          <w:szCs w:val="24"/>
        </w:rPr>
      </w:pPr>
      <w:r w:rsidRPr="008136CA">
        <w:rPr>
          <w:rFonts w:eastAsia="Calibri" w:cs="Arial"/>
          <w:sz w:val="24"/>
          <w:szCs w:val="24"/>
        </w:rPr>
        <w:t xml:space="preserve">La Commissione della gestione e delle finanze ha esaminato il messaggio ed il rapporto di Banca Stato in oggetto. </w:t>
      </w:r>
    </w:p>
    <w:p w:rsidR="008136CA" w:rsidRPr="008136CA" w:rsidRDefault="008136CA" w:rsidP="008136CA">
      <w:pPr>
        <w:spacing w:after="200"/>
        <w:rPr>
          <w:rFonts w:eastAsia="Calibri" w:cs="Arial"/>
          <w:sz w:val="24"/>
          <w:szCs w:val="24"/>
        </w:rPr>
      </w:pPr>
      <w:r w:rsidRPr="008136CA">
        <w:rPr>
          <w:rFonts w:eastAsia="Calibri" w:cs="Arial"/>
          <w:sz w:val="24"/>
          <w:szCs w:val="24"/>
        </w:rPr>
        <w:t>Essa ha preso atto dei risultati conseguiti da Banca Stato nel 2022 che rappresentano un ulteriore tappa nel percorso di risultati particolarmente soddisfacenti registrato negli ultimi anni. I principali indicatori di redditività, efficienza e solidità sono pure in continuità con quelli degli ultimi anni.</w:t>
      </w:r>
    </w:p>
    <w:p w:rsidR="008136CA" w:rsidRPr="008136CA" w:rsidRDefault="008136CA" w:rsidP="008136CA">
      <w:pPr>
        <w:spacing w:after="200"/>
        <w:rPr>
          <w:rFonts w:eastAsia="Calibri" w:cs="Arial"/>
          <w:sz w:val="24"/>
          <w:szCs w:val="24"/>
        </w:rPr>
      </w:pPr>
      <w:r w:rsidRPr="008136CA">
        <w:rPr>
          <w:rFonts w:eastAsia="Calibri" w:cs="Arial"/>
          <w:sz w:val="24"/>
          <w:szCs w:val="24"/>
        </w:rPr>
        <w:t xml:space="preserve">Come accennato nei rapporti degli scorsi anni, la solidità del nostro sistema istituzionale e finanziario è stato - e resta – un prerequisito essenziale per consentire degli interventi rapidi e sostanziali in momenti di crisi, esigenza emersa con in modo particolarmente acuto con la situazione Covid-19, ma pure d’attualità nell’attuale contesto internazionale. </w:t>
      </w:r>
    </w:p>
    <w:p w:rsidR="008136CA" w:rsidRPr="008136CA" w:rsidRDefault="008136CA" w:rsidP="008136CA">
      <w:pPr>
        <w:spacing w:after="200"/>
        <w:rPr>
          <w:rFonts w:eastAsia="Calibri" w:cs="Arial"/>
          <w:sz w:val="24"/>
          <w:szCs w:val="24"/>
        </w:rPr>
      </w:pPr>
      <w:r w:rsidRPr="008136CA">
        <w:rPr>
          <w:rFonts w:eastAsia="Calibri" w:cs="Arial"/>
          <w:sz w:val="24"/>
          <w:szCs w:val="24"/>
        </w:rPr>
        <w:t xml:space="preserve">È quindi fondamentale che </w:t>
      </w:r>
      <w:r w:rsidRPr="008136CA">
        <w:rPr>
          <w:rFonts w:eastAsia="Calibri" w:cs="Arial"/>
          <w:bCs/>
          <w:sz w:val="24"/>
          <w:szCs w:val="24"/>
        </w:rPr>
        <w:t>Banca Stato</w:t>
      </w:r>
      <w:r w:rsidRPr="008136CA">
        <w:rPr>
          <w:rFonts w:eastAsia="Calibri" w:cs="Arial"/>
          <w:sz w:val="24"/>
          <w:szCs w:val="24"/>
        </w:rPr>
        <w:t xml:space="preserve"> mantenga e consolidi la propria struttura finanziaria.</w:t>
      </w:r>
    </w:p>
    <w:p w:rsidR="008136CA" w:rsidRPr="008136CA" w:rsidRDefault="008136CA" w:rsidP="008136CA">
      <w:pPr>
        <w:spacing w:after="200"/>
        <w:rPr>
          <w:rFonts w:asciiTheme="minorHAnsi" w:eastAsia="Calibri" w:hAnsiTheme="minorHAnsi" w:cstheme="minorHAnsi"/>
          <w:sz w:val="24"/>
          <w:szCs w:val="24"/>
        </w:rPr>
      </w:pPr>
      <w:proofErr w:type="spellStart"/>
      <w:r w:rsidRPr="008136CA">
        <w:rPr>
          <w:rFonts w:asciiTheme="minorHAnsi" w:eastAsia="Calibri" w:hAnsiTheme="minorHAnsi" w:cstheme="minorHAnsi"/>
          <w:sz w:val="24"/>
          <w:szCs w:val="24"/>
        </w:rPr>
        <w:t>BancaStato</w:t>
      </w:r>
      <w:proofErr w:type="spellEnd"/>
      <w:r w:rsidRPr="008136CA">
        <w:rPr>
          <w:rFonts w:asciiTheme="minorHAnsi" w:eastAsia="Calibri" w:hAnsiTheme="minorHAnsi" w:cstheme="minorHAnsi"/>
          <w:sz w:val="24"/>
          <w:szCs w:val="24"/>
        </w:rPr>
        <w:t>, nel 2022, ha proseguito nella politica di sponsorizzazione di eventi e realtà in ambito culturale, sportivo e sociale (degna di nota la sponsorizzazione dell’OSI, la cui attività è irrinunciabile nel panorama culturale cantonale), nonché continuato a versare CHF 100'000 a favore dell’iniziativa Ticino Ticket.</w:t>
      </w:r>
    </w:p>
    <w:p w:rsidR="008136CA" w:rsidRPr="008136CA" w:rsidRDefault="008136CA" w:rsidP="008136CA">
      <w:pPr>
        <w:spacing w:after="200"/>
        <w:rPr>
          <w:rFonts w:asciiTheme="minorHAnsi" w:hAnsiTheme="minorHAnsi" w:cstheme="minorHAnsi"/>
          <w:sz w:val="24"/>
          <w:szCs w:val="24"/>
        </w:rPr>
      </w:pPr>
      <w:r w:rsidRPr="008136CA">
        <w:rPr>
          <w:rFonts w:asciiTheme="minorHAnsi" w:eastAsia="Calibri" w:hAnsiTheme="minorHAnsi" w:cstheme="minorHAnsi"/>
          <w:sz w:val="24"/>
          <w:szCs w:val="24"/>
        </w:rPr>
        <w:t xml:space="preserve">La Commissione sottolinea in modo particolare la decisione di </w:t>
      </w:r>
      <w:proofErr w:type="spellStart"/>
      <w:r w:rsidRPr="008136CA">
        <w:rPr>
          <w:rFonts w:asciiTheme="minorHAnsi" w:eastAsia="Calibri" w:hAnsiTheme="minorHAnsi" w:cstheme="minorHAnsi"/>
          <w:sz w:val="24"/>
          <w:szCs w:val="24"/>
        </w:rPr>
        <w:t>BancaStato</w:t>
      </w:r>
      <w:proofErr w:type="spellEnd"/>
      <w:r w:rsidRPr="008136CA">
        <w:rPr>
          <w:rFonts w:asciiTheme="minorHAnsi" w:eastAsia="Calibri" w:hAnsiTheme="minorHAnsi" w:cstheme="minorHAnsi"/>
          <w:sz w:val="24"/>
          <w:szCs w:val="24"/>
        </w:rPr>
        <w:t xml:space="preserve">, </w:t>
      </w:r>
      <w:r w:rsidRPr="008136CA">
        <w:rPr>
          <w:rFonts w:asciiTheme="minorHAnsi" w:hAnsiTheme="minorHAnsi" w:cstheme="minorHAnsi"/>
          <w:sz w:val="24"/>
          <w:szCs w:val="24"/>
        </w:rPr>
        <w:t xml:space="preserve">tramite la sua Fondazione del centenario e la relativa controllata </w:t>
      </w:r>
      <w:proofErr w:type="spellStart"/>
      <w:r w:rsidRPr="008136CA">
        <w:rPr>
          <w:rFonts w:asciiTheme="minorHAnsi" w:hAnsiTheme="minorHAnsi" w:cstheme="minorHAnsi"/>
          <w:sz w:val="24"/>
          <w:szCs w:val="24"/>
        </w:rPr>
        <w:t>TiVenture</w:t>
      </w:r>
      <w:proofErr w:type="spellEnd"/>
      <w:r w:rsidRPr="008136CA">
        <w:rPr>
          <w:rFonts w:asciiTheme="minorHAnsi" w:hAnsiTheme="minorHAnsi" w:cstheme="minorHAnsi"/>
          <w:sz w:val="24"/>
          <w:szCs w:val="24"/>
        </w:rPr>
        <w:t xml:space="preserve"> SA, </w:t>
      </w:r>
      <w:proofErr w:type="spellStart"/>
      <w:r w:rsidRPr="008136CA">
        <w:rPr>
          <w:rFonts w:asciiTheme="minorHAnsi" w:hAnsiTheme="minorHAnsi" w:cstheme="minorHAnsi"/>
          <w:sz w:val="24"/>
          <w:szCs w:val="24"/>
        </w:rPr>
        <w:t>destinera</w:t>
      </w:r>
      <w:proofErr w:type="spellEnd"/>
      <w:r w:rsidRPr="008136CA">
        <w:rPr>
          <w:rFonts w:asciiTheme="minorHAnsi" w:hAnsiTheme="minorHAnsi" w:cstheme="minorHAnsi"/>
          <w:sz w:val="24"/>
          <w:szCs w:val="24"/>
        </w:rPr>
        <w:t xml:space="preserve">̀ un milione all’anno sino al 2027 per identificare e sviluppare start-up ad alto contenuto tecnologico e con un chiaro orientamento alla promozione della </w:t>
      </w:r>
      <w:proofErr w:type="spellStart"/>
      <w:r w:rsidRPr="008136CA">
        <w:rPr>
          <w:rFonts w:asciiTheme="minorHAnsi" w:hAnsiTheme="minorHAnsi" w:cstheme="minorHAnsi"/>
          <w:sz w:val="24"/>
          <w:szCs w:val="24"/>
        </w:rPr>
        <w:t>sostenibilita</w:t>
      </w:r>
      <w:proofErr w:type="spellEnd"/>
      <w:r w:rsidRPr="008136CA">
        <w:rPr>
          <w:rFonts w:asciiTheme="minorHAnsi" w:hAnsiTheme="minorHAnsi" w:cstheme="minorHAnsi"/>
          <w:sz w:val="24"/>
          <w:szCs w:val="24"/>
        </w:rPr>
        <w:t xml:space="preserve">̀. </w:t>
      </w:r>
    </w:p>
    <w:p w:rsidR="008136CA" w:rsidRPr="008136CA" w:rsidRDefault="008136CA" w:rsidP="008136CA">
      <w:pPr>
        <w:rPr>
          <w:rFonts w:eastAsia="Calibri" w:cs="Arial"/>
          <w:sz w:val="24"/>
          <w:szCs w:val="24"/>
        </w:rPr>
      </w:pPr>
      <w:r w:rsidRPr="008136CA">
        <w:rPr>
          <w:rFonts w:eastAsia="Calibri" w:cs="Arial"/>
          <w:sz w:val="24"/>
          <w:szCs w:val="24"/>
        </w:rPr>
        <w:t>Per gli ulteriori aspetti si rinvia al Rapporto della Commissione di controllo relativo al bilancio sociale e ambientale 2022.</w:t>
      </w:r>
    </w:p>
    <w:p w:rsidR="008136CA" w:rsidRPr="008136CA" w:rsidRDefault="008136CA" w:rsidP="008136CA">
      <w:pPr>
        <w:rPr>
          <w:rFonts w:eastAsia="Calibri" w:cs="Arial"/>
          <w:sz w:val="24"/>
          <w:szCs w:val="24"/>
        </w:rPr>
      </w:pPr>
    </w:p>
    <w:p w:rsidR="008136CA" w:rsidRPr="008136CA" w:rsidRDefault="008136CA" w:rsidP="008136CA">
      <w:pPr>
        <w:rPr>
          <w:rFonts w:eastAsia="Calibri" w:cs="Arial"/>
          <w:sz w:val="24"/>
          <w:szCs w:val="24"/>
        </w:rPr>
      </w:pPr>
    </w:p>
    <w:p w:rsidR="008136CA" w:rsidRPr="008136CA" w:rsidRDefault="008136CA" w:rsidP="008136CA">
      <w:pPr>
        <w:keepNext/>
        <w:numPr>
          <w:ilvl w:val="0"/>
          <w:numId w:val="18"/>
        </w:numPr>
        <w:tabs>
          <w:tab w:val="left" w:pos="567"/>
        </w:tabs>
        <w:spacing w:after="120"/>
        <w:ind w:left="567" w:hanging="567"/>
        <w:outlineLvl w:val="0"/>
        <w:rPr>
          <w:rFonts w:eastAsia="Calibri" w:cs="Times New Roman"/>
          <w:b/>
          <w:caps/>
          <w:sz w:val="24"/>
          <w:szCs w:val="24"/>
          <w:lang w:val="it-IT" w:eastAsia="it-IT"/>
        </w:rPr>
      </w:pPr>
      <w:r w:rsidRPr="008136CA">
        <w:rPr>
          <w:rFonts w:eastAsia="Calibri" w:cs="Times New Roman"/>
          <w:b/>
          <w:caps/>
          <w:sz w:val="24"/>
          <w:szCs w:val="24"/>
          <w:lang w:val="it-IT" w:eastAsia="it-IT"/>
        </w:rPr>
        <w:t>Conclusione</w:t>
      </w:r>
    </w:p>
    <w:p w:rsidR="008136CA" w:rsidRPr="008136CA" w:rsidRDefault="008136CA" w:rsidP="008136CA">
      <w:pPr>
        <w:rPr>
          <w:rFonts w:eastAsia="Calibri" w:cs="Arial"/>
          <w:sz w:val="24"/>
          <w:szCs w:val="24"/>
        </w:rPr>
      </w:pPr>
      <w:r w:rsidRPr="008136CA">
        <w:rPr>
          <w:rFonts w:eastAsia="Calibri" w:cs="Arial"/>
          <w:sz w:val="24"/>
          <w:szCs w:val="24"/>
        </w:rPr>
        <w:t xml:space="preserve">La Commissione della gestione e delle finanze propone quindi al Gran Consiglio di approvare il messaggio in oggetto ed il relativo decreto e dunque il conto economico ed il bilancio al 31.12.2022 di Banca Stato </w:t>
      </w:r>
      <w:proofErr w:type="gramStart"/>
      <w:r w:rsidRPr="008136CA">
        <w:rPr>
          <w:rFonts w:eastAsia="Calibri" w:cs="Arial"/>
          <w:sz w:val="24"/>
          <w:szCs w:val="24"/>
        </w:rPr>
        <w:t>e</w:t>
      </w:r>
      <w:proofErr w:type="gramEnd"/>
      <w:r w:rsidRPr="008136CA">
        <w:rPr>
          <w:rFonts w:eastAsia="Calibri" w:cs="Arial"/>
          <w:sz w:val="24"/>
          <w:szCs w:val="24"/>
        </w:rPr>
        <w:t xml:space="preserve"> la destinazione dell’utile di CHF 55.523 milioni al Cantone e dando scarico al Consiglio di amministrazione e alla Direzione.</w:t>
      </w:r>
    </w:p>
    <w:p w:rsidR="008136CA" w:rsidRDefault="008136CA" w:rsidP="008136CA">
      <w:pPr>
        <w:rPr>
          <w:rFonts w:cs="Arial"/>
          <w:sz w:val="24"/>
          <w:szCs w:val="24"/>
        </w:rPr>
      </w:pPr>
    </w:p>
    <w:p w:rsidR="008136CA" w:rsidRPr="008136CA" w:rsidRDefault="008136CA" w:rsidP="008136CA">
      <w:pPr>
        <w:rPr>
          <w:rFonts w:cs="Arial"/>
          <w:sz w:val="24"/>
          <w:szCs w:val="24"/>
        </w:rPr>
      </w:pPr>
    </w:p>
    <w:p w:rsidR="008136CA" w:rsidRPr="008136CA" w:rsidRDefault="008136CA" w:rsidP="008136CA">
      <w:pPr>
        <w:spacing w:after="120"/>
        <w:rPr>
          <w:rFonts w:eastAsia="Calibri" w:cs="Arial"/>
          <w:sz w:val="24"/>
          <w:szCs w:val="24"/>
        </w:rPr>
      </w:pPr>
      <w:r w:rsidRPr="008136CA">
        <w:rPr>
          <w:rFonts w:eastAsia="Calibri" w:cs="Arial"/>
          <w:sz w:val="24"/>
          <w:szCs w:val="24"/>
        </w:rPr>
        <w:t>Per la Commissione gestione e finanze:</w:t>
      </w:r>
    </w:p>
    <w:p w:rsidR="008136CA" w:rsidRPr="008136CA" w:rsidRDefault="008136CA" w:rsidP="008136CA">
      <w:pPr>
        <w:rPr>
          <w:rFonts w:eastAsia="Calibri" w:cs="Arial"/>
          <w:sz w:val="24"/>
          <w:szCs w:val="24"/>
        </w:rPr>
      </w:pPr>
      <w:r w:rsidRPr="008136CA">
        <w:rPr>
          <w:rFonts w:eastAsia="Calibri" w:cs="Arial"/>
          <w:sz w:val="24"/>
          <w:szCs w:val="24"/>
        </w:rPr>
        <w:t>Maurizio Agustoni, relatore</w:t>
      </w:r>
    </w:p>
    <w:p w:rsidR="008136CA" w:rsidRDefault="008136CA" w:rsidP="008136CA">
      <w:pPr>
        <w:rPr>
          <w:rFonts w:eastAsia="Calibri" w:cs="Arial"/>
          <w:sz w:val="24"/>
        </w:rPr>
      </w:pPr>
      <w:r>
        <w:rPr>
          <w:rFonts w:eastAsia="Calibri" w:cs="Arial"/>
          <w:sz w:val="24"/>
        </w:rPr>
        <w:t xml:space="preserve">Balli - Bignasca - Bourgoin - Caprara - Dadò - </w:t>
      </w:r>
    </w:p>
    <w:p w:rsidR="008136CA" w:rsidRDefault="008136CA" w:rsidP="008136CA">
      <w:pPr>
        <w:rPr>
          <w:rFonts w:eastAsia="Calibri" w:cs="Arial"/>
          <w:sz w:val="24"/>
        </w:rPr>
      </w:pPr>
      <w:r>
        <w:rPr>
          <w:rFonts w:eastAsia="Calibri" w:cs="Arial"/>
          <w:sz w:val="24"/>
        </w:rPr>
        <w:t>Durisch - Ferrara - Galeazzi - Gendotti - Gianella Alessandra -</w:t>
      </w:r>
    </w:p>
    <w:p w:rsidR="008136CA" w:rsidRDefault="008136CA" w:rsidP="008136CA">
      <w:pPr>
        <w:rPr>
          <w:rFonts w:eastAsia="Calibri" w:cs="Arial"/>
          <w:sz w:val="24"/>
        </w:rPr>
      </w:pPr>
      <w:r>
        <w:rPr>
          <w:rFonts w:eastAsia="Calibri" w:cs="Arial"/>
          <w:sz w:val="24"/>
        </w:rPr>
        <w:t>Guerra - Passalia - Pini - Quadranti - Sirica - Soldati</w:t>
      </w:r>
    </w:p>
    <w:p w:rsidR="008136CA" w:rsidRPr="008136CA" w:rsidRDefault="008136CA" w:rsidP="008136CA">
      <w:pPr>
        <w:rPr>
          <w:rFonts w:eastAsia="Calibri" w:cs="Arial"/>
          <w:sz w:val="24"/>
        </w:rPr>
      </w:pPr>
    </w:p>
    <w:p w:rsidR="008136CA" w:rsidRDefault="008136CA" w:rsidP="008136CA">
      <w:pPr>
        <w:tabs>
          <w:tab w:val="left" w:pos="993"/>
        </w:tabs>
        <w:autoSpaceDE w:val="0"/>
        <w:autoSpaceDN w:val="0"/>
        <w:adjustRightInd w:val="0"/>
        <w:spacing w:after="60"/>
        <w:ind w:left="992" w:hanging="992"/>
        <w:rPr>
          <w:rFonts w:eastAsia="Calibri" w:cs="Arial"/>
          <w:sz w:val="24"/>
          <w:szCs w:val="24"/>
          <w:u w:val="single"/>
        </w:rPr>
      </w:pPr>
    </w:p>
    <w:p w:rsidR="008136CA" w:rsidRPr="008136CA" w:rsidRDefault="008136CA" w:rsidP="008136CA">
      <w:pPr>
        <w:tabs>
          <w:tab w:val="left" w:pos="993"/>
        </w:tabs>
        <w:autoSpaceDE w:val="0"/>
        <w:autoSpaceDN w:val="0"/>
        <w:adjustRightInd w:val="0"/>
        <w:spacing w:after="60"/>
        <w:ind w:left="992" w:hanging="992"/>
        <w:rPr>
          <w:rFonts w:eastAsia="Calibri" w:cs="Arial"/>
          <w:sz w:val="24"/>
          <w:szCs w:val="24"/>
        </w:rPr>
      </w:pPr>
      <w:r w:rsidRPr="008136CA">
        <w:rPr>
          <w:rFonts w:eastAsia="Calibri" w:cs="Arial"/>
          <w:sz w:val="24"/>
          <w:szCs w:val="24"/>
          <w:u w:val="single"/>
        </w:rPr>
        <w:t>Allegato</w:t>
      </w:r>
      <w:r w:rsidRPr="008136CA">
        <w:rPr>
          <w:rFonts w:eastAsia="Calibri" w:cs="Arial"/>
          <w:sz w:val="24"/>
          <w:szCs w:val="24"/>
        </w:rPr>
        <w:t>:</w:t>
      </w:r>
    </w:p>
    <w:p w:rsidR="008136CA" w:rsidRPr="008136CA" w:rsidRDefault="008136CA" w:rsidP="008136CA">
      <w:pPr>
        <w:autoSpaceDE w:val="0"/>
        <w:autoSpaceDN w:val="0"/>
        <w:adjustRightInd w:val="0"/>
        <w:rPr>
          <w:rFonts w:eastAsia="Calibri" w:cs="Arial"/>
          <w:sz w:val="24"/>
          <w:szCs w:val="24"/>
        </w:rPr>
      </w:pPr>
      <w:r w:rsidRPr="008136CA">
        <w:rPr>
          <w:rFonts w:eastAsia="Calibri" w:cs="Arial"/>
          <w:sz w:val="24"/>
          <w:szCs w:val="24"/>
        </w:rPr>
        <w:t>Rapporto della Commissione del controllo del mandato pubblico della Banca dello Stato all'attenzione del Gran Consiglio sul grado di raggiungimento degli obiettivi di mandato pubblico della Banca</w:t>
      </w:r>
    </w:p>
    <w:sectPr w:rsidR="008136CA" w:rsidRPr="008136CA"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CA" w:rsidRDefault="008136CA" w:rsidP="00F657BF">
      <w:r>
        <w:separator/>
      </w:r>
    </w:p>
  </w:endnote>
  <w:endnote w:type="continuationSeparator" w:id="0">
    <w:p w:rsidR="008136CA" w:rsidRDefault="008136C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542DA4" w:rsidP="00912E34">
          <w:pPr>
            <w:tabs>
              <w:tab w:val="center" w:pos="2382"/>
            </w:tabs>
          </w:pPr>
        </w:p>
      </w:tc>
      <w:tc>
        <w:tcPr>
          <w:tcW w:w="721" w:type="dxa"/>
        </w:tcPr>
        <w:p w:rsidR="00912E34" w:rsidRPr="003D1008" w:rsidRDefault="00542DA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42DA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542DA4"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542DA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CA" w:rsidRDefault="008136CA" w:rsidP="00F657BF">
      <w:r>
        <w:separator/>
      </w:r>
    </w:p>
  </w:footnote>
  <w:footnote w:type="continuationSeparator" w:id="0">
    <w:p w:rsidR="008136CA" w:rsidRDefault="008136C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542DA4"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DC5B8BC2-2666-49B6-8166-FCB94D5EC18D}"/>
              <w:text w:multiLine="1"/>
            </w:sdtPr>
            <w:sdtEndPr/>
            <w:sdtContent>
              <w:r>
                <w:rPr>
                  <w:rFonts w:ascii="Gill Alt One MT Light" w:hAnsi="Gill Alt One MT Light"/>
                  <w:sz w:val="16"/>
                  <w:szCs w:val="16"/>
                </w:rPr>
                <w:t>Repubblica e Cantone Ticino</w:t>
              </w:r>
            </w:sdtContent>
          </w:sdt>
        </w:p>
        <w:p w:rsidR="005012EC" w:rsidRPr="00E8185F" w:rsidRDefault="00542DA4"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DC5B8BC2-2666-49B6-8166-FCB94D5EC18D}"/>
              <w:text w:multiLine="1"/>
            </w:sdtPr>
            <w:sdtEndPr/>
            <w:sdtContent>
              <w:r w:rsidR="00A742BC">
                <w:rPr>
                  <w:rFonts w:ascii="Gill Alt One MT Light" w:hAnsi="Gill Alt One MT Light"/>
                  <w:sz w:val="16"/>
                  <w:szCs w:val="16"/>
                </w:rPr>
                <w:t>Dipartimento delle finanze e dell’economia</w:t>
              </w:r>
            </w:sdtContent>
          </w:sdt>
        </w:p>
      </w:tc>
      <w:tc>
        <w:tcPr>
          <w:tcW w:w="1710" w:type="dxa"/>
          <w:tcBorders>
            <w:bottom w:val="single" w:sz="4" w:space="0" w:color="auto"/>
          </w:tcBorders>
          <w:vAlign w:val="bottom"/>
        </w:tcPr>
        <w:p w:rsidR="005012EC" w:rsidRPr="004204CB" w:rsidRDefault="00542DA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D34C4">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D34C4">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C5B8BC2-2666-49B6-8166-FCB94D5EC18D}"/>
          <w:text w:multiLine="1"/>
        </w:sdtPr>
        <w:sdtEndPr/>
        <w:sdtContent>
          <w:tc>
            <w:tcPr>
              <w:tcW w:w="8383" w:type="dxa"/>
              <w:tcBorders>
                <w:left w:val="single" w:sz="4" w:space="0" w:color="auto"/>
              </w:tcBorders>
              <w:tcMar>
                <w:top w:w="0" w:type="dxa"/>
                <w:left w:w="142" w:type="dxa"/>
              </w:tcMar>
            </w:tcPr>
            <w:p w:rsidR="005012EC" w:rsidRPr="008136CA" w:rsidRDefault="00A742BC"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8275 R del 20 febbraio 2024</w:t>
              </w:r>
            </w:p>
          </w:tc>
        </w:sdtContent>
      </w:sdt>
      <w:tc>
        <w:tcPr>
          <w:tcW w:w="1710" w:type="dxa"/>
          <w:tcBorders>
            <w:top w:val="single" w:sz="4" w:space="0" w:color="auto"/>
          </w:tcBorders>
        </w:tcPr>
        <w:p w:rsidR="005012EC" w:rsidRPr="008136CA" w:rsidRDefault="00542DA4" w:rsidP="00662409">
          <w:pPr>
            <w:pStyle w:val="InvisibleLine"/>
            <w:rPr>
              <w:lang w:val="it-CH"/>
            </w:rPr>
          </w:pPr>
        </w:p>
      </w:tc>
    </w:tr>
  </w:tbl>
  <w:p w:rsidR="00F657BF" w:rsidRPr="00980362" w:rsidRDefault="00542DA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C5B8BC2-2666-49B6-8166-FCB94D5EC18D}"/>
                            <w:text w:multiLine="1"/>
                          </w:sdtPr>
                          <w:sdtEndPr/>
                          <w:sdtContent>
                            <w:p w:rsidR="008065E8" w:rsidRPr="00411371" w:rsidRDefault="00542DA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C5B8BC2-2666-49B6-8166-FCB94D5EC18D}"/>
                      <w:text w:multiLine="1"/>
                    </w:sdtPr>
                    <w:sdtEndPr/>
                    <w:sdtContent>
                      <w:p w:rsidR="008065E8" w:rsidRPr="00411371" w:rsidRDefault="00542DA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542DA4" w:rsidP="00932E26">
          <w:pPr>
            <w:pStyle w:val="InvisibleLine"/>
            <w:spacing w:line="240" w:lineRule="auto"/>
            <w:ind w:left="15"/>
            <w:rPr>
              <w:rFonts w:ascii="Gill Alt One MT Light" w:hAnsi="Gill Alt One MT Light"/>
              <w:sz w:val="16"/>
              <w:lang w:val="it-CH"/>
            </w:rPr>
          </w:pPr>
        </w:p>
        <w:p w:rsidR="00CD5F73" w:rsidRDefault="00542DA4"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542DA4"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542DA4" w:rsidP="00D07D6E">
          <w:pPr>
            <w:pStyle w:val="Level"/>
            <w:ind w:left="150"/>
            <w:rPr>
              <w:sz w:val="16"/>
            </w:rPr>
          </w:pPr>
        </w:p>
      </w:tc>
      <w:tc>
        <w:tcPr>
          <w:tcW w:w="209" w:type="pct"/>
          <w:tcBorders>
            <w:top w:val="nil"/>
            <w:bottom w:val="single" w:sz="4" w:space="0" w:color="auto"/>
          </w:tcBorders>
        </w:tcPr>
        <w:p w:rsidR="00662409" w:rsidRDefault="00542DA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02381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42DA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0224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02242">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C5B8BC2-2666-49B6-8166-FCB94D5EC18D}"/>
          <w:text w:multiLine="1"/>
        </w:sdtPr>
        <w:sdtEndPr/>
        <w:sdtContent>
          <w:tc>
            <w:tcPr>
              <w:tcW w:w="5000" w:type="pct"/>
              <w:gridSpan w:val="6"/>
              <w:tcBorders>
                <w:left w:val="nil"/>
                <w:right w:val="nil"/>
              </w:tcBorders>
              <w:noWrap/>
              <w:tcMar>
                <w:top w:w="0" w:type="dxa"/>
              </w:tcMar>
              <w:vAlign w:val="bottom"/>
            </w:tcPr>
            <w:p w:rsidR="00662409" w:rsidRPr="008C03B5" w:rsidRDefault="00A742B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42DA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542DA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42DA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542DA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42DA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542DA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542DA4"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C5B8BC2-2666-49B6-8166-FCB94D5EC18D}"/>
              <w:text w:multiLine="1"/>
            </w:sdtPr>
            <w:sdtEndPr/>
            <w:sdtContent>
              <w:r w:rsidR="00A742BC">
                <w:rPr>
                  <w:rFonts w:cstheme="minorHAnsi"/>
                  <w:b/>
                  <w:sz w:val="24"/>
                  <w:szCs w:val="24"/>
                </w:rPr>
                <w:t>8275 R</w:t>
              </w:r>
            </w:sdtContent>
          </w:sdt>
        </w:p>
      </w:tc>
      <w:sdt>
        <w:sdtPr>
          <w:rPr>
            <w:sz w:val="24"/>
          </w:rPr>
          <w:alias w:val="DocParam.Date"/>
          <w:id w:val="-464426178"/>
          <w:dataBinding w:xpath="//DateTime[@id='DocParam.Date']" w:storeItemID="{DC5B8BC2-2666-49B6-8166-FCB94D5EC18D}"/>
          <w:date w:fullDate="2024-02-2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A742BC" w:rsidP="00A532F6">
              <w:pPr>
                <w:pStyle w:val="Data"/>
              </w:pPr>
              <w:r>
                <w:rPr>
                  <w:sz w:val="24"/>
                </w:rPr>
                <w:t>20 febbraio 2024</w:t>
              </w:r>
            </w:p>
          </w:tc>
        </w:sdtContent>
      </w:sdt>
      <w:tc>
        <w:tcPr>
          <w:tcW w:w="3218" w:type="pct"/>
          <w:gridSpan w:val="4"/>
          <w:tcBorders>
            <w:top w:val="nil"/>
            <w:left w:val="nil"/>
            <w:bottom w:val="nil"/>
            <w:right w:val="nil"/>
          </w:tcBorders>
        </w:tcPr>
        <w:p w:rsidR="008C03B5" w:rsidRPr="00BE22A2" w:rsidRDefault="00542DA4"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C5B8BC2-2666-49B6-8166-FCB94D5EC18D}"/>
              <w:text w:multiLine="1"/>
            </w:sdtPr>
            <w:sdtEndPr/>
            <w:sdtContent>
              <w:r w:rsidR="00A742BC">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542DA4" w:rsidP="00D07D6E">
          <w:pPr>
            <w:pStyle w:val="Level"/>
            <w:ind w:left="150"/>
            <w:rPr>
              <w:rFonts w:ascii="Gill Alt One MT Light" w:hAnsi="Gill Alt One MT Light"/>
              <w:sz w:val="16"/>
              <w:szCs w:val="16"/>
            </w:rPr>
          </w:pPr>
        </w:p>
      </w:tc>
    </w:tr>
  </w:tbl>
  <w:p w:rsidR="00F657BF" w:rsidRPr="00DA2879" w:rsidRDefault="00542DA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946752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C5B8BC2-2666-49B6-8166-FCB94D5EC18D}"/>
                            <w:text w:multiLine="1"/>
                          </w:sdtPr>
                          <w:sdtEndPr/>
                          <w:sdtContent>
                            <w:p w:rsidR="00E93620" w:rsidRPr="00411371" w:rsidRDefault="00542DA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C5B8BC2-2666-49B6-8166-FCB94D5EC18D}"/>
                      <w:text w:multiLine="1"/>
                    </w:sdtPr>
                    <w:sdtEndPr/>
                    <w:sdtContent>
                      <w:p w:rsidR="00E93620" w:rsidRPr="00411371" w:rsidRDefault="00542DA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6AC26B62"/>
    <w:multiLevelType w:val="multilevel"/>
    <w:tmpl w:val="7ED2AD92"/>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CA"/>
    <w:rsid w:val="000665E8"/>
    <w:rsid w:val="002B5D9F"/>
    <w:rsid w:val="003B756D"/>
    <w:rsid w:val="00403ADB"/>
    <w:rsid w:val="00542DA4"/>
    <w:rsid w:val="00572FD3"/>
    <w:rsid w:val="00594AC5"/>
    <w:rsid w:val="007620F2"/>
    <w:rsid w:val="008136CA"/>
    <w:rsid w:val="008720C4"/>
    <w:rsid w:val="008F52AF"/>
    <w:rsid w:val="009C5E5A"/>
    <w:rsid w:val="00A416F5"/>
    <w:rsid w:val="00A742BC"/>
    <w:rsid w:val="00AF0268"/>
    <w:rsid w:val="00BF0A1F"/>
    <w:rsid w:val="00CC6E93"/>
    <w:rsid w:val="00CD34C4"/>
    <w:rsid w:val="00D33940"/>
    <w:rsid w:val="00D600FD"/>
    <w:rsid w:val="00D649A8"/>
    <w:rsid w:val="00E3330C"/>
    <w:rsid w:val="00EB088A"/>
    <w:rsid w:val="00F02242"/>
    <w:rsid w:val="00F505B0"/>
    <w:rsid w:val="00F657BF"/>
    <w:rsid w:val="00FD66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D0FEC"/>
  <w15:docId w15:val="{2AF55C53-0A5D-4C83-B160-6B40CEA0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Stile1">
    <w:name w:val="Stile1"/>
    <w:uiPriority w:val="99"/>
    <w:rsid w:val="008136CA"/>
    <w:pPr>
      <w:numPr>
        <w:numId w:val="18"/>
      </w:numPr>
    </w:pPr>
  </w:style>
  <w:style w:type="paragraph" w:styleId="Testofumetto">
    <w:name w:val="Balloon Text"/>
    <w:basedOn w:val="Normale"/>
    <w:link w:val="TestofumettoCarattere"/>
    <w:uiPriority w:val="99"/>
    <w:semiHidden/>
    <w:unhideWhenUsed/>
    <w:rsid w:val="00F0224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2242"/>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605a6c8-8ddf-45bf-85b3-497c1c95714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1023812436</Id>
      <Width>0</Width>
      <Height>0</Height>
      <XPath>//Image[@id='Profile.Org.WappenSW']</XPath>
      <ImageHash>02f1c0cdac6aeac316213b2e7cb733a0</ImageHash>
    </ImageSizeDefinition>
    <ImageSizeDefinition>
      <Id>1946752213</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a 4 f c b c 4 4 - 3 a f f - 4 5 1 6 - a 3 3 0 - c 5 7 e 8 f 0 6 6 9 8 0 "   t I d = " a 3 6 2 a 5 d 4 - 9 5 8 9 - 4 1 b f - a 4 e 6 - 4 f 8 7 c 4 e 4 1 2 3 9 "   i n t e r n a l T I d = " 9 0 6 4 c c 7 f - 3 1 6 d - 4 6 b 1 - a 4 a c - 7 4 8 6 0 c 3 f 8 a 5 b "   m t I d = " 2 7 5 a f 3 2 e - b c 4 0 - 4 5 c 2 - 8 5 b 7 - a f b 1 c 0 3 8 2 6 5 3 "   r e v i s i o n = " 0 "   c r e a t e d m a j o r v e r s i o n = " 0 "   c r e a t e d m i n o r v e r s i o n = " 0 "   c r e a t e d = " 2 0 2 4 - 0 2 - 2 0 T 1 2 : 3 9 : 0 8 . 6 0 0 5 0 6 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 2 0 2 4 - 0 2 - 2 0 T 0 0 : 0 0 : 0 0 Z < / D a t e T i m e >  
                 < T e x t   i d = " D o c P a r a m . N u m b e r " > < ! [ C D A T A [ 8 2 7 5 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R e p u b b l i c a   e   C a n t o n e   T i c i n o  
 D i p a r t i m e n t o   d e l l e   f i n a n z e   e   d e l l  e c o n o m i a ] ] > < / T e x t >  
                 < T e x t   i d = " C u s t o m E l e m e n t s . S u b T e m p l a t e . L a n d s c a p e . H e a d e r . T i t o l o "   l a b e l = " C u s t o m E l e m e n t s . S u b T e m p l a t e . L a n d s c a p e . H e a d e r . T i t o l o " > < ! [ C D A T A [ R a p p o r t o   n .   8 2 7 5   R   d e l   2 0   f e b b r a i o   2 0 2 4 ] ] > < / 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2 7 5   R   d e l   2 0   f e b b r 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56877DB4-AA59-4AE3-86B3-7B8A4278BD28}">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DC5B8BC2-2666-49B6-8166-FCB94D5EC18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7605a6c8-8ddf-45bf-85b3-497c1c957149.dotx</Template>
  <TotalTime>14</TotalTime>
  <Pages>3</Pages>
  <Words>1249</Words>
  <Characters>7124</Characters>
  <Application>Microsoft Office Word</Application>
  <DocSecurity>0</DocSecurity>
  <Lines>59</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12</cp:revision>
  <cp:lastPrinted>2024-02-20T12:52:00Z</cp:lastPrinted>
  <dcterms:created xsi:type="dcterms:W3CDTF">2024-02-20T12:39:00Z</dcterms:created>
  <dcterms:modified xsi:type="dcterms:W3CDTF">2024-02-20T12:53:00Z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