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17EF5" w14:textId="77777777" w:rsidR="00821BB1" w:rsidRPr="00D65A89" w:rsidRDefault="00821BB1" w:rsidP="00821BB1">
      <w:pPr>
        <w:rPr>
          <w:b/>
          <w:sz w:val="28"/>
          <w:szCs w:val="28"/>
        </w:rPr>
      </w:pPr>
      <w:r w:rsidRPr="00D65A89">
        <w:rPr>
          <w:b/>
          <w:sz w:val="28"/>
          <w:szCs w:val="28"/>
        </w:rPr>
        <w:t>della Commissione ambiente, territorio ed energia</w:t>
      </w:r>
    </w:p>
    <w:p w14:paraId="5A305F4F" w14:textId="75279762" w:rsidR="00821BB1" w:rsidRPr="00D65A89" w:rsidRDefault="00821BB1" w:rsidP="00821BB1">
      <w:pPr>
        <w:rPr>
          <w:b/>
          <w:sz w:val="28"/>
          <w:szCs w:val="28"/>
        </w:rPr>
      </w:pPr>
      <w:r w:rsidRPr="00D65A89">
        <w:rPr>
          <w:b/>
          <w:sz w:val="28"/>
          <w:szCs w:val="28"/>
        </w:rPr>
        <w:t xml:space="preserve">sul messaggio </w:t>
      </w:r>
      <w:r w:rsidR="007556AF">
        <w:rPr>
          <w:b/>
          <w:sz w:val="28"/>
          <w:szCs w:val="28"/>
        </w:rPr>
        <w:t>20</w:t>
      </w:r>
      <w:r w:rsidRPr="00D65A89">
        <w:rPr>
          <w:b/>
          <w:sz w:val="28"/>
          <w:szCs w:val="28"/>
        </w:rPr>
        <w:t xml:space="preserve"> settembre </w:t>
      </w:r>
      <w:r w:rsidR="00343813">
        <w:rPr>
          <w:b/>
          <w:sz w:val="28"/>
          <w:szCs w:val="28"/>
        </w:rPr>
        <w:t>202</w:t>
      </w:r>
      <w:r w:rsidR="007556AF">
        <w:rPr>
          <w:b/>
          <w:sz w:val="28"/>
          <w:szCs w:val="28"/>
        </w:rPr>
        <w:t>3</w:t>
      </w:r>
      <w:r w:rsidRPr="00D65A89">
        <w:rPr>
          <w:b/>
          <w:sz w:val="28"/>
          <w:szCs w:val="28"/>
        </w:rPr>
        <w:t xml:space="preserve"> concernente l’approvazione del conto annuale per l’esercizio 202</w:t>
      </w:r>
      <w:r w:rsidR="007556AF">
        <w:rPr>
          <w:b/>
          <w:sz w:val="28"/>
          <w:szCs w:val="28"/>
        </w:rPr>
        <w:t>2</w:t>
      </w:r>
      <w:r w:rsidRPr="00D65A89">
        <w:rPr>
          <w:b/>
          <w:sz w:val="28"/>
          <w:szCs w:val="28"/>
        </w:rPr>
        <w:t xml:space="preserve"> dell’Azienda Elettrica Ticinese – Resoconto sulla vigilanza diretta e rapporto sul raggiungimento degli obiettivi strategici</w:t>
      </w:r>
    </w:p>
    <w:p w14:paraId="0CC53F88" w14:textId="77777777" w:rsidR="00821BB1" w:rsidRPr="00D65A89" w:rsidRDefault="00821BB1" w:rsidP="00821BB1">
      <w:pPr>
        <w:rPr>
          <w:rFonts w:cs="Arial"/>
          <w:szCs w:val="24"/>
        </w:rPr>
      </w:pPr>
    </w:p>
    <w:p w14:paraId="0622F21E" w14:textId="6EF5DBE4" w:rsidR="00821BB1" w:rsidRPr="00D65A89" w:rsidRDefault="00821BB1" w:rsidP="00821BB1">
      <w:pPr>
        <w:rPr>
          <w:b/>
          <w:bCs/>
        </w:rPr>
      </w:pPr>
      <w:r w:rsidRPr="00D65A89">
        <w:rPr>
          <w:b/>
          <w:bCs/>
        </w:rPr>
        <w:t>Allegato: Rapporto della Commissione di controllo del mandato pubblico di AET all’attenzione del Gran Consiglio sul grado di raggiungimento degli obiettivi di mandato pubblico dell’azienda e sugli esiti della vigilanza diretta per l’anno 202</w:t>
      </w:r>
      <w:r w:rsidR="007556AF">
        <w:rPr>
          <w:b/>
          <w:bCs/>
        </w:rPr>
        <w:t>2</w:t>
      </w:r>
    </w:p>
    <w:p w14:paraId="05AF14BC" w14:textId="77777777" w:rsidR="00821BB1" w:rsidRPr="00D65A89" w:rsidRDefault="00821BB1" w:rsidP="00821BB1">
      <w:pPr>
        <w:rPr>
          <w:rFonts w:cs="Arial"/>
          <w:szCs w:val="24"/>
        </w:rPr>
      </w:pPr>
    </w:p>
    <w:p w14:paraId="28BB2DBD" w14:textId="77777777" w:rsidR="00821BB1" w:rsidRPr="00D65A89" w:rsidRDefault="00821BB1" w:rsidP="00821BB1">
      <w:pPr>
        <w:rPr>
          <w:rFonts w:cs="Arial"/>
          <w:szCs w:val="24"/>
        </w:rPr>
      </w:pPr>
    </w:p>
    <w:p w14:paraId="44F064A3" w14:textId="77777777" w:rsidR="007E62B8" w:rsidRPr="00D65A89" w:rsidRDefault="007E62B8" w:rsidP="007E62B8">
      <w:pPr>
        <w:pStyle w:val="Titolo1"/>
        <w:numPr>
          <w:ilvl w:val="0"/>
          <w:numId w:val="18"/>
        </w:numPr>
        <w:tabs>
          <w:tab w:val="left" w:pos="567"/>
        </w:tabs>
        <w:spacing w:before="0"/>
        <w:ind w:left="567" w:hanging="567"/>
        <w:jc w:val="both"/>
      </w:pPr>
      <w:r w:rsidRPr="00D65A89">
        <w:t>PREMESSA</w:t>
      </w:r>
    </w:p>
    <w:p w14:paraId="55519668" w14:textId="77777777" w:rsidR="007E62B8" w:rsidRPr="00BE49F9" w:rsidRDefault="007E62B8" w:rsidP="007E62B8">
      <w:r w:rsidRPr="00BE49F9">
        <w:t>Secondo l’art. 6 della LAET, il Gran Consiglio, sentita la Commissione di controllo del mandato pubblico di AET (CCMP-AET), prende atto del rapporto di gestione e del rapporto di revisione dell’AET, approva il conto annuale e si pronuncia sulla proposta del Consiglio di amministrazione di AET concernente la destinazione del risultato e sul discarico agli organi dell’azienda.</w:t>
      </w:r>
    </w:p>
    <w:p w14:paraId="360401C7" w14:textId="77777777" w:rsidR="007E62B8" w:rsidRPr="00BE49F9" w:rsidRDefault="007E62B8" w:rsidP="007E62B8"/>
    <w:p w14:paraId="52C4FBA5" w14:textId="77777777" w:rsidR="007E62B8" w:rsidRPr="00BE49F9" w:rsidRDefault="007E62B8" w:rsidP="007E62B8">
      <w:pPr>
        <w:rPr>
          <w:szCs w:val="24"/>
        </w:rPr>
      </w:pPr>
      <w:r w:rsidRPr="00BE49F9">
        <w:t>Il rapporto annuale (</w:t>
      </w:r>
      <w:hyperlink r:id="rId12" w:history="1">
        <w:r w:rsidRPr="00BE49F9">
          <w:rPr>
            <w:rStyle w:val="Collegamentoipertestuale"/>
            <w:color w:val="auto"/>
            <w:szCs w:val="24"/>
          </w:rPr>
          <w:t>https://www.aet.ch/2022-Rapporto-Annuale</w:t>
        </w:r>
      </w:hyperlink>
      <w:r w:rsidRPr="00BE49F9">
        <w:rPr>
          <w:szCs w:val="24"/>
        </w:rPr>
        <w:t xml:space="preserve">) </w:t>
      </w:r>
      <w:r w:rsidRPr="00BE49F9">
        <w:t>che viene esaminato e approvato dal Parlamento, comprende:</w:t>
      </w:r>
    </w:p>
    <w:p w14:paraId="69F6C64D" w14:textId="77777777" w:rsidR="007E62B8" w:rsidRPr="00BE49F9" w:rsidRDefault="007E62B8" w:rsidP="007E62B8">
      <w:pPr>
        <w:pStyle w:val="Paragrafoelenco"/>
        <w:numPr>
          <w:ilvl w:val="0"/>
          <w:numId w:val="20"/>
        </w:numPr>
        <w:spacing w:before="60"/>
        <w:ind w:left="284" w:hanging="284"/>
        <w:contextualSpacing w:val="0"/>
      </w:pPr>
      <w:r w:rsidRPr="00BE49F9">
        <w:t>il conto annuale dell’esercizio 2022;</w:t>
      </w:r>
    </w:p>
    <w:p w14:paraId="3B225E40" w14:textId="77777777" w:rsidR="007E62B8" w:rsidRPr="00BE49F9" w:rsidRDefault="007E62B8" w:rsidP="007E62B8">
      <w:pPr>
        <w:pStyle w:val="Paragrafoelenco"/>
        <w:numPr>
          <w:ilvl w:val="0"/>
          <w:numId w:val="20"/>
        </w:numPr>
        <w:spacing w:before="60"/>
        <w:ind w:left="284" w:hanging="284"/>
        <w:contextualSpacing w:val="0"/>
      </w:pPr>
      <w:r w:rsidRPr="00BE49F9">
        <w:t>la proposta di destinazione del risultato;</w:t>
      </w:r>
    </w:p>
    <w:p w14:paraId="308694C4" w14:textId="77777777" w:rsidR="007E62B8" w:rsidRPr="00BE49F9" w:rsidRDefault="007E62B8" w:rsidP="007E62B8">
      <w:pPr>
        <w:pStyle w:val="Paragrafoelenco"/>
        <w:numPr>
          <w:ilvl w:val="0"/>
          <w:numId w:val="20"/>
        </w:numPr>
        <w:spacing w:before="60"/>
        <w:ind w:left="284" w:hanging="284"/>
        <w:contextualSpacing w:val="0"/>
      </w:pPr>
      <w:r w:rsidRPr="00BE49F9">
        <w:t>il rapporto di gestione del Consiglio d’Amministrazione per l’esercizio 2022</w:t>
      </w:r>
      <w:r w:rsidRPr="00BE49F9">
        <w:rPr>
          <w:rStyle w:val="Rimandonotaapidipagina"/>
        </w:rPr>
        <w:footnoteReference w:id="1"/>
      </w:r>
      <w:r w:rsidRPr="00BE49F9">
        <w:t>;</w:t>
      </w:r>
    </w:p>
    <w:p w14:paraId="3606030A" w14:textId="77777777" w:rsidR="007E62B8" w:rsidRPr="00BE49F9" w:rsidRDefault="007E62B8" w:rsidP="007E62B8">
      <w:pPr>
        <w:pStyle w:val="Paragrafoelenco"/>
        <w:numPr>
          <w:ilvl w:val="0"/>
          <w:numId w:val="20"/>
        </w:numPr>
        <w:spacing w:before="60"/>
        <w:ind w:left="284" w:hanging="284"/>
        <w:contextualSpacing w:val="0"/>
      </w:pPr>
      <w:r w:rsidRPr="00BE49F9">
        <w:t>il rapporto dell’Ufficio di revisione esterno sul conto annuale 2022 (del 5 maggio 2022).</w:t>
      </w:r>
    </w:p>
    <w:p w14:paraId="1FAF5653" w14:textId="77777777" w:rsidR="007E62B8" w:rsidRPr="00BE49F9" w:rsidRDefault="007E62B8" w:rsidP="007E62B8">
      <w:pPr>
        <w:rPr>
          <w:szCs w:val="24"/>
        </w:rPr>
      </w:pPr>
    </w:p>
    <w:p w14:paraId="248F70C4" w14:textId="77777777" w:rsidR="007E62B8" w:rsidRPr="00BE49F9" w:rsidRDefault="007E62B8" w:rsidP="007E62B8">
      <w:r w:rsidRPr="00BE49F9">
        <w:t>Il Parlamento prende pure atto del resoconto sulla vigilanza diretta (cfr. cap. 3 del messaggio) e del rapporto sul raggiungimento degli obiettivi strategici (cfr. cap. 4 del messaggio).</w:t>
      </w:r>
    </w:p>
    <w:p w14:paraId="2FD68367" w14:textId="15DCE33C" w:rsidR="00821BB1" w:rsidRDefault="00821BB1" w:rsidP="00821BB1">
      <w:pPr>
        <w:rPr>
          <w:rFonts w:cs="Arial"/>
          <w:szCs w:val="24"/>
        </w:rPr>
      </w:pPr>
    </w:p>
    <w:p w14:paraId="162679BC" w14:textId="1A728311" w:rsidR="00001CAD" w:rsidRDefault="00001CAD" w:rsidP="00821BB1">
      <w:pPr>
        <w:rPr>
          <w:rFonts w:cs="Arial"/>
          <w:szCs w:val="24"/>
        </w:rPr>
      </w:pPr>
    </w:p>
    <w:p w14:paraId="456E5DDB" w14:textId="4E658949" w:rsidR="00E16F71" w:rsidRDefault="0069328D" w:rsidP="00E16F71">
      <w:pPr>
        <w:pStyle w:val="Titolo1"/>
        <w:numPr>
          <w:ilvl w:val="0"/>
          <w:numId w:val="18"/>
        </w:numPr>
        <w:tabs>
          <w:tab w:val="left" w:pos="567"/>
        </w:tabs>
        <w:spacing w:before="0"/>
        <w:ind w:left="567" w:hanging="567"/>
        <w:jc w:val="both"/>
      </w:pPr>
      <w:r>
        <w:t>CONTESTO GENERALE</w:t>
      </w:r>
    </w:p>
    <w:p w14:paraId="39881CD1" w14:textId="7DF9A4B0" w:rsidR="00286790" w:rsidRDefault="00286790" w:rsidP="003536CB">
      <w:r w:rsidRPr="00286790">
        <w:t>La garanzia d’approvvigionamento energetico è stata uno dei temi caldi del 2022. L’aumento incont</w:t>
      </w:r>
      <w:r>
        <w:t>r</w:t>
      </w:r>
      <w:r w:rsidRPr="00286790">
        <w:t>ollato dei prezzi sul mercato accompagnato dal timore di una possibile penuria di elettricità in Europa sono stati al centro delle preoccupazioni di governi, aziende e consumatori durante tutto l’anno. Purtroppo il difficile ed incerto contesto del sistema energetico a livello globale</w:t>
      </w:r>
      <w:r>
        <w:t>,</w:t>
      </w:r>
      <w:r w:rsidRPr="00286790">
        <w:t xml:space="preserve"> che ha dimostrato tutta la sua vulnerabilità, non ha risparmiato AET</w:t>
      </w:r>
      <w:r>
        <w:t>,</w:t>
      </w:r>
      <w:r w:rsidRPr="00286790">
        <w:t xml:space="preserve"> che chiude i conti con il peggior risultato della propria </w:t>
      </w:r>
      <w:r>
        <w:t>storia</w:t>
      </w:r>
      <w:r w:rsidRPr="00286790">
        <w:t xml:space="preserve"> registrando un disavanzo netto di 59.8 milioni di franchi. Le cause che hanno portato a questo preoccupante risultato sono da ricondurre alla concomitanza di eventi straordinari imprevedibili e senza precedenti che hanno avuto un forte </w:t>
      </w:r>
      <w:r w:rsidRPr="00286790">
        <w:lastRenderedPageBreak/>
        <w:t xml:space="preserve">impatto sul settore energetico. Anzitutto lo scoppio della guerra in Ucraina: la riduzione della fornitura di gas </w:t>
      </w:r>
      <w:r>
        <w:t>ha</w:t>
      </w:r>
      <w:r w:rsidRPr="00286790">
        <w:t xml:space="preserve"> evidenziato l’estrema dipendenza della Germania e parte dell’Europa nei confronti della Russia, determinando l’insorgenza di legittime preoccupazioni sulla sua capacità di superare l’inverno. A </w:t>
      </w:r>
      <w:r>
        <w:t>ciò</w:t>
      </w:r>
      <w:r w:rsidRPr="00286790">
        <w:t xml:space="preserve"> si è sommato un prolungato periodo di siccit</w:t>
      </w:r>
      <w:r>
        <w:t>à,</w:t>
      </w:r>
      <w:r w:rsidRPr="00286790">
        <w:t xml:space="preserve"> che ha interessato l’intero continente, compromettendo la capacità produttiva non solo dell’idroelettrico, ma anche delle centrali termiche che necessitano di acqua per i propri sistemi di raffreddamento. Sempre sul fronte dell’approvvigionamento energetico va infine menzionata la prolungata indisponibilità̀ per manutenzione straordinaria di metà del parco nucleare francese, protrattasi fino ad inverno inoltrato.</w:t>
      </w:r>
    </w:p>
    <w:p w14:paraId="44BFE776" w14:textId="34AB1699" w:rsidR="003536CB" w:rsidRDefault="003536CB" w:rsidP="003536CB"/>
    <w:p w14:paraId="228EBC48" w14:textId="77777777" w:rsidR="00286790" w:rsidRDefault="00286790" w:rsidP="003536CB"/>
    <w:p w14:paraId="60619E88" w14:textId="01BDBD12" w:rsidR="00615010" w:rsidRPr="00D65A89" w:rsidRDefault="00C8010E" w:rsidP="00C8010E">
      <w:pPr>
        <w:pStyle w:val="Titolo1"/>
        <w:numPr>
          <w:ilvl w:val="0"/>
          <w:numId w:val="18"/>
        </w:numPr>
        <w:tabs>
          <w:tab w:val="left" w:pos="567"/>
        </w:tabs>
        <w:spacing w:before="0"/>
        <w:ind w:left="567" w:hanging="567"/>
        <w:jc w:val="both"/>
      </w:pPr>
      <w:r w:rsidRPr="00D65A89">
        <w:t>SINTESI SULL’ESERCIZIO 202</w:t>
      </w:r>
      <w:r w:rsidR="007556AF">
        <w:t>2</w:t>
      </w:r>
    </w:p>
    <w:p w14:paraId="2D0127CF" w14:textId="473E0DCA" w:rsidR="007D149E" w:rsidRPr="00482C64" w:rsidRDefault="007D149E" w:rsidP="007D149E">
      <w:pPr>
        <w:autoSpaceDE w:val="0"/>
        <w:autoSpaceDN w:val="0"/>
        <w:adjustRightInd w:val="0"/>
        <w:spacing w:after="120"/>
      </w:pPr>
      <w:r w:rsidRPr="00482C64">
        <w:t xml:space="preserve">L’Azienda elettrica ticinese (AET) chiude l’esercizio 2022 con un risultato negativo mai registrato </w:t>
      </w:r>
      <w:proofErr w:type="spellStart"/>
      <w:r w:rsidRPr="00482C64">
        <w:t>fin’ora</w:t>
      </w:r>
      <w:proofErr w:type="spellEnd"/>
      <w:r w:rsidRPr="00482C64">
        <w:t xml:space="preserve">, </w:t>
      </w:r>
      <w:proofErr w:type="gramStart"/>
      <w:r w:rsidRPr="00482C64">
        <w:t>con  un</w:t>
      </w:r>
      <w:proofErr w:type="gramEnd"/>
      <w:r w:rsidRPr="00482C64">
        <w:t xml:space="preserve"> disavanzo netto di 59.8 milioni di franchi a livello di conto annuale civilistico (non consolidato). Dopo un biennio di risultati in crescita, favorito da un costante rialzo dei prezzi di mercato, il 2022 si è chiuso con la peggior perdita mai registrata da AET. Questa inversione di tendenza è imputabile a una somma di fattori di natura straordinaria, che hanno inciso negativamente sulle </w:t>
      </w:r>
      <w:proofErr w:type="spellStart"/>
      <w:r w:rsidRPr="00482C64">
        <w:t>attivita</w:t>
      </w:r>
      <w:proofErr w:type="spellEnd"/>
      <w:r w:rsidRPr="00482C64">
        <w:t xml:space="preserve">̀ dell’azienda. </w:t>
      </w:r>
    </w:p>
    <w:p w14:paraId="3A283422" w14:textId="77777777" w:rsidR="007D149E" w:rsidRDefault="007D149E" w:rsidP="007D149E">
      <w:pPr>
        <w:autoSpaceDE w:val="0"/>
        <w:autoSpaceDN w:val="0"/>
        <w:adjustRightInd w:val="0"/>
        <w:spacing w:after="120"/>
      </w:pPr>
      <w:r w:rsidRPr="007D149E">
        <w:t xml:space="preserve">Alcuni segnali di possibile </w:t>
      </w:r>
      <w:proofErr w:type="spellStart"/>
      <w:r w:rsidRPr="007D149E">
        <w:t>instabilita</w:t>
      </w:r>
      <w:proofErr w:type="spellEnd"/>
      <w:r w:rsidRPr="007D149E">
        <w:t xml:space="preserve">̀, quali la forte </w:t>
      </w:r>
      <w:proofErr w:type="spellStart"/>
      <w:r w:rsidRPr="007D149E">
        <w:t>volatilita</w:t>
      </w:r>
      <w:proofErr w:type="spellEnd"/>
      <w:r w:rsidRPr="007D149E">
        <w:t xml:space="preserve">̀ dei prezzi sui mercati e il rischio strutturale di una carenza di energia elettrica invernale, erano </w:t>
      </w:r>
      <w:proofErr w:type="spellStart"/>
      <w:r w:rsidRPr="007D149E">
        <w:t>gia</w:t>
      </w:r>
      <w:proofErr w:type="spellEnd"/>
      <w:r w:rsidRPr="007D149E">
        <w:t xml:space="preserve">̀ emersi negli anni passati. La riduzione delle forniture di gas russo in Germania ha funto da catalizzatore, accelerando ed esacerbando l’evoluzione dei problemi. Ne è risultato un ulteriore drastico aumento della </w:t>
      </w:r>
      <w:proofErr w:type="spellStart"/>
      <w:r w:rsidRPr="007D149E">
        <w:t>volatilita</w:t>
      </w:r>
      <w:proofErr w:type="spellEnd"/>
      <w:r w:rsidRPr="007D149E">
        <w:t xml:space="preserve">̀ e dei prezzi dell’energia, che hanno toccato picchi mai visti in passato. In questo contesto si è inserito un periodo di </w:t>
      </w:r>
      <w:proofErr w:type="spellStart"/>
      <w:r w:rsidRPr="007D149E">
        <w:t>siccita</w:t>
      </w:r>
      <w:proofErr w:type="spellEnd"/>
      <w:r w:rsidRPr="007D149E">
        <w:t xml:space="preserve">̀ senza precedenti, che in Ticino ha causato una perdita del 40% della produzione idroelettrica rispetto alle medie pluriennali, per un controvalore nel 2022 superiore a CHF 150 mio. </w:t>
      </w:r>
    </w:p>
    <w:p w14:paraId="3B9728B6" w14:textId="5FF3B740" w:rsidR="007D149E" w:rsidRPr="00482C64" w:rsidRDefault="007D149E" w:rsidP="007D149E">
      <w:pPr>
        <w:autoSpaceDE w:val="0"/>
        <w:autoSpaceDN w:val="0"/>
        <w:adjustRightInd w:val="0"/>
        <w:spacing w:after="120"/>
      </w:pPr>
      <w:r w:rsidRPr="00482C64">
        <w:t xml:space="preserve">Anche la produzione idroelettrica delle partecipate ha subito una riduzione analoga registrando un -44%. </w:t>
      </w:r>
      <w:r w:rsidRPr="00482C64">
        <w:rPr>
          <w:iCs/>
        </w:rPr>
        <w:t xml:space="preserve">Ad AET sono mancati quasi 700 </w:t>
      </w:r>
      <w:proofErr w:type="spellStart"/>
      <w:r w:rsidRPr="00482C64">
        <w:rPr>
          <w:iCs/>
        </w:rPr>
        <w:t>GWh</w:t>
      </w:r>
      <w:proofErr w:type="spellEnd"/>
      <w:r w:rsidRPr="00482C64">
        <w:rPr>
          <w:iCs/>
        </w:rPr>
        <w:t xml:space="preserve"> di energia idroelettrica rispetto al passato, per un controvalore </w:t>
      </w:r>
      <w:r w:rsidR="00296039">
        <w:rPr>
          <w:iCs/>
        </w:rPr>
        <w:t xml:space="preserve">ben </w:t>
      </w:r>
      <w:r w:rsidRPr="00482C64">
        <w:rPr>
          <w:iCs/>
        </w:rPr>
        <w:t>superiore a 150 mio. di franchi.</w:t>
      </w:r>
    </w:p>
    <w:p w14:paraId="2060F8E2" w14:textId="1B6192B2" w:rsidR="007D149E" w:rsidRDefault="007D149E" w:rsidP="007D149E">
      <w:pPr>
        <w:autoSpaceDE w:val="0"/>
        <w:autoSpaceDN w:val="0"/>
        <w:adjustRightInd w:val="0"/>
        <w:spacing w:after="120"/>
      </w:pPr>
      <w:r w:rsidRPr="00652204">
        <w:rPr>
          <w:iCs/>
        </w:rPr>
        <w:t xml:space="preserve">Per poter assolvere gli impegni contrattuali in essere con i propri clienti AET ha dovuto </w:t>
      </w:r>
      <w:r w:rsidRPr="00652204">
        <w:t>farsi carico di costi straordinari per compensare la produzione mancante tramite acquisti sul mercato, a prezzi nettamente maggiori rispetto a quelli di fornitura.</w:t>
      </w:r>
      <w:r w:rsidR="00652204" w:rsidRPr="00652204">
        <w:t xml:space="preserve"> </w:t>
      </w:r>
      <w:r w:rsidRPr="00652204">
        <w:t xml:space="preserve">Non va nemmeno dimenticato come AET, sulla base dei contratti in essere, abbia dovuto farsi carico anche della mancata produzione da parte dei distributori (impianti idroelettrici di Airolo, </w:t>
      </w:r>
      <w:proofErr w:type="spellStart"/>
      <w:r w:rsidRPr="00652204">
        <w:t>Faido</w:t>
      </w:r>
      <w:proofErr w:type="spellEnd"/>
      <w:r w:rsidRPr="00652204">
        <w:t xml:space="preserve">, </w:t>
      </w:r>
      <w:proofErr w:type="spellStart"/>
      <w:r w:rsidRPr="00652204">
        <w:t>Ticinetto</w:t>
      </w:r>
      <w:proofErr w:type="spellEnd"/>
      <w:r w:rsidRPr="00652204">
        <w:t xml:space="preserve">, </w:t>
      </w:r>
      <w:proofErr w:type="spellStart"/>
      <w:r w:rsidRPr="00652204">
        <w:t>Giumaglio</w:t>
      </w:r>
      <w:proofErr w:type="spellEnd"/>
      <w:r w:rsidRPr="00652204">
        <w:t xml:space="preserve">, </w:t>
      </w:r>
      <w:proofErr w:type="spellStart"/>
      <w:r w:rsidRPr="00652204">
        <w:t>Morobbia</w:t>
      </w:r>
      <w:proofErr w:type="spellEnd"/>
      <w:r w:rsidRPr="00652204">
        <w:t xml:space="preserve"> e Stampa): un ammanco di produzione di </w:t>
      </w:r>
      <w:proofErr w:type="spellStart"/>
      <w:r w:rsidRPr="00652204">
        <w:t>ca</w:t>
      </w:r>
      <w:proofErr w:type="spellEnd"/>
      <w:r w:rsidRPr="00652204">
        <w:t xml:space="preserve">. 50 </w:t>
      </w:r>
      <w:proofErr w:type="spellStart"/>
      <w:r w:rsidRPr="00652204">
        <w:t>GWh</w:t>
      </w:r>
      <w:proofErr w:type="spellEnd"/>
      <w:r w:rsidRPr="00652204">
        <w:t xml:space="preserve">, per un corrispettivo di </w:t>
      </w:r>
      <w:proofErr w:type="spellStart"/>
      <w:r w:rsidRPr="00652204">
        <w:t>ca</w:t>
      </w:r>
      <w:proofErr w:type="spellEnd"/>
      <w:r w:rsidRPr="00652204">
        <w:t xml:space="preserve">. CHF 15 mio. </w:t>
      </w:r>
    </w:p>
    <w:p w14:paraId="12B4E6BE" w14:textId="57593FEC" w:rsidR="00482C64" w:rsidRPr="00482C64" w:rsidRDefault="007D149E" w:rsidP="00482C64">
      <w:pPr>
        <w:autoSpaceDE w:val="0"/>
        <w:autoSpaceDN w:val="0"/>
        <w:adjustRightInd w:val="0"/>
        <w:spacing w:after="120"/>
        <w:rPr>
          <w:iCs/>
        </w:rPr>
      </w:pPr>
      <w:r w:rsidRPr="00482C64">
        <w:rPr>
          <w:iCs/>
        </w:rPr>
        <w:t xml:space="preserve">La necessità di compensare i citati manchi di produzione con acquisti sui </w:t>
      </w:r>
      <w:r w:rsidR="00FD24E6">
        <w:rPr>
          <w:iCs/>
        </w:rPr>
        <w:t xml:space="preserve">mercati internazionali </w:t>
      </w:r>
      <w:r w:rsidR="00482C64" w:rsidRPr="00482C64">
        <w:rPr>
          <w:iCs/>
        </w:rPr>
        <w:t>si è tradotta in una perdita di esercizio vicina ai 56 mio di franchi</w:t>
      </w:r>
      <w:r w:rsidR="00296039">
        <w:rPr>
          <w:iCs/>
        </w:rPr>
        <w:t xml:space="preserve"> (conto consolidato)</w:t>
      </w:r>
      <w:r w:rsidR="00482C64" w:rsidRPr="00482C64">
        <w:rPr>
          <w:iCs/>
        </w:rPr>
        <w:t xml:space="preserve">; la </w:t>
      </w:r>
      <w:r w:rsidR="00FD24E6">
        <w:rPr>
          <w:iCs/>
        </w:rPr>
        <w:t>più</w:t>
      </w:r>
      <w:r w:rsidR="00482C64" w:rsidRPr="00482C64">
        <w:rPr>
          <w:iCs/>
        </w:rPr>
        <w:t xml:space="preserve"> alta mai registrata nella storia di AET. </w:t>
      </w:r>
    </w:p>
    <w:p w14:paraId="70E817C3" w14:textId="4104B03C" w:rsidR="007D149E" w:rsidRPr="007D149E" w:rsidRDefault="007D149E" w:rsidP="007D149E">
      <w:pPr>
        <w:autoSpaceDE w:val="0"/>
        <w:autoSpaceDN w:val="0"/>
        <w:adjustRightInd w:val="0"/>
        <w:spacing w:after="120"/>
      </w:pPr>
      <w:r w:rsidRPr="007D149E">
        <w:t xml:space="preserve">L’Azienda ha potuto assorbire la perdita grazie a una struttura di bilancio solida, a un portafoglio di produzione adeguatamente diversificato e alle prospettive di un riequilibrio derivante dal ritorno a livelli mediani della produzione idroelettrica. L’andamento climatico dell’inverno 2022/23, caratterizzato dal protrarsi dell’assenza di precipitazioni a Sud delle Alpi, lascia purtroppo presagire ulteriori difficoltà in ambito di produzione idroelettrica. AET si prepara a gestire le attuali risorse in maniera conservativa e ad accelerare i piani per l’incremento della produzione da fonti rinnovabili e la loro diversificazione. </w:t>
      </w:r>
    </w:p>
    <w:p w14:paraId="026CF2FC" w14:textId="3E02C5E8" w:rsidR="00D729CD" w:rsidRPr="00D729CD" w:rsidRDefault="00D729CD" w:rsidP="00D729CD">
      <w:pPr>
        <w:autoSpaceDE w:val="0"/>
        <w:autoSpaceDN w:val="0"/>
        <w:adjustRightInd w:val="0"/>
        <w:spacing w:after="120"/>
      </w:pPr>
      <w:r w:rsidRPr="00D729CD">
        <w:t xml:space="preserve">La produzione idroelettrica degli impianti di AET durante l’esercizio 2022 si è attestata a 542 </w:t>
      </w:r>
      <w:proofErr w:type="spellStart"/>
      <w:r w:rsidRPr="00D729CD">
        <w:t>GWh</w:t>
      </w:r>
      <w:proofErr w:type="spellEnd"/>
      <w:r w:rsidRPr="00D729CD">
        <w:t>: un risultato nettamente inferiore alla media del periodo 2012</w:t>
      </w:r>
      <w:r>
        <w:t>-</w:t>
      </w:r>
      <w:r w:rsidRPr="00D729CD">
        <w:t xml:space="preserve">2021, in diminuzione di circa il 42% rispetto all’anno precedente. La produzione idroelettrica da partecipazioni si è fermata a 345 </w:t>
      </w:r>
      <w:proofErr w:type="spellStart"/>
      <w:r w:rsidRPr="00D729CD">
        <w:t>GWh</w:t>
      </w:r>
      <w:proofErr w:type="spellEnd"/>
      <w:r w:rsidRPr="00D729CD">
        <w:t>, anch’essa in forte calo rispetto all’anno precedente (</w:t>
      </w:r>
      <w:r w:rsidR="003536CB">
        <w:t>-</w:t>
      </w:r>
      <w:r w:rsidRPr="00D729CD">
        <w:t xml:space="preserve">46%). Il 2022 a Sud delle Alpi è stato contraddistinto da un breve e scarso periodo di scioglimento delle nevi, che ha particolarmente penalizzato l’accumulazione, e da una generale assenza di precipitazioni durante il periodo estivo e autunnale, che ha compromesso la </w:t>
      </w:r>
      <w:proofErr w:type="spellStart"/>
      <w:r w:rsidRPr="00D729CD">
        <w:t>produttivita</w:t>
      </w:r>
      <w:proofErr w:type="spellEnd"/>
      <w:r w:rsidRPr="00D729CD">
        <w:t xml:space="preserve">̀ da acqua fluente. </w:t>
      </w:r>
    </w:p>
    <w:p w14:paraId="449D982A" w14:textId="6341FB69" w:rsidR="00D729CD" w:rsidRPr="00D729CD" w:rsidRDefault="00D729CD" w:rsidP="00D729CD">
      <w:pPr>
        <w:autoSpaceDE w:val="0"/>
        <w:autoSpaceDN w:val="0"/>
        <w:adjustRightInd w:val="0"/>
        <w:spacing w:after="120"/>
      </w:pPr>
      <w:r w:rsidRPr="00D729CD">
        <w:t xml:space="preserve">La quota di AET della produzione dell’impianto tedesco di </w:t>
      </w:r>
      <w:proofErr w:type="spellStart"/>
      <w:r w:rsidRPr="00D729CD">
        <w:t>Lünen</w:t>
      </w:r>
      <w:proofErr w:type="spellEnd"/>
      <w:r w:rsidRPr="00D729CD">
        <w:t xml:space="preserve"> è stata di 577 </w:t>
      </w:r>
      <w:proofErr w:type="spellStart"/>
      <w:r w:rsidRPr="00D729CD">
        <w:t>GWh</w:t>
      </w:r>
      <w:proofErr w:type="spellEnd"/>
      <w:r w:rsidRPr="00D729CD">
        <w:t xml:space="preserve">, in </w:t>
      </w:r>
      <w:r>
        <w:t>(+</w:t>
      </w:r>
      <w:r w:rsidRPr="00D729CD">
        <w:t>6% rispetto al 2021</w:t>
      </w:r>
      <w:r>
        <w:t>)</w:t>
      </w:r>
      <w:r w:rsidRPr="00D729CD">
        <w:t xml:space="preserve">. </w:t>
      </w:r>
      <w:r w:rsidR="00296039">
        <w:t>L’incremento di produzione</w:t>
      </w:r>
      <w:r w:rsidRPr="00D729CD">
        <w:t xml:space="preserve"> è stato favorito dalla positiva evoluzione del rapporto tra il prezzo del combustibile e il costo dei certificati per le emissioni di CO2. La produzione </w:t>
      </w:r>
      <w:proofErr w:type="spellStart"/>
      <w:r w:rsidRPr="00D729CD">
        <w:t>gia</w:t>
      </w:r>
      <w:proofErr w:type="spellEnd"/>
      <w:r w:rsidRPr="00D729CD">
        <w:t xml:space="preserve">̀ contrattualizzata negli anni precedenti e i maggiori costi di approvvigionamento e stoccaggio del carbone causati dallo scoppio della guerra in Ucraina hanno d’altra parte impedito di approfittare dell’aumento dei prezzi di mercato, causando un maggior costo di </w:t>
      </w:r>
      <w:proofErr w:type="spellStart"/>
      <w:r w:rsidRPr="00D729CD">
        <w:t>ca</w:t>
      </w:r>
      <w:proofErr w:type="spellEnd"/>
      <w:r w:rsidRPr="00D729CD">
        <w:t xml:space="preserve">. 30 mio </w:t>
      </w:r>
      <w:r>
        <w:t xml:space="preserve">di franchi </w:t>
      </w:r>
      <w:r w:rsidRPr="00D729CD">
        <w:t xml:space="preserve">a carico di AET. </w:t>
      </w:r>
    </w:p>
    <w:p w14:paraId="22C7F806" w14:textId="6308C3A2" w:rsidR="00D729CD" w:rsidRPr="00B1726B" w:rsidRDefault="00D729CD" w:rsidP="00B1726B">
      <w:pPr>
        <w:autoSpaceDE w:val="0"/>
        <w:autoSpaceDN w:val="0"/>
        <w:adjustRightInd w:val="0"/>
        <w:spacing w:after="120"/>
      </w:pPr>
      <w:r w:rsidRPr="00B1726B">
        <w:t xml:space="preserve">La produzione da partecipazioni nucleari in Svizzera e Francia si è attestata a 299 </w:t>
      </w:r>
      <w:proofErr w:type="spellStart"/>
      <w:r w:rsidRPr="00B1726B">
        <w:t>GWh</w:t>
      </w:r>
      <w:proofErr w:type="spellEnd"/>
      <w:r w:rsidRPr="00B1726B">
        <w:t xml:space="preserve"> (con una riduzione del 10% sul volume medio previsto), anch’essa abbondantemente inferiore alle aspettative a causa della ridotta </w:t>
      </w:r>
      <w:proofErr w:type="spellStart"/>
      <w:r w:rsidRPr="00B1726B">
        <w:t>disponibilita</w:t>
      </w:r>
      <w:proofErr w:type="spellEnd"/>
      <w:r w:rsidRPr="00B1726B">
        <w:t xml:space="preserve">̀ degli impianti francesi nel periodo estivo. La combinazione di alte temperature e livelli dei fiumi bassi ha infatti causato problemi ai sistemi di raffreddamento delle centrali, imponendo numerose interruzioni della produzione per ragioni di sicurezza. </w:t>
      </w:r>
    </w:p>
    <w:p w14:paraId="3D066004" w14:textId="77777777" w:rsidR="00D729CD" w:rsidRDefault="00D729CD" w:rsidP="00B80E6D">
      <w:pPr>
        <w:autoSpaceDE w:val="0"/>
        <w:autoSpaceDN w:val="0"/>
        <w:adjustRightInd w:val="0"/>
        <w:spacing w:after="120"/>
      </w:pPr>
      <w:r w:rsidRPr="00B80E6D">
        <w:t xml:space="preserve">Le anomalie climatiche hanno interessato anche la produzione del Parco eolico del San Gottardo, che nel suo secondo anno di esercizio si è attestata a 12.4 </w:t>
      </w:r>
      <w:proofErr w:type="spellStart"/>
      <w:r w:rsidRPr="00B80E6D">
        <w:t>GWh</w:t>
      </w:r>
      <w:proofErr w:type="spellEnd"/>
      <w:r w:rsidRPr="00B80E6D">
        <w:t xml:space="preserve">. Un valore del 25% inferiore alle attese, che si spiega con una </w:t>
      </w:r>
      <w:proofErr w:type="spellStart"/>
      <w:r w:rsidRPr="00B80E6D">
        <w:t>ventosita</w:t>
      </w:r>
      <w:proofErr w:type="spellEnd"/>
      <w:r w:rsidRPr="00B80E6D">
        <w:t xml:space="preserve">̀ sul passo nettamente inferiore a quella misurata negli anni precedenti. </w:t>
      </w:r>
    </w:p>
    <w:p w14:paraId="3D1900C6" w14:textId="6747689D" w:rsidR="00B80E6D" w:rsidRPr="00B80E6D" w:rsidRDefault="00821BB1" w:rsidP="00B80E6D">
      <w:pPr>
        <w:spacing w:after="120"/>
      </w:pPr>
      <w:r w:rsidRPr="00B80E6D">
        <w:t xml:space="preserve">Per il settore calore, Teleriscaldamento del </w:t>
      </w:r>
      <w:proofErr w:type="spellStart"/>
      <w:r w:rsidRPr="00B80E6D">
        <w:t>Bellinzonese</w:t>
      </w:r>
      <w:proofErr w:type="spellEnd"/>
      <w:r w:rsidRPr="00B80E6D">
        <w:t xml:space="preserve"> SA -</w:t>
      </w:r>
      <w:r w:rsidR="003536CB">
        <w:t xml:space="preserve"> </w:t>
      </w:r>
      <w:r w:rsidRPr="00B80E6D">
        <w:t xml:space="preserve">TERIS (società partecipata al 60%), </w:t>
      </w:r>
      <w:r w:rsidR="00B80E6D" w:rsidRPr="00B80E6D">
        <w:t xml:space="preserve">ha trasferito tutto il suo personale alla neocostituita </w:t>
      </w:r>
      <w:proofErr w:type="spellStart"/>
      <w:r w:rsidR="00B80E6D" w:rsidRPr="00B80E6D">
        <w:t>societa</w:t>
      </w:r>
      <w:proofErr w:type="spellEnd"/>
      <w:r w:rsidR="00B80E6D" w:rsidRPr="00B80E6D">
        <w:t xml:space="preserve">̀ di servizi PIÙCALORE SA. Dall’inizio del 2022 le mansioni di TERIS vengono svolte su mandato da PIÙCALORE SA. La </w:t>
      </w:r>
      <w:proofErr w:type="spellStart"/>
      <w:r w:rsidR="00B80E6D" w:rsidRPr="00B80E6D">
        <w:t>Societa</w:t>
      </w:r>
      <w:proofErr w:type="spellEnd"/>
      <w:r w:rsidR="00B80E6D" w:rsidRPr="00B80E6D">
        <w:t xml:space="preserve">̀ ha avviato i lavori di estensione della rete a Nord di Bellinzona, procedendo ad una serie di nuovi allacciamenti. TERIS ha inoltre prestato le sue competenze all’elaborazione di progetti in collaborazione con terze parti a Bodio, </w:t>
      </w:r>
      <w:proofErr w:type="spellStart"/>
      <w:r w:rsidR="00B80E6D" w:rsidRPr="00B80E6D">
        <w:t>Camorino</w:t>
      </w:r>
      <w:proofErr w:type="spellEnd"/>
      <w:r w:rsidR="00B80E6D" w:rsidRPr="00B80E6D">
        <w:t>, Castione/</w:t>
      </w:r>
      <w:proofErr w:type="spellStart"/>
      <w:r w:rsidR="00B80E6D" w:rsidRPr="00B80E6D">
        <w:t>Arbedo</w:t>
      </w:r>
      <w:proofErr w:type="spellEnd"/>
      <w:r w:rsidR="00B80E6D" w:rsidRPr="00B80E6D">
        <w:t xml:space="preserve"> e Mendrisio. </w:t>
      </w:r>
    </w:p>
    <w:p w14:paraId="533B2C0B" w14:textId="2A320BE6" w:rsidR="00A24667" w:rsidRDefault="00B80E6D" w:rsidP="00A24667">
      <w:pPr>
        <w:spacing w:after="120"/>
      </w:pPr>
      <w:r w:rsidRPr="00B80E6D">
        <w:t xml:space="preserve">Calore SA, </w:t>
      </w:r>
      <w:proofErr w:type="spellStart"/>
      <w:r w:rsidRPr="00B80E6D">
        <w:t>societa</w:t>
      </w:r>
      <w:proofErr w:type="spellEnd"/>
      <w:r w:rsidRPr="00B80E6D">
        <w:t xml:space="preserve">̀ partecipata da AET e dalla </w:t>
      </w:r>
      <w:proofErr w:type="spellStart"/>
      <w:r w:rsidRPr="00B80E6D">
        <w:t>Societa</w:t>
      </w:r>
      <w:proofErr w:type="spellEnd"/>
      <w:r w:rsidRPr="00B80E6D">
        <w:t xml:space="preserve">̀ Elettrica </w:t>
      </w:r>
      <w:proofErr w:type="spellStart"/>
      <w:r w:rsidRPr="00B80E6D">
        <w:t>Sopracenerina</w:t>
      </w:r>
      <w:proofErr w:type="spellEnd"/>
      <w:r w:rsidRPr="00B80E6D">
        <w:t xml:space="preserve"> SA (SES), ha proseguito i lavori pianificatori necessari alla realizzazione del progetto “Verbano 2030”, presentato nel 2021.</w:t>
      </w:r>
      <w:r>
        <w:t xml:space="preserve"> </w:t>
      </w:r>
      <w:r w:rsidRPr="00B80E6D">
        <w:t xml:space="preserve">Il progetto prevede l’estensione della rete di teleriscaldamento di Locarno al quartiere Rusca-Saleggi e la realizzazione di una nuova centrale termica alimentata da termopompe che sfrutteranno il calore derivante dall’impianto di depurazione alla foce della </w:t>
      </w:r>
      <w:proofErr w:type="spellStart"/>
      <w:r w:rsidRPr="00B80E6D">
        <w:t>Maggia</w:t>
      </w:r>
      <w:proofErr w:type="spellEnd"/>
      <w:r w:rsidRPr="00B80E6D">
        <w:t xml:space="preserve">, di </w:t>
      </w:r>
      <w:proofErr w:type="spellStart"/>
      <w:r w:rsidRPr="00B80E6D">
        <w:t>proprieta</w:t>
      </w:r>
      <w:proofErr w:type="spellEnd"/>
      <w:r w:rsidRPr="00B80E6D">
        <w:t>̀ del Consorzio Depurazione acque del Verbano, e se necessa</w:t>
      </w:r>
      <w:r w:rsidR="00FD24E6">
        <w:t>rio il calore del lago Verbano.</w:t>
      </w:r>
    </w:p>
    <w:p w14:paraId="161B5D93" w14:textId="1EEE0D61" w:rsidR="00212886" w:rsidRPr="00212886" w:rsidRDefault="00212886" w:rsidP="00212886">
      <w:pPr>
        <w:spacing w:after="120"/>
      </w:pPr>
      <w:proofErr w:type="spellStart"/>
      <w:r w:rsidRPr="00212886">
        <w:t>Capriasca</w:t>
      </w:r>
      <w:proofErr w:type="spellEnd"/>
      <w:r w:rsidRPr="00212886">
        <w:t xml:space="preserve"> Calore SA, </w:t>
      </w:r>
      <w:proofErr w:type="spellStart"/>
      <w:r w:rsidRPr="00212886">
        <w:t>societa</w:t>
      </w:r>
      <w:proofErr w:type="spellEnd"/>
      <w:r w:rsidRPr="00212886">
        <w:t xml:space="preserve">̀ partecipata in quote uguali da AET, dall’Azienda Elettrica di </w:t>
      </w:r>
      <w:proofErr w:type="spellStart"/>
      <w:r w:rsidRPr="00212886">
        <w:t>Massagno</w:t>
      </w:r>
      <w:proofErr w:type="spellEnd"/>
      <w:r w:rsidRPr="00212886">
        <w:t xml:space="preserve"> (AEM) e dal Comune di </w:t>
      </w:r>
      <w:proofErr w:type="spellStart"/>
      <w:r w:rsidRPr="00212886">
        <w:t>Capriasca</w:t>
      </w:r>
      <w:proofErr w:type="spellEnd"/>
      <w:r w:rsidRPr="00212886">
        <w:t xml:space="preserve">, ha completato il nuovo impianto di teleriscaldamento di Tesserete nel rispetto dei preventivi d’investimento. Nel corso del 2022 sono iniziati i lavori di allacciamento della nuova scuola elementare di Tesserete, la cui costruzione </w:t>
      </w:r>
      <w:proofErr w:type="spellStart"/>
      <w:r w:rsidRPr="00212886">
        <w:t>sara</w:t>
      </w:r>
      <w:proofErr w:type="spellEnd"/>
      <w:r w:rsidRPr="00212886">
        <w:t xml:space="preserve">̀ completata nel 2024. Nuovi potenziali clienti hanno </w:t>
      </w:r>
      <w:r>
        <w:t xml:space="preserve">già </w:t>
      </w:r>
      <w:r w:rsidRPr="00212886">
        <w:t xml:space="preserve">manifestato l’interesse ad allacciarsi alla rete. </w:t>
      </w:r>
    </w:p>
    <w:p w14:paraId="73632AA0" w14:textId="7556D64A" w:rsidR="00212886" w:rsidRPr="00212886" w:rsidRDefault="00212886" w:rsidP="00212886">
      <w:pPr>
        <w:spacing w:after="120"/>
      </w:pPr>
      <w:proofErr w:type="spellStart"/>
      <w:r w:rsidRPr="00212886">
        <w:t>Metanord</w:t>
      </w:r>
      <w:proofErr w:type="spellEnd"/>
      <w:r w:rsidRPr="00212886">
        <w:t xml:space="preserve"> SA </w:t>
      </w:r>
      <w:r w:rsidR="00715FE4">
        <w:t>(</w:t>
      </w:r>
      <w:proofErr w:type="spellStart"/>
      <w:r w:rsidRPr="00212886">
        <w:t>societa</w:t>
      </w:r>
      <w:proofErr w:type="spellEnd"/>
      <w:r w:rsidRPr="00212886">
        <w:t>̀ partecipata al 33% da AET</w:t>
      </w:r>
      <w:r w:rsidR="00296039">
        <w:t>)</w:t>
      </w:r>
      <w:r w:rsidRPr="00212886">
        <w:t>, ha concluso l’esercizio 2022 con un risultato molto positivo. A breve</w:t>
      </w:r>
      <w:r>
        <w:t>-</w:t>
      </w:r>
      <w:r w:rsidRPr="00212886">
        <w:t xml:space="preserve">medio termine lo sviluppo </w:t>
      </w:r>
      <w:proofErr w:type="spellStart"/>
      <w:r w:rsidRPr="00212886">
        <w:t>sara</w:t>
      </w:r>
      <w:proofErr w:type="spellEnd"/>
      <w:r w:rsidRPr="00212886">
        <w:t xml:space="preserve">̀ meno favorevole: la guerra in Ucraina ha determinato un importante aumento dei costi di approvvigionamento del 2023, che incideranno negativamente sui prezzi di fornitura e sui risultati dell’azienda, come pure sullo sviluppo dell’erogazione a nuovi clienti. </w:t>
      </w:r>
    </w:p>
    <w:p w14:paraId="6C2013A1" w14:textId="3C939995" w:rsidR="00F52727" w:rsidRPr="006546FF" w:rsidRDefault="0095099C" w:rsidP="00A714FF">
      <w:pPr>
        <w:spacing w:after="120"/>
      </w:pPr>
      <w:r w:rsidRPr="0095099C">
        <w:t xml:space="preserve">Nel 2022 i prezzi medi sono rimasti costantemente al di sopra dei 200 EUR/MWh, con un massimo di oltre 300 EUR/MWh registrato sul mercato italiano. Per la Svizzera è stato registrato un prezzo medio di oltre 280 EUR/MWh. Lo scoppio della guerra in Ucraina ha fatto aumentare la </w:t>
      </w:r>
      <w:proofErr w:type="spellStart"/>
      <w:r w:rsidRPr="0095099C">
        <w:t>gia</w:t>
      </w:r>
      <w:proofErr w:type="spellEnd"/>
      <w:r w:rsidRPr="0095099C">
        <w:t xml:space="preserve">̀ elevata </w:t>
      </w:r>
      <w:proofErr w:type="spellStart"/>
      <w:r w:rsidRPr="0095099C">
        <w:t>volatilita</w:t>
      </w:r>
      <w:proofErr w:type="spellEnd"/>
      <w:r w:rsidRPr="0095099C">
        <w:t xml:space="preserve">̀, che ha raggiunto i livelli massimi durante l’estate quando alla crisi del gas si sono aggiunte le prime conseguenze delle condizioni climatiche e la riduzione della produzione nucleare francese. I picchi sono stati raggiunti durante il mese di agosto, con prezzi medi mensili al di sopra dei 450 EUR/MWh su tutti i mercati e una punta di 543 EUR/MWh in Italia. La situazione critica dell’estate ha alimentato le preoccupazioni per l’approvvigionamento elettrico di lungo termine; tanto che il prezzo per la fornitura di energia di banda in Svizzera per il 2023 ha superato in agosto il livello di 1’100 EUR/MWh. La </w:t>
      </w:r>
      <w:proofErr w:type="spellStart"/>
      <w:r w:rsidRPr="0095099C">
        <w:t>volatilita</w:t>
      </w:r>
      <w:proofErr w:type="spellEnd"/>
      <w:r w:rsidRPr="0095099C">
        <w:t xml:space="preserve">̀ e i prezzi sono gradualmente calati verso la fine dell’anno, con il prospettarsi di un inverno piuttosto mite. </w:t>
      </w:r>
    </w:p>
    <w:p w14:paraId="665C38C1" w14:textId="03F15861" w:rsidR="006546FF" w:rsidRDefault="006546FF" w:rsidP="006546FF">
      <w:pPr>
        <w:spacing w:after="120"/>
      </w:pPr>
      <w:r w:rsidRPr="006546FF">
        <w:t xml:space="preserve">Il forte e improvviso aumento dei prezzi, unitamente ad un clima di generale incertezza economica, ha rappresentato uno shock che ha portato gli acquirenti di energia a muoversi con particolare circospezione. Il rinnovo dei contratti per la fornitura futura alle aziende di distribuzione della Svizzera Italiana è avvenuto a ritmi inferiori rispetto al passato, mentre oltre Gottardo è stato possibile acquisire qualche nuovo cliente. </w:t>
      </w:r>
    </w:p>
    <w:p w14:paraId="7AFA26CA" w14:textId="6ABF00EE" w:rsidR="006546FF" w:rsidRDefault="006546FF" w:rsidP="006546FF">
      <w:pPr>
        <w:spacing w:after="120"/>
      </w:pPr>
      <w:r w:rsidRPr="006546FF">
        <w:t xml:space="preserve">La situazione tesa e l’oggettiva difficoltà di numerosi clienti hanno imposto l’elaborazione di soluzioni specifiche per la gestione e la mitigazione delle fluttuazioni dei prezzi. </w:t>
      </w:r>
      <w:proofErr w:type="spellStart"/>
      <w:r w:rsidRPr="006546FF">
        <w:t>Kwick</w:t>
      </w:r>
      <w:proofErr w:type="spellEnd"/>
      <w:r w:rsidRPr="006546FF">
        <w:t xml:space="preserve">, progetto nato in collaborazione con la </w:t>
      </w:r>
      <w:proofErr w:type="spellStart"/>
      <w:r w:rsidRPr="006546FF">
        <w:t>Societa</w:t>
      </w:r>
      <w:proofErr w:type="spellEnd"/>
      <w:r w:rsidRPr="006546FF">
        <w:t xml:space="preserve">̀ Elettrica </w:t>
      </w:r>
      <w:proofErr w:type="spellStart"/>
      <w:r w:rsidRPr="006546FF">
        <w:t>Sopracenerina</w:t>
      </w:r>
      <w:proofErr w:type="spellEnd"/>
      <w:r w:rsidRPr="006546FF">
        <w:t xml:space="preserve"> SA (SES) e l’Azienda Elettrica di </w:t>
      </w:r>
      <w:proofErr w:type="spellStart"/>
      <w:r w:rsidRPr="006546FF">
        <w:t>Massagno</w:t>
      </w:r>
      <w:proofErr w:type="spellEnd"/>
      <w:r w:rsidRPr="006546FF">
        <w:t xml:space="preserve"> (AEM) SA al fine di offrire soluzioni per l’acquisto e la gestione dell’energia elettrica online, ha acquisito i primi clienti. La </w:t>
      </w:r>
      <w:proofErr w:type="spellStart"/>
      <w:r w:rsidRPr="006546FF">
        <w:t>societa</w:t>
      </w:r>
      <w:proofErr w:type="spellEnd"/>
      <w:r w:rsidRPr="006546FF">
        <w:t xml:space="preserve">̀ prosegue nello sviluppo di prodotti in grado di rispondere alle esigenze dettate dall’evoluzione del mercato energetico, quali ad esempio l’aumento delle installazioni fotovoltaiche da parte di privati. </w:t>
      </w:r>
    </w:p>
    <w:p w14:paraId="69AF1C0D" w14:textId="77777777" w:rsidR="006546FF" w:rsidRDefault="006546FF" w:rsidP="006546FF">
      <w:pPr>
        <w:spacing w:after="120"/>
      </w:pPr>
      <w:r w:rsidRPr="006546FF">
        <w:t xml:space="preserve">La collaborazione con </w:t>
      </w:r>
      <w:proofErr w:type="spellStart"/>
      <w:r w:rsidRPr="006546FF">
        <w:t>Enerti</w:t>
      </w:r>
      <w:proofErr w:type="spellEnd"/>
      <w:r w:rsidRPr="006546FF">
        <w:t xml:space="preserve">̀ SA per la vendita della gamma degli </w:t>
      </w:r>
      <w:proofErr w:type="spellStart"/>
      <w:r w:rsidRPr="006546FF">
        <w:t>ecoprodotti</w:t>
      </w:r>
      <w:proofErr w:type="spellEnd"/>
      <w:r w:rsidRPr="006546FF">
        <w:t xml:space="preserve"> (</w:t>
      </w:r>
      <w:proofErr w:type="spellStart"/>
      <w:r w:rsidRPr="006546FF">
        <w:t>tìacqua</w:t>
      </w:r>
      <w:proofErr w:type="spellEnd"/>
      <w:r w:rsidRPr="006546FF">
        <w:t xml:space="preserve">, </w:t>
      </w:r>
      <w:proofErr w:type="spellStart"/>
      <w:r w:rsidRPr="006546FF">
        <w:t>tìnatura</w:t>
      </w:r>
      <w:proofErr w:type="spellEnd"/>
      <w:r w:rsidRPr="006546FF">
        <w:t xml:space="preserve"> e </w:t>
      </w:r>
      <w:proofErr w:type="spellStart"/>
      <w:r w:rsidRPr="006546FF">
        <w:t>tìsole</w:t>
      </w:r>
      <w:proofErr w:type="spellEnd"/>
      <w:r w:rsidRPr="006546FF">
        <w:t xml:space="preserve">) in Ticino è stata confermata per un ulteriore anno. Le scarse precipitazioni del 2022 hanno richiesto l’adozione di misure eccezionali a copertura della ridotta </w:t>
      </w:r>
      <w:proofErr w:type="spellStart"/>
      <w:r w:rsidRPr="006546FF">
        <w:t>disponibilita</w:t>
      </w:r>
      <w:proofErr w:type="spellEnd"/>
      <w:r w:rsidRPr="006546FF">
        <w:t xml:space="preserve">̀ di produzione locale. </w:t>
      </w:r>
    </w:p>
    <w:p w14:paraId="23832B7A" w14:textId="77777777" w:rsidR="006546FF" w:rsidRDefault="006546FF" w:rsidP="006546FF">
      <w:pPr>
        <w:spacing w:after="120"/>
      </w:pPr>
      <w:r w:rsidRPr="006546FF">
        <w:t xml:space="preserve">Nel 2022 l’ammodernamento della rete di distribuzione sovraregionale di AET ha visto il completamento dei lavori di genio civile per la messa in cavo delle linee 50 </w:t>
      </w:r>
      <w:proofErr w:type="spellStart"/>
      <w:r w:rsidRPr="006546FF">
        <w:t>kV</w:t>
      </w:r>
      <w:proofErr w:type="spellEnd"/>
      <w:r w:rsidRPr="006546FF">
        <w:t xml:space="preserve"> tra </w:t>
      </w:r>
      <w:proofErr w:type="spellStart"/>
      <w:r w:rsidRPr="006546FF">
        <w:t>Stalvedro</w:t>
      </w:r>
      <w:proofErr w:type="spellEnd"/>
      <w:r w:rsidRPr="006546FF">
        <w:t xml:space="preserve"> e Rodi, e in Valle di </w:t>
      </w:r>
      <w:proofErr w:type="spellStart"/>
      <w:r w:rsidRPr="006546FF">
        <w:t>Blenio</w:t>
      </w:r>
      <w:proofErr w:type="spellEnd"/>
      <w:r w:rsidRPr="006546FF">
        <w:t xml:space="preserve"> tra </w:t>
      </w:r>
      <w:proofErr w:type="spellStart"/>
      <w:r w:rsidRPr="006546FF">
        <w:t>Pollegio</w:t>
      </w:r>
      <w:proofErr w:type="spellEnd"/>
      <w:r w:rsidRPr="006546FF">
        <w:t xml:space="preserve"> e </w:t>
      </w:r>
      <w:proofErr w:type="spellStart"/>
      <w:r w:rsidRPr="006546FF">
        <w:t>Acquarossa</w:t>
      </w:r>
      <w:proofErr w:type="spellEnd"/>
      <w:r w:rsidRPr="006546FF">
        <w:t xml:space="preserve">. </w:t>
      </w:r>
    </w:p>
    <w:p w14:paraId="3FC759ED" w14:textId="71EC418B" w:rsidR="007E62B8" w:rsidRDefault="006546FF" w:rsidP="006546FF">
      <w:pPr>
        <w:spacing w:after="120"/>
      </w:pPr>
      <w:r w:rsidRPr="006546FF">
        <w:t xml:space="preserve">Numerose sottostazioni sono state interessate da progetti di rinnovo svolti in collaborazione con SES e AMB. A Castione e Avegno si è passati alla fase di realizzazione nel corso dell’anno, mentre a </w:t>
      </w:r>
      <w:proofErr w:type="spellStart"/>
      <w:r w:rsidRPr="006546FF">
        <w:t>Pollegio</w:t>
      </w:r>
      <w:proofErr w:type="spellEnd"/>
      <w:r w:rsidRPr="006546FF">
        <w:t xml:space="preserve"> si è conclusa la procedura che ha portato all’ottenimento della licenza edilizia. Nella sottostazione di </w:t>
      </w:r>
      <w:proofErr w:type="spellStart"/>
      <w:r w:rsidRPr="006546FF">
        <w:t>Magadino</w:t>
      </w:r>
      <w:proofErr w:type="spellEnd"/>
      <w:r w:rsidRPr="006546FF">
        <w:t xml:space="preserve">, è stato sostituito il trasformatore 220/150 </w:t>
      </w:r>
      <w:proofErr w:type="spellStart"/>
      <w:r w:rsidRPr="006546FF">
        <w:t>kV</w:t>
      </w:r>
      <w:proofErr w:type="spellEnd"/>
      <w:r w:rsidRPr="006546FF">
        <w:t xml:space="preserve"> da 250 MVA. </w:t>
      </w:r>
    </w:p>
    <w:p w14:paraId="053DAEC7" w14:textId="03E693F9" w:rsidR="006546FF" w:rsidRDefault="006546FF" w:rsidP="003536CB">
      <w:r w:rsidRPr="006546FF">
        <w:t xml:space="preserve">In ambito di prestazioni per terzi, anche nel 2022 AET ha ottenuto diversi mandati per </w:t>
      </w:r>
      <w:proofErr w:type="spellStart"/>
      <w:r w:rsidRPr="006546FF">
        <w:t>attivita</w:t>
      </w:r>
      <w:proofErr w:type="spellEnd"/>
      <w:r w:rsidRPr="006546FF">
        <w:t xml:space="preserve">̀ specialistiche a Sud delle Alpi, in particolare da </w:t>
      </w:r>
      <w:proofErr w:type="spellStart"/>
      <w:r w:rsidRPr="006546FF">
        <w:t>Swissgrid</w:t>
      </w:r>
      <w:proofErr w:type="spellEnd"/>
      <w:r w:rsidRPr="006546FF">
        <w:t xml:space="preserve"> e FFS. Tra queste: un mandato per il controllo periodico di sottostazioni, la progettazione di linee e servizi ausiliari, e la sostituzione di cavi lacustri. </w:t>
      </w:r>
    </w:p>
    <w:p w14:paraId="33C7BE6D" w14:textId="55E35ACB" w:rsidR="00821BB1" w:rsidRDefault="00821BB1" w:rsidP="00821BB1">
      <w:bookmarkStart w:id="0" w:name="_Toc390264054"/>
      <w:bookmarkStart w:id="1" w:name="_Toc353800480"/>
    </w:p>
    <w:p w14:paraId="0E1F09CC" w14:textId="77777777" w:rsidR="003536CB" w:rsidRPr="00D65A89" w:rsidRDefault="003536CB" w:rsidP="00821BB1"/>
    <w:bookmarkEnd w:id="0"/>
    <w:bookmarkEnd w:id="1"/>
    <w:p w14:paraId="1CEF4B80" w14:textId="5B9A9BB7" w:rsidR="00821BB1" w:rsidRPr="00D65A89" w:rsidRDefault="00C8010E" w:rsidP="00821BB1">
      <w:pPr>
        <w:pStyle w:val="Titolo1"/>
        <w:numPr>
          <w:ilvl w:val="0"/>
          <w:numId w:val="18"/>
        </w:numPr>
        <w:tabs>
          <w:tab w:val="left" w:pos="567"/>
        </w:tabs>
        <w:spacing w:before="0"/>
        <w:ind w:left="567" w:hanging="567"/>
        <w:jc w:val="both"/>
      </w:pPr>
      <w:r w:rsidRPr="00D65A89">
        <w:t>CONTO</w:t>
      </w:r>
      <w:r w:rsidR="00821BB1" w:rsidRPr="00D65A89">
        <w:t xml:space="preserve"> ANNUALE 202</w:t>
      </w:r>
      <w:r w:rsidR="007556AF">
        <w:t>2</w:t>
      </w:r>
    </w:p>
    <w:p w14:paraId="381984E9" w14:textId="27243E6F" w:rsidR="00201CC8" w:rsidRPr="0007517D" w:rsidRDefault="00201CC8" w:rsidP="00511774">
      <w:pPr>
        <w:autoSpaceDE w:val="0"/>
        <w:autoSpaceDN w:val="0"/>
        <w:adjustRightInd w:val="0"/>
        <w:spacing w:after="120"/>
      </w:pPr>
      <w:bookmarkStart w:id="2" w:name="OLE_LINK3"/>
      <w:bookmarkStart w:id="3" w:name="OLE_LINK4"/>
      <w:r w:rsidRPr="00201CC8">
        <w:t xml:space="preserve">Dopo tre anni di chiusura in cifre nere, AET chiude </w:t>
      </w:r>
      <w:r>
        <w:t xml:space="preserve">i conti del 2022 </w:t>
      </w:r>
      <w:r w:rsidRPr="00201CC8">
        <w:t xml:space="preserve">con un risultato negativo registrando un </w:t>
      </w:r>
      <w:r>
        <w:t xml:space="preserve">importante </w:t>
      </w:r>
      <w:r w:rsidRPr="00201CC8">
        <w:t xml:space="preserve">disavanzo netto di 59.8 milioni di franchi a livello di conto </w:t>
      </w:r>
      <w:r w:rsidRPr="0007517D">
        <w:t>annuale civilistico (non consolidato).</w:t>
      </w:r>
    </w:p>
    <w:p w14:paraId="460CB9E9" w14:textId="698A5CC2" w:rsidR="00201CC8" w:rsidRPr="00511774" w:rsidRDefault="006D18DC" w:rsidP="00511774">
      <w:pPr>
        <w:autoSpaceDE w:val="0"/>
        <w:autoSpaceDN w:val="0"/>
        <w:adjustRightInd w:val="0"/>
        <w:spacing w:after="120"/>
      </w:pPr>
      <w:r w:rsidRPr="00511774">
        <w:t xml:space="preserve">Nel 2022 gli impianti di AET hanno prodotto il 40% di energia idroelettrica in meno rispetto alla media pluriennale. Anche la produzione idroelettrica </w:t>
      </w:r>
      <w:r w:rsidR="000E6270" w:rsidRPr="00511774">
        <w:t>dalle partecipate</w:t>
      </w:r>
      <w:r w:rsidRPr="00511774">
        <w:t xml:space="preserve"> è diminuita del 44% rispetto alla media</w:t>
      </w:r>
      <w:r w:rsidR="000E6270" w:rsidRPr="00511774">
        <w:t xml:space="preserve">. Ad AET sono mancati quasi 700 </w:t>
      </w:r>
      <w:proofErr w:type="spellStart"/>
      <w:r w:rsidR="000E6270" w:rsidRPr="00511774">
        <w:t>GWh</w:t>
      </w:r>
      <w:proofErr w:type="spellEnd"/>
      <w:r w:rsidR="000E6270" w:rsidRPr="00511774">
        <w:t xml:space="preserve"> di energia idroelettrica rispetto al passato, per un controvalore superiore a 150 milioni di franchi.</w:t>
      </w:r>
      <w:r w:rsidR="0007517D" w:rsidRPr="00511774">
        <w:t xml:space="preserve"> Questo</w:t>
      </w:r>
      <w:r w:rsidR="00201CC8" w:rsidRPr="00201CC8">
        <w:t xml:space="preserve"> massiccio ammanco di produzione idroelettrica causato dalla siccità </w:t>
      </w:r>
      <w:r w:rsidR="000E6270">
        <w:t xml:space="preserve">registrato </w:t>
      </w:r>
      <w:r w:rsidR="00201CC8" w:rsidRPr="00201CC8">
        <w:t xml:space="preserve">a Sud delle Alpi </w:t>
      </w:r>
      <w:r w:rsidR="000E6270">
        <w:t>in</w:t>
      </w:r>
      <w:r w:rsidR="00201CC8" w:rsidRPr="00201CC8">
        <w:t xml:space="preserve"> </w:t>
      </w:r>
      <w:r>
        <w:t>combina</w:t>
      </w:r>
      <w:r w:rsidR="000E6270">
        <w:t>zione</w:t>
      </w:r>
      <w:r>
        <w:t xml:space="preserve"> </w:t>
      </w:r>
      <w:r w:rsidR="000E6270">
        <w:t>all’</w:t>
      </w:r>
      <w:r w:rsidR="00201CC8" w:rsidRPr="00201CC8">
        <w:t xml:space="preserve">impennata dei prezzi </w:t>
      </w:r>
      <w:r w:rsidR="000E6270">
        <w:t xml:space="preserve">dell’energia </w:t>
      </w:r>
      <w:r w:rsidR="00201CC8" w:rsidRPr="00201CC8">
        <w:t>sui mercati internazionali, ha costretto l’Azienda ad acquistare energia a prezzi maggiori rispetto a quelli di vendita</w:t>
      </w:r>
      <w:r w:rsidR="003536CB">
        <w:t xml:space="preserve">; </w:t>
      </w:r>
      <w:r w:rsidR="00296039">
        <w:t>causando</w:t>
      </w:r>
      <w:r>
        <w:t xml:space="preserve"> </w:t>
      </w:r>
      <w:r w:rsidR="0007517D">
        <w:t>l’importante risultato negativo.</w:t>
      </w:r>
      <w:r w:rsidR="00ED45FF">
        <w:t xml:space="preserve"> </w:t>
      </w:r>
      <w:r w:rsidR="0007517D" w:rsidRPr="00AF52C1">
        <w:t>Considerato il risultato negativo</w:t>
      </w:r>
      <w:r w:rsidR="003536CB">
        <w:t>,</w:t>
      </w:r>
      <w:r w:rsidR="0007517D" w:rsidRPr="00AF52C1">
        <w:t xml:space="preserve"> AET non verserà dividendi allo Stato.</w:t>
      </w:r>
    </w:p>
    <w:bookmarkEnd w:id="2"/>
    <w:bookmarkEnd w:id="3"/>
    <w:p w14:paraId="72DCEAF2" w14:textId="77777777" w:rsidR="0007517D" w:rsidRPr="0007517D" w:rsidRDefault="00821BB1" w:rsidP="00821BB1">
      <w:pPr>
        <w:autoSpaceDE w:val="0"/>
        <w:autoSpaceDN w:val="0"/>
        <w:adjustRightInd w:val="0"/>
        <w:spacing w:after="120"/>
      </w:pPr>
      <w:r w:rsidRPr="0007517D">
        <w:t>Nel dettaglio il conto economico 202</w:t>
      </w:r>
      <w:r w:rsidR="0007517D" w:rsidRPr="0007517D">
        <w:t>2</w:t>
      </w:r>
      <w:r w:rsidRPr="0007517D">
        <w:t xml:space="preserve"> di AET presenta </w:t>
      </w:r>
      <w:r w:rsidR="0007517D" w:rsidRPr="0007517D">
        <w:rPr>
          <w:rFonts w:cs="Arial"/>
        </w:rPr>
        <w:t>un incremento</w:t>
      </w:r>
      <w:r w:rsidR="0007517D" w:rsidRPr="0007517D">
        <w:t xml:space="preserve"> dei ricavi d’esercizio rispetto al 2021 (+316.2 milioni di franchi; pari al +40.2%) </w:t>
      </w:r>
      <w:r w:rsidR="0007517D" w:rsidRPr="0007517D">
        <w:rPr>
          <w:rFonts w:cs="Arial"/>
        </w:rPr>
        <w:t>a seguito soprattutto della crescita dei ricavi da vendita d’energia (+307 milioni di franchi; pari al +42.4</w:t>
      </w:r>
      <w:r w:rsidR="0007517D" w:rsidRPr="0007517D">
        <w:t>%).</w:t>
      </w:r>
    </w:p>
    <w:p w14:paraId="065FBACA" w14:textId="63BBDA0B" w:rsidR="0007517D" w:rsidRPr="00AF52C1" w:rsidRDefault="0007517D" w:rsidP="0007517D">
      <w:pPr>
        <w:autoSpaceDE w:val="0"/>
        <w:autoSpaceDN w:val="0"/>
        <w:adjustRightInd w:val="0"/>
        <w:spacing w:after="120"/>
      </w:pPr>
      <w:r w:rsidRPr="00AF52C1">
        <w:t xml:space="preserve">I costi d’esercizio sono aumentati </w:t>
      </w:r>
      <w:r>
        <w:t xml:space="preserve">in modo più marcato </w:t>
      </w:r>
      <w:r w:rsidRPr="00AF52C1">
        <w:t>di 3</w:t>
      </w:r>
      <w:r>
        <w:t>9</w:t>
      </w:r>
      <w:r w:rsidRPr="00AF52C1">
        <w:t>5.9 milioni di franchi rispetto al 2021 (+52.2%), a seguito soprattutto dell’aumento dei costi d’acquisto dell’energia (+424.2 milioni di franchi; pari al +63.8%).</w:t>
      </w:r>
    </w:p>
    <w:p w14:paraId="3C3DA413" w14:textId="77777777" w:rsidR="0007517D" w:rsidRPr="0007517D" w:rsidRDefault="0007517D" w:rsidP="0007517D">
      <w:pPr>
        <w:autoSpaceDE w:val="0"/>
        <w:autoSpaceDN w:val="0"/>
        <w:adjustRightInd w:val="0"/>
        <w:spacing w:after="120"/>
      </w:pPr>
      <w:r w:rsidRPr="0007517D">
        <w:t>Il risultato operativo si attesta a -52.3 milioni di franchi, a fronte dei 27.4 milioni di franchi del 2021. Contemplando anche il risultato finanziario di -6.4 milioni di franchi (-1.8 nel 2021) e il risultato straordinario di -1 milione di franchi (-15.1 nel 2021), si ottiene un risultato d’esercizio di -59.8 milioni di franchi (+10.6 nel 2021).</w:t>
      </w:r>
    </w:p>
    <w:p w14:paraId="0AB1C8F5" w14:textId="77777777" w:rsidR="000C3ACF" w:rsidRPr="000C3ACF" w:rsidRDefault="000C3ACF" w:rsidP="00E63143">
      <w:pPr>
        <w:autoSpaceDE w:val="0"/>
        <w:autoSpaceDN w:val="0"/>
        <w:adjustRightInd w:val="0"/>
        <w:spacing w:after="120"/>
        <w:rPr>
          <w:rFonts w:cs="Arial"/>
        </w:rPr>
      </w:pPr>
      <w:r w:rsidRPr="000C3ACF">
        <w:rPr>
          <w:rFonts w:cs="Arial"/>
        </w:rPr>
        <w:t xml:space="preserve">Il Cash flow totale risulta negativo per 12 milioni di franchi (nel 2021 era positivo per 4 milioni di franchi). </w:t>
      </w:r>
    </w:p>
    <w:p w14:paraId="55ADF5B6" w14:textId="77777777" w:rsidR="003D7790" w:rsidRPr="00AF52C1" w:rsidRDefault="003D7790" w:rsidP="003D7790">
      <w:pPr>
        <w:autoSpaceDE w:val="0"/>
        <w:autoSpaceDN w:val="0"/>
        <w:adjustRightInd w:val="0"/>
        <w:spacing w:after="120"/>
        <w:rPr>
          <w:rFonts w:cs="Arial"/>
        </w:rPr>
      </w:pPr>
      <w:r w:rsidRPr="003D7790">
        <w:rPr>
          <w:rFonts w:cs="Arial"/>
        </w:rPr>
        <w:t>L’attivo fisso cresce di 41.6 milioni di franchi rispetto al 2021</w:t>
      </w:r>
      <w:r w:rsidRPr="00AF52C1">
        <w:rPr>
          <w:rFonts w:cs="Arial"/>
        </w:rPr>
        <w:t>, a seguito principalmente dell’incremento degli immobilizzi immateriali (+34.1 milioni di franchi). Gli immobilizzi materiali crescono di 7.2 milioni di franchi rispetto al 2021 mentre quelli finanziari rimangono sostanzialmente in linea con lo scorso anno (+0.3 milioni).</w:t>
      </w:r>
    </w:p>
    <w:p w14:paraId="20A4D1FE" w14:textId="77777777" w:rsidR="00482F6B" w:rsidRPr="00482F6B" w:rsidRDefault="00482F6B" w:rsidP="00482F6B">
      <w:pPr>
        <w:autoSpaceDE w:val="0"/>
        <w:autoSpaceDN w:val="0"/>
        <w:adjustRightInd w:val="0"/>
        <w:spacing w:after="120"/>
        <w:rPr>
          <w:rFonts w:cs="Arial"/>
        </w:rPr>
      </w:pPr>
      <w:r w:rsidRPr="00AF52C1">
        <w:rPr>
          <w:rFonts w:cs="Arial"/>
        </w:rPr>
        <w:t>L’attivo circolante cresce di 565.7 milioni di franchi rispetto al 2021, a seguito soprattutto dell’incremento dei ratei e risconti attivi</w:t>
      </w:r>
      <w:r w:rsidRPr="00482F6B">
        <w:rPr>
          <w:rFonts w:cs="Arial"/>
        </w:rPr>
        <w:t>.</w:t>
      </w:r>
    </w:p>
    <w:p w14:paraId="1354D288" w14:textId="77777777" w:rsidR="00BF4925" w:rsidRPr="00AF52C1" w:rsidRDefault="00BF4925" w:rsidP="00BF4925">
      <w:pPr>
        <w:autoSpaceDE w:val="0"/>
        <w:autoSpaceDN w:val="0"/>
        <w:adjustRightInd w:val="0"/>
        <w:spacing w:after="120"/>
        <w:rPr>
          <w:rFonts w:cs="Arial"/>
        </w:rPr>
      </w:pPr>
      <w:r w:rsidRPr="00AF52C1">
        <w:rPr>
          <w:rFonts w:cs="Arial"/>
        </w:rPr>
        <w:t xml:space="preserve">Sul fronte del </w:t>
      </w:r>
      <w:r w:rsidRPr="00BF4925">
        <w:rPr>
          <w:rFonts w:cs="Arial"/>
        </w:rPr>
        <w:t>passivo si rileva rispetto al precedente esercizio una riduzione di 66 milioni di franchi</w:t>
      </w:r>
      <w:r w:rsidRPr="00AF52C1">
        <w:rPr>
          <w:rFonts w:cs="Arial"/>
        </w:rPr>
        <w:t xml:space="preserve"> del capitale proprio conseguente al disavanzo d’esercizio registrato</w:t>
      </w:r>
      <w:r>
        <w:rPr>
          <w:rFonts w:cs="Arial"/>
        </w:rPr>
        <w:t>, al versamento allo Stato degli interessi sul capitale di dotazione per 3.2 milioni di franchi e del dividendo (sul risultato 2021) di 3 milioni di franchi.</w:t>
      </w:r>
      <w:r w:rsidRPr="00AF52C1">
        <w:rPr>
          <w:rFonts w:cs="Arial"/>
        </w:rPr>
        <w:t xml:space="preserve"> </w:t>
      </w:r>
      <w:r>
        <w:rPr>
          <w:rFonts w:cs="Arial"/>
        </w:rPr>
        <w:t xml:space="preserve">Sul capitale di terzi si registra </w:t>
      </w:r>
      <w:r w:rsidRPr="00AF52C1">
        <w:rPr>
          <w:rFonts w:cs="Arial"/>
        </w:rPr>
        <w:t xml:space="preserve">un incremento di 673.3 milioni </w:t>
      </w:r>
      <w:r>
        <w:rPr>
          <w:rFonts w:cs="Arial"/>
        </w:rPr>
        <w:t xml:space="preserve">di franchi </w:t>
      </w:r>
      <w:r w:rsidRPr="00AF52C1">
        <w:rPr>
          <w:rFonts w:cs="Arial"/>
        </w:rPr>
        <w:t>a seguito principalmente della crescita dei debiti finanziari a breve termine.</w:t>
      </w:r>
    </w:p>
    <w:p w14:paraId="204244FD" w14:textId="77777777" w:rsidR="00BF4925" w:rsidRPr="00AF52C1" w:rsidRDefault="00BF4925" w:rsidP="00BF4925">
      <w:pPr>
        <w:autoSpaceDE w:val="0"/>
        <w:autoSpaceDN w:val="0"/>
        <w:adjustRightInd w:val="0"/>
        <w:spacing w:after="120"/>
        <w:rPr>
          <w:rFonts w:cs="Arial"/>
        </w:rPr>
      </w:pPr>
      <w:r w:rsidRPr="00AF52C1">
        <w:rPr>
          <w:rFonts w:cs="Arial"/>
        </w:rPr>
        <w:t>La società di revisione esterna rileva come il conto annuale per l’esercizio chiuso al 31</w:t>
      </w:r>
      <w:r>
        <w:rPr>
          <w:rFonts w:cs="Arial"/>
        </w:rPr>
        <w:t> </w:t>
      </w:r>
      <w:r w:rsidRPr="00AF52C1">
        <w:rPr>
          <w:rFonts w:cs="Arial"/>
        </w:rPr>
        <w:t xml:space="preserve">dicembre 2022 presenta un quadro fedele della situazione patrimoniale, finanziaria e reddituale in conformità a </w:t>
      </w:r>
      <w:proofErr w:type="spellStart"/>
      <w:r w:rsidRPr="00AF52C1">
        <w:rPr>
          <w:rFonts w:cs="Arial"/>
        </w:rPr>
        <w:t>Swiss</w:t>
      </w:r>
      <w:proofErr w:type="spellEnd"/>
      <w:r w:rsidRPr="00AF52C1">
        <w:rPr>
          <w:rFonts w:cs="Arial"/>
        </w:rPr>
        <w:t xml:space="preserve"> GAAP FER RPC ed è conforme alla legge svizzera ed alla Legge sull’Azienda elettrica ticinese.</w:t>
      </w:r>
    </w:p>
    <w:p w14:paraId="663113F6" w14:textId="77777777" w:rsidR="0069328D" w:rsidRDefault="00511774" w:rsidP="003536CB">
      <w:pPr>
        <w:autoSpaceDE w:val="0"/>
        <w:autoSpaceDN w:val="0"/>
        <w:adjustRightInd w:val="0"/>
        <w:rPr>
          <w:rFonts w:cs="Arial"/>
        </w:rPr>
      </w:pPr>
      <w:r w:rsidRPr="00511774">
        <w:rPr>
          <w:rFonts w:cs="Arial"/>
        </w:rPr>
        <w:t xml:space="preserve">La società di revisione esterna conferma inoltre l’esistenza di un sistema di controllo interno con un grado di sviluppo e di documentazione che soddisfa le esigenze legali </w:t>
      </w:r>
      <w:r w:rsidRPr="00CC229C">
        <w:rPr>
          <w:rFonts w:cs="Arial"/>
        </w:rPr>
        <w:t xml:space="preserve">in quanto a dimensione, complessità e profilo di rischio dell’azienda. </w:t>
      </w:r>
    </w:p>
    <w:p w14:paraId="7C226338" w14:textId="5CB2B060" w:rsidR="005B77C4" w:rsidRDefault="005B77C4" w:rsidP="003536CB">
      <w:pPr>
        <w:autoSpaceDE w:val="0"/>
        <w:autoSpaceDN w:val="0"/>
        <w:adjustRightInd w:val="0"/>
        <w:rPr>
          <w:rFonts w:cs="Arial"/>
        </w:rPr>
      </w:pPr>
    </w:p>
    <w:p w14:paraId="4E2532B5" w14:textId="77777777" w:rsidR="003536CB" w:rsidRDefault="003536CB" w:rsidP="003536CB">
      <w:pPr>
        <w:autoSpaceDE w:val="0"/>
        <w:autoSpaceDN w:val="0"/>
        <w:adjustRightInd w:val="0"/>
        <w:rPr>
          <w:rFonts w:cs="Arial"/>
        </w:rPr>
      </w:pPr>
    </w:p>
    <w:p w14:paraId="2741B164" w14:textId="398F6BF4" w:rsidR="00821BB1" w:rsidRPr="00D65A89" w:rsidRDefault="00821BB1" w:rsidP="00821BB1">
      <w:pPr>
        <w:pStyle w:val="Titolo1"/>
        <w:numPr>
          <w:ilvl w:val="0"/>
          <w:numId w:val="18"/>
        </w:numPr>
        <w:tabs>
          <w:tab w:val="left" w:pos="567"/>
        </w:tabs>
        <w:spacing w:before="0"/>
        <w:ind w:left="567" w:hanging="567"/>
        <w:jc w:val="both"/>
      </w:pPr>
      <w:bookmarkStart w:id="4" w:name="_Toc471834935"/>
      <w:r w:rsidRPr="00D65A89">
        <w:t>CIFRE DEL RENDICONTO 20</w:t>
      </w:r>
      <w:bookmarkEnd w:id="4"/>
      <w:r w:rsidRPr="00D65A89">
        <w:t>2</w:t>
      </w:r>
      <w:r w:rsidR="007556AF">
        <w:t>2</w:t>
      </w:r>
    </w:p>
    <w:p w14:paraId="1E3F15C2" w14:textId="5EF8746F" w:rsidR="00821BB1" w:rsidRPr="003536CB" w:rsidRDefault="00821BB1" w:rsidP="00821BB1">
      <w:pPr>
        <w:rPr>
          <w:rFonts w:cs="Arial"/>
          <w:szCs w:val="24"/>
        </w:rPr>
      </w:pPr>
      <w:r w:rsidRPr="003536CB">
        <w:rPr>
          <w:rFonts w:cs="Arial"/>
          <w:szCs w:val="24"/>
        </w:rPr>
        <w:t>Il risultato d’esercizio civilistico per il 202</w:t>
      </w:r>
      <w:r w:rsidR="00311637" w:rsidRPr="003536CB">
        <w:rPr>
          <w:rFonts w:cs="Arial"/>
          <w:szCs w:val="24"/>
        </w:rPr>
        <w:t>2</w:t>
      </w:r>
      <w:r w:rsidRPr="003536CB">
        <w:rPr>
          <w:rFonts w:cs="Arial"/>
          <w:szCs w:val="24"/>
        </w:rPr>
        <w:t xml:space="preserve"> ammonta a CHF </w:t>
      </w:r>
      <w:r w:rsidR="00311637" w:rsidRPr="003536CB">
        <w:rPr>
          <w:rFonts w:cs="Arial"/>
          <w:szCs w:val="24"/>
        </w:rPr>
        <w:t>-59</w:t>
      </w:r>
      <w:r w:rsidRPr="003536CB">
        <w:rPr>
          <w:rFonts w:cs="Arial"/>
          <w:szCs w:val="24"/>
        </w:rPr>
        <w:t>'</w:t>
      </w:r>
      <w:r w:rsidR="00311637" w:rsidRPr="003536CB">
        <w:rPr>
          <w:rFonts w:cs="Arial"/>
          <w:szCs w:val="24"/>
        </w:rPr>
        <w:t>758</w:t>
      </w:r>
      <w:r w:rsidRPr="003536CB">
        <w:rPr>
          <w:rFonts w:cs="Arial"/>
          <w:szCs w:val="24"/>
        </w:rPr>
        <w:t>’000; su base consolidata il risultato al 31.12.202</w:t>
      </w:r>
      <w:r w:rsidR="00311637" w:rsidRPr="003536CB">
        <w:rPr>
          <w:rFonts w:cs="Arial"/>
          <w:szCs w:val="24"/>
        </w:rPr>
        <w:t>2</w:t>
      </w:r>
      <w:r w:rsidRPr="003536CB">
        <w:rPr>
          <w:rFonts w:cs="Arial"/>
          <w:szCs w:val="24"/>
        </w:rPr>
        <w:t xml:space="preserve"> ammonta a CHF </w:t>
      </w:r>
      <w:r w:rsidR="00737BA5" w:rsidRPr="003536CB">
        <w:rPr>
          <w:rFonts w:cs="Arial"/>
          <w:szCs w:val="24"/>
        </w:rPr>
        <w:t>– 55.8</w:t>
      </w:r>
      <w:r w:rsidRPr="003536CB">
        <w:rPr>
          <w:rFonts w:cs="Arial"/>
          <w:szCs w:val="24"/>
        </w:rPr>
        <w:t xml:space="preserve"> mio.</w:t>
      </w:r>
      <w:r w:rsidR="00737BA5" w:rsidRPr="003536CB">
        <w:rPr>
          <w:rFonts w:cs="Arial"/>
          <w:szCs w:val="24"/>
        </w:rPr>
        <w:t xml:space="preserve"> </w:t>
      </w:r>
    </w:p>
    <w:p w14:paraId="75327170" w14:textId="77777777" w:rsidR="00821BB1" w:rsidRPr="003536CB" w:rsidRDefault="00821BB1" w:rsidP="00821BB1"/>
    <w:p w14:paraId="2B36DE35" w14:textId="77777777" w:rsidR="00821BB1" w:rsidRPr="003536CB" w:rsidRDefault="00821BB1" w:rsidP="00C8010E">
      <w:r w:rsidRPr="003536CB">
        <w:t>La struttura del bilancio civilistico si presenta come segue:</w:t>
      </w:r>
    </w:p>
    <w:p w14:paraId="36CFA2F3" w14:textId="77777777" w:rsidR="00C8010E" w:rsidRPr="003536CB" w:rsidRDefault="00C8010E" w:rsidP="00C8010E"/>
    <w:tbl>
      <w:tblPr>
        <w:tblStyle w:val="Grigliatabella"/>
        <w:tblW w:w="7905" w:type="dxa"/>
        <w:tblInd w:w="25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170"/>
        <w:gridCol w:w="1417"/>
        <w:gridCol w:w="1318"/>
      </w:tblGrid>
      <w:tr w:rsidR="00161600" w:rsidRPr="00161600" w14:paraId="7F0FEBD9" w14:textId="77777777" w:rsidTr="00A70495">
        <w:tc>
          <w:tcPr>
            <w:tcW w:w="5170" w:type="dxa"/>
            <w:tcBorders>
              <w:top w:val="nil"/>
              <w:left w:val="nil"/>
              <w:bottom w:val="single" w:sz="4" w:space="0" w:color="000000" w:themeColor="text1"/>
              <w:right w:val="nil"/>
            </w:tcBorders>
          </w:tcPr>
          <w:p w14:paraId="56AB1E7D" w14:textId="77777777" w:rsidR="00A70495" w:rsidRPr="00161600" w:rsidRDefault="00A70495" w:rsidP="00A70495">
            <w:pPr>
              <w:tabs>
                <w:tab w:val="right" w:pos="7088"/>
                <w:tab w:val="right" w:pos="9356"/>
              </w:tabs>
              <w:spacing w:after="60"/>
              <w:rPr>
                <w:rFonts w:cs="Arial"/>
                <w:b/>
                <w:bCs/>
                <w:sz w:val="22"/>
              </w:rPr>
            </w:pPr>
            <w:r w:rsidRPr="00161600">
              <w:rPr>
                <w:rFonts w:cs="Arial"/>
                <w:b/>
                <w:bCs/>
                <w:sz w:val="22"/>
              </w:rPr>
              <w:t xml:space="preserve">Bilancio </w:t>
            </w:r>
          </w:p>
          <w:p w14:paraId="7DBD95EC" w14:textId="77777777" w:rsidR="00A70495" w:rsidRPr="00161600" w:rsidRDefault="00A70495" w:rsidP="00A70495">
            <w:pPr>
              <w:tabs>
                <w:tab w:val="right" w:pos="7088"/>
                <w:tab w:val="right" w:pos="9356"/>
              </w:tabs>
              <w:spacing w:after="60"/>
              <w:rPr>
                <w:rFonts w:cs="Arial"/>
                <w:i/>
                <w:iCs/>
                <w:sz w:val="20"/>
              </w:rPr>
            </w:pPr>
            <w:r w:rsidRPr="00161600">
              <w:rPr>
                <w:rFonts w:cs="Arial"/>
                <w:i/>
                <w:iCs/>
                <w:sz w:val="20"/>
              </w:rPr>
              <w:t>in CHF 1’000</w:t>
            </w:r>
          </w:p>
        </w:tc>
        <w:tc>
          <w:tcPr>
            <w:tcW w:w="1417" w:type="dxa"/>
            <w:tcBorders>
              <w:top w:val="single" w:sz="4" w:space="0" w:color="D9D9D9" w:themeColor="background1" w:themeShade="D9"/>
              <w:left w:val="nil"/>
              <w:bottom w:val="single" w:sz="4" w:space="0" w:color="000000" w:themeColor="text1"/>
              <w:right w:val="nil"/>
            </w:tcBorders>
            <w:shd w:val="clear" w:color="auto" w:fill="DBE5F1" w:themeFill="accent1" w:themeFillTint="33"/>
          </w:tcPr>
          <w:p w14:paraId="6D2D69E1" w14:textId="0FD30C73" w:rsidR="00A70495" w:rsidRPr="00161600" w:rsidRDefault="00A70495" w:rsidP="00A70495">
            <w:pPr>
              <w:tabs>
                <w:tab w:val="right" w:pos="7088"/>
                <w:tab w:val="right" w:pos="9356"/>
              </w:tabs>
              <w:spacing w:after="60"/>
              <w:jc w:val="right"/>
              <w:rPr>
                <w:rFonts w:cs="Arial"/>
                <w:b/>
                <w:bCs/>
                <w:sz w:val="22"/>
              </w:rPr>
            </w:pPr>
            <w:r w:rsidRPr="00161600">
              <w:rPr>
                <w:rFonts w:cs="Arial"/>
                <w:b/>
                <w:bCs/>
                <w:sz w:val="22"/>
              </w:rPr>
              <w:t>31.12.202</w:t>
            </w:r>
            <w:r w:rsidR="002C22EA">
              <w:rPr>
                <w:rFonts w:cs="Arial"/>
                <w:b/>
                <w:bCs/>
                <w:sz w:val="22"/>
              </w:rPr>
              <w:t>2</w:t>
            </w:r>
          </w:p>
        </w:tc>
        <w:tc>
          <w:tcPr>
            <w:tcW w:w="1318" w:type="dxa"/>
            <w:tcBorders>
              <w:top w:val="single" w:sz="4" w:space="0" w:color="D9D9D9" w:themeColor="background1" w:themeShade="D9"/>
              <w:left w:val="nil"/>
              <w:bottom w:val="single" w:sz="4" w:space="0" w:color="000000" w:themeColor="text1"/>
              <w:right w:val="nil"/>
            </w:tcBorders>
          </w:tcPr>
          <w:p w14:paraId="14CC5510" w14:textId="5824D933" w:rsidR="00A70495" w:rsidRPr="00161600" w:rsidRDefault="00A70495" w:rsidP="00A70495">
            <w:pPr>
              <w:tabs>
                <w:tab w:val="right" w:pos="7088"/>
                <w:tab w:val="right" w:pos="9356"/>
              </w:tabs>
              <w:spacing w:after="60"/>
              <w:jc w:val="right"/>
              <w:rPr>
                <w:rFonts w:cs="Arial"/>
                <w:b/>
                <w:bCs/>
                <w:sz w:val="22"/>
              </w:rPr>
            </w:pPr>
            <w:r w:rsidRPr="00161600">
              <w:rPr>
                <w:rFonts w:cs="Arial"/>
                <w:b/>
                <w:bCs/>
                <w:sz w:val="22"/>
              </w:rPr>
              <w:t>31.12.2021</w:t>
            </w:r>
          </w:p>
        </w:tc>
      </w:tr>
      <w:tr w:rsidR="00161600" w:rsidRPr="00161600" w14:paraId="297545CA" w14:textId="77777777" w:rsidTr="00A70495">
        <w:tc>
          <w:tcPr>
            <w:tcW w:w="5170" w:type="dxa"/>
            <w:tcBorders>
              <w:top w:val="single" w:sz="4" w:space="0" w:color="000000" w:themeColor="text1"/>
              <w:left w:val="nil"/>
              <w:right w:val="nil"/>
            </w:tcBorders>
          </w:tcPr>
          <w:p w14:paraId="20D7E0F8" w14:textId="77777777" w:rsidR="00A70495" w:rsidRPr="00161600" w:rsidRDefault="00A70495" w:rsidP="00A70495">
            <w:pPr>
              <w:tabs>
                <w:tab w:val="right" w:pos="7088"/>
                <w:tab w:val="right" w:pos="9356"/>
              </w:tabs>
              <w:spacing w:after="60"/>
              <w:rPr>
                <w:rFonts w:cs="Arial"/>
                <w:sz w:val="22"/>
              </w:rPr>
            </w:pPr>
          </w:p>
        </w:tc>
        <w:tc>
          <w:tcPr>
            <w:tcW w:w="1417" w:type="dxa"/>
            <w:tcBorders>
              <w:top w:val="single" w:sz="4" w:space="0" w:color="000000" w:themeColor="text1"/>
              <w:left w:val="nil"/>
              <w:right w:val="nil"/>
            </w:tcBorders>
            <w:shd w:val="clear" w:color="auto" w:fill="DBE5F1" w:themeFill="accent1" w:themeFillTint="33"/>
          </w:tcPr>
          <w:p w14:paraId="14DE3B53" w14:textId="77777777" w:rsidR="00A70495" w:rsidRPr="00161600" w:rsidRDefault="00A70495" w:rsidP="00A70495">
            <w:pPr>
              <w:tabs>
                <w:tab w:val="right" w:pos="7088"/>
                <w:tab w:val="right" w:pos="9356"/>
              </w:tabs>
              <w:spacing w:after="60"/>
              <w:jc w:val="right"/>
              <w:rPr>
                <w:rFonts w:cs="Arial"/>
                <w:sz w:val="22"/>
              </w:rPr>
            </w:pPr>
          </w:p>
        </w:tc>
        <w:tc>
          <w:tcPr>
            <w:tcW w:w="1318" w:type="dxa"/>
            <w:tcBorders>
              <w:top w:val="single" w:sz="4" w:space="0" w:color="000000" w:themeColor="text1"/>
              <w:left w:val="nil"/>
              <w:right w:val="nil"/>
            </w:tcBorders>
          </w:tcPr>
          <w:p w14:paraId="478AF9C7" w14:textId="77777777" w:rsidR="00A70495" w:rsidRPr="00161600" w:rsidRDefault="00A70495" w:rsidP="00A70495">
            <w:pPr>
              <w:tabs>
                <w:tab w:val="right" w:pos="7088"/>
                <w:tab w:val="right" w:pos="9356"/>
              </w:tabs>
              <w:spacing w:after="60"/>
              <w:jc w:val="right"/>
              <w:rPr>
                <w:rFonts w:cs="Arial"/>
                <w:sz w:val="22"/>
              </w:rPr>
            </w:pPr>
          </w:p>
        </w:tc>
      </w:tr>
      <w:tr w:rsidR="00161600" w:rsidRPr="00161600" w14:paraId="2FF926DF" w14:textId="77777777" w:rsidTr="00A70495">
        <w:tc>
          <w:tcPr>
            <w:tcW w:w="5170" w:type="dxa"/>
            <w:tcBorders>
              <w:left w:val="nil"/>
              <w:right w:val="nil"/>
            </w:tcBorders>
          </w:tcPr>
          <w:p w14:paraId="1303195F" w14:textId="77777777" w:rsidR="00A70495" w:rsidRPr="00161600" w:rsidRDefault="00A70495" w:rsidP="00A70495">
            <w:pPr>
              <w:tabs>
                <w:tab w:val="right" w:pos="7088"/>
                <w:tab w:val="right" w:pos="9356"/>
              </w:tabs>
              <w:spacing w:after="60"/>
              <w:rPr>
                <w:rFonts w:cs="Arial"/>
                <w:sz w:val="22"/>
              </w:rPr>
            </w:pPr>
            <w:r w:rsidRPr="00161600">
              <w:rPr>
                <w:rFonts w:cs="Arial"/>
                <w:sz w:val="22"/>
              </w:rPr>
              <w:t>SOSTANZA FISSA MATERIALE</w:t>
            </w:r>
          </w:p>
        </w:tc>
        <w:tc>
          <w:tcPr>
            <w:tcW w:w="1417" w:type="dxa"/>
            <w:tcBorders>
              <w:left w:val="nil"/>
              <w:right w:val="nil"/>
            </w:tcBorders>
            <w:shd w:val="clear" w:color="auto" w:fill="DBE5F1" w:themeFill="accent1" w:themeFillTint="33"/>
          </w:tcPr>
          <w:p w14:paraId="78F113D2" w14:textId="079C565A" w:rsidR="00A70495" w:rsidRPr="00161600" w:rsidRDefault="00A70495" w:rsidP="00A70495">
            <w:pPr>
              <w:tabs>
                <w:tab w:val="right" w:pos="7088"/>
                <w:tab w:val="right" w:pos="9356"/>
              </w:tabs>
              <w:spacing w:after="60"/>
              <w:jc w:val="right"/>
              <w:rPr>
                <w:rFonts w:cs="Arial"/>
                <w:sz w:val="22"/>
              </w:rPr>
            </w:pPr>
            <w:r w:rsidRPr="00161600">
              <w:rPr>
                <w:rFonts w:cs="Arial"/>
                <w:sz w:val="22"/>
              </w:rPr>
              <w:t xml:space="preserve">287’088 </w:t>
            </w:r>
          </w:p>
        </w:tc>
        <w:tc>
          <w:tcPr>
            <w:tcW w:w="1318" w:type="dxa"/>
            <w:tcBorders>
              <w:left w:val="nil"/>
              <w:right w:val="nil"/>
            </w:tcBorders>
          </w:tcPr>
          <w:p w14:paraId="5E06D043" w14:textId="18AD4F19" w:rsidR="00A70495" w:rsidRPr="00161600" w:rsidRDefault="00A70495" w:rsidP="00A70495">
            <w:pPr>
              <w:tabs>
                <w:tab w:val="right" w:pos="7088"/>
                <w:tab w:val="right" w:pos="9356"/>
              </w:tabs>
              <w:spacing w:after="60"/>
              <w:jc w:val="right"/>
              <w:rPr>
                <w:rFonts w:cs="Arial"/>
                <w:sz w:val="22"/>
              </w:rPr>
            </w:pPr>
            <w:r w:rsidRPr="00161600">
              <w:rPr>
                <w:rFonts w:cs="Arial"/>
                <w:sz w:val="22"/>
              </w:rPr>
              <w:t xml:space="preserve">279’857 </w:t>
            </w:r>
          </w:p>
        </w:tc>
      </w:tr>
      <w:tr w:rsidR="00161600" w:rsidRPr="00161600" w14:paraId="34E7B389" w14:textId="77777777" w:rsidTr="00A70495">
        <w:trPr>
          <w:trHeight w:val="345"/>
        </w:trPr>
        <w:tc>
          <w:tcPr>
            <w:tcW w:w="5170" w:type="dxa"/>
            <w:tcBorders>
              <w:left w:val="nil"/>
              <w:right w:val="nil"/>
            </w:tcBorders>
          </w:tcPr>
          <w:p w14:paraId="045504B1" w14:textId="77777777" w:rsidR="00A70495" w:rsidRPr="00161600" w:rsidRDefault="00A70495" w:rsidP="00A70495">
            <w:pPr>
              <w:tabs>
                <w:tab w:val="right" w:pos="7088"/>
                <w:tab w:val="right" w:pos="9356"/>
              </w:tabs>
              <w:spacing w:after="60"/>
              <w:rPr>
                <w:rFonts w:cs="Arial"/>
                <w:sz w:val="22"/>
              </w:rPr>
            </w:pPr>
            <w:r w:rsidRPr="00161600">
              <w:rPr>
                <w:rFonts w:cs="Arial"/>
                <w:sz w:val="22"/>
              </w:rPr>
              <w:t>SOSTANZA FISSA FINANZIARIA</w:t>
            </w:r>
          </w:p>
        </w:tc>
        <w:tc>
          <w:tcPr>
            <w:tcW w:w="1417" w:type="dxa"/>
            <w:tcBorders>
              <w:left w:val="nil"/>
              <w:right w:val="nil"/>
            </w:tcBorders>
            <w:shd w:val="clear" w:color="auto" w:fill="DBE5F1" w:themeFill="accent1" w:themeFillTint="33"/>
          </w:tcPr>
          <w:p w14:paraId="4CA1BF4F" w14:textId="6CEA334D" w:rsidR="00A70495" w:rsidRPr="00161600" w:rsidRDefault="00A70495" w:rsidP="00A70495">
            <w:pPr>
              <w:tabs>
                <w:tab w:val="right" w:pos="7088"/>
                <w:tab w:val="right" w:pos="9356"/>
              </w:tabs>
              <w:spacing w:after="60"/>
              <w:jc w:val="right"/>
              <w:rPr>
                <w:rFonts w:cs="Arial"/>
                <w:sz w:val="22"/>
              </w:rPr>
            </w:pPr>
            <w:r w:rsidRPr="00161600">
              <w:rPr>
                <w:rFonts w:cs="Arial"/>
                <w:sz w:val="22"/>
              </w:rPr>
              <w:t>123’441</w:t>
            </w:r>
          </w:p>
        </w:tc>
        <w:tc>
          <w:tcPr>
            <w:tcW w:w="1318" w:type="dxa"/>
            <w:tcBorders>
              <w:left w:val="nil"/>
              <w:right w:val="nil"/>
            </w:tcBorders>
          </w:tcPr>
          <w:p w14:paraId="639E94F3" w14:textId="4BC03631" w:rsidR="00A70495" w:rsidRPr="00161600" w:rsidRDefault="00A70495" w:rsidP="00A70495">
            <w:pPr>
              <w:tabs>
                <w:tab w:val="right" w:pos="7088"/>
                <w:tab w:val="right" w:pos="9356"/>
              </w:tabs>
              <w:spacing w:after="60"/>
              <w:jc w:val="right"/>
              <w:rPr>
                <w:rFonts w:cs="Arial"/>
                <w:sz w:val="22"/>
              </w:rPr>
            </w:pPr>
            <w:r w:rsidRPr="00161600">
              <w:rPr>
                <w:rFonts w:cs="Arial"/>
                <w:sz w:val="22"/>
              </w:rPr>
              <w:t>123’138</w:t>
            </w:r>
          </w:p>
        </w:tc>
      </w:tr>
      <w:tr w:rsidR="00161600" w:rsidRPr="00161600" w14:paraId="6575A506" w14:textId="77777777" w:rsidTr="00A70495">
        <w:tc>
          <w:tcPr>
            <w:tcW w:w="5170" w:type="dxa"/>
            <w:tcBorders>
              <w:left w:val="nil"/>
              <w:right w:val="nil"/>
            </w:tcBorders>
          </w:tcPr>
          <w:p w14:paraId="37DF6803" w14:textId="77777777" w:rsidR="00A70495" w:rsidRPr="00161600" w:rsidRDefault="00A70495" w:rsidP="00A70495">
            <w:pPr>
              <w:tabs>
                <w:tab w:val="right" w:pos="7088"/>
                <w:tab w:val="right" w:pos="9356"/>
              </w:tabs>
              <w:spacing w:after="60"/>
              <w:rPr>
                <w:rFonts w:cs="Arial"/>
                <w:sz w:val="22"/>
              </w:rPr>
            </w:pPr>
            <w:r w:rsidRPr="00161600">
              <w:rPr>
                <w:rFonts w:cs="Arial"/>
                <w:sz w:val="22"/>
              </w:rPr>
              <w:t>SOSTANTA FISSA IMMATERIALE</w:t>
            </w:r>
          </w:p>
        </w:tc>
        <w:tc>
          <w:tcPr>
            <w:tcW w:w="1417" w:type="dxa"/>
            <w:tcBorders>
              <w:left w:val="nil"/>
              <w:right w:val="nil"/>
            </w:tcBorders>
            <w:shd w:val="clear" w:color="auto" w:fill="DBE5F1" w:themeFill="accent1" w:themeFillTint="33"/>
          </w:tcPr>
          <w:p w14:paraId="10A5FB62" w14:textId="7254C615" w:rsidR="00A70495" w:rsidRPr="00161600" w:rsidRDefault="00A70495" w:rsidP="00A70495">
            <w:pPr>
              <w:tabs>
                <w:tab w:val="right" w:pos="7088"/>
                <w:tab w:val="right" w:pos="9356"/>
              </w:tabs>
              <w:spacing w:after="60"/>
              <w:jc w:val="right"/>
              <w:rPr>
                <w:rFonts w:cs="Arial"/>
                <w:sz w:val="22"/>
              </w:rPr>
            </w:pPr>
            <w:r w:rsidRPr="00161600">
              <w:rPr>
                <w:rFonts w:cs="Arial"/>
                <w:sz w:val="22"/>
              </w:rPr>
              <w:t>44’696</w:t>
            </w:r>
          </w:p>
        </w:tc>
        <w:tc>
          <w:tcPr>
            <w:tcW w:w="1318" w:type="dxa"/>
            <w:tcBorders>
              <w:left w:val="nil"/>
              <w:right w:val="nil"/>
            </w:tcBorders>
          </w:tcPr>
          <w:p w14:paraId="05929905" w14:textId="27EBD3EA" w:rsidR="00A70495" w:rsidRPr="00161600" w:rsidRDefault="00A70495" w:rsidP="00A70495">
            <w:pPr>
              <w:tabs>
                <w:tab w:val="right" w:pos="7088"/>
                <w:tab w:val="right" w:pos="9356"/>
              </w:tabs>
              <w:spacing w:after="60"/>
              <w:jc w:val="right"/>
              <w:rPr>
                <w:rFonts w:cs="Arial"/>
                <w:sz w:val="22"/>
              </w:rPr>
            </w:pPr>
            <w:r w:rsidRPr="00161600">
              <w:rPr>
                <w:rFonts w:cs="Arial"/>
                <w:sz w:val="22"/>
              </w:rPr>
              <w:t xml:space="preserve">10’597 </w:t>
            </w:r>
          </w:p>
        </w:tc>
      </w:tr>
      <w:tr w:rsidR="00161600" w:rsidRPr="00161600" w14:paraId="52143E8F" w14:textId="77777777" w:rsidTr="00A70495">
        <w:tc>
          <w:tcPr>
            <w:tcW w:w="5170" w:type="dxa"/>
            <w:tcBorders>
              <w:left w:val="nil"/>
              <w:right w:val="nil"/>
            </w:tcBorders>
          </w:tcPr>
          <w:p w14:paraId="6D48BF1A" w14:textId="77777777" w:rsidR="00A70495" w:rsidRPr="00161600" w:rsidRDefault="00A70495" w:rsidP="00A70495">
            <w:pPr>
              <w:tabs>
                <w:tab w:val="right" w:pos="7088"/>
                <w:tab w:val="right" w:pos="9356"/>
              </w:tabs>
              <w:spacing w:after="60"/>
              <w:rPr>
                <w:rFonts w:cs="Arial"/>
                <w:sz w:val="22"/>
              </w:rPr>
            </w:pPr>
            <w:r w:rsidRPr="00161600">
              <w:rPr>
                <w:rFonts w:cs="Arial"/>
                <w:sz w:val="22"/>
              </w:rPr>
              <w:t>SOSTANZA CIRCOLANTE</w:t>
            </w:r>
          </w:p>
        </w:tc>
        <w:tc>
          <w:tcPr>
            <w:tcW w:w="1417" w:type="dxa"/>
            <w:tcBorders>
              <w:left w:val="nil"/>
              <w:bottom w:val="single" w:sz="4" w:space="0" w:color="auto"/>
              <w:right w:val="nil"/>
            </w:tcBorders>
            <w:shd w:val="clear" w:color="auto" w:fill="DBE5F1" w:themeFill="accent1" w:themeFillTint="33"/>
          </w:tcPr>
          <w:p w14:paraId="1AD8462D" w14:textId="0A778F23" w:rsidR="00A70495" w:rsidRPr="00161600" w:rsidRDefault="00A70495" w:rsidP="00A70495">
            <w:pPr>
              <w:tabs>
                <w:tab w:val="right" w:pos="7088"/>
                <w:tab w:val="right" w:pos="9356"/>
              </w:tabs>
              <w:spacing w:after="60"/>
              <w:jc w:val="right"/>
              <w:rPr>
                <w:rFonts w:cs="Arial"/>
                <w:sz w:val="22"/>
              </w:rPr>
            </w:pPr>
            <w:r w:rsidRPr="00161600">
              <w:rPr>
                <w:rFonts w:cs="Arial"/>
                <w:sz w:val="22"/>
              </w:rPr>
              <w:t>995’920</w:t>
            </w:r>
          </w:p>
        </w:tc>
        <w:tc>
          <w:tcPr>
            <w:tcW w:w="1318" w:type="dxa"/>
            <w:tcBorders>
              <w:left w:val="nil"/>
              <w:bottom w:val="single" w:sz="4" w:space="0" w:color="auto"/>
              <w:right w:val="nil"/>
            </w:tcBorders>
          </w:tcPr>
          <w:p w14:paraId="2ED445AA" w14:textId="1D2D70E1" w:rsidR="00A70495" w:rsidRPr="00161600" w:rsidRDefault="00A70495" w:rsidP="00A70495">
            <w:pPr>
              <w:tabs>
                <w:tab w:val="right" w:pos="7088"/>
                <w:tab w:val="right" w:pos="9356"/>
              </w:tabs>
              <w:spacing w:after="60"/>
              <w:jc w:val="right"/>
              <w:rPr>
                <w:rFonts w:cs="Arial"/>
                <w:sz w:val="22"/>
              </w:rPr>
            </w:pPr>
            <w:r w:rsidRPr="00161600">
              <w:rPr>
                <w:rFonts w:cs="Arial"/>
                <w:sz w:val="22"/>
              </w:rPr>
              <w:t xml:space="preserve">430’253 </w:t>
            </w:r>
          </w:p>
        </w:tc>
      </w:tr>
      <w:tr w:rsidR="00161600" w:rsidRPr="00161600" w14:paraId="45F52152" w14:textId="77777777" w:rsidTr="00A70495">
        <w:tc>
          <w:tcPr>
            <w:tcW w:w="5170" w:type="dxa"/>
            <w:tcBorders>
              <w:left w:val="nil"/>
              <w:right w:val="nil"/>
            </w:tcBorders>
          </w:tcPr>
          <w:p w14:paraId="6DB0D414" w14:textId="77777777" w:rsidR="00A70495" w:rsidRPr="00161600" w:rsidRDefault="00A70495" w:rsidP="00A70495">
            <w:pPr>
              <w:tabs>
                <w:tab w:val="right" w:pos="7088"/>
                <w:tab w:val="right" w:pos="9356"/>
              </w:tabs>
              <w:spacing w:after="60"/>
              <w:rPr>
                <w:rFonts w:cs="Arial"/>
                <w:b/>
                <w:bCs/>
                <w:sz w:val="22"/>
              </w:rPr>
            </w:pPr>
            <w:r w:rsidRPr="00161600">
              <w:rPr>
                <w:rFonts w:cs="Arial"/>
                <w:b/>
                <w:bCs/>
                <w:sz w:val="22"/>
              </w:rPr>
              <w:t>Totale</w:t>
            </w:r>
          </w:p>
        </w:tc>
        <w:tc>
          <w:tcPr>
            <w:tcW w:w="1417" w:type="dxa"/>
            <w:tcBorders>
              <w:top w:val="single" w:sz="4" w:space="0" w:color="auto"/>
              <w:left w:val="nil"/>
              <w:right w:val="nil"/>
            </w:tcBorders>
            <w:shd w:val="clear" w:color="auto" w:fill="DBE5F1" w:themeFill="accent1" w:themeFillTint="33"/>
          </w:tcPr>
          <w:p w14:paraId="33C50531" w14:textId="44355125" w:rsidR="00A70495" w:rsidRPr="00161600" w:rsidRDefault="00A70495" w:rsidP="00A70495">
            <w:pPr>
              <w:tabs>
                <w:tab w:val="right" w:pos="7088"/>
                <w:tab w:val="right" w:pos="9356"/>
              </w:tabs>
              <w:spacing w:after="60"/>
              <w:jc w:val="right"/>
              <w:rPr>
                <w:rFonts w:cs="Arial"/>
                <w:b/>
                <w:bCs/>
                <w:sz w:val="22"/>
              </w:rPr>
            </w:pPr>
            <w:r w:rsidRPr="00161600">
              <w:rPr>
                <w:rFonts w:cs="Arial"/>
                <w:b/>
                <w:bCs/>
                <w:sz w:val="22"/>
              </w:rPr>
              <w:t>1'451’145</w:t>
            </w:r>
          </w:p>
        </w:tc>
        <w:tc>
          <w:tcPr>
            <w:tcW w:w="1318" w:type="dxa"/>
            <w:tcBorders>
              <w:top w:val="single" w:sz="4" w:space="0" w:color="auto"/>
              <w:left w:val="nil"/>
              <w:right w:val="nil"/>
            </w:tcBorders>
          </w:tcPr>
          <w:p w14:paraId="1A9645F4" w14:textId="73503C68" w:rsidR="00A70495" w:rsidRPr="00161600" w:rsidRDefault="00A70495" w:rsidP="00A70495">
            <w:pPr>
              <w:tabs>
                <w:tab w:val="right" w:pos="7088"/>
                <w:tab w:val="right" w:pos="9356"/>
              </w:tabs>
              <w:spacing w:after="60"/>
              <w:jc w:val="right"/>
              <w:rPr>
                <w:rFonts w:cs="Arial"/>
                <w:b/>
                <w:bCs/>
                <w:sz w:val="22"/>
              </w:rPr>
            </w:pPr>
            <w:r w:rsidRPr="00161600">
              <w:rPr>
                <w:rFonts w:cs="Arial"/>
                <w:b/>
                <w:bCs/>
                <w:sz w:val="22"/>
              </w:rPr>
              <w:t>843’845</w:t>
            </w:r>
          </w:p>
        </w:tc>
      </w:tr>
      <w:tr w:rsidR="00161600" w:rsidRPr="00161600" w14:paraId="59E3A854" w14:textId="77777777" w:rsidTr="00A70495">
        <w:tc>
          <w:tcPr>
            <w:tcW w:w="5170" w:type="dxa"/>
            <w:tcBorders>
              <w:left w:val="nil"/>
              <w:right w:val="nil"/>
            </w:tcBorders>
          </w:tcPr>
          <w:p w14:paraId="680C1563" w14:textId="77777777" w:rsidR="00A70495" w:rsidRPr="00161600" w:rsidRDefault="00A70495" w:rsidP="00A70495">
            <w:pPr>
              <w:tabs>
                <w:tab w:val="right" w:pos="7088"/>
                <w:tab w:val="right" w:pos="9356"/>
              </w:tabs>
              <w:spacing w:after="60"/>
              <w:rPr>
                <w:rFonts w:cs="Arial"/>
                <w:sz w:val="22"/>
              </w:rPr>
            </w:pPr>
          </w:p>
        </w:tc>
        <w:tc>
          <w:tcPr>
            <w:tcW w:w="1417" w:type="dxa"/>
            <w:tcBorders>
              <w:left w:val="nil"/>
              <w:right w:val="nil"/>
            </w:tcBorders>
            <w:shd w:val="clear" w:color="auto" w:fill="DBE5F1" w:themeFill="accent1" w:themeFillTint="33"/>
          </w:tcPr>
          <w:p w14:paraId="329D658F" w14:textId="77777777" w:rsidR="00A70495" w:rsidRPr="00161600" w:rsidRDefault="00A70495" w:rsidP="00A70495">
            <w:pPr>
              <w:tabs>
                <w:tab w:val="right" w:pos="7088"/>
                <w:tab w:val="right" w:pos="9356"/>
              </w:tabs>
              <w:spacing w:after="60"/>
              <w:jc w:val="right"/>
              <w:rPr>
                <w:rFonts w:cs="Arial"/>
                <w:b/>
                <w:sz w:val="22"/>
              </w:rPr>
            </w:pPr>
          </w:p>
        </w:tc>
        <w:tc>
          <w:tcPr>
            <w:tcW w:w="1318" w:type="dxa"/>
            <w:tcBorders>
              <w:left w:val="nil"/>
              <w:right w:val="nil"/>
            </w:tcBorders>
          </w:tcPr>
          <w:p w14:paraId="188BEB1B" w14:textId="77777777" w:rsidR="00A70495" w:rsidRPr="00161600" w:rsidRDefault="00A70495" w:rsidP="00A70495">
            <w:pPr>
              <w:tabs>
                <w:tab w:val="right" w:pos="7088"/>
                <w:tab w:val="right" w:pos="9356"/>
              </w:tabs>
              <w:spacing w:after="60"/>
              <w:jc w:val="right"/>
              <w:rPr>
                <w:rFonts w:cs="Arial"/>
                <w:sz w:val="22"/>
              </w:rPr>
            </w:pPr>
          </w:p>
        </w:tc>
      </w:tr>
      <w:tr w:rsidR="00161600" w:rsidRPr="00161600" w14:paraId="3F513726" w14:textId="77777777" w:rsidTr="00A70495">
        <w:tc>
          <w:tcPr>
            <w:tcW w:w="5170" w:type="dxa"/>
            <w:tcBorders>
              <w:left w:val="nil"/>
              <w:right w:val="nil"/>
            </w:tcBorders>
          </w:tcPr>
          <w:p w14:paraId="0DBD87CB" w14:textId="77777777" w:rsidR="00A70495" w:rsidRPr="00161600" w:rsidRDefault="00A70495" w:rsidP="00A70495">
            <w:pPr>
              <w:tabs>
                <w:tab w:val="right" w:pos="7088"/>
                <w:tab w:val="right" w:pos="9356"/>
              </w:tabs>
              <w:spacing w:after="60"/>
              <w:rPr>
                <w:rFonts w:cs="Arial"/>
                <w:sz w:val="22"/>
              </w:rPr>
            </w:pPr>
            <w:r w:rsidRPr="00161600">
              <w:rPr>
                <w:rFonts w:cs="Arial"/>
                <w:sz w:val="22"/>
              </w:rPr>
              <w:t>CAPITALE PROPRIO</w:t>
            </w:r>
          </w:p>
        </w:tc>
        <w:tc>
          <w:tcPr>
            <w:tcW w:w="1417" w:type="dxa"/>
            <w:tcBorders>
              <w:left w:val="nil"/>
              <w:right w:val="nil"/>
            </w:tcBorders>
            <w:shd w:val="clear" w:color="auto" w:fill="DBE5F1" w:themeFill="accent1" w:themeFillTint="33"/>
          </w:tcPr>
          <w:p w14:paraId="3B0F3217" w14:textId="13988642" w:rsidR="00A70495" w:rsidRPr="00161600" w:rsidRDefault="00A70495" w:rsidP="00A70495">
            <w:pPr>
              <w:tabs>
                <w:tab w:val="right" w:pos="7088"/>
                <w:tab w:val="right" w:pos="9356"/>
              </w:tabs>
              <w:spacing w:after="60"/>
              <w:jc w:val="right"/>
              <w:rPr>
                <w:rFonts w:cs="Arial"/>
                <w:sz w:val="22"/>
              </w:rPr>
            </w:pPr>
            <w:r w:rsidRPr="00161600">
              <w:rPr>
                <w:rFonts w:cs="Arial"/>
                <w:sz w:val="22"/>
              </w:rPr>
              <w:t>207’</w:t>
            </w:r>
            <w:r w:rsidR="00161600" w:rsidRPr="00161600">
              <w:rPr>
                <w:rFonts w:cs="Arial"/>
                <w:sz w:val="22"/>
              </w:rPr>
              <w:t>211</w:t>
            </w:r>
          </w:p>
        </w:tc>
        <w:tc>
          <w:tcPr>
            <w:tcW w:w="1318" w:type="dxa"/>
            <w:tcBorders>
              <w:left w:val="nil"/>
              <w:right w:val="nil"/>
            </w:tcBorders>
          </w:tcPr>
          <w:p w14:paraId="576DFF53" w14:textId="682A455C" w:rsidR="00A70495" w:rsidRPr="00161600" w:rsidRDefault="00A70495" w:rsidP="00A70495">
            <w:pPr>
              <w:tabs>
                <w:tab w:val="right" w:pos="7088"/>
                <w:tab w:val="right" w:pos="9356"/>
              </w:tabs>
              <w:spacing w:after="60"/>
              <w:jc w:val="right"/>
              <w:rPr>
                <w:rFonts w:cs="Arial"/>
                <w:sz w:val="22"/>
              </w:rPr>
            </w:pPr>
            <w:r w:rsidRPr="00161600">
              <w:rPr>
                <w:rFonts w:cs="Arial"/>
                <w:sz w:val="22"/>
              </w:rPr>
              <w:t>272’989</w:t>
            </w:r>
          </w:p>
        </w:tc>
      </w:tr>
      <w:tr w:rsidR="00161600" w:rsidRPr="00161600" w14:paraId="19BC4808" w14:textId="77777777" w:rsidTr="00A70495">
        <w:tc>
          <w:tcPr>
            <w:tcW w:w="5170" w:type="dxa"/>
            <w:tcBorders>
              <w:left w:val="nil"/>
              <w:right w:val="nil"/>
            </w:tcBorders>
          </w:tcPr>
          <w:p w14:paraId="29BD7C01" w14:textId="77777777" w:rsidR="00A70495" w:rsidRPr="00161600" w:rsidRDefault="00A70495" w:rsidP="00A70495">
            <w:pPr>
              <w:tabs>
                <w:tab w:val="right" w:pos="7088"/>
                <w:tab w:val="right" w:pos="9356"/>
              </w:tabs>
              <w:spacing w:after="60"/>
              <w:rPr>
                <w:rFonts w:cs="Arial"/>
                <w:sz w:val="22"/>
              </w:rPr>
            </w:pPr>
            <w:r w:rsidRPr="00161600">
              <w:rPr>
                <w:rFonts w:cs="Arial"/>
                <w:sz w:val="22"/>
              </w:rPr>
              <w:t>TOT. CAPITALE DI TERZI</w:t>
            </w:r>
          </w:p>
        </w:tc>
        <w:tc>
          <w:tcPr>
            <w:tcW w:w="1417" w:type="dxa"/>
            <w:tcBorders>
              <w:left w:val="nil"/>
              <w:bottom w:val="single" w:sz="4" w:space="0" w:color="auto"/>
              <w:right w:val="nil"/>
            </w:tcBorders>
            <w:shd w:val="clear" w:color="auto" w:fill="DBE5F1" w:themeFill="accent1" w:themeFillTint="33"/>
          </w:tcPr>
          <w:p w14:paraId="654B0BFA" w14:textId="34C5949E" w:rsidR="00A70495" w:rsidRPr="00161600" w:rsidRDefault="00161600" w:rsidP="00A70495">
            <w:pPr>
              <w:tabs>
                <w:tab w:val="right" w:pos="7088"/>
                <w:tab w:val="right" w:pos="9356"/>
              </w:tabs>
              <w:spacing w:after="60"/>
              <w:jc w:val="right"/>
              <w:rPr>
                <w:rFonts w:cs="Arial"/>
                <w:sz w:val="22"/>
              </w:rPr>
            </w:pPr>
            <w:r w:rsidRPr="00161600">
              <w:rPr>
                <w:rFonts w:cs="Arial"/>
                <w:sz w:val="22"/>
              </w:rPr>
              <w:t>1'244’114</w:t>
            </w:r>
          </w:p>
        </w:tc>
        <w:tc>
          <w:tcPr>
            <w:tcW w:w="1318" w:type="dxa"/>
            <w:tcBorders>
              <w:left w:val="nil"/>
              <w:bottom w:val="single" w:sz="4" w:space="0" w:color="auto"/>
              <w:right w:val="nil"/>
            </w:tcBorders>
          </w:tcPr>
          <w:p w14:paraId="5017DB19" w14:textId="38B3C3B2" w:rsidR="00A70495" w:rsidRPr="00161600" w:rsidRDefault="00A70495" w:rsidP="00A70495">
            <w:pPr>
              <w:tabs>
                <w:tab w:val="right" w:pos="7088"/>
                <w:tab w:val="right" w:pos="9356"/>
              </w:tabs>
              <w:spacing w:after="60"/>
              <w:jc w:val="right"/>
              <w:rPr>
                <w:rFonts w:cs="Arial"/>
                <w:sz w:val="22"/>
              </w:rPr>
            </w:pPr>
            <w:r w:rsidRPr="00161600">
              <w:rPr>
                <w:rFonts w:cs="Arial"/>
                <w:sz w:val="22"/>
              </w:rPr>
              <w:t>570’856</w:t>
            </w:r>
          </w:p>
        </w:tc>
      </w:tr>
      <w:tr w:rsidR="00161600" w:rsidRPr="00161600" w14:paraId="5FD738EF" w14:textId="77777777" w:rsidTr="00A70495">
        <w:tc>
          <w:tcPr>
            <w:tcW w:w="5170" w:type="dxa"/>
            <w:tcBorders>
              <w:left w:val="nil"/>
              <w:right w:val="nil"/>
            </w:tcBorders>
          </w:tcPr>
          <w:p w14:paraId="67242801" w14:textId="77777777" w:rsidR="00A70495" w:rsidRPr="00161600" w:rsidRDefault="00A70495" w:rsidP="00A70495">
            <w:pPr>
              <w:tabs>
                <w:tab w:val="right" w:pos="7088"/>
                <w:tab w:val="right" w:pos="9356"/>
              </w:tabs>
              <w:spacing w:after="60"/>
              <w:rPr>
                <w:rFonts w:cs="Arial"/>
                <w:sz w:val="22"/>
              </w:rPr>
            </w:pPr>
            <w:r w:rsidRPr="00161600">
              <w:rPr>
                <w:rFonts w:cs="Arial"/>
                <w:b/>
                <w:bCs/>
                <w:sz w:val="22"/>
              </w:rPr>
              <w:t>Totale</w:t>
            </w:r>
          </w:p>
        </w:tc>
        <w:tc>
          <w:tcPr>
            <w:tcW w:w="1417" w:type="dxa"/>
            <w:tcBorders>
              <w:top w:val="single" w:sz="4" w:space="0" w:color="auto"/>
              <w:left w:val="nil"/>
              <w:right w:val="nil"/>
            </w:tcBorders>
            <w:shd w:val="clear" w:color="auto" w:fill="DBE5F1" w:themeFill="accent1" w:themeFillTint="33"/>
          </w:tcPr>
          <w:p w14:paraId="711FAB0B" w14:textId="66614C55" w:rsidR="00A70495" w:rsidRPr="00161600" w:rsidRDefault="00161600" w:rsidP="00A70495">
            <w:pPr>
              <w:tabs>
                <w:tab w:val="right" w:pos="7088"/>
                <w:tab w:val="right" w:pos="9356"/>
              </w:tabs>
              <w:spacing w:after="60"/>
              <w:jc w:val="right"/>
              <w:rPr>
                <w:rFonts w:cs="Arial"/>
                <w:b/>
                <w:bCs/>
                <w:sz w:val="22"/>
              </w:rPr>
            </w:pPr>
            <w:r w:rsidRPr="00161600">
              <w:rPr>
                <w:rFonts w:cs="Arial"/>
                <w:b/>
                <w:bCs/>
                <w:sz w:val="22"/>
              </w:rPr>
              <w:t>1'451’145</w:t>
            </w:r>
          </w:p>
        </w:tc>
        <w:tc>
          <w:tcPr>
            <w:tcW w:w="1318" w:type="dxa"/>
            <w:tcBorders>
              <w:top w:val="single" w:sz="4" w:space="0" w:color="auto"/>
              <w:left w:val="nil"/>
              <w:right w:val="nil"/>
            </w:tcBorders>
          </w:tcPr>
          <w:p w14:paraId="4EC93105" w14:textId="6367655E" w:rsidR="00A70495" w:rsidRPr="00161600" w:rsidRDefault="00A70495" w:rsidP="00A70495">
            <w:pPr>
              <w:tabs>
                <w:tab w:val="right" w:pos="7088"/>
                <w:tab w:val="right" w:pos="9356"/>
              </w:tabs>
              <w:spacing w:after="60"/>
              <w:jc w:val="right"/>
              <w:rPr>
                <w:rFonts w:cs="Arial"/>
                <w:b/>
                <w:bCs/>
                <w:sz w:val="22"/>
              </w:rPr>
            </w:pPr>
            <w:r w:rsidRPr="00161600">
              <w:rPr>
                <w:rFonts w:cs="Arial"/>
                <w:b/>
                <w:bCs/>
                <w:sz w:val="22"/>
              </w:rPr>
              <w:t>843’845</w:t>
            </w:r>
          </w:p>
        </w:tc>
      </w:tr>
    </w:tbl>
    <w:p w14:paraId="5EB012C5" w14:textId="77777777" w:rsidR="00821BB1" w:rsidRPr="003536CB" w:rsidRDefault="00821BB1" w:rsidP="003536CB"/>
    <w:p w14:paraId="669A3EF1" w14:textId="77777777" w:rsidR="0085588A" w:rsidRPr="003536CB" w:rsidRDefault="0085588A" w:rsidP="003536CB">
      <w:pPr>
        <w:tabs>
          <w:tab w:val="right" w:pos="5529"/>
          <w:tab w:val="right" w:pos="7655"/>
        </w:tabs>
        <w:rPr>
          <w:rFonts w:cs="Arial"/>
          <w:szCs w:val="24"/>
        </w:rPr>
      </w:pPr>
    </w:p>
    <w:p w14:paraId="23CD09A0" w14:textId="3EC6AAFB" w:rsidR="00821BB1" w:rsidRPr="005C1A64" w:rsidRDefault="00821BB1" w:rsidP="00821BB1">
      <w:pPr>
        <w:tabs>
          <w:tab w:val="right" w:pos="5529"/>
          <w:tab w:val="right" w:pos="7655"/>
        </w:tabs>
        <w:spacing w:after="120"/>
        <w:rPr>
          <w:rFonts w:cs="Arial"/>
          <w:b/>
          <w:szCs w:val="24"/>
        </w:rPr>
      </w:pPr>
      <w:r w:rsidRPr="005C1A64">
        <w:rPr>
          <w:rFonts w:cs="Arial"/>
          <w:b/>
          <w:szCs w:val="24"/>
        </w:rPr>
        <w:t>Proposta di destinazione del risultato</w:t>
      </w:r>
    </w:p>
    <w:p w14:paraId="0BF714D9" w14:textId="2A280827" w:rsidR="00821BB1" w:rsidRDefault="00821BB1" w:rsidP="00821BB1">
      <w:pPr>
        <w:rPr>
          <w:rFonts w:cs="Arial"/>
          <w:szCs w:val="24"/>
        </w:rPr>
      </w:pPr>
      <w:r w:rsidRPr="005C1A64">
        <w:rPr>
          <w:rFonts w:cs="Arial"/>
          <w:szCs w:val="24"/>
        </w:rPr>
        <w:t xml:space="preserve">Il Consiglio di amministrazione, conformemente all’art. 18 LAET (rispettivamente art. 671 cpv. 2 CO), propone di ripartire il risultato come segue: </w:t>
      </w:r>
    </w:p>
    <w:p w14:paraId="55861CD0" w14:textId="3CF5097A" w:rsidR="005C1A64" w:rsidRPr="005C1A64" w:rsidRDefault="005C1A64" w:rsidP="00821BB1">
      <w:pPr>
        <w:rPr>
          <w:rFonts w:cs="Arial"/>
          <w:szCs w:val="24"/>
        </w:rPr>
      </w:pPr>
    </w:p>
    <w:p w14:paraId="6C3AE51B" w14:textId="2075CD53" w:rsidR="00205A21" w:rsidRPr="005C1A64" w:rsidRDefault="005C1A64" w:rsidP="005C1A64">
      <w:pPr>
        <w:tabs>
          <w:tab w:val="right" w:pos="5529"/>
          <w:tab w:val="right" w:pos="7655"/>
        </w:tabs>
        <w:ind w:left="142"/>
        <w:jc w:val="left"/>
        <w:rPr>
          <w:rFonts w:cs="Arial"/>
          <w:sz w:val="16"/>
          <w:szCs w:val="16"/>
        </w:rPr>
      </w:pPr>
      <w:r>
        <w:rPr>
          <w:rFonts w:cs="Arial"/>
          <w:noProof/>
          <w:sz w:val="16"/>
          <w:szCs w:val="16"/>
          <w:lang w:eastAsia="it-CH"/>
        </w:rPr>
        <w:drawing>
          <wp:inline distT="0" distB="0" distL="0" distR="0" wp14:anchorId="150CB6B1" wp14:editId="383B0DB7">
            <wp:extent cx="6022975" cy="1344930"/>
            <wp:effectExtent l="0" t="0" r="0" b="1270"/>
            <wp:docPr id="2018738310" name="Immagine 2" descr="Immagine che contiene testo, schermata, Carattere, ricev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38310" name="Immagine 2" descr="Immagine che contiene testo, schermata, Carattere, ricevuta&#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2975" cy="1344930"/>
                    </a:xfrm>
                    <a:prstGeom prst="rect">
                      <a:avLst/>
                    </a:prstGeom>
                  </pic:spPr>
                </pic:pic>
              </a:graphicData>
            </a:graphic>
          </wp:inline>
        </w:drawing>
      </w:r>
    </w:p>
    <w:p w14:paraId="0FB17547" w14:textId="74FF6F9B" w:rsidR="00821BB1" w:rsidRPr="005C1A64" w:rsidRDefault="00821BB1" w:rsidP="00205A21">
      <w:pPr>
        <w:tabs>
          <w:tab w:val="right" w:pos="5529"/>
          <w:tab w:val="right" w:pos="7655"/>
        </w:tabs>
        <w:ind w:left="142"/>
        <w:jc w:val="left"/>
        <w:rPr>
          <w:rFonts w:cs="Arial"/>
          <w:sz w:val="16"/>
          <w:szCs w:val="16"/>
        </w:rPr>
      </w:pPr>
      <w:r w:rsidRPr="005C1A64">
        <w:rPr>
          <w:rFonts w:cs="Arial"/>
          <w:sz w:val="16"/>
          <w:szCs w:val="16"/>
        </w:rPr>
        <w:t>Tabella ripresa dal Rapporto annuale 20</w:t>
      </w:r>
      <w:r w:rsidR="005C1A64" w:rsidRPr="005C1A64">
        <w:rPr>
          <w:rFonts w:cs="Arial"/>
          <w:sz w:val="16"/>
          <w:szCs w:val="16"/>
        </w:rPr>
        <w:t>22</w:t>
      </w:r>
      <w:r w:rsidRPr="005C1A64">
        <w:rPr>
          <w:rFonts w:cs="Arial"/>
          <w:sz w:val="16"/>
          <w:szCs w:val="16"/>
        </w:rPr>
        <w:t xml:space="preserve"> di AET</w:t>
      </w:r>
    </w:p>
    <w:p w14:paraId="035D3AF7" w14:textId="77777777" w:rsidR="00001CAD" w:rsidRDefault="00001CAD" w:rsidP="005B77C4">
      <w:pPr>
        <w:rPr>
          <w:rFonts w:cs="Arial"/>
          <w:color w:val="FF0000"/>
          <w:szCs w:val="24"/>
        </w:rPr>
      </w:pPr>
    </w:p>
    <w:p w14:paraId="1DD5CAD1" w14:textId="77777777" w:rsidR="00001CAD" w:rsidRDefault="00001CAD" w:rsidP="005B77C4">
      <w:pPr>
        <w:rPr>
          <w:rFonts w:cs="Arial"/>
          <w:color w:val="FF0000"/>
          <w:szCs w:val="24"/>
        </w:rPr>
      </w:pPr>
    </w:p>
    <w:p w14:paraId="085D15D2" w14:textId="72104DB1" w:rsidR="00821BB1" w:rsidRPr="005C1A64" w:rsidRDefault="00821BB1" w:rsidP="00C8010E">
      <w:pPr>
        <w:spacing w:after="120"/>
        <w:rPr>
          <w:rFonts w:cs="Arial"/>
          <w:szCs w:val="24"/>
        </w:rPr>
      </w:pPr>
      <w:r w:rsidRPr="005C1A64">
        <w:rPr>
          <w:rFonts w:cs="Arial"/>
          <w:szCs w:val="24"/>
        </w:rPr>
        <w:t xml:space="preserve">AET chiede lo scarico all’amministrazione e alla direzione per il loro operato al Consiglio di Stato e al Gran Consiglio </w:t>
      </w:r>
      <w:r w:rsidR="002C22EA">
        <w:rPr>
          <w:rFonts w:cs="Arial"/>
          <w:szCs w:val="24"/>
        </w:rPr>
        <w:t xml:space="preserve">con </w:t>
      </w:r>
      <w:r w:rsidRPr="005C1A64">
        <w:rPr>
          <w:rFonts w:cs="Arial"/>
          <w:szCs w:val="24"/>
        </w:rPr>
        <w:t xml:space="preserve">la ratifica: </w:t>
      </w:r>
    </w:p>
    <w:p w14:paraId="000B4BE7" w14:textId="193AB03D" w:rsidR="00821BB1" w:rsidRPr="005C1A64" w:rsidRDefault="00821BB1" w:rsidP="003536CB">
      <w:pPr>
        <w:spacing w:after="120"/>
        <w:rPr>
          <w:rFonts w:cs="Arial"/>
          <w:szCs w:val="24"/>
        </w:rPr>
      </w:pPr>
      <w:r w:rsidRPr="005C1A64">
        <w:rPr>
          <w:rFonts w:cs="Arial"/>
          <w:szCs w:val="24"/>
        </w:rPr>
        <w:t>- del conto annuale dell’esercizio 202</w:t>
      </w:r>
      <w:r w:rsidR="005C1A64" w:rsidRPr="005C1A64">
        <w:rPr>
          <w:rFonts w:cs="Arial"/>
          <w:szCs w:val="24"/>
        </w:rPr>
        <w:t>2</w:t>
      </w:r>
      <w:r w:rsidRPr="005C1A64">
        <w:rPr>
          <w:rFonts w:cs="Arial"/>
          <w:szCs w:val="24"/>
        </w:rPr>
        <w:t xml:space="preserve">; </w:t>
      </w:r>
    </w:p>
    <w:p w14:paraId="108FE20F" w14:textId="2A19E685" w:rsidR="005C1A64" w:rsidRDefault="00821BB1" w:rsidP="003536CB">
      <w:pPr>
        <w:spacing w:after="120"/>
        <w:rPr>
          <w:rFonts w:cs="Arial"/>
          <w:szCs w:val="24"/>
        </w:rPr>
      </w:pPr>
      <w:r w:rsidRPr="005C1A64">
        <w:rPr>
          <w:rFonts w:cs="Arial"/>
          <w:szCs w:val="24"/>
        </w:rPr>
        <w:t>- della proposta di destinazione del risultato</w:t>
      </w:r>
      <w:r w:rsidR="005C1A64">
        <w:rPr>
          <w:rFonts w:cs="Arial"/>
          <w:szCs w:val="24"/>
        </w:rPr>
        <w:t>;</w:t>
      </w:r>
    </w:p>
    <w:p w14:paraId="004B728D" w14:textId="3F1F750B" w:rsidR="005C1A64" w:rsidRDefault="005C1A64" w:rsidP="005C1A64">
      <w:pPr>
        <w:rPr>
          <w:rFonts w:cs="Arial"/>
          <w:szCs w:val="24"/>
        </w:rPr>
      </w:pPr>
      <w:r w:rsidRPr="005C1A64">
        <w:rPr>
          <w:rFonts w:cs="Arial"/>
          <w:szCs w:val="24"/>
        </w:rPr>
        <w:t xml:space="preserve">- </w:t>
      </w:r>
      <w:r>
        <w:rPr>
          <w:rFonts w:cs="Arial"/>
          <w:szCs w:val="24"/>
        </w:rPr>
        <w:t>del discarico del loro operato</w:t>
      </w:r>
      <w:r w:rsidRPr="005C1A64">
        <w:rPr>
          <w:rFonts w:cs="Arial"/>
          <w:szCs w:val="24"/>
        </w:rPr>
        <w:t>.</w:t>
      </w:r>
    </w:p>
    <w:p w14:paraId="533F1F01" w14:textId="77777777" w:rsidR="00821BB1" w:rsidRPr="003536CB" w:rsidRDefault="00821BB1" w:rsidP="00821BB1">
      <w:pPr>
        <w:rPr>
          <w:rFonts w:cs="Arial"/>
          <w:szCs w:val="24"/>
        </w:rPr>
      </w:pPr>
    </w:p>
    <w:p w14:paraId="4511622E" w14:textId="6B49C048" w:rsidR="00804196" w:rsidRPr="003536CB" w:rsidRDefault="00804196" w:rsidP="00804196">
      <w:pPr>
        <w:contextualSpacing/>
      </w:pPr>
      <w:r w:rsidRPr="003536CB">
        <w:t xml:space="preserve">Considerato il risultato negativo, AET </w:t>
      </w:r>
      <w:r w:rsidRPr="003536CB">
        <w:rPr>
          <w:b/>
          <w:bCs/>
        </w:rPr>
        <w:t>non corrisponde alcun dividendo allo Stato</w:t>
      </w:r>
      <w:r w:rsidRPr="003536CB">
        <w:t>, ma si limita al versamento dell’interesse sul capitale</w:t>
      </w:r>
      <w:r w:rsidR="00296039">
        <w:t xml:space="preserve"> di dotazione</w:t>
      </w:r>
      <w:r w:rsidRPr="003536CB">
        <w:t>, pari a 3.2 milioni di franchi.</w:t>
      </w:r>
    </w:p>
    <w:p w14:paraId="2747F595" w14:textId="77777777" w:rsidR="00727FC3" w:rsidRDefault="00727FC3" w:rsidP="00804196">
      <w:pPr>
        <w:contextualSpacing/>
      </w:pPr>
    </w:p>
    <w:p w14:paraId="6DE0219D" w14:textId="77777777" w:rsidR="00727FC3" w:rsidRPr="00D32C41" w:rsidRDefault="00727FC3" w:rsidP="00804196">
      <w:pPr>
        <w:contextualSpacing/>
      </w:pPr>
    </w:p>
    <w:p w14:paraId="7A97FCC2" w14:textId="77777777" w:rsidR="00821BB1" w:rsidRPr="00D65A89" w:rsidRDefault="00821BB1" w:rsidP="00821BB1">
      <w:pPr>
        <w:pStyle w:val="Titolo1"/>
        <w:numPr>
          <w:ilvl w:val="0"/>
          <w:numId w:val="18"/>
        </w:numPr>
        <w:tabs>
          <w:tab w:val="left" w:pos="567"/>
        </w:tabs>
        <w:spacing w:before="0"/>
        <w:ind w:left="567" w:hanging="567"/>
        <w:jc w:val="both"/>
      </w:pPr>
      <w:r w:rsidRPr="00D65A89">
        <w:t>PROGETTI STRATEGICI</w:t>
      </w:r>
    </w:p>
    <w:p w14:paraId="5B30FB4B" w14:textId="35E5C540" w:rsidR="00865B03" w:rsidRDefault="00821BB1" w:rsidP="0085588A">
      <w:r w:rsidRPr="00D65A89">
        <w:t>Tra i progetti strategici di AET vanno richiamati:</w:t>
      </w:r>
    </w:p>
    <w:p w14:paraId="4ACD0A1B" w14:textId="77777777" w:rsidR="0085588A" w:rsidRDefault="0085588A" w:rsidP="0085588A"/>
    <w:p w14:paraId="47F96F0F" w14:textId="77777777" w:rsidR="000F4F62" w:rsidRPr="000F4F62" w:rsidRDefault="000F4F62" w:rsidP="000F4F62">
      <w:pPr>
        <w:pStyle w:val="Titolo3"/>
        <w:numPr>
          <w:ilvl w:val="0"/>
          <w:numId w:val="0"/>
        </w:numPr>
        <w:spacing w:before="0"/>
        <w:ind w:left="726" w:hanging="726"/>
      </w:pPr>
      <w:proofErr w:type="spellStart"/>
      <w:r w:rsidRPr="000F4F62">
        <w:t>Ritom</w:t>
      </w:r>
      <w:proofErr w:type="spellEnd"/>
      <w:r w:rsidRPr="000F4F62">
        <w:t xml:space="preserve"> SA – nuova centrale di produzione</w:t>
      </w:r>
    </w:p>
    <w:p w14:paraId="179F4879" w14:textId="46E90307" w:rsidR="000F4F62" w:rsidRPr="003536CB" w:rsidRDefault="00821BB1" w:rsidP="003536CB">
      <w:pPr>
        <w:rPr>
          <w:rFonts w:cs="Arial"/>
        </w:rPr>
      </w:pPr>
      <w:r w:rsidRPr="000F4F62">
        <w:t xml:space="preserve">AET fornisce prestazioni specialistiche negli ambiti dell’allacciamento alla rete, del genio civile e dell’elettromeccanica dei generatori a </w:t>
      </w:r>
      <w:proofErr w:type="spellStart"/>
      <w:r w:rsidRPr="000F4F62">
        <w:t>Ritom</w:t>
      </w:r>
      <w:proofErr w:type="spellEnd"/>
      <w:r w:rsidRPr="000F4F62">
        <w:t xml:space="preserve"> SA (partecipata al 75% dalle FFS e al 25% dal Cantone Ticino)</w:t>
      </w:r>
      <w:r w:rsidR="007E7956" w:rsidRPr="000F4F62">
        <w:t>,</w:t>
      </w:r>
      <w:r w:rsidRPr="000F4F62">
        <w:t xml:space="preserve"> </w:t>
      </w:r>
      <w:r w:rsidR="007E7956" w:rsidRPr="000F4F62">
        <w:t>s</w:t>
      </w:r>
      <w:r w:rsidR="00C8010E" w:rsidRPr="000F4F62">
        <w:t xml:space="preserve">ocietà </w:t>
      </w:r>
      <w:r w:rsidRPr="000F4F62">
        <w:t xml:space="preserve">che sta realizzando la nuova centrale del </w:t>
      </w:r>
      <w:proofErr w:type="spellStart"/>
      <w:r w:rsidRPr="000F4F62">
        <w:t>Ritom</w:t>
      </w:r>
      <w:proofErr w:type="spellEnd"/>
      <w:r w:rsidRPr="000F4F62">
        <w:t xml:space="preserve">. </w:t>
      </w:r>
      <w:r w:rsidR="00843F28" w:rsidRPr="000F4F62">
        <w:t xml:space="preserve">In futuro AET </w:t>
      </w:r>
      <w:proofErr w:type="spellStart"/>
      <w:r w:rsidR="00843F28" w:rsidRPr="000F4F62">
        <w:t>gestira</w:t>
      </w:r>
      <w:proofErr w:type="spellEnd"/>
      <w:r w:rsidR="00843F28" w:rsidRPr="000F4F62">
        <w:t xml:space="preserve">̀ la quota di produzione dell’impianto spettante al Cantone e si </w:t>
      </w:r>
      <w:proofErr w:type="spellStart"/>
      <w:r w:rsidR="00843F28" w:rsidRPr="000F4F62">
        <w:t>occupera</w:t>
      </w:r>
      <w:proofErr w:type="spellEnd"/>
      <w:r w:rsidR="00843F28" w:rsidRPr="000F4F62">
        <w:t>̀ della sua manutenzione.</w:t>
      </w:r>
      <w:r w:rsidR="00A12130">
        <w:t xml:space="preserve"> </w:t>
      </w:r>
      <w:r w:rsidR="00843F28" w:rsidRPr="000F4F62">
        <w:t>Nel corso del 202</w:t>
      </w:r>
      <w:r w:rsidR="000F4F62" w:rsidRPr="000F4F62">
        <w:t>2</w:t>
      </w:r>
      <w:r w:rsidR="00843F28" w:rsidRPr="000F4F62">
        <w:t xml:space="preserve"> </w:t>
      </w:r>
      <w:r w:rsidR="000F4F62" w:rsidRPr="000F4F62">
        <w:rPr>
          <w:rFonts w:cs="Arial"/>
        </w:rPr>
        <w:t xml:space="preserve">è stato completato lo scavo del pozzo forzato mediante fresa meccanica, mentre a valle è iniziato il montaggio dei gruppi di produzione. La conclusione </w:t>
      </w:r>
      <w:r w:rsidR="000F4F62" w:rsidRPr="003536CB">
        <w:rPr>
          <w:rFonts w:cs="Arial"/>
        </w:rPr>
        <w:t>dei lavori è prevista per il 2025.</w:t>
      </w:r>
    </w:p>
    <w:p w14:paraId="3EEADF37" w14:textId="54ABF7BD" w:rsidR="00C8010E" w:rsidRPr="003536CB" w:rsidRDefault="00C8010E" w:rsidP="003536CB"/>
    <w:p w14:paraId="7C6C036F" w14:textId="661C6115" w:rsidR="0086074E" w:rsidRPr="00444639" w:rsidRDefault="0086074E" w:rsidP="0086074E">
      <w:pPr>
        <w:pStyle w:val="Titolo3"/>
        <w:numPr>
          <w:ilvl w:val="0"/>
          <w:numId w:val="0"/>
        </w:numPr>
        <w:spacing w:before="0"/>
        <w:ind w:left="726" w:hanging="726"/>
      </w:pPr>
      <w:r w:rsidRPr="00444639">
        <w:t>Rinnovo dell’impianto del</w:t>
      </w:r>
      <w:r>
        <w:t>la Centrale del</w:t>
      </w:r>
      <w:r w:rsidRPr="00444639">
        <w:t xml:space="preserve"> </w:t>
      </w:r>
      <w:proofErr w:type="spellStart"/>
      <w:r w:rsidRPr="00444639">
        <w:t>Piottino</w:t>
      </w:r>
      <w:proofErr w:type="spellEnd"/>
      <w:r w:rsidRPr="00444639">
        <w:t xml:space="preserve"> a </w:t>
      </w:r>
      <w:proofErr w:type="spellStart"/>
      <w:r w:rsidRPr="00444639">
        <w:t>Lavorgo</w:t>
      </w:r>
      <w:proofErr w:type="spellEnd"/>
    </w:p>
    <w:p w14:paraId="721B1BF6" w14:textId="5E3100C5" w:rsidR="0086074E" w:rsidRDefault="0086074E" w:rsidP="0086074E">
      <w:r>
        <w:rPr>
          <w:rFonts w:cs="Arial"/>
          <w:szCs w:val="24"/>
        </w:rPr>
        <w:t>Nel 2022 si sono svolte le attività di progettazione relative al</w:t>
      </w:r>
      <w:r w:rsidRPr="009C796A">
        <w:rPr>
          <w:rFonts w:cs="Arial"/>
          <w:szCs w:val="24"/>
        </w:rPr>
        <w:t>la sostituzione d</w:t>
      </w:r>
      <w:r>
        <w:rPr>
          <w:rFonts w:cs="Arial"/>
          <w:szCs w:val="24"/>
        </w:rPr>
        <w:t>e</w:t>
      </w:r>
      <w:r w:rsidRPr="009C796A">
        <w:rPr>
          <w:rFonts w:cs="Arial"/>
          <w:szCs w:val="24"/>
        </w:rPr>
        <w:t>i tre gruppi turbina-alternatore, interventi di genio civile e il risanamento dello stabile.</w:t>
      </w:r>
      <w:r>
        <w:rPr>
          <w:rFonts w:cs="Arial"/>
          <w:szCs w:val="24"/>
        </w:rPr>
        <w:t xml:space="preserve"> Per </w:t>
      </w:r>
      <w:r w:rsidRPr="009C796A">
        <w:rPr>
          <w:rFonts w:cs="Arial"/>
          <w:szCs w:val="24"/>
        </w:rPr>
        <w:t xml:space="preserve">mitigare il potenziale rischio di penuria energetica durante l’inverno, </w:t>
      </w:r>
      <w:r w:rsidR="00296039">
        <w:rPr>
          <w:rFonts w:cs="Arial"/>
          <w:szCs w:val="24"/>
        </w:rPr>
        <w:t>l’inizio de</w:t>
      </w:r>
      <w:r w:rsidRPr="009C796A">
        <w:rPr>
          <w:rFonts w:cs="Arial"/>
          <w:szCs w:val="24"/>
        </w:rPr>
        <w:t xml:space="preserve">i lavori di rinnovo con un investimento </w:t>
      </w:r>
      <w:r>
        <w:rPr>
          <w:rFonts w:cs="Arial"/>
          <w:szCs w:val="24"/>
        </w:rPr>
        <w:t xml:space="preserve">previsto </w:t>
      </w:r>
      <w:r w:rsidRPr="009C796A">
        <w:rPr>
          <w:rFonts w:cs="Arial"/>
          <w:szCs w:val="24"/>
        </w:rPr>
        <w:t>di oltre 50 mio di franchi sono stati posticipati al 2023. Il comple</w:t>
      </w:r>
      <w:r w:rsidR="003536CB">
        <w:rPr>
          <w:rFonts w:cs="Arial"/>
          <w:szCs w:val="24"/>
        </w:rPr>
        <w:t>ta</w:t>
      </w:r>
      <w:r w:rsidRPr="009C796A">
        <w:rPr>
          <w:rFonts w:cs="Arial"/>
          <w:szCs w:val="24"/>
        </w:rPr>
        <w:t>mento dei lavori è previsto per il 2027</w:t>
      </w:r>
      <w:r w:rsidR="003536CB">
        <w:rPr>
          <w:rFonts w:cs="Arial"/>
          <w:szCs w:val="24"/>
        </w:rPr>
        <w:t>.</w:t>
      </w:r>
    </w:p>
    <w:p w14:paraId="3B385D9C" w14:textId="77777777" w:rsidR="0086074E" w:rsidRPr="003536CB" w:rsidRDefault="0086074E" w:rsidP="003536CB"/>
    <w:p w14:paraId="682040A5" w14:textId="77777777" w:rsidR="0086074E" w:rsidRPr="00444639" w:rsidRDefault="0086074E" w:rsidP="0086074E">
      <w:pPr>
        <w:pStyle w:val="Titolo3"/>
        <w:numPr>
          <w:ilvl w:val="0"/>
          <w:numId w:val="0"/>
        </w:numPr>
        <w:spacing w:before="0"/>
        <w:ind w:left="726" w:hanging="726"/>
      </w:pPr>
      <w:r w:rsidRPr="00444639">
        <w:t>Impianti fotovoltaici sui tetti degli edifici di proprietà dello Stato</w:t>
      </w:r>
    </w:p>
    <w:p w14:paraId="385CFB1E" w14:textId="56DFDEFE" w:rsidR="0086074E" w:rsidRPr="00444639" w:rsidRDefault="0086074E" w:rsidP="0086074E">
      <w:pPr>
        <w:autoSpaceDE w:val="0"/>
        <w:autoSpaceDN w:val="0"/>
        <w:adjustRightInd w:val="0"/>
        <w:rPr>
          <w:rFonts w:cs="Arial"/>
          <w:szCs w:val="24"/>
        </w:rPr>
      </w:pPr>
      <w:r w:rsidRPr="00444639">
        <w:rPr>
          <w:rFonts w:cs="Arial"/>
          <w:szCs w:val="24"/>
        </w:rPr>
        <w:t>In ambito fotovoltaico la Sezione della logistic</w:t>
      </w:r>
      <w:r>
        <w:rPr>
          <w:rFonts w:cs="Arial"/>
          <w:szCs w:val="24"/>
        </w:rPr>
        <w:t xml:space="preserve">a del Cantone </w:t>
      </w:r>
      <w:r w:rsidRPr="00444639">
        <w:rPr>
          <w:rFonts w:cs="Arial"/>
          <w:szCs w:val="24"/>
        </w:rPr>
        <w:t>Ticino</w:t>
      </w:r>
      <w:r w:rsidR="00024E66">
        <w:rPr>
          <w:rFonts w:cs="Arial"/>
          <w:szCs w:val="24"/>
        </w:rPr>
        <w:t xml:space="preserve"> ha</w:t>
      </w:r>
      <w:r w:rsidR="00024E66" w:rsidRPr="00444639">
        <w:rPr>
          <w:rFonts w:cs="Arial"/>
          <w:szCs w:val="24"/>
        </w:rPr>
        <w:t xml:space="preserve"> annunciato l’accordo</w:t>
      </w:r>
      <w:r w:rsidRPr="00444639">
        <w:rPr>
          <w:rFonts w:cs="Arial"/>
          <w:szCs w:val="24"/>
        </w:rPr>
        <w:t>, che prevede investiment</w:t>
      </w:r>
      <w:r>
        <w:rPr>
          <w:rFonts w:cs="Arial"/>
          <w:szCs w:val="24"/>
        </w:rPr>
        <w:t>i</w:t>
      </w:r>
      <w:r w:rsidRPr="00444639">
        <w:rPr>
          <w:rFonts w:cs="Arial"/>
          <w:szCs w:val="24"/>
        </w:rPr>
        <w:t xml:space="preserve"> da parte di AET </w:t>
      </w:r>
      <w:r>
        <w:rPr>
          <w:rFonts w:cs="Arial"/>
          <w:szCs w:val="24"/>
        </w:rPr>
        <w:t xml:space="preserve">per </w:t>
      </w:r>
      <w:r w:rsidRPr="00444639">
        <w:rPr>
          <w:rFonts w:cs="Arial"/>
          <w:szCs w:val="24"/>
        </w:rPr>
        <w:t>40 mi</w:t>
      </w:r>
      <w:r>
        <w:rPr>
          <w:rFonts w:cs="Arial"/>
          <w:szCs w:val="24"/>
        </w:rPr>
        <w:t>lioni di franchi</w:t>
      </w:r>
      <w:r w:rsidRPr="00444639">
        <w:rPr>
          <w:rFonts w:cs="Arial"/>
          <w:szCs w:val="24"/>
        </w:rPr>
        <w:t xml:space="preserve"> entro i</w:t>
      </w:r>
      <w:r>
        <w:rPr>
          <w:rFonts w:cs="Arial"/>
          <w:szCs w:val="24"/>
        </w:rPr>
        <w:t xml:space="preserve">l 2035, per la realizzazione di </w:t>
      </w:r>
      <w:r w:rsidRPr="00444639">
        <w:rPr>
          <w:rFonts w:cs="Arial"/>
          <w:szCs w:val="24"/>
        </w:rPr>
        <w:t>nuovi impianti solari sui tetti degli edifici di proprietà dello Stato. Un piano che permetterà di generare</w:t>
      </w:r>
      <w:r>
        <w:rPr>
          <w:rFonts w:cs="Arial"/>
          <w:szCs w:val="24"/>
        </w:rPr>
        <w:t xml:space="preserve"> </w:t>
      </w:r>
      <w:r w:rsidRPr="00444639">
        <w:rPr>
          <w:rFonts w:cs="Arial"/>
          <w:szCs w:val="24"/>
        </w:rPr>
        <w:t xml:space="preserve">20 </w:t>
      </w:r>
      <w:proofErr w:type="spellStart"/>
      <w:r w:rsidRPr="00444639">
        <w:rPr>
          <w:rFonts w:cs="Arial"/>
          <w:szCs w:val="24"/>
        </w:rPr>
        <w:t>GWh</w:t>
      </w:r>
      <w:proofErr w:type="spellEnd"/>
      <w:r w:rsidRPr="00444639">
        <w:rPr>
          <w:rFonts w:cs="Arial"/>
          <w:szCs w:val="24"/>
        </w:rPr>
        <w:t xml:space="preserve"> di energia all’anno e che rappresenta un ulteriore concreto tassello dell’impegno di AET a</w:t>
      </w:r>
      <w:r>
        <w:rPr>
          <w:rFonts w:cs="Arial"/>
          <w:szCs w:val="24"/>
        </w:rPr>
        <w:t xml:space="preserve"> </w:t>
      </w:r>
      <w:r w:rsidRPr="00444639">
        <w:rPr>
          <w:rFonts w:cs="Arial"/>
          <w:szCs w:val="24"/>
        </w:rPr>
        <w:t>favore dell’aumento della produzione indigena</w:t>
      </w:r>
      <w:r w:rsidR="00024E66">
        <w:rPr>
          <w:rFonts w:cs="Arial"/>
          <w:szCs w:val="24"/>
        </w:rPr>
        <w:t xml:space="preserve"> di energia rinnovabile.</w:t>
      </w:r>
    </w:p>
    <w:p w14:paraId="3E3DE8FE" w14:textId="77777777" w:rsidR="0086074E" w:rsidRPr="003536CB" w:rsidRDefault="0086074E" w:rsidP="003536CB"/>
    <w:p w14:paraId="53820683" w14:textId="77777777" w:rsidR="00821BB1" w:rsidRPr="00527662" w:rsidRDefault="00821BB1" w:rsidP="00C8010E">
      <w:pPr>
        <w:pStyle w:val="Titolo3"/>
        <w:numPr>
          <w:ilvl w:val="0"/>
          <w:numId w:val="0"/>
        </w:numPr>
        <w:spacing w:before="0"/>
        <w:ind w:left="726" w:hanging="726"/>
      </w:pPr>
      <w:r w:rsidRPr="00527662">
        <w:t>Il Parco eolico del San Gottardo</w:t>
      </w:r>
    </w:p>
    <w:p w14:paraId="47218846" w14:textId="3F9D1A9E" w:rsidR="00F16E9A" w:rsidRDefault="00821BB1" w:rsidP="00F16E9A">
      <w:pPr>
        <w:spacing w:after="120"/>
      </w:pPr>
      <w:r w:rsidRPr="00527662">
        <w:t xml:space="preserve">Il cantiere del Parco eolico del San Gottardo SA (società partecipata al 70% da AET) è </w:t>
      </w:r>
      <w:r w:rsidR="00527662" w:rsidRPr="00527662">
        <w:t>stato inaugurato il 15 ottobre 2020</w:t>
      </w:r>
      <w:r w:rsidRPr="00527662">
        <w:t xml:space="preserve">. </w:t>
      </w:r>
      <w:r w:rsidR="00F16E9A">
        <w:t>Nel 2022 il P</w:t>
      </w:r>
      <w:r w:rsidR="00F16E9A" w:rsidRPr="00444639">
        <w:t xml:space="preserve">arco eolico </w:t>
      </w:r>
      <w:r w:rsidR="00F16E9A">
        <w:t xml:space="preserve">ha prodotto complessivamente </w:t>
      </w:r>
      <w:r w:rsidR="00F16E9A" w:rsidRPr="00444639">
        <w:t xml:space="preserve">12.4 </w:t>
      </w:r>
      <w:proofErr w:type="spellStart"/>
      <w:r w:rsidR="00F16E9A" w:rsidRPr="00444639">
        <w:t>GWh</w:t>
      </w:r>
      <w:proofErr w:type="spellEnd"/>
      <w:r w:rsidR="00F16E9A" w:rsidRPr="00444639">
        <w:t>. Un valore del 25% inferiore alle attese, che è stato determinato dalla ventosità sul passo nettamente inferiore a quella misurata negli anni precedenti.</w:t>
      </w:r>
    </w:p>
    <w:p w14:paraId="0200007E" w14:textId="77777777" w:rsidR="00001CAD" w:rsidRDefault="00001CAD"/>
    <w:p w14:paraId="3BE70F47" w14:textId="486C68DF" w:rsidR="002F2B78" w:rsidRPr="003536CB" w:rsidRDefault="002F2B78">
      <w:r w:rsidRPr="003536CB">
        <w:br w:type="page"/>
      </w:r>
    </w:p>
    <w:p w14:paraId="3E24E196" w14:textId="77777777" w:rsidR="001B57F9" w:rsidRPr="007D4523" w:rsidRDefault="00C8010E" w:rsidP="00821BB1">
      <w:pPr>
        <w:pStyle w:val="Titolo1"/>
        <w:numPr>
          <w:ilvl w:val="0"/>
          <w:numId w:val="18"/>
        </w:numPr>
        <w:tabs>
          <w:tab w:val="left" w:pos="567"/>
        </w:tabs>
        <w:spacing w:before="0"/>
        <w:ind w:left="567" w:hanging="567"/>
        <w:jc w:val="both"/>
      </w:pPr>
      <w:r w:rsidRPr="007D4523">
        <w:t>DATI STATISTICI</w:t>
      </w:r>
    </w:p>
    <w:p w14:paraId="2BFE5FBA" w14:textId="77777777" w:rsidR="001B57F9" w:rsidRPr="001B57F9" w:rsidRDefault="001B57F9" w:rsidP="001B57F9"/>
    <w:p w14:paraId="1552B526" w14:textId="35D6E424" w:rsidR="00821BB1" w:rsidRPr="001B57F9" w:rsidRDefault="001B57F9" w:rsidP="001B57F9">
      <w:pPr>
        <w:rPr>
          <w:noProof/>
          <w:lang w:eastAsia="it-CH"/>
        </w:rPr>
      </w:pPr>
      <w:r w:rsidRPr="001B57F9">
        <w:rPr>
          <w:noProof/>
          <w:lang w:eastAsia="it-CH"/>
        </w:rPr>
        <w:drawing>
          <wp:inline distT="0" distB="0" distL="0" distR="0" wp14:anchorId="3A905BF9" wp14:editId="39FC536D">
            <wp:extent cx="6022975" cy="5369560"/>
            <wp:effectExtent l="0" t="0" r="0" b="2540"/>
            <wp:docPr id="1638449906" name="Immagine 3" descr="Immagine che contiene testo, schermata,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49906" name="Immagine 3" descr="Immagine che contiene testo, schermata, numero, Parallelo&#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22975" cy="5369560"/>
                    </a:xfrm>
                    <a:prstGeom prst="rect">
                      <a:avLst/>
                    </a:prstGeom>
                  </pic:spPr>
                </pic:pic>
              </a:graphicData>
            </a:graphic>
          </wp:inline>
        </w:drawing>
      </w:r>
    </w:p>
    <w:p w14:paraId="20FC2DC7" w14:textId="6D912823" w:rsidR="00821BB1" w:rsidRDefault="00821BB1" w:rsidP="00821BB1">
      <w:pPr>
        <w:rPr>
          <w:lang w:val="it-IT" w:eastAsia="it-IT"/>
        </w:rPr>
      </w:pPr>
    </w:p>
    <w:p w14:paraId="52864D12" w14:textId="77777777" w:rsidR="007D4523" w:rsidRPr="00D65A89" w:rsidRDefault="007D4523" w:rsidP="00821BB1">
      <w:pPr>
        <w:rPr>
          <w:lang w:val="it-IT" w:eastAsia="it-IT"/>
        </w:rPr>
      </w:pPr>
    </w:p>
    <w:p w14:paraId="2ADFF1B3" w14:textId="77777777" w:rsidR="007D4523" w:rsidRDefault="007D4523">
      <w:pPr>
        <w:rPr>
          <w:lang w:val="it-IT" w:eastAsia="it-IT"/>
        </w:rPr>
      </w:pPr>
      <w:r>
        <w:rPr>
          <w:noProof/>
          <w:lang w:eastAsia="it-CH"/>
        </w:rPr>
        <w:drawing>
          <wp:inline distT="0" distB="0" distL="0" distR="0" wp14:anchorId="67B2504A" wp14:editId="673EFEF8">
            <wp:extent cx="6022975" cy="1570990"/>
            <wp:effectExtent l="0" t="0" r="0" b="3810"/>
            <wp:docPr id="1262663043" name="Immagine 4"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63043" name="Immagine 4" descr="Immagine che contiene testo, schermata, numero, Carattere&#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2975" cy="1570990"/>
                    </a:xfrm>
                    <a:prstGeom prst="rect">
                      <a:avLst/>
                    </a:prstGeom>
                  </pic:spPr>
                </pic:pic>
              </a:graphicData>
            </a:graphic>
          </wp:inline>
        </w:drawing>
      </w:r>
    </w:p>
    <w:p w14:paraId="6C481B25" w14:textId="77777777" w:rsidR="007D4523" w:rsidRPr="00D65A89" w:rsidRDefault="007D4523" w:rsidP="007D4523">
      <w:pPr>
        <w:tabs>
          <w:tab w:val="right" w:pos="5529"/>
          <w:tab w:val="right" w:pos="7655"/>
        </w:tabs>
        <w:ind w:left="142"/>
        <w:jc w:val="left"/>
        <w:rPr>
          <w:rFonts w:cs="Arial"/>
          <w:sz w:val="16"/>
          <w:szCs w:val="16"/>
        </w:rPr>
      </w:pPr>
      <w:r w:rsidRPr="00D65A89">
        <w:rPr>
          <w:rFonts w:cs="Arial"/>
          <w:sz w:val="16"/>
          <w:szCs w:val="16"/>
        </w:rPr>
        <w:t>Tabelle estratte dal Rapporto annuale 202</w:t>
      </w:r>
      <w:r>
        <w:rPr>
          <w:rFonts w:cs="Arial"/>
          <w:sz w:val="16"/>
          <w:szCs w:val="16"/>
        </w:rPr>
        <w:t>2</w:t>
      </w:r>
      <w:r w:rsidRPr="00D65A89">
        <w:rPr>
          <w:rFonts w:cs="Arial"/>
          <w:sz w:val="16"/>
          <w:szCs w:val="16"/>
        </w:rPr>
        <w:t xml:space="preserve"> di AET</w:t>
      </w:r>
    </w:p>
    <w:p w14:paraId="0574DCE6" w14:textId="54AA788F" w:rsidR="00037409" w:rsidRPr="00D65A89" w:rsidRDefault="00037409">
      <w:pPr>
        <w:rPr>
          <w:lang w:val="it-IT" w:eastAsia="it-IT"/>
        </w:rPr>
      </w:pPr>
      <w:r w:rsidRPr="00D65A89">
        <w:rPr>
          <w:lang w:val="it-IT" w:eastAsia="it-IT"/>
        </w:rPr>
        <w:br w:type="page"/>
      </w:r>
    </w:p>
    <w:p w14:paraId="23D7922A" w14:textId="65D567E3" w:rsidR="00037409" w:rsidRPr="007D4523" w:rsidRDefault="007D4523" w:rsidP="007D4523">
      <w:pPr>
        <w:ind w:hanging="567"/>
        <w:jc w:val="center"/>
        <w:rPr>
          <w:noProof/>
          <w:lang w:eastAsia="it-CH"/>
        </w:rPr>
      </w:pPr>
      <w:r w:rsidRPr="007D4523">
        <w:rPr>
          <w:noProof/>
          <w:lang w:eastAsia="it-CH"/>
        </w:rPr>
        <w:drawing>
          <wp:inline distT="0" distB="0" distL="0" distR="0" wp14:anchorId="46FF4F99" wp14:editId="5F74651C">
            <wp:extent cx="6022975" cy="3474720"/>
            <wp:effectExtent l="0" t="0" r="0" b="5080"/>
            <wp:docPr id="552168010" name="Immagine 5" descr="Immagine che contiene schermata, testo,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68010" name="Immagine 5" descr="Immagine che contiene schermata, testo, linea, Diagramma&#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22975" cy="3474720"/>
                    </a:xfrm>
                    <a:prstGeom prst="rect">
                      <a:avLst/>
                    </a:prstGeom>
                  </pic:spPr>
                </pic:pic>
              </a:graphicData>
            </a:graphic>
          </wp:inline>
        </w:drawing>
      </w:r>
    </w:p>
    <w:p w14:paraId="783D5B7C" w14:textId="1768A161" w:rsidR="00821BB1" w:rsidRPr="00D65A89" w:rsidRDefault="00821BB1" w:rsidP="00037409">
      <w:pPr>
        <w:tabs>
          <w:tab w:val="right" w:pos="5529"/>
          <w:tab w:val="right" w:pos="7655"/>
        </w:tabs>
        <w:ind w:left="142"/>
        <w:jc w:val="left"/>
        <w:rPr>
          <w:rFonts w:cs="Arial"/>
          <w:sz w:val="16"/>
          <w:szCs w:val="16"/>
        </w:rPr>
      </w:pPr>
      <w:r w:rsidRPr="00D65A89">
        <w:rPr>
          <w:rFonts w:cs="Arial"/>
          <w:sz w:val="16"/>
          <w:szCs w:val="16"/>
        </w:rPr>
        <w:t>Grafico estratto dal Rapporto annuale 202</w:t>
      </w:r>
      <w:r w:rsidR="007D4523">
        <w:rPr>
          <w:rFonts w:cs="Arial"/>
          <w:sz w:val="16"/>
          <w:szCs w:val="16"/>
        </w:rPr>
        <w:t>2</w:t>
      </w:r>
      <w:r w:rsidRPr="00D65A89">
        <w:rPr>
          <w:rFonts w:cs="Arial"/>
          <w:sz w:val="16"/>
          <w:szCs w:val="16"/>
        </w:rPr>
        <w:t xml:space="preserve"> di AET</w:t>
      </w:r>
    </w:p>
    <w:p w14:paraId="64EBA55F" w14:textId="77777777" w:rsidR="00821BB1" w:rsidRPr="00D65A89" w:rsidRDefault="00821BB1" w:rsidP="00821BB1">
      <w:pPr>
        <w:jc w:val="left"/>
        <w:rPr>
          <w:rFonts w:cs="Arial"/>
          <w:szCs w:val="24"/>
        </w:rPr>
      </w:pPr>
    </w:p>
    <w:p w14:paraId="3F341B22" w14:textId="77777777" w:rsidR="00C8010E" w:rsidRPr="00D65A89" w:rsidRDefault="00C8010E" w:rsidP="00821BB1">
      <w:pPr>
        <w:jc w:val="left"/>
        <w:rPr>
          <w:rFonts w:cs="Arial"/>
          <w:szCs w:val="24"/>
        </w:rPr>
      </w:pPr>
    </w:p>
    <w:p w14:paraId="4D01B73A" w14:textId="77777777" w:rsidR="00821BB1" w:rsidRPr="00D65A89" w:rsidRDefault="00C8010E" w:rsidP="00821BB1">
      <w:pPr>
        <w:pStyle w:val="Titolo1"/>
        <w:numPr>
          <w:ilvl w:val="0"/>
          <w:numId w:val="18"/>
        </w:numPr>
        <w:tabs>
          <w:tab w:val="left" w:pos="567"/>
        </w:tabs>
        <w:spacing w:before="0"/>
        <w:ind w:left="567" w:hanging="567"/>
        <w:jc w:val="both"/>
      </w:pPr>
      <w:bookmarkStart w:id="5" w:name="_Toc390264056"/>
      <w:bookmarkStart w:id="6" w:name="_Toc353800482"/>
      <w:bookmarkStart w:id="7" w:name="_Toc471834936"/>
      <w:r w:rsidRPr="00D65A89">
        <w:t>GRADO DI RAGGIUNGIMENTO DEGLI OBIETTIVI DI MANDATO PUBBLICO E RESOCONTO SULLA VIGILANZA DIRETTA</w:t>
      </w:r>
    </w:p>
    <w:p w14:paraId="55DEF7AC" w14:textId="77777777" w:rsidR="00821BB1" w:rsidRPr="00DC115E" w:rsidRDefault="00821BB1" w:rsidP="00821BB1">
      <w:pPr>
        <w:spacing w:after="120"/>
      </w:pPr>
      <w:r w:rsidRPr="00DC115E">
        <w:t>Il resoconto sulla vigilanza diretta del Consiglio di Stato sull’attività di AET è parte integrante del messaggio. Nello stesso sono evidenziati i temi trattati durante gli incontri.</w:t>
      </w:r>
    </w:p>
    <w:p w14:paraId="0C646594" w14:textId="196E80AA" w:rsidR="000A4C15" w:rsidRPr="00DC115E" w:rsidRDefault="00821BB1" w:rsidP="0085588A">
      <w:pPr>
        <w:spacing w:after="120"/>
        <w:rPr>
          <w:rFonts w:cs="Arial"/>
        </w:rPr>
      </w:pPr>
      <w:r w:rsidRPr="00DC115E">
        <w:t xml:space="preserve">Con l’introduzione dei principi moderni del governo d’impresa pubblica nella LAET, il </w:t>
      </w:r>
      <w:r w:rsidR="003536CB">
        <w:t>G</w:t>
      </w:r>
      <w:r w:rsidRPr="00DC115E">
        <w:t xml:space="preserve">overno vigila </w:t>
      </w:r>
      <w:r w:rsidR="007E7956" w:rsidRPr="00DC115E">
        <w:t>affinché</w:t>
      </w:r>
      <w:r w:rsidRPr="00DC115E">
        <w:t xml:space="preserve"> la strategia aziendale sia coerente agli obiettivi strategici che lo Stato, come proprietario dell’Azienda, intende perseguire coerentemente con il Piano energetico cantonale </w:t>
      </w:r>
      <w:r w:rsidRPr="00DC115E">
        <w:rPr>
          <w:rFonts w:cs="Arial"/>
        </w:rPr>
        <w:t>(</w:t>
      </w:r>
      <w:hyperlink r:id="rId17" w:history="1">
        <w:r w:rsidRPr="00DC115E">
          <w:rPr>
            <w:rStyle w:val="Collegamentoipertestuale"/>
            <w:rFonts w:cs="Arial"/>
            <w:color w:val="auto"/>
          </w:rPr>
          <w:t>PEC - Piano d’azione 2013</w:t>
        </w:r>
      </w:hyperlink>
      <w:r w:rsidRPr="00DC115E">
        <w:rPr>
          <w:rFonts w:cs="Arial"/>
        </w:rPr>
        <w:t xml:space="preserve">) e il Piano Direttore (PD - </w:t>
      </w:r>
      <w:hyperlink r:id="rId18" w:history="1">
        <w:r w:rsidRPr="00DC115E">
          <w:rPr>
            <w:rStyle w:val="Collegamentoipertestuale"/>
            <w:rFonts w:cs="Arial"/>
            <w:color w:val="auto"/>
          </w:rPr>
          <w:t>scheda V3 Energia</w:t>
        </w:r>
      </w:hyperlink>
      <w:r w:rsidRPr="00DC115E">
        <w:rPr>
          <w:rFonts w:cs="Arial"/>
        </w:rPr>
        <w:t xml:space="preserve">). Quale strumento di supporto, la legge prevede all’art. 4 cpv. LAET anche un documento apposito del Consiglio di Stato, elaborato d’intesa con il </w:t>
      </w:r>
      <w:r w:rsidR="003536CB" w:rsidRPr="003536CB">
        <w:rPr>
          <w:rFonts w:cs="Arial"/>
        </w:rPr>
        <w:t>Consiglio di amministrazione</w:t>
      </w:r>
      <w:r w:rsidRPr="00DC115E">
        <w:rPr>
          <w:rFonts w:cs="Arial"/>
        </w:rPr>
        <w:t xml:space="preserve"> di AET. </w:t>
      </w:r>
    </w:p>
    <w:p w14:paraId="7BE7B910" w14:textId="6151B676" w:rsidR="000A4C15" w:rsidRDefault="000A4C15" w:rsidP="000A4C15">
      <w:pPr>
        <w:spacing w:after="120"/>
      </w:pPr>
      <w:r w:rsidRPr="00DC115E">
        <w:t xml:space="preserve">L’11 novembre 2020 il Consiglio di Stato ha approvato lo specifico documento previsto dall’art. 4 cpv. 1 LAET, contenente gli obiettivi strategici di AET per il periodo 2021-2024. Tale documento, condiviso anche con la Commissione ambiente, territorio ed energia (CATE), ha permesso ad AET di aggiornare la propria strategia aziendale. </w:t>
      </w:r>
      <w:r w:rsidRPr="009529B5">
        <w:t>L’aggiornamento dapprima sottoposto al Consiglio di amministrazione di AET è stato in seguito inoltrato al Consiglio di Stato nell’autunno 2021 ed illustrato alla CATE nel consueto incontro annuale del 2022, visto che nel 2021 a causa della pandemia da Covid-19</w:t>
      </w:r>
      <w:r w:rsidR="006A6FDF">
        <w:t xml:space="preserve"> l’incontro non si è tenuto</w:t>
      </w:r>
      <w:r w:rsidRPr="009529B5">
        <w:t xml:space="preserve">. </w:t>
      </w:r>
      <w:r w:rsidR="00821BB1" w:rsidRPr="009529B5">
        <w:rPr>
          <w:rFonts w:cs="Arial"/>
        </w:rPr>
        <w:t xml:space="preserve">Consiglio di Stato e CCMP-AET confermano che la strategia aziendale </w:t>
      </w:r>
      <w:r w:rsidRPr="009529B5">
        <w:rPr>
          <w:rFonts w:cs="Arial"/>
          <w:szCs w:val="24"/>
        </w:rPr>
        <w:t>perseguita ed implementata nel 202</w:t>
      </w:r>
      <w:r w:rsidR="009529B5" w:rsidRPr="009529B5">
        <w:rPr>
          <w:rFonts w:cs="Arial"/>
          <w:szCs w:val="24"/>
        </w:rPr>
        <w:t>2</w:t>
      </w:r>
      <w:r w:rsidR="006A6FDF">
        <w:rPr>
          <w:rFonts w:cs="Arial"/>
          <w:szCs w:val="24"/>
        </w:rPr>
        <w:t xml:space="preserve">, incentrata sul </w:t>
      </w:r>
      <w:r w:rsidR="006A6FDF" w:rsidRPr="00A12813">
        <w:rPr>
          <w:rFonts w:cs="Arial"/>
          <w:szCs w:val="24"/>
        </w:rPr>
        <w:t>proprio core-</w:t>
      </w:r>
      <w:proofErr w:type="spellStart"/>
      <w:r w:rsidR="006A6FDF" w:rsidRPr="00A12813">
        <w:rPr>
          <w:rFonts w:cs="Arial"/>
          <w:szCs w:val="24"/>
        </w:rPr>
        <w:t>businnes</w:t>
      </w:r>
      <w:proofErr w:type="spellEnd"/>
      <w:r w:rsidR="006A6FDF" w:rsidRPr="00A12813">
        <w:rPr>
          <w:rFonts w:cs="Arial"/>
          <w:szCs w:val="24"/>
        </w:rPr>
        <w:t xml:space="preserve">, </w:t>
      </w:r>
      <w:r w:rsidR="006A6FDF">
        <w:rPr>
          <w:rFonts w:cs="Arial"/>
          <w:szCs w:val="24"/>
        </w:rPr>
        <w:t>ovvero nell</w:t>
      </w:r>
      <w:r w:rsidR="006A6FDF" w:rsidRPr="00A12813">
        <w:rPr>
          <w:rFonts w:cs="Arial"/>
          <w:szCs w:val="24"/>
        </w:rPr>
        <w:t xml:space="preserve">a valorizzazione del proprio portafoglio idroelettrico, </w:t>
      </w:r>
      <w:r w:rsidR="006A6FDF">
        <w:rPr>
          <w:rFonts w:cs="Arial"/>
          <w:szCs w:val="24"/>
        </w:rPr>
        <w:t>nell’</w:t>
      </w:r>
      <w:r w:rsidR="006A6FDF" w:rsidRPr="00A12813">
        <w:rPr>
          <w:rFonts w:cs="Arial"/>
          <w:szCs w:val="24"/>
        </w:rPr>
        <w:t>implementa</w:t>
      </w:r>
      <w:r w:rsidR="006A6FDF">
        <w:rPr>
          <w:rFonts w:cs="Arial"/>
          <w:szCs w:val="24"/>
        </w:rPr>
        <w:t>zione</w:t>
      </w:r>
      <w:r w:rsidR="006A6FDF" w:rsidRPr="00A12813">
        <w:rPr>
          <w:rFonts w:cs="Arial"/>
          <w:szCs w:val="24"/>
        </w:rPr>
        <w:t xml:space="preserve"> </w:t>
      </w:r>
      <w:r w:rsidR="006A6FDF">
        <w:rPr>
          <w:rFonts w:cs="Arial"/>
          <w:szCs w:val="24"/>
        </w:rPr>
        <w:t>degli</w:t>
      </w:r>
      <w:r w:rsidR="006A6FDF" w:rsidRPr="00A12813">
        <w:rPr>
          <w:rFonts w:cs="Arial"/>
          <w:szCs w:val="24"/>
        </w:rPr>
        <w:t xml:space="preserve"> investimenti a favore dello sviluppo della produzione di </w:t>
      </w:r>
      <w:proofErr w:type="spellStart"/>
      <w:r w:rsidR="006A6FDF" w:rsidRPr="00A12813">
        <w:rPr>
          <w:rFonts w:cs="Arial"/>
          <w:szCs w:val="24"/>
        </w:rPr>
        <w:t>elettricita</w:t>
      </w:r>
      <w:proofErr w:type="spellEnd"/>
      <w:r w:rsidR="006A6FDF" w:rsidRPr="00A12813">
        <w:rPr>
          <w:rFonts w:cs="Arial"/>
          <w:szCs w:val="24"/>
        </w:rPr>
        <w:t>̀ da fonti rinnovabili indigene e la promozione dell’efficienza energetica attraverso nuovi vettori</w:t>
      </w:r>
      <w:r w:rsidR="006A6FDF">
        <w:rPr>
          <w:rFonts w:cs="Arial"/>
          <w:szCs w:val="24"/>
        </w:rPr>
        <w:t xml:space="preserve"> energetici (p. es. </w:t>
      </w:r>
      <w:r w:rsidR="006A6FDF" w:rsidRPr="00A12813">
        <w:rPr>
          <w:rFonts w:cs="Arial"/>
          <w:szCs w:val="24"/>
        </w:rPr>
        <w:t>calore e</w:t>
      </w:r>
      <w:r w:rsidR="006A6FDF">
        <w:rPr>
          <w:rFonts w:cs="Arial"/>
          <w:szCs w:val="24"/>
        </w:rPr>
        <w:t xml:space="preserve"> </w:t>
      </w:r>
      <w:r w:rsidR="006A6FDF" w:rsidRPr="00A12813">
        <w:rPr>
          <w:rFonts w:cs="Arial"/>
          <w:szCs w:val="24"/>
        </w:rPr>
        <w:t>idrogeno</w:t>
      </w:r>
      <w:r w:rsidR="006A6FDF">
        <w:rPr>
          <w:rFonts w:cs="Arial"/>
          <w:szCs w:val="24"/>
        </w:rPr>
        <w:t xml:space="preserve">) </w:t>
      </w:r>
      <w:r w:rsidRPr="009529B5">
        <w:rPr>
          <w:rFonts w:cs="Arial"/>
          <w:szCs w:val="24"/>
        </w:rPr>
        <w:t xml:space="preserve">è </w:t>
      </w:r>
      <w:r w:rsidRPr="009529B5">
        <w:t xml:space="preserve">coerente con il summenzionato documento e conforme agli indirizzi fissati dal Cantone sia a livello legislativo sia a livello di Piano Energetico Cantonale (PEC) e di Piano Direttore. </w:t>
      </w:r>
      <w:r w:rsidRPr="009529B5">
        <w:rPr>
          <w:rFonts w:cs="Arial"/>
        </w:rPr>
        <w:t xml:space="preserve">Il </w:t>
      </w:r>
      <w:r w:rsidR="00821BB1" w:rsidRPr="009529B5">
        <w:t xml:space="preserve">Consiglio di Stato </w:t>
      </w:r>
      <w:r w:rsidR="00A32693" w:rsidRPr="009529B5">
        <w:t xml:space="preserve">segnala </w:t>
      </w:r>
      <w:r w:rsidR="006A6FDF">
        <w:t xml:space="preserve">inoltre </w:t>
      </w:r>
      <w:r w:rsidR="00821BB1" w:rsidRPr="009529B5">
        <w:t xml:space="preserve">che l’attività di vigilanza </w:t>
      </w:r>
      <w:r w:rsidRPr="009529B5">
        <w:t>per il 202</w:t>
      </w:r>
      <w:r w:rsidR="009529B5" w:rsidRPr="009529B5">
        <w:t>2</w:t>
      </w:r>
      <w:r w:rsidRPr="009529B5">
        <w:t xml:space="preserve"> è stata caratterizzata, come gli scorsi anni, da un clima di fiducia reciproca, di collaborazione e di trasparenza.</w:t>
      </w:r>
    </w:p>
    <w:p w14:paraId="65D065E3" w14:textId="4A62709B" w:rsidR="00821BB1" w:rsidRDefault="00821BB1" w:rsidP="00821BB1">
      <w:r w:rsidRPr="00DA5EE4">
        <w:t xml:space="preserve">La CCMP-AET, nel suo rapporto allegato, ritiene esauriente l’informazione </w:t>
      </w:r>
      <w:r w:rsidR="00DA5EE4" w:rsidRPr="00DA5EE4">
        <w:t xml:space="preserve">e soddisfacente </w:t>
      </w:r>
      <w:r w:rsidRPr="00DA5EE4">
        <w:t xml:space="preserve">l’attività di vigilanza diretta </w:t>
      </w:r>
      <w:r w:rsidR="00F73B68">
        <w:t xml:space="preserve">svolta </w:t>
      </w:r>
      <w:r w:rsidRPr="00DA5EE4">
        <w:t>d</w:t>
      </w:r>
      <w:r w:rsidR="00F73B68">
        <w:t>a</w:t>
      </w:r>
      <w:r w:rsidRPr="00DA5EE4">
        <w:t>l Consiglio di Stato.</w:t>
      </w:r>
    </w:p>
    <w:p w14:paraId="280E4EA8" w14:textId="46F05EF3" w:rsidR="00C8010E" w:rsidRDefault="00C8010E" w:rsidP="00C8010E"/>
    <w:p w14:paraId="3B99B34D" w14:textId="77777777" w:rsidR="005B77C4" w:rsidRPr="00D65A89" w:rsidRDefault="005B77C4" w:rsidP="00C8010E"/>
    <w:p w14:paraId="28A794B3" w14:textId="466C32D4" w:rsidR="00B10D38" w:rsidRDefault="00B10D38" w:rsidP="00B10D38">
      <w:pPr>
        <w:pStyle w:val="Titolo1"/>
        <w:numPr>
          <w:ilvl w:val="0"/>
          <w:numId w:val="18"/>
        </w:numPr>
        <w:tabs>
          <w:tab w:val="left" w:pos="567"/>
        </w:tabs>
        <w:spacing w:before="0"/>
        <w:ind w:left="567" w:hanging="567"/>
        <w:jc w:val="both"/>
      </w:pPr>
      <w:bookmarkStart w:id="8" w:name="_Toc390264058"/>
      <w:bookmarkStart w:id="9" w:name="_Toc471834937"/>
      <w:bookmarkEnd w:id="5"/>
      <w:bookmarkEnd w:id="6"/>
      <w:bookmarkEnd w:id="7"/>
      <w:bookmarkEnd w:id="8"/>
      <w:r>
        <w:t>SPUNTI E RIFLESSIONI DAI LAVORI DELLA CCMP-AET</w:t>
      </w:r>
    </w:p>
    <w:p w14:paraId="11B9AD00" w14:textId="19DF5A73" w:rsidR="00B10D38" w:rsidRDefault="00B10D38" w:rsidP="00B10D38">
      <w:pPr>
        <w:spacing w:after="120"/>
        <w:contextualSpacing/>
      </w:pPr>
      <w:r>
        <w:t xml:space="preserve">La Commissione di controllo del mandato pubblico dell’Azienda elettrica ticinese (CCMP-AET) ha incontrato in audizione i vertici di AET con il rappresentante dell’Ufficio </w:t>
      </w:r>
      <w:r w:rsidR="003536CB">
        <w:t>c</w:t>
      </w:r>
      <w:r>
        <w:t>antonale dell’energia.</w:t>
      </w:r>
    </w:p>
    <w:p w14:paraId="1E2EBD4E" w14:textId="75A452A9" w:rsidR="00B10D38" w:rsidRDefault="00B10D38" w:rsidP="00B10D38">
      <w:pPr>
        <w:spacing w:after="120"/>
        <w:contextualSpacing/>
      </w:pPr>
      <w:r>
        <w:t xml:space="preserve">Per AET erano presenti l’ing. Giovanni Leonardi (presidente </w:t>
      </w:r>
      <w:r w:rsidRPr="00B10D38">
        <w:t>del Consiglio di amministrazione</w:t>
      </w:r>
      <w:r>
        <w:t xml:space="preserve">), l’ing. Roberto </w:t>
      </w:r>
      <w:proofErr w:type="spellStart"/>
      <w:r>
        <w:t>Pronini</w:t>
      </w:r>
      <w:proofErr w:type="spellEnd"/>
      <w:r>
        <w:t xml:space="preserve"> (Direttore), Claudio Nauer (condirettore) ed il sig. Flavio </w:t>
      </w:r>
      <w:proofErr w:type="spellStart"/>
      <w:r>
        <w:t>Kurzo</w:t>
      </w:r>
      <w:proofErr w:type="spellEnd"/>
      <w:r>
        <w:t xml:space="preserve"> (vicedirettore e </w:t>
      </w:r>
      <w:r w:rsidRPr="00B10D38">
        <w:t xml:space="preserve">responsabile finanze e </w:t>
      </w:r>
      <w:proofErr w:type="spellStart"/>
      <w:r w:rsidRPr="00B10D38">
        <w:t>risk</w:t>
      </w:r>
      <w:proofErr w:type="spellEnd"/>
      <w:r w:rsidRPr="00B10D38">
        <w:t xml:space="preserve"> management</w:t>
      </w:r>
      <w:r>
        <w:t>)</w:t>
      </w:r>
    </w:p>
    <w:p w14:paraId="72DA7F43" w14:textId="1F3B6AAB" w:rsidR="00B10D38" w:rsidRDefault="00B10D38" w:rsidP="00B10D38">
      <w:pPr>
        <w:spacing w:after="120"/>
      </w:pPr>
      <w:r>
        <w:t>Per l’Ufficio cantonale dell’energia era p</w:t>
      </w:r>
      <w:r w:rsidR="003536CB">
        <w:t>rese</w:t>
      </w:r>
      <w:r>
        <w:t xml:space="preserve">nte l’ing. Luca </w:t>
      </w:r>
      <w:proofErr w:type="spellStart"/>
      <w:r>
        <w:t>Gut</w:t>
      </w:r>
      <w:proofErr w:type="spellEnd"/>
      <w:r>
        <w:t>.</w:t>
      </w:r>
    </w:p>
    <w:p w14:paraId="6D50AFA9" w14:textId="0D84F1C6" w:rsidR="00B10D38" w:rsidRDefault="00B10D38" w:rsidP="00B10D38">
      <w:pPr>
        <w:spacing w:after="120"/>
      </w:pPr>
      <w:r>
        <w:t xml:space="preserve">Riportiamo qui di seguito </w:t>
      </w:r>
      <w:r w:rsidR="00355320">
        <w:t>le risposte alle domande formulate dalla CCMP-AET ricevute in audizione:</w:t>
      </w:r>
    </w:p>
    <w:p w14:paraId="5E8F6844" w14:textId="77777777" w:rsidR="00355320" w:rsidRDefault="00355320" w:rsidP="003536CB">
      <w:pPr>
        <w:pStyle w:val="Paragrafoelenco"/>
        <w:numPr>
          <w:ilvl w:val="0"/>
          <w:numId w:val="31"/>
        </w:numPr>
        <w:spacing w:after="120"/>
        <w:ind w:left="426" w:hanging="426"/>
      </w:pPr>
      <w:r w:rsidRPr="00355320">
        <w:t>«</w:t>
      </w:r>
      <w:r w:rsidRPr="003536CB">
        <w:rPr>
          <w:i/>
        </w:rPr>
        <w:t>Nel 2022 l’Azienda elettrica ticinese (AET) ha chiuso l’esercizio con un risultato negativo registrando un disavanzo netto di -59.8 milioni di franchi</w:t>
      </w:r>
      <w:r w:rsidRPr="00355320">
        <w:t xml:space="preserve"> (...) </w:t>
      </w:r>
      <w:r w:rsidRPr="003536CB">
        <w:rPr>
          <w:i/>
        </w:rPr>
        <w:t xml:space="preserve">Il risultato negativo è dovuto alla combinazione di due fattori straordinari: il massiccio ammanco di produzione idroelettrica causato dalla </w:t>
      </w:r>
      <w:proofErr w:type="spellStart"/>
      <w:r w:rsidRPr="003536CB">
        <w:rPr>
          <w:i/>
        </w:rPr>
        <w:t>siccita</w:t>
      </w:r>
      <w:proofErr w:type="spellEnd"/>
      <w:r w:rsidRPr="003536CB">
        <w:rPr>
          <w:i/>
        </w:rPr>
        <w:t>̀ a Sud delle Alpi e la parallela impennata dei prezzi sui mercati internazionali, che ha costretto l’Azienda ad acquistare energia a prezzi maggiori rispetto a quelli di vendita</w:t>
      </w:r>
      <w:r w:rsidRPr="00355320">
        <w:t xml:space="preserve">» (Messaggio 8328, pag. 1). </w:t>
      </w:r>
    </w:p>
    <w:p w14:paraId="7B4EF3E6" w14:textId="34ADFD36" w:rsidR="00355320" w:rsidRPr="002D649C" w:rsidRDefault="002D649C" w:rsidP="002D649C">
      <w:pPr>
        <w:spacing w:after="120"/>
        <w:ind w:left="993" w:hanging="567"/>
        <w:rPr>
          <w:rFonts w:asciiTheme="minorHAnsi" w:hAnsiTheme="minorHAnsi" w:cstheme="minorHAnsi"/>
          <w:bCs/>
          <w:i/>
        </w:rPr>
      </w:pPr>
      <w:r>
        <w:rPr>
          <w:rFonts w:asciiTheme="minorHAnsi" w:hAnsiTheme="minorHAnsi" w:cstheme="minorHAnsi"/>
          <w:bCs/>
          <w:i/>
        </w:rPr>
        <w:t>D:</w:t>
      </w:r>
      <w:r>
        <w:rPr>
          <w:rFonts w:asciiTheme="minorHAnsi" w:hAnsiTheme="minorHAnsi" w:cstheme="minorHAnsi"/>
          <w:bCs/>
          <w:i/>
        </w:rPr>
        <w:tab/>
      </w:r>
      <w:r w:rsidR="00355320" w:rsidRPr="002D649C">
        <w:rPr>
          <w:rFonts w:asciiTheme="minorHAnsi" w:hAnsiTheme="minorHAnsi" w:cstheme="minorHAnsi"/>
          <w:bCs/>
          <w:i/>
        </w:rPr>
        <w:t xml:space="preserve">AET ha tentato di delineare degli scenari plausibili dell’evoluzione della situazione per i prossimi anni? </w:t>
      </w:r>
    </w:p>
    <w:p w14:paraId="7DDB2813" w14:textId="2516AE5C" w:rsidR="002D649C" w:rsidRDefault="002D649C" w:rsidP="00260430">
      <w:pPr>
        <w:spacing w:after="120"/>
        <w:ind w:left="993" w:hanging="567"/>
        <w:rPr>
          <w:rFonts w:asciiTheme="minorHAnsi" w:hAnsiTheme="minorHAnsi" w:cstheme="minorHAnsi"/>
          <w:bCs/>
          <w:i/>
        </w:rPr>
      </w:pPr>
      <w:r w:rsidRPr="00260430">
        <w:rPr>
          <w:rFonts w:asciiTheme="minorHAnsi" w:hAnsiTheme="minorHAnsi" w:cstheme="minorHAnsi"/>
          <w:bCs/>
          <w:i/>
        </w:rPr>
        <w:t>R:</w:t>
      </w:r>
      <w:r w:rsidRPr="00260430">
        <w:rPr>
          <w:rFonts w:asciiTheme="minorHAnsi" w:hAnsiTheme="minorHAnsi" w:cstheme="minorHAnsi"/>
          <w:bCs/>
          <w:i/>
        </w:rPr>
        <w:tab/>
        <w:t>AET allestisce il preventivo dell’anno successivo sulla base delle precipitazioni medie. Per il preventivo 2023 si è partiti da un anno medio, ma togliendo il 10%, perché dopo un anno secco come il 2022 anche l’anno successivo può essere difficoltoso. Viene allestito anche una sorta di piano finanziario su 10 anni. Non sono stati inseriti altri anni siccitosi come il 2022, ritenendo si sia trattato di un evento davvero straordinario. Per stimare l’evoluzione dei prezzi nei primi tre anni ci si basa sui prezzi visibili sul mercato; per gli anni successivi su valori derivanti dalle curve dei prezzi acquistate da società specializzate. Il consiglio di amministrazione adotta il preventivo e prende atto della pianificazione dei nove anni successivi.</w:t>
      </w:r>
      <w:r w:rsidR="00260430" w:rsidRPr="00260430">
        <w:rPr>
          <w:rFonts w:asciiTheme="minorHAnsi" w:hAnsiTheme="minorHAnsi" w:cstheme="minorHAnsi"/>
          <w:bCs/>
          <w:i/>
        </w:rPr>
        <w:t xml:space="preserve"> </w:t>
      </w:r>
      <w:r w:rsidRPr="00260430">
        <w:rPr>
          <w:rFonts w:asciiTheme="minorHAnsi" w:hAnsiTheme="minorHAnsi" w:cstheme="minorHAnsi"/>
          <w:bCs/>
          <w:i/>
        </w:rPr>
        <w:t xml:space="preserve">Anche il 2023, fino alla fine di agosto è stato un anno molto secco e il deficit di produzione è abbastanza sensibile. Nel 2022 si è registrato un deficit di 700 </w:t>
      </w:r>
      <w:proofErr w:type="spellStart"/>
      <w:r w:rsidRPr="00260430">
        <w:rPr>
          <w:rFonts w:asciiTheme="minorHAnsi" w:hAnsiTheme="minorHAnsi" w:cstheme="minorHAnsi"/>
          <w:bCs/>
          <w:i/>
        </w:rPr>
        <w:t>GWh</w:t>
      </w:r>
      <w:proofErr w:type="spellEnd"/>
      <w:r w:rsidRPr="00260430">
        <w:rPr>
          <w:rFonts w:asciiTheme="minorHAnsi" w:hAnsiTheme="minorHAnsi" w:cstheme="minorHAnsi"/>
          <w:bCs/>
          <w:i/>
        </w:rPr>
        <w:t xml:space="preserve">; nel 2023 si stima un deficit di circa 320-350 </w:t>
      </w:r>
      <w:proofErr w:type="spellStart"/>
      <w:r w:rsidRPr="00260430">
        <w:rPr>
          <w:rFonts w:asciiTheme="minorHAnsi" w:hAnsiTheme="minorHAnsi" w:cstheme="minorHAnsi"/>
          <w:bCs/>
          <w:i/>
        </w:rPr>
        <w:t>GWh</w:t>
      </w:r>
      <w:proofErr w:type="spellEnd"/>
      <w:r w:rsidRPr="00260430">
        <w:rPr>
          <w:rFonts w:asciiTheme="minorHAnsi" w:hAnsiTheme="minorHAnsi" w:cstheme="minorHAnsi"/>
          <w:bCs/>
          <w:i/>
        </w:rPr>
        <w:t>.</w:t>
      </w:r>
      <w:r w:rsidR="00260430" w:rsidRPr="00260430">
        <w:rPr>
          <w:rFonts w:asciiTheme="minorHAnsi" w:hAnsiTheme="minorHAnsi" w:cstheme="minorHAnsi"/>
          <w:bCs/>
          <w:i/>
        </w:rPr>
        <w:t xml:space="preserve"> Il 2022 è stato un anno veramente straordinario. Da un lato, sui mercati internazionali i prezzi sono aumentati da 70-80 €/MWh a oltre 1'000 €/MWh. Questo aumento era assolutamente imprevedibile; né AET né i suoi competitor sono riusciti a prevederlo. Dall’altro lato, a causa della siccità AET ha subito un ammanco di oltre il 40% della produzione. Anche questo calo è stato del tutto imprevedibile. Si può prevedere che capitino anni secchi e ce ne sono già stati (2003, 2005, 2006), ma mai di tale intensità</w:t>
      </w:r>
      <w:r w:rsidR="007A6B9E">
        <w:rPr>
          <w:rFonts w:asciiTheme="minorHAnsi" w:hAnsiTheme="minorHAnsi" w:cstheme="minorHAnsi"/>
          <w:bCs/>
          <w:i/>
        </w:rPr>
        <w:t>.</w:t>
      </w:r>
    </w:p>
    <w:p w14:paraId="4CC21A32" w14:textId="4D73D4F1" w:rsidR="005B77C4" w:rsidRDefault="005B77C4">
      <w:pPr>
        <w:rPr>
          <w:rFonts w:asciiTheme="minorHAnsi" w:hAnsiTheme="minorHAnsi" w:cstheme="minorHAnsi"/>
          <w:bCs/>
          <w:i/>
        </w:rPr>
      </w:pPr>
      <w:r>
        <w:rPr>
          <w:rFonts w:asciiTheme="minorHAnsi" w:hAnsiTheme="minorHAnsi" w:cstheme="minorHAnsi"/>
          <w:bCs/>
          <w:i/>
        </w:rPr>
        <w:br w:type="page"/>
      </w:r>
    </w:p>
    <w:p w14:paraId="56EA230E" w14:textId="713DBD3D" w:rsidR="00355320" w:rsidRPr="00355320" w:rsidRDefault="002D649C" w:rsidP="002D649C">
      <w:pPr>
        <w:spacing w:after="120"/>
        <w:ind w:left="993" w:hanging="567"/>
        <w:rPr>
          <w:rFonts w:asciiTheme="minorHAnsi" w:hAnsiTheme="minorHAnsi" w:cstheme="minorHAnsi"/>
          <w:bCs/>
          <w:i/>
        </w:rPr>
      </w:pPr>
      <w:r>
        <w:rPr>
          <w:rFonts w:asciiTheme="minorHAnsi" w:hAnsiTheme="minorHAnsi" w:cstheme="minorHAnsi"/>
          <w:bCs/>
          <w:i/>
        </w:rPr>
        <w:t>D:</w:t>
      </w:r>
      <w:r>
        <w:rPr>
          <w:rFonts w:asciiTheme="minorHAnsi" w:hAnsiTheme="minorHAnsi" w:cstheme="minorHAnsi"/>
          <w:bCs/>
          <w:i/>
        </w:rPr>
        <w:tab/>
      </w:r>
      <w:r w:rsidR="00355320" w:rsidRPr="00355320">
        <w:rPr>
          <w:rFonts w:asciiTheme="minorHAnsi" w:hAnsiTheme="minorHAnsi" w:cstheme="minorHAnsi"/>
          <w:bCs/>
          <w:i/>
        </w:rPr>
        <w:t xml:space="preserve">Se le difficoltà del 2022 dovessero protrarsi, nello scenario peggiore (da un lato difficoltà di approvvigionamento e alti prezzi dell’energia sul mercato internazionale, dall’altro </w:t>
      </w:r>
      <w:proofErr w:type="spellStart"/>
      <w:r w:rsidR="00355320" w:rsidRPr="00355320">
        <w:rPr>
          <w:rFonts w:asciiTheme="minorHAnsi" w:hAnsiTheme="minorHAnsi" w:cstheme="minorHAnsi"/>
          <w:bCs/>
          <w:i/>
        </w:rPr>
        <w:t>siccita</w:t>
      </w:r>
      <w:proofErr w:type="spellEnd"/>
      <w:r w:rsidR="00355320" w:rsidRPr="00355320">
        <w:rPr>
          <w:rFonts w:asciiTheme="minorHAnsi" w:hAnsiTheme="minorHAnsi" w:cstheme="minorHAnsi"/>
          <w:bCs/>
          <w:i/>
        </w:rPr>
        <w:t xml:space="preserve">̀ e quindi </w:t>
      </w:r>
      <w:proofErr w:type="spellStart"/>
      <w:r w:rsidR="00355320" w:rsidRPr="00355320">
        <w:rPr>
          <w:rFonts w:asciiTheme="minorHAnsi" w:hAnsiTheme="minorHAnsi" w:cstheme="minorHAnsi"/>
          <w:bCs/>
          <w:i/>
        </w:rPr>
        <w:t>scarsita</w:t>
      </w:r>
      <w:proofErr w:type="spellEnd"/>
      <w:r w:rsidR="00355320" w:rsidRPr="00355320">
        <w:rPr>
          <w:rFonts w:asciiTheme="minorHAnsi" w:hAnsiTheme="minorHAnsi" w:cstheme="minorHAnsi"/>
          <w:bCs/>
          <w:i/>
        </w:rPr>
        <w:t xml:space="preserve">̀ di produzione dell’idroelettrico in Ticino), per quanti anni AET sarebbe in grado di assorbire le perdite senza dover adottare misure drastiche? </w:t>
      </w:r>
    </w:p>
    <w:p w14:paraId="3A5DEF3D" w14:textId="69A105A8" w:rsidR="00E2013A" w:rsidRPr="003536CB" w:rsidRDefault="00AD4971" w:rsidP="003536CB">
      <w:pPr>
        <w:ind w:left="992" w:hanging="567"/>
        <w:rPr>
          <w:rFonts w:asciiTheme="minorHAnsi" w:hAnsiTheme="minorHAnsi" w:cstheme="minorHAnsi"/>
          <w:bCs/>
          <w:i/>
        </w:rPr>
      </w:pPr>
      <w:r w:rsidRPr="004B73E8">
        <w:rPr>
          <w:rFonts w:asciiTheme="minorHAnsi" w:hAnsiTheme="minorHAnsi" w:cstheme="minorHAnsi"/>
          <w:bCs/>
          <w:i/>
        </w:rPr>
        <w:t>R:</w:t>
      </w:r>
      <w:r w:rsidRPr="004B73E8">
        <w:rPr>
          <w:rFonts w:asciiTheme="minorHAnsi" w:hAnsiTheme="minorHAnsi" w:cstheme="minorHAnsi"/>
          <w:bCs/>
          <w:i/>
        </w:rPr>
        <w:tab/>
      </w:r>
      <w:r w:rsidR="00DC2E20" w:rsidRPr="004B73E8">
        <w:rPr>
          <w:rFonts w:asciiTheme="minorHAnsi" w:hAnsiTheme="minorHAnsi" w:cstheme="minorHAnsi"/>
          <w:bCs/>
          <w:i/>
        </w:rPr>
        <w:t>N</w:t>
      </w:r>
      <w:r w:rsidRPr="004B73E8">
        <w:rPr>
          <w:rFonts w:asciiTheme="minorHAnsi" w:hAnsiTheme="minorHAnsi" w:cstheme="minorHAnsi"/>
          <w:bCs/>
          <w:i/>
        </w:rPr>
        <w:t xml:space="preserve">on c’è una risposta matematica. AET attualmente ha 200 milioni di fondi propri (consolidati 290 milioni). Se ogni anno si registrassero 60 milioni di perdita, tecnicamente potremmo sopportarne ancora un paio. </w:t>
      </w:r>
      <w:r w:rsidR="00AA38B3" w:rsidRPr="00AA38B3">
        <w:rPr>
          <w:rFonts w:asciiTheme="minorHAnsi" w:hAnsiTheme="minorHAnsi" w:cstheme="minorHAnsi"/>
          <w:bCs/>
          <w:i/>
        </w:rPr>
        <w:t>L’indebolimento del capitale proprio comporta una serie di conseguenze anche a livello di rapporti con gli istituti di credito</w:t>
      </w:r>
      <w:r w:rsidR="00A17ABA">
        <w:rPr>
          <w:rFonts w:asciiTheme="minorHAnsi" w:hAnsiTheme="minorHAnsi" w:cstheme="minorHAnsi"/>
          <w:bCs/>
          <w:i/>
        </w:rPr>
        <w:t xml:space="preserve">. </w:t>
      </w:r>
      <w:r w:rsidR="00A17ABA" w:rsidRPr="00A17ABA">
        <w:rPr>
          <w:rFonts w:asciiTheme="minorHAnsi" w:hAnsiTheme="minorHAnsi" w:cstheme="minorHAnsi"/>
          <w:bCs/>
          <w:i/>
        </w:rPr>
        <w:t>Sul lungo termine bisogna mettere in conto che una perdita importante può nuovamente capitare, perciò AET fa conto di aumentare i fondi propri nei prossimi anni.</w:t>
      </w:r>
      <w:r w:rsidR="00216C85">
        <w:rPr>
          <w:rFonts w:asciiTheme="minorHAnsi" w:hAnsiTheme="minorHAnsi" w:cstheme="minorHAnsi"/>
          <w:bCs/>
          <w:i/>
        </w:rPr>
        <w:t xml:space="preserve"> </w:t>
      </w:r>
      <w:r w:rsidR="00E2013A" w:rsidRPr="00E2013A">
        <w:rPr>
          <w:rFonts w:asciiTheme="minorHAnsi" w:hAnsiTheme="minorHAnsi" w:cstheme="minorHAnsi"/>
          <w:bCs/>
          <w:i/>
        </w:rPr>
        <w:t xml:space="preserve">AET ha adottato una serie di misure, a livello di gestione del portafoglio, per limitare l’esposizione finanziaria, affinché un eventuale nuovo evento analogo abbia </w:t>
      </w:r>
      <w:r w:rsidR="00E2013A" w:rsidRPr="003536CB">
        <w:rPr>
          <w:rFonts w:asciiTheme="minorHAnsi" w:hAnsiTheme="minorHAnsi" w:cstheme="minorHAnsi"/>
          <w:bCs/>
          <w:i/>
        </w:rPr>
        <w:t>un impatto più limitato</w:t>
      </w:r>
    </w:p>
    <w:p w14:paraId="0F309B46" w14:textId="77777777" w:rsidR="00AD4971" w:rsidRPr="003536CB" w:rsidRDefault="00AD4971" w:rsidP="003536CB">
      <w:pPr>
        <w:ind w:left="426"/>
        <w:rPr>
          <w:rFonts w:asciiTheme="minorHAnsi" w:hAnsiTheme="minorHAnsi" w:cstheme="minorHAnsi"/>
          <w:bCs/>
        </w:rPr>
      </w:pPr>
    </w:p>
    <w:p w14:paraId="35282437" w14:textId="13C8E1F2" w:rsidR="00A05E70" w:rsidRDefault="00A05E70" w:rsidP="003536CB">
      <w:pPr>
        <w:pStyle w:val="Paragrafoelenco"/>
        <w:numPr>
          <w:ilvl w:val="0"/>
          <w:numId w:val="31"/>
        </w:numPr>
        <w:spacing w:after="120"/>
        <w:ind w:left="425" w:hanging="425"/>
        <w:contextualSpacing w:val="0"/>
      </w:pPr>
      <w:r w:rsidRPr="00A05E70">
        <w:t>Gestione della crisi e insegnamenti per il futuro: gli ultimi anni hanno presentato innegabili difficoltà, alcune del tutto impreviste, come la pandemia d</w:t>
      </w:r>
      <w:r>
        <w:t>a</w:t>
      </w:r>
      <w:r w:rsidRPr="00A05E70">
        <w:t xml:space="preserve"> </w:t>
      </w:r>
      <w:proofErr w:type="spellStart"/>
      <w:r w:rsidRPr="00A05E70">
        <w:t>Covid</w:t>
      </w:r>
      <w:proofErr w:type="spellEnd"/>
      <w:r w:rsidRPr="00A05E70">
        <w:t xml:space="preserve"> e lo s</w:t>
      </w:r>
      <w:r w:rsidR="003536CB">
        <w:t>coppio della guerra in Ucraina.</w:t>
      </w:r>
    </w:p>
    <w:p w14:paraId="2A8EE403" w14:textId="7B983FE3" w:rsidR="00A05E70" w:rsidRDefault="00AF0647" w:rsidP="00AF0647">
      <w:pPr>
        <w:spacing w:after="120"/>
        <w:ind w:left="993" w:hanging="567"/>
        <w:rPr>
          <w:rFonts w:asciiTheme="minorHAnsi" w:hAnsiTheme="minorHAnsi" w:cstheme="minorHAnsi"/>
          <w:bCs/>
          <w:i/>
        </w:rPr>
      </w:pPr>
      <w:r>
        <w:rPr>
          <w:rFonts w:asciiTheme="minorHAnsi" w:hAnsiTheme="minorHAnsi" w:cstheme="minorHAnsi"/>
          <w:bCs/>
          <w:i/>
        </w:rPr>
        <w:t>D:</w:t>
      </w:r>
      <w:r>
        <w:rPr>
          <w:rFonts w:asciiTheme="minorHAnsi" w:hAnsiTheme="minorHAnsi" w:cstheme="minorHAnsi"/>
          <w:bCs/>
          <w:i/>
        </w:rPr>
        <w:tab/>
      </w:r>
      <w:r w:rsidR="00A05E70" w:rsidRPr="00A05E70">
        <w:rPr>
          <w:rFonts w:asciiTheme="minorHAnsi" w:hAnsiTheme="minorHAnsi" w:cstheme="minorHAnsi"/>
          <w:bCs/>
          <w:i/>
        </w:rPr>
        <w:t xml:space="preserve">Per fronteggiare il periodo di crisi AET e le aziende di distribuzione hanno lavorato in maniera sinergica e coordinata, anche con scambi di informazioni oppure sono prevalsi i singoli interessi? </w:t>
      </w:r>
    </w:p>
    <w:p w14:paraId="527F85C2" w14:textId="0414CD31" w:rsidR="00A61508" w:rsidRPr="003536CB" w:rsidRDefault="00AF0647" w:rsidP="00A61508">
      <w:pPr>
        <w:spacing w:after="120"/>
        <w:ind w:left="993" w:hanging="567"/>
        <w:rPr>
          <w:rFonts w:asciiTheme="minorHAnsi" w:hAnsiTheme="minorHAnsi" w:cstheme="minorHAnsi"/>
          <w:bCs/>
          <w:i/>
        </w:rPr>
      </w:pPr>
      <w:r w:rsidRPr="00216C85">
        <w:rPr>
          <w:rFonts w:asciiTheme="minorHAnsi" w:hAnsiTheme="minorHAnsi" w:cstheme="minorHAnsi"/>
          <w:bCs/>
          <w:i/>
        </w:rPr>
        <w:t>R:</w:t>
      </w:r>
      <w:r w:rsidRPr="00216C85">
        <w:rPr>
          <w:rFonts w:asciiTheme="minorHAnsi" w:hAnsiTheme="minorHAnsi" w:cstheme="minorHAnsi"/>
          <w:bCs/>
          <w:i/>
        </w:rPr>
        <w:tab/>
      </w:r>
      <w:r w:rsidR="00216C85" w:rsidRPr="00757DE1">
        <w:rPr>
          <w:rFonts w:asciiTheme="minorHAnsi" w:hAnsiTheme="minorHAnsi" w:cstheme="minorHAnsi"/>
          <w:bCs/>
          <w:i/>
        </w:rPr>
        <w:t xml:space="preserve">AET conferma che </w:t>
      </w:r>
      <w:r w:rsidRPr="00757DE1">
        <w:rPr>
          <w:rFonts w:asciiTheme="minorHAnsi" w:hAnsiTheme="minorHAnsi" w:cstheme="minorHAnsi"/>
          <w:bCs/>
          <w:i/>
        </w:rPr>
        <w:t>lo scambio di informazioni con i distributori è buono.</w:t>
      </w:r>
      <w:r w:rsidR="00A61508" w:rsidRPr="00757DE1">
        <w:rPr>
          <w:rFonts w:asciiTheme="minorHAnsi" w:hAnsiTheme="minorHAnsi" w:cstheme="minorHAnsi"/>
          <w:bCs/>
          <w:i/>
        </w:rPr>
        <w:t xml:space="preserve"> La scelta di come comperare e come comporre il prezzo dell’energia </w:t>
      </w:r>
      <w:r w:rsidR="00981861" w:rsidRPr="00757DE1">
        <w:rPr>
          <w:rFonts w:asciiTheme="minorHAnsi" w:hAnsiTheme="minorHAnsi" w:cstheme="minorHAnsi"/>
          <w:bCs/>
          <w:i/>
        </w:rPr>
        <w:t>rimane di competenza</w:t>
      </w:r>
      <w:r w:rsidR="00A61508" w:rsidRPr="00757DE1">
        <w:rPr>
          <w:rFonts w:asciiTheme="minorHAnsi" w:hAnsiTheme="minorHAnsi" w:cstheme="minorHAnsi"/>
          <w:bCs/>
          <w:i/>
        </w:rPr>
        <w:t xml:space="preserve"> d</w:t>
      </w:r>
      <w:r w:rsidR="00296039">
        <w:rPr>
          <w:rFonts w:asciiTheme="minorHAnsi" w:hAnsiTheme="minorHAnsi" w:cstheme="minorHAnsi"/>
          <w:bCs/>
          <w:i/>
        </w:rPr>
        <w:t>e</w:t>
      </w:r>
      <w:r w:rsidR="00A61508" w:rsidRPr="00757DE1">
        <w:rPr>
          <w:rFonts w:asciiTheme="minorHAnsi" w:hAnsiTheme="minorHAnsi" w:cstheme="minorHAnsi"/>
          <w:bCs/>
          <w:i/>
        </w:rPr>
        <w:t>lle aziende distributrici. Per questo motivo ci sono importanti delle</w:t>
      </w:r>
      <w:r w:rsidR="00296039">
        <w:rPr>
          <w:rFonts w:asciiTheme="minorHAnsi" w:hAnsiTheme="minorHAnsi" w:cstheme="minorHAnsi"/>
          <w:bCs/>
          <w:i/>
        </w:rPr>
        <w:t xml:space="preserve"> </w:t>
      </w:r>
      <w:r w:rsidR="00A61508" w:rsidRPr="00757DE1">
        <w:rPr>
          <w:rFonts w:asciiTheme="minorHAnsi" w:hAnsiTheme="minorHAnsi" w:cstheme="minorHAnsi"/>
          <w:bCs/>
          <w:i/>
        </w:rPr>
        <w:t>differenze sulle tariffe tra i vari distributori.</w:t>
      </w:r>
      <w:r w:rsidR="00757DE1" w:rsidRPr="00757DE1">
        <w:rPr>
          <w:rFonts w:asciiTheme="minorHAnsi" w:hAnsiTheme="minorHAnsi" w:cstheme="minorHAnsi"/>
          <w:bCs/>
          <w:i/>
        </w:rPr>
        <w:t xml:space="preserve"> AET segnala che le relazioni di interesse con le </w:t>
      </w:r>
      <w:proofErr w:type="spellStart"/>
      <w:r w:rsidR="00757DE1" w:rsidRPr="00757DE1">
        <w:rPr>
          <w:rFonts w:asciiTheme="minorHAnsi" w:hAnsiTheme="minorHAnsi" w:cstheme="minorHAnsi"/>
          <w:bCs/>
          <w:i/>
        </w:rPr>
        <w:t>distibutrici</w:t>
      </w:r>
      <w:proofErr w:type="spellEnd"/>
      <w:r w:rsidR="00757DE1" w:rsidRPr="00757DE1">
        <w:rPr>
          <w:rFonts w:asciiTheme="minorHAnsi" w:hAnsiTheme="minorHAnsi" w:cstheme="minorHAnsi"/>
          <w:bCs/>
          <w:i/>
        </w:rPr>
        <w:t xml:space="preserve"> sono </w:t>
      </w:r>
      <w:r w:rsidR="00757DE1" w:rsidRPr="003536CB">
        <w:rPr>
          <w:rFonts w:asciiTheme="minorHAnsi" w:hAnsiTheme="minorHAnsi" w:cstheme="minorHAnsi"/>
          <w:bCs/>
          <w:i/>
        </w:rPr>
        <w:t xml:space="preserve">diverse, ad </w:t>
      </w:r>
      <w:proofErr w:type="spellStart"/>
      <w:r w:rsidR="00757DE1" w:rsidRPr="003536CB">
        <w:rPr>
          <w:rFonts w:asciiTheme="minorHAnsi" w:hAnsiTheme="minorHAnsi" w:cstheme="minorHAnsi"/>
          <w:bCs/>
          <w:i/>
        </w:rPr>
        <w:t>esmpio</w:t>
      </w:r>
      <w:proofErr w:type="spellEnd"/>
      <w:r w:rsidR="00757DE1" w:rsidRPr="003536CB">
        <w:rPr>
          <w:rFonts w:asciiTheme="minorHAnsi" w:hAnsiTheme="minorHAnsi" w:cstheme="minorHAnsi"/>
          <w:bCs/>
          <w:i/>
        </w:rPr>
        <w:t>:</w:t>
      </w:r>
    </w:p>
    <w:p w14:paraId="3C39AA05" w14:textId="0EF6830C" w:rsidR="00DE6A53" w:rsidRPr="00757DE1" w:rsidRDefault="009C07D6" w:rsidP="00757DE1">
      <w:pPr>
        <w:pStyle w:val="Paragrafoelenco"/>
        <w:numPr>
          <w:ilvl w:val="0"/>
          <w:numId w:val="43"/>
        </w:numPr>
        <w:spacing w:after="120"/>
        <w:ind w:left="1418" w:hanging="284"/>
        <w:rPr>
          <w:rFonts w:asciiTheme="minorHAnsi" w:hAnsiTheme="minorHAnsi" w:cstheme="minorHAnsi"/>
          <w:bCs/>
          <w:i/>
        </w:rPr>
      </w:pPr>
      <w:r w:rsidRPr="00757DE1">
        <w:rPr>
          <w:rFonts w:asciiTheme="minorHAnsi" w:hAnsiTheme="minorHAnsi" w:cstheme="minorHAnsi"/>
          <w:bCs/>
          <w:i/>
        </w:rPr>
        <w:t xml:space="preserve">Le </w:t>
      </w:r>
      <w:r w:rsidR="00AF0647" w:rsidRPr="00757DE1">
        <w:rPr>
          <w:rFonts w:asciiTheme="minorHAnsi" w:hAnsiTheme="minorHAnsi" w:cstheme="minorHAnsi"/>
          <w:bCs/>
          <w:i/>
        </w:rPr>
        <w:t>AEM</w:t>
      </w:r>
      <w:r w:rsidRPr="00757DE1">
        <w:rPr>
          <w:rFonts w:asciiTheme="minorHAnsi" w:hAnsiTheme="minorHAnsi" w:cstheme="minorHAnsi"/>
          <w:bCs/>
          <w:i/>
        </w:rPr>
        <w:t xml:space="preserve"> di</w:t>
      </w:r>
      <w:r w:rsidR="00AF0647" w:rsidRPr="00757DE1">
        <w:rPr>
          <w:rFonts w:asciiTheme="minorHAnsi" w:hAnsiTheme="minorHAnsi" w:cstheme="minorHAnsi"/>
          <w:bCs/>
          <w:i/>
        </w:rPr>
        <w:t xml:space="preserve"> </w:t>
      </w:r>
      <w:proofErr w:type="spellStart"/>
      <w:r w:rsidR="00AF0647" w:rsidRPr="00757DE1">
        <w:rPr>
          <w:rFonts w:asciiTheme="minorHAnsi" w:hAnsiTheme="minorHAnsi" w:cstheme="minorHAnsi"/>
          <w:bCs/>
          <w:i/>
        </w:rPr>
        <w:t>Massagno</w:t>
      </w:r>
      <w:proofErr w:type="spellEnd"/>
      <w:r w:rsidRPr="00757DE1">
        <w:rPr>
          <w:rFonts w:asciiTheme="minorHAnsi" w:hAnsiTheme="minorHAnsi" w:cstheme="minorHAnsi"/>
          <w:bCs/>
          <w:i/>
        </w:rPr>
        <w:t xml:space="preserve"> ad esempio</w:t>
      </w:r>
      <w:r w:rsidR="00AF0647" w:rsidRPr="00757DE1">
        <w:rPr>
          <w:rFonts w:asciiTheme="minorHAnsi" w:hAnsiTheme="minorHAnsi" w:cstheme="minorHAnsi"/>
          <w:bCs/>
          <w:i/>
        </w:rPr>
        <w:t>, ha</w:t>
      </w:r>
      <w:r w:rsidRPr="00757DE1">
        <w:rPr>
          <w:rFonts w:asciiTheme="minorHAnsi" w:hAnsiTheme="minorHAnsi" w:cstheme="minorHAnsi"/>
          <w:bCs/>
          <w:i/>
        </w:rPr>
        <w:t>nno</w:t>
      </w:r>
      <w:r w:rsidR="00AF0647" w:rsidRPr="00757DE1">
        <w:rPr>
          <w:rFonts w:asciiTheme="minorHAnsi" w:hAnsiTheme="minorHAnsi" w:cstheme="minorHAnsi"/>
          <w:bCs/>
          <w:i/>
        </w:rPr>
        <w:t xml:space="preserve"> delegato ad AET l’acquisto dell’energia regolare per 10 anni; </w:t>
      </w:r>
    </w:p>
    <w:p w14:paraId="2441DCF7" w14:textId="6410EEC1" w:rsidR="00DE6A53" w:rsidRPr="009C07D6" w:rsidRDefault="009C07D6" w:rsidP="00757DE1">
      <w:pPr>
        <w:pStyle w:val="Paragrafoelenco"/>
        <w:numPr>
          <w:ilvl w:val="0"/>
          <w:numId w:val="43"/>
        </w:numPr>
        <w:spacing w:after="120"/>
        <w:ind w:left="1418" w:hanging="284"/>
        <w:rPr>
          <w:rFonts w:asciiTheme="minorHAnsi" w:hAnsiTheme="minorHAnsi" w:cstheme="minorHAnsi"/>
          <w:bCs/>
          <w:i/>
        </w:rPr>
      </w:pPr>
      <w:r w:rsidRPr="009C07D6">
        <w:rPr>
          <w:rFonts w:asciiTheme="minorHAnsi" w:hAnsiTheme="minorHAnsi" w:cstheme="minorHAnsi"/>
          <w:bCs/>
          <w:i/>
        </w:rPr>
        <w:t>Le</w:t>
      </w:r>
      <w:r w:rsidR="00AF0647" w:rsidRPr="009C07D6">
        <w:rPr>
          <w:rFonts w:asciiTheme="minorHAnsi" w:hAnsiTheme="minorHAnsi" w:cstheme="minorHAnsi"/>
          <w:bCs/>
          <w:i/>
        </w:rPr>
        <w:t xml:space="preserve"> AIL </w:t>
      </w:r>
      <w:r w:rsidRPr="009C07D6">
        <w:rPr>
          <w:rFonts w:asciiTheme="minorHAnsi" w:hAnsiTheme="minorHAnsi" w:cstheme="minorHAnsi"/>
          <w:bCs/>
          <w:i/>
        </w:rPr>
        <w:t xml:space="preserve">di </w:t>
      </w:r>
      <w:r w:rsidR="00AF0647" w:rsidRPr="009C07D6">
        <w:rPr>
          <w:rFonts w:asciiTheme="minorHAnsi" w:hAnsiTheme="minorHAnsi" w:cstheme="minorHAnsi"/>
          <w:bCs/>
          <w:i/>
        </w:rPr>
        <w:t>Lugano, decid</w:t>
      </w:r>
      <w:r w:rsidRPr="009C07D6">
        <w:rPr>
          <w:rFonts w:asciiTheme="minorHAnsi" w:hAnsiTheme="minorHAnsi" w:cstheme="minorHAnsi"/>
          <w:bCs/>
          <w:i/>
        </w:rPr>
        <w:t>ono</w:t>
      </w:r>
      <w:r w:rsidR="00AF0647" w:rsidRPr="009C07D6">
        <w:rPr>
          <w:rFonts w:asciiTheme="minorHAnsi" w:hAnsiTheme="minorHAnsi" w:cstheme="minorHAnsi"/>
          <w:bCs/>
          <w:i/>
        </w:rPr>
        <w:t xml:space="preserve"> in proprio (AET funge unicamente da broker di energia); </w:t>
      </w:r>
    </w:p>
    <w:p w14:paraId="67ECDEFA" w14:textId="77777777" w:rsidR="005E3CAD" w:rsidRPr="005E3CAD" w:rsidRDefault="005E3CAD" w:rsidP="00757DE1">
      <w:pPr>
        <w:pStyle w:val="Paragrafoelenco"/>
        <w:numPr>
          <w:ilvl w:val="0"/>
          <w:numId w:val="43"/>
        </w:numPr>
        <w:spacing w:after="120"/>
        <w:ind w:left="1418" w:hanging="284"/>
        <w:rPr>
          <w:rFonts w:asciiTheme="minorHAnsi" w:hAnsiTheme="minorHAnsi" w:cstheme="minorHAnsi"/>
          <w:bCs/>
          <w:i/>
        </w:rPr>
      </w:pPr>
      <w:r w:rsidRPr="005E3CAD">
        <w:rPr>
          <w:rFonts w:asciiTheme="minorHAnsi" w:hAnsiTheme="minorHAnsi" w:cstheme="minorHAnsi"/>
          <w:bCs/>
          <w:i/>
        </w:rPr>
        <w:t xml:space="preserve">Altri </w:t>
      </w:r>
      <w:r w:rsidR="00AF0647" w:rsidRPr="005E3CAD">
        <w:rPr>
          <w:rFonts w:asciiTheme="minorHAnsi" w:hAnsiTheme="minorHAnsi" w:cstheme="minorHAnsi"/>
          <w:bCs/>
          <w:i/>
        </w:rPr>
        <w:t>ha</w:t>
      </w:r>
      <w:r w:rsidRPr="005E3CAD">
        <w:rPr>
          <w:rFonts w:asciiTheme="minorHAnsi" w:hAnsiTheme="minorHAnsi" w:cstheme="minorHAnsi"/>
          <w:bCs/>
          <w:i/>
        </w:rPr>
        <w:t>nno</w:t>
      </w:r>
      <w:r w:rsidR="00AF0647" w:rsidRPr="005E3CAD">
        <w:rPr>
          <w:rFonts w:asciiTheme="minorHAnsi" w:hAnsiTheme="minorHAnsi" w:cstheme="minorHAnsi"/>
          <w:bCs/>
          <w:i/>
        </w:rPr>
        <w:t xml:space="preserve"> allestito</w:t>
      </w:r>
      <w:r w:rsidRPr="005E3CAD">
        <w:rPr>
          <w:rFonts w:asciiTheme="minorHAnsi" w:hAnsiTheme="minorHAnsi" w:cstheme="minorHAnsi"/>
          <w:bCs/>
          <w:i/>
        </w:rPr>
        <w:t xml:space="preserve"> con AET</w:t>
      </w:r>
      <w:r w:rsidR="00AF0647" w:rsidRPr="005E3CAD">
        <w:rPr>
          <w:rFonts w:asciiTheme="minorHAnsi" w:hAnsiTheme="minorHAnsi" w:cstheme="minorHAnsi"/>
          <w:bCs/>
          <w:i/>
        </w:rPr>
        <w:t xml:space="preserve"> un piano di acquisto scaglionato (definendo il numero di tranche e le scadenze di acquisto).</w:t>
      </w:r>
    </w:p>
    <w:p w14:paraId="5FB010A0" w14:textId="5B89F795" w:rsidR="00AF0647" w:rsidRPr="003536CB" w:rsidRDefault="00B1029B" w:rsidP="003536CB">
      <w:pPr>
        <w:ind w:left="992"/>
        <w:rPr>
          <w:rFonts w:asciiTheme="minorHAnsi" w:hAnsiTheme="minorHAnsi" w:cstheme="minorHAnsi"/>
          <w:bCs/>
        </w:rPr>
      </w:pPr>
      <w:r>
        <w:rPr>
          <w:rFonts w:asciiTheme="minorHAnsi" w:hAnsiTheme="minorHAnsi" w:cstheme="minorHAnsi"/>
          <w:bCs/>
          <w:i/>
        </w:rPr>
        <w:t>L</w:t>
      </w:r>
      <w:r w:rsidR="004F4300" w:rsidRPr="004F4300">
        <w:rPr>
          <w:rFonts w:asciiTheme="minorHAnsi" w:hAnsiTheme="minorHAnsi" w:cstheme="minorHAnsi"/>
          <w:bCs/>
          <w:i/>
        </w:rPr>
        <w:t>a volatilità dei prezzi,</w:t>
      </w:r>
      <w:r>
        <w:rPr>
          <w:rFonts w:asciiTheme="minorHAnsi" w:hAnsiTheme="minorHAnsi" w:cstheme="minorHAnsi"/>
          <w:bCs/>
          <w:i/>
        </w:rPr>
        <w:t xml:space="preserve"> secondo AET, impone </w:t>
      </w:r>
      <w:r w:rsidRPr="004F4300">
        <w:rPr>
          <w:rFonts w:asciiTheme="minorHAnsi" w:hAnsiTheme="minorHAnsi" w:cstheme="minorHAnsi"/>
          <w:bCs/>
          <w:i/>
        </w:rPr>
        <w:t xml:space="preserve">in futuro </w:t>
      </w:r>
      <w:r>
        <w:rPr>
          <w:rFonts w:asciiTheme="minorHAnsi" w:hAnsiTheme="minorHAnsi" w:cstheme="minorHAnsi"/>
          <w:bCs/>
          <w:i/>
        </w:rPr>
        <w:t>un ripensamento del</w:t>
      </w:r>
      <w:r w:rsidR="004F4300" w:rsidRPr="004F4300">
        <w:rPr>
          <w:rFonts w:asciiTheme="minorHAnsi" w:hAnsiTheme="minorHAnsi" w:cstheme="minorHAnsi"/>
          <w:bCs/>
          <w:i/>
        </w:rPr>
        <w:t>la suddivisione del rischio</w:t>
      </w:r>
      <w:r>
        <w:rPr>
          <w:rFonts w:asciiTheme="minorHAnsi" w:hAnsiTheme="minorHAnsi" w:cstheme="minorHAnsi"/>
          <w:bCs/>
          <w:i/>
        </w:rPr>
        <w:t>.</w:t>
      </w:r>
      <w:r w:rsidR="00691533">
        <w:rPr>
          <w:rFonts w:asciiTheme="minorHAnsi" w:hAnsiTheme="minorHAnsi" w:cstheme="minorHAnsi"/>
          <w:bCs/>
          <w:i/>
        </w:rPr>
        <w:t xml:space="preserve"> </w:t>
      </w:r>
      <w:r w:rsidR="00691533" w:rsidRPr="001E69CD">
        <w:rPr>
          <w:rFonts w:asciiTheme="minorHAnsi" w:hAnsiTheme="minorHAnsi" w:cstheme="minorHAnsi"/>
          <w:bCs/>
          <w:i/>
        </w:rPr>
        <w:t>AET diventerà sicuramente più prudente e nei futuri contratti rivedrà certi parametri</w:t>
      </w:r>
      <w:r w:rsidR="008E5134">
        <w:rPr>
          <w:rFonts w:asciiTheme="minorHAnsi" w:hAnsiTheme="minorHAnsi" w:cstheme="minorHAnsi"/>
          <w:bCs/>
          <w:i/>
        </w:rPr>
        <w:t xml:space="preserve">, in quanto nei </w:t>
      </w:r>
      <w:r w:rsidR="00AF0647" w:rsidRPr="001E69CD">
        <w:rPr>
          <w:rFonts w:asciiTheme="minorHAnsi" w:hAnsiTheme="minorHAnsi" w:cstheme="minorHAnsi"/>
          <w:bCs/>
          <w:i/>
        </w:rPr>
        <w:t>contratti storici</w:t>
      </w:r>
      <w:r w:rsidR="008E5134">
        <w:rPr>
          <w:rFonts w:asciiTheme="minorHAnsi" w:hAnsiTheme="minorHAnsi" w:cstheme="minorHAnsi"/>
          <w:bCs/>
          <w:i/>
        </w:rPr>
        <w:t xml:space="preserve"> in essere</w:t>
      </w:r>
      <w:r w:rsidR="00AF0647" w:rsidRPr="001E69CD">
        <w:rPr>
          <w:rFonts w:asciiTheme="minorHAnsi" w:hAnsiTheme="minorHAnsi" w:cstheme="minorHAnsi"/>
          <w:bCs/>
          <w:i/>
        </w:rPr>
        <w:t xml:space="preserve"> non </w:t>
      </w:r>
      <w:r w:rsidR="00D3508C">
        <w:rPr>
          <w:rFonts w:asciiTheme="minorHAnsi" w:hAnsiTheme="minorHAnsi" w:cstheme="minorHAnsi"/>
          <w:bCs/>
          <w:i/>
        </w:rPr>
        <w:t>sono contenute coperture del rischio</w:t>
      </w:r>
      <w:r w:rsidR="00AF0647" w:rsidRPr="001E69CD">
        <w:rPr>
          <w:rFonts w:asciiTheme="minorHAnsi" w:hAnsiTheme="minorHAnsi" w:cstheme="minorHAnsi"/>
          <w:bCs/>
          <w:i/>
        </w:rPr>
        <w:t xml:space="preserve"> a favore di AET</w:t>
      </w:r>
      <w:r w:rsidR="00D3508C">
        <w:rPr>
          <w:rFonts w:asciiTheme="minorHAnsi" w:hAnsiTheme="minorHAnsi" w:cstheme="minorHAnsi"/>
          <w:bCs/>
          <w:i/>
        </w:rPr>
        <w:t>. I</w:t>
      </w:r>
      <w:r w:rsidR="00AF0647" w:rsidRPr="001E69CD">
        <w:rPr>
          <w:rFonts w:asciiTheme="minorHAnsi" w:hAnsiTheme="minorHAnsi" w:cstheme="minorHAnsi"/>
          <w:bCs/>
          <w:i/>
        </w:rPr>
        <w:t>n questo contesto hanno gio</w:t>
      </w:r>
      <w:r w:rsidR="003536CB">
        <w:rPr>
          <w:rFonts w:asciiTheme="minorHAnsi" w:hAnsiTheme="minorHAnsi" w:cstheme="minorHAnsi"/>
          <w:bCs/>
          <w:i/>
        </w:rPr>
        <w:t>cato a favore del distributore.</w:t>
      </w:r>
    </w:p>
    <w:p w14:paraId="56EBF781" w14:textId="77777777" w:rsidR="003536CB" w:rsidRPr="003536CB" w:rsidRDefault="003536CB" w:rsidP="003536CB">
      <w:pPr>
        <w:ind w:left="426"/>
        <w:rPr>
          <w:rFonts w:asciiTheme="minorHAnsi" w:hAnsiTheme="minorHAnsi" w:cstheme="minorHAnsi"/>
          <w:bCs/>
        </w:rPr>
      </w:pPr>
    </w:p>
    <w:p w14:paraId="047A29EC" w14:textId="21DE05A0" w:rsidR="00A05E70" w:rsidRDefault="00AF0647" w:rsidP="00AF0647">
      <w:pPr>
        <w:spacing w:after="120"/>
        <w:ind w:left="993" w:hanging="567"/>
        <w:rPr>
          <w:rFonts w:asciiTheme="minorHAnsi" w:hAnsiTheme="minorHAnsi" w:cstheme="minorHAnsi"/>
          <w:bCs/>
          <w:i/>
        </w:rPr>
      </w:pPr>
      <w:r>
        <w:rPr>
          <w:rFonts w:asciiTheme="minorHAnsi" w:hAnsiTheme="minorHAnsi" w:cstheme="minorHAnsi"/>
          <w:bCs/>
          <w:i/>
        </w:rPr>
        <w:t>D:</w:t>
      </w:r>
      <w:r>
        <w:rPr>
          <w:rFonts w:asciiTheme="minorHAnsi" w:hAnsiTheme="minorHAnsi" w:cstheme="minorHAnsi"/>
          <w:bCs/>
          <w:i/>
        </w:rPr>
        <w:tab/>
      </w:r>
      <w:r w:rsidR="00A05E70" w:rsidRPr="00A05E70">
        <w:rPr>
          <w:rFonts w:asciiTheme="minorHAnsi" w:hAnsiTheme="minorHAnsi" w:cstheme="minorHAnsi"/>
          <w:bCs/>
          <w:i/>
        </w:rPr>
        <w:t xml:space="preserve">Si è fatto tutto il possibile per mitigare l’impatto sulle bollette dei cittadini? </w:t>
      </w:r>
    </w:p>
    <w:p w14:paraId="0D31FFCD" w14:textId="58BD5990" w:rsidR="00533F23" w:rsidRPr="003536CB" w:rsidRDefault="003536CB" w:rsidP="00CE7DBF">
      <w:pPr>
        <w:spacing w:after="120"/>
        <w:ind w:left="993" w:hanging="567"/>
        <w:rPr>
          <w:rFonts w:asciiTheme="minorHAnsi" w:hAnsiTheme="minorHAnsi" w:cstheme="minorHAnsi"/>
          <w:bCs/>
          <w:i/>
        </w:rPr>
      </w:pPr>
      <w:r>
        <w:rPr>
          <w:rFonts w:asciiTheme="minorHAnsi" w:hAnsiTheme="minorHAnsi" w:cstheme="minorHAnsi"/>
          <w:bCs/>
          <w:i/>
        </w:rPr>
        <w:t>R:</w:t>
      </w:r>
      <w:r>
        <w:rPr>
          <w:rFonts w:asciiTheme="minorHAnsi" w:hAnsiTheme="minorHAnsi" w:cstheme="minorHAnsi"/>
          <w:bCs/>
          <w:i/>
        </w:rPr>
        <w:tab/>
      </w:r>
      <w:r w:rsidR="005153DD" w:rsidRPr="00FD0CF0">
        <w:rPr>
          <w:rFonts w:asciiTheme="minorHAnsi" w:hAnsiTheme="minorHAnsi" w:cstheme="minorHAnsi"/>
          <w:bCs/>
          <w:i/>
        </w:rPr>
        <w:t xml:space="preserve">AET si è assunta tutti i costi straordinari e supplementari. I distributori non hanno </w:t>
      </w:r>
      <w:r w:rsidR="005153DD" w:rsidRPr="00CE7DBF">
        <w:rPr>
          <w:rFonts w:asciiTheme="minorHAnsi" w:hAnsiTheme="minorHAnsi" w:cstheme="minorHAnsi"/>
          <w:bCs/>
          <w:i/>
        </w:rPr>
        <w:t xml:space="preserve">avuto sorprese; per loro il 2022 è stato un anno ordinario. A tale proposito </w:t>
      </w:r>
      <w:r w:rsidR="00533F23" w:rsidRPr="00CE7DBF">
        <w:rPr>
          <w:rFonts w:asciiTheme="minorHAnsi" w:hAnsiTheme="minorHAnsi" w:cstheme="minorHAnsi"/>
          <w:bCs/>
          <w:i/>
        </w:rPr>
        <w:t>Il consiglio di amministrazione ha subito deciso di non toccare i contratti in essere e di onorarli</w:t>
      </w:r>
      <w:r w:rsidR="00CE7DBF" w:rsidRPr="00CE7DBF">
        <w:rPr>
          <w:rFonts w:asciiTheme="minorHAnsi" w:hAnsiTheme="minorHAnsi" w:cstheme="minorHAnsi"/>
          <w:bCs/>
          <w:i/>
        </w:rPr>
        <w:t xml:space="preserve">. Va considerato che </w:t>
      </w:r>
      <w:r w:rsidR="00533F23" w:rsidRPr="00CE7DBF">
        <w:rPr>
          <w:rFonts w:asciiTheme="minorHAnsi" w:hAnsiTheme="minorHAnsi" w:cstheme="minorHAnsi"/>
          <w:bCs/>
          <w:i/>
        </w:rPr>
        <w:t>l’idroelettrico ha sostanzialmente solo costi fissi. Anche nel caso di un calo di produzione</w:t>
      </w:r>
      <w:r w:rsidR="00CE7DBF" w:rsidRPr="00CE7DBF">
        <w:rPr>
          <w:rFonts w:asciiTheme="minorHAnsi" w:hAnsiTheme="minorHAnsi" w:cstheme="minorHAnsi"/>
          <w:bCs/>
          <w:i/>
        </w:rPr>
        <w:t xml:space="preserve"> (come avvenuto nel 2022)</w:t>
      </w:r>
      <w:r w:rsidR="00533F23" w:rsidRPr="00CE7DBF">
        <w:rPr>
          <w:rFonts w:asciiTheme="minorHAnsi" w:hAnsiTheme="minorHAnsi" w:cstheme="minorHAnsi"/>
          <w:bCs/>
          <w:i/>
        </w:rPr>
        <w:t>, i costi non cambiano. Non c’è una tariffa orientata ai costi</w:t>
      </w:r>
      <w:r w:rsidR="00CE7DBF" w:rsidRPr="00CE7DBF">
        <w:rPr>
          <w:rFonts w:asciiTheme="minorHAnsi" w:hAnsiTheme="minorHAnsi" w:cstheme="minorHAnsi"/>
          <w:bCs/>
          <w:i/>
        </w:rPr>
        <w:t xml:space="preserve">. </w:t>
      </w:r>
      <w:r w:rsidR="00533F23" w:rsidRPr="00CE7DBF">
        <w:rPr>
          <w:rFonts w:asciiTheme="minorHAnsi" w:hAnsiTheme="minorHAnsi" w:cstheme="minorHAnsi"/>
          <w:bCs/>
          <w:i/>
        </w:rPr>
        <w:t xml:space="preserve">AET vende a prezzi di </w:t>
      </w:r>
      <w:r w:rsidR="00533F23" w:rsidRPr="003536CB">
        <w:rPr>
          <w:rFonts w:asciiTheme="minorHAnsi" w:hAnsiTheme="minorHAnsi" w:cstheme="minorHAnsi"/>
          <w:bCs/>
          <w:i/>
        </w:rPr>
        <w:t>mercato.</w:t>
      </w:r>
    </w:p>
    <w:p w14:paraId="5886B962" w14:textId="05D4D812" w:rsidR="005B77C4" w:rsidRDefault="005B77C4">
      <w:pPr>
        <w:rPr>
          <w:rFonts w:asciiTheme="minorHAnsi" w:hAnsiTheme="minorHAnsi" w:cstheme="minorHAnsi"/>
          <w:bCs/>
          <w:i/>
        </w:rPr>
      </w:pPr>
      <w:r>
        <w:rPr>
          <w:rFonts w:asciiTheme="minorHAnsi" w:hAnsiTheme="minorHAnsi" w:cstheme="minorHAnsi"/>
          <w:bCs/>
          <w:i/>
        </w:rPr>
        <w:br w:type="page"/>
      </w:r>
    </w:p>
    <w:p w14:paraId="147FC7EF" w14:textId="6DBF9C6B" w:rsidR="00A05E70" w:rsidRDefault="00AF0647" w:rsidP="00AF0647">
      <w:pPr>
        <w:spacing w:after="120"/>
        <w:ind w:left="993" w:hanging="567"/>
        <w:rPr>
          <w:rFonts w:asciiTheme="minorHAnsi" w:hAnsiTheme="minorHAnsi" w:cstheme="minorHAnsi"/>
          <w:bCs/>
          <w:i/>
        </w:rPr>
      </w:pPr>
      <w:r>
        <w:rPr>
          <w:rFonts w:asciiTheme="minorHAnsi" w:hAnsiTheme="minorHAnsi" w:cstheme="minorHAnsi"/>
          <w:bCs/>
          <w:i/>
        </w:rPr>
        <w:t>D:</w:t>
      </w:r>
      <w:r>
        <w:rPr>
          <w:rFonts w:asciiTheme="minorHAnsi" w:hAnsiTheme="minorHAnsi" w:cstheme="minorHAnsi"/>
          <w:bCs/>
          <w:i/>
        </w:rPr>
        <w:tab/>
      </w:r>
      <w:r w:rsidR="00A05E70" w:rsidRPr="00A05E70">
        <w:rPr>
          <w:rFonts w:asciiTheme="minorHAnsi" w:hAnsiTheme="minorHAnsi" w:cstheme="minorHAnsi"/>
          <w:bCs/>
          <w:i/>
        </w:rPr>
        <w:t xml:space="preserve">Vi è una collaborazione fra AET e le aziende di distribuzione (anch’esse attive sul mercato) per strategie di acquisto coordinate? </w:t>
      </w:r>
    </w:p>
    <w:p w14:paraId="607C3604" w14:textId="1E90DE7E" w:rsidR="00FE2855" w:rsidRPr="003536CB" w:rsidRDefault="00DF5B0B" w:rsidP="003536CB">
      <w:pPr>
        <w:ind w:left="992" w:hanging="567"/>
        <w:rPr>
          <w:rFonts w:asciiTheme="minorHAnsi" w:hAnsiTheme="minorHAnsi" w:cstheme="minorHAnsi"/>
          <w:bCs/>
          <w:i/>
        </w:rPr>
      </w:pPr>
      <w:r w:rsidRPr="000D18C0">
        <w:rPr>
          <w:rFonts w:asciiTheme="minorHAnsi" w:hAnsiTheme="minorHAnsi" w:cstheme="minorHAnsi"/>
          <w:bCs/>
          <w:i/>
        </w:rPr>
        <w:t>R:</w:t>
      </w:r>
      <w:r w:rsidRPr="000D18C0">
        <w:rPr>
          <w:rFonts w:asciiTheme="minorHAnsi" w:hAnsiTheme="minorHAnsi" w:cstheme="minorHAnsi"/>
          <w:bCs/>
          <w:i/>
        </w:rPr>
        <w:tab/>
      </w:r>
      <w:r w:rsidR="00AA7804" w:rsidRPr="00AA7804">
        <w:rPr>
          <w:rFonts w:asciiTheme="minorHAnsi" w:hAnsiTheme="minorHAnsi" w:cstheme="minorHAnsi"/>
          <w:bCs/>
          <w:i/>
        </w:rPr>
        <w:t>Si. A</w:t>
      </w:r>
      <w:r w:rsidRPr="00AA7804">
        <w:rPr>
          <w:rFonts w:asciiTheme="minorHAnsi" w:hAnsiTheme="minorHAnsi" w:cstheme="minorHAnsi"/>
          <w:bCs/>
          <w:i/>
        </w:rPr>
        <w:t xml:space="preserve">lcuni distributori hanno contratti coordinati con AET. A dipendenza delle strategie di acquisto dei distributori vi possono essere differenze molto grandi. </w:t>
      </w:r>
      <w:r w:rsidR="00AA7804" w:rsidRPr="00AA7804">
        <w:rPr>
          <w:rFonts w:asciiTheme="minorHAnsi" w:hAnsiTheme="minorHAnsi" w:cstheme="minorHAnsi"/>
          <w:bCs/>
          <w:i/>
        </w:rPr>
        <w:t xml:space="preserve">AET ha creato la società </w:t>
      </w:r>
      <w:proofErr w:type="spellStart"/>
      <w:r w:rsidR="00AA7804" w:rsidRPr="00AA7804">
        <w:rPr>
          <w:rFonts w:asciiTheme="minorHAnsi" w:hAnsiTheme="minorHAnsi" w:cstheme="minorHAnsi"/>
          <w:bCs/>
          <w:i/>
        </w:rPr>
        <w:t>Kwick</w:t>
      </w:r>
      <w:proofErr w:type="spellEnd"/>
      <w:r w:rsidR="00AA7804" w:rsidRPr="00AA7804">
        <w:rPr>
          <w:rFonts w:asciiTheme="minorHAnsi" w:hAnsiTheme="minorHAnsi" w:cstheme="minorHAnsi"/>
          <w:bCs/>
          <w:i/>
        </w:rPr>
        <w:t xml:space="preserve">, a cui hanno aderito SES, AEM di </w:t>
      </w:r>
      <w:proofErr w:type="spellStart"/>
      <w:r w:rsidR="00AA7804" w:rsidRPr="00AA7804">
        <w:rPr>
          <w:rFonts w:asciiTheme="minorHAnsi" w:hAnsiTheme="minorHAnsi" w:cstheme="minorHAnsi"/>
          <w:bCs/>
          <w:i/>
        </w:rPr>
        <w:t>Massagno</w:t>
      </w:r>
      <w:proofErr w:type="spellEnd"/>
      <w:r w:rsidR="00AA7804" w:rsidRPr="00AA7804">
        <w:rPr>
          <w:rFonts w:asciiTheme="minorHAnsi" w:hAnsiTheme="minorHAnsi" w:cstheme="minorHAnsi"/>
          <w:bCs/>
          <w:i/>
        </w:rPr>
        <w:t xml:space="preserve">, </w:t>
      </w:r>
      <w:r w:rsidR="00AA7804" w:rsidRPr="00FE2855">
        <w:rPr>
          <w:rFonts w:asciiTheme="minorHAnsi" w:hAnsiTheme="minorHAnsi" w:cstheme="minorHAnsi"/>
          <w:bCs/>
          <w:i/>
        </w:rPr>
        <w:t xml:space="preserve">AMB Bellinzona, AEC Ascona, CEF </w:t>
      </w:r>
      <w:proofErr w:type="spellStart"/>
      <w:r w:rsidR="00AA7804" w:rsidRPr="00FE2855">
        <w:rPr>
          <w:rFonts w:asciiTheme="minorHAnsi" w:hAnsiTheme="minorHAnsi" w:cstheme="minorHAnsi"/>
          <w:bCs/>
          <w:i/>
        </w:rPr>
        <w:t>Faido</w:t>
      </w:r>
      <w:proofErr w:type="spellEnd"/>
      <w:r w:rsidR="00AA7804" w:rsidRPr="00FE2855">
        <w:rPr>
          <w:rFonts w:asciiTheme="minorHAnsi" w:hAnsiTheme="minorHAnsi" w:cstheme="minorHAnsi"/>
          <w:bCs/>
          <w:i/>
        </w:rPr>
        <w:t xml:space="preserve"> e ACA Airolo. Lo scopo è comprare assieme, facendo più volume, e quindi suddividere i rischi.</w:t>
      </w:r>
      <w:r w:rsidR="00FE2855" w:rsidRPr="00FE2855">
        <w:rPr>
          <w:rFonts w:asciiTheme="minorHAnsi" w:hAnsiTheme="minorHAnsi" w:cstheme="minorHAnsi"/>
          <w:bCs/>
          <w:i/>
        </w:rPr>
        <w:t xml:space="preserve"> Un’altra strategia per ridurre i rischi adottata da AET è la riduzione della quantità di energia venduta durante l’anno, conservandone </w:t>
      </w:r>
      <w:r w:rsidR="00FE2855" w:rsidRPr="003536CB">
        <w:rPr>
          <w:rFonts w:asciiTheme="minorHAnsi" w:hAnsiTheme="minorHAnsi" w:cstheme="minorHAnsi"/>
          <w:bCs/>
          <w:i/>
        </w:rPr>
        <w:t>una parte, utile q</w:t>
      </w:r>
      <w:r w:rsidR="003536CB" w:rsidRPr="003536CB">
        <w:rPr>
          <w:rFonts w:asciiTheme="minorHAnsi" w:hAnsiTheme="minorHAnsi" w:cstheme="minorHAnsi"/>
          <w:bCs/>
          <w:i/>
        </w:rPr>
        <w:t>ualora venisse a mancare acqua.</w:t>
      </w:r>
    </w:p>
    <w:p w14:paraId="36B446CA" w14:textId="77777777" w:rsidR="003536CB" w:rsidRPr="003536CB" w:rsidRDefault="003536CB" w:rsidP="003536CB">
      <w:pPr>
        <w:ind w:left="992" w:hanging="567"/>
        <w:rPr>
          <w:rFonts w:asciiTheme="minorHAnsi" w:hAnsiTheme="minorHAnsi" w:cstheme="minorHAnsi"/>
          <w:bCs/>
        </w:rPr>
      </w:pPr>
    </w:p>
    <w:p w14:paraId="45684560" w14:textId="6EE4E3F1" w:rsidR="00273FBD" w:rsidRDefault="00AF0647" w:rsidP="00AF0647">
      <w:pPr>
        <w:spacing w:after="120"/>
        <w:ind w:left="993" w:hanging="567"/>
        <w:rPr>
          <w:rFonts w:asciiTheme="minorHAnsi" w:hAnsiTheme="minorHAnsi" w:cstheme="minorHAnsi"/>
          <w:bCs/>
          <w:i/>
        </w:rPr>
      </w:pPr>
      <w:r>
        <w:rPr>
          <w:rFonts w:asciiTheme="minorHAnsi" w:hAnsiTheme="minorHAnsi" w:cstheme="minorHAnsi"/>
          <w:bCs/>
          <w:i/>
        </w:rPr>
        <w:t>D:</w:t>
      </w:r>
      <w:r>
        <w:rPr>
          <w:rFonts w:asciiTheme="minorHAnsi" w:hAnsiTheme="minorHAnsi" w:cstheme="minorHAnsi"/>
          <w:bCs/>
          <w:i/>
        </w:rPr>
        <w:tab/>
      </w:r>
      <w:r w:rsidR="00273FBD" w:rsidRPr="00273FBD">
        <w:rPr>
          <w:rFonts w:asciiTheme="minorHAnsi" w:hAnsiTheme="minorHAnsi" w:cstheme="minorHAnsi"/>
          <w:bCs/>
          <w:i/>
        </w:rPr>
        <w:t xml:space="preserve">Gli ultimi – pur difficili – anni hanno permesso di trarre insegnamenti utili per il futuro? </w:t>
      </w:r>
    </w:p>
    <w:p w14:paraId="749082B6" w14:textId="6B28B1FE" w:rsidR="00DF5B0B" w:rsidRDefault="00DF5B0B" w:rsidP="003536CB">
      <w:pPr>
        <w:ind w:left="992" w:hanging="567"/>
        <w:rPr>
          <w:rFonts w:asciiTheme="minorHAnsi" w:hAnsiTheme="minorHAnsi" w:cstheme="minorHAnsi"/>
          <w:bCs/>
          <w:i/>
        </w:rPr>
      </w:pPr>
      <w:r w:rsidRPr="007907A3">
        <w:rPr>
          <w:rFonts w:asciiTheme="minorHAnsi" w:hAnsiTheme="minorHAnsi" w:cstheme="minorHAnsi"/>
          <w:bCs/>
          <w:i/>
        </w:rPr>
        <w:t>R:</w:t>
      </w:r>
      <w:r w:rsidR="007907A3" w:rsidRPr="007907A3">
        <w:rPr>
          <w:rFonts w:asciiTheme="minorHAnsi" w:hAnsiTheme="minorHAnsi" w:cstheme="minorHAnsi"/>
          <w:bCs/>
          <w:i/>
        </w:rPr>
        <w:tab/>
      </w:r>
      <w:r w:rsidR="00965F9D" w:rsidRPr="00965F9D">
        <w:rPr>
          <w:rFonts w:asciiTheme="minorHAnsi" w:hAnsiTheme="minorHAnsi" w:cstheme="minorHAnsi"/>
          <w:bCs/>
          <w:i/>
        </w:rPr>
        <w:t xml:space="preserve">La produzione propria di AET non copre tutto il fabbisogno del Canton Ticino. Quindi AET è obbligata ad avere contratti di fornitura fuori Cantone e addirittura all’estero. A dipendenza della meteo si acquista di più o di meno. A cortissimo termine AET ha stretto i paletti per la gestione di energia che potenzialmente possiede oggi, con gli impianti attuali. A medio-lungo termine vi sono progetti come l’innalzamento della diga del Sambuco, che permetterà di aumentare la produzione, poi ci saranno le riversioni. Chiaramente se AET avesse potuto gestire anche gli impianti di </w:t>
      </w:r>
      <w:proofErr w:type="spellStart"/>
      <w:r w:rsidR="00965F9D" w:rsidRPr="00965F9D">
        <w:rPr>
          <w:rFonts w:asciiTheme="minorHAnsi" w:hAnsiTheme="minorHAnsi" w:cstheme="minorHAnsi"/>
          <w:bCs/>
          <w:i/>
        </w:rPr>
        <w:t>Ofima</w:t>
      </w:r>
      <w:proofErr w:type="spellEnd"/>
      <w:r w:rsidR="00965F9D" w:rsidRPr="00965F9D">
        <w:rPr>
          <w:rFonts w:asciiTheme="minorHAnsi" w:hAnsiTheme="minorHAnsi" w:cstheme="minorHAnsi"/>
          <w:bCs/>
          <w:i/>
        </w:rPr>
        <w:t xml:space="preserve"> e </w:t>
      </w:r>
      <w:proofErr w:type="spellStart"/>
      <w:r w:rsidR="00965F9D" w:rsidRPr="00965F9D">
        <w:rPr>
          <w:rFonts w:asciiTheme="minorHAnsi" w:hAnsiTheme="minorHAnsi" w:cstheme="minorHAnsi"/>
          <w:bCs/>
          <w:i/>
        </w:rPr>
        <w:t>Ofible</w:t>
      </w:r>
      <w:proofErr w:type="spellEnd"/>
      <w:r w:rsidR="00965F9D" w:rsidRPr="00965F9D">
        <w:rPr>
          <w:rFonts w:asciiTheme="minorHAnsi" w:hAnsiTheme="minorHAnsi" w:cstheme="minorHAnsi"/>
          <w:bCs/>
          <w:i/>
        </w:rPr>
        <w:t xml:space="preserve"> l’ammanco di energia sarebbe stato minore. La politica federale sta spingendo per migliorare la sicurezza di approvvigionamento del Paese. </w:t>
      </w:r>
      <w:r w:rsidRPr="00965F9D">
        <w:rPr>
          <w:rFonts w:asciiTheme="minorHAnsi" w:hAnsiTheme="minorHAnsi" w:cstheme="minorHAnsi"/>
          <w:bCs/>
          <w:i/>
        </w:rPr>
        <w:t>Nel corso dell’ultima seduta è stato deciso che i distributori dovranno fornire una quota minima di energia rinnovabile indigena ai clienti vincolati (la percentuale sarà stabilita dal Consiglio federale; il Consiglio nazionale aveva proposto il 50%). Specialmente i grossi produttori non dovranno più andare sui mercati all’ingrosso ad acquistare energia in base alle bizze del tempo. Questo faciliterà la gestione del portafoglio.</w:t>
      </w:r>
      <w:r w:rsidR="00965F9D" w:rsidRPr="00965F9D">
        <w:rPr>
          <w:rFonts w:asciiTheme="minorHAnsi" w:hAnsiTheme="minorHAnsi" w:cstheme="minorHAnsi"/>
          <w:bCs/>
          <w:i/>
        </w:rPr>
        <w:t xml:space="preserve"> La Confederazione vuole fissare le tariffe per i piccoli consumatori e per le piccole e medie aziende. Il 29.09.2023 le due Camere federali hanno approvato la </w:t>
      </w:r>
      <w:hyperlink r:id="rId19" w:history="1">
        <w:r w:rsidR="00965F9D" w:rsidRPr="00965F9D">
          <w:rPr>
            <w:i/>
          </w:rPr>
          <w:t>Legge federale su un approvvigionamento elettrico sicuro con le energie rinnovabili</w:t>
        </w:r>
      </w:hyperlink>
      <w:r w:rsidR="00965F9D" w:rsidRPr="00965F9D">
        <w:rPr>
          <w:rFonts w:asciiTheme="minorHAnsi" w:hAnsiTheme="minorHAnsi" w:cstheme="minorHAnsi"/>
          <w:bCs/>
          <w:i/>
        </w:rPr>
        <w:t xml:space="preserve"> (</w:t>
      </w:r>
      <w:proofErr w:type="spellStart"/>
      <w:r w:rsidR="00965F9D" w:rsidRPr="00965F9D">
        <w:rPr>
          <w:rFonts w:asciiTheme="minorHAnsi" w:hAnsiTheme="minorHAnsi" w:cstheme="minorHAnsi"/>
          <w:bCs/>
          <w:i/>
        </w:rPr>
        <w:t>Mantelerlass</w:t>
      </w:r>
      <w:proofErr w:type="spellEnd"/>
      <w:r w:rsidR="00965F9D" w:rsidRPr="00965F9D">
        <w:rPr>
          <w:rFonts w:asciiTheme="minorHAnsi" w:hAnsiTheme="minorHAnsi" w:cstheme="minorHAnsi"/>
          <w:bCs/>
          <w:i/>
        </w:rPr>
        <w:t>). Le nuove disposizioni permetteranno ad AET di vendere ai distributori parte della propria produzione anche a medio-lungo termine. I distributori dal canto loro saranno più tutelati di fronte alle oscillazioni dei prezzi di mercato e di conseguenza anche i clienti finali.</w:t>
      </w:r>
    </w:p>
    <w:p w14:paraId="519E5B00" w14:textId="4CBE71D7" w:rsidR="005B77C4" w:rsidRDefault="005B77C4" w:rsidP="005B77C4">
      <w:pPr>
        <w:rPr>
          <w:rFonts w:asciiTheme="minorHAnsi" w:hAnsiTheme="minorHAnsi" w:cstheme="minorHAnsi"/>
          <w:bCs/>
          <w:i/>
        </w:rPr>
      </w:pPr>
    </w:p>
    <w:p w14:paraId="1031B602" w14:textId="72935008" w:rsidR="00273FBD" w:rsidRPr="00273FBD" w:rsidRDefault="003536CB" w:rsidP="003536CB">
      <w:pPr>
        <w:pStyle w:val="Paragrafoelenco"/>
        <w:numPr>
          <w:ilvl w:val="0"/>
          <w:numId w:val="31"/>
        </w:numPr>
        <w:spacing w:after="120"/>
        <w:ind w:left="425" w:hanging="425"/>
        <w:contextualSpacing w:val="0"/>
      </w:pPr>
      <w:r>
        <w:t>«</w:t>
      </w:r>
      <w:r w:rsidR="00273FBD" w:rsidRPr="003536CB">
        <w:rPr>
          <w:i/>
        </w:rPr>
        <w:t>Il rinnovo dei contratti per la fornitura futura alle aziende di distribuzione della Svizzera Italiana è avvenuto a ritmi inferiori rispetto al passato, mentre oltre Gottardo è stato possibile acquisire qualche nuovo cliente</w:t>
      </w:r>
      <w:r>
        <w:t>»</w:t>
      </w:r>
      <w:r w:rsidR="00273FBD" w:rsidRPr="00273FBD">
        <w:t xml:space="preserve"> (Rapporto annuale 2022, pag. 19). </w:t>
      </w:r>
    </w:p>
    <w:p w14:paraId="6B311A8A" w14:textId="2E6C4FDA" w:rsidR="001A187A" w:rsidRPr="005B46B2" w:rsidRDefault="005B46B2" w:rsidP="003536CB">
      <w:pPr>
        <w:ind w:left="426"/>
        <w:rPr>
          <w:rFonts w:asciiTheme="minorHAnsi" w:hAnsiTheme="minorHAnsi" w:cstheme="minorHAnsi"/>
          <w:bCs/>
          <w:i/>
        </w:rPr>
      </w:pPr>
      <w:r w:rsidRPr="005B46B2">
        <w:rPr>
          <w:rFonts w:asciiTheme="minorHAnsi" w:hAnsiTheme="minorHAnsi" w:cstheme="minorHAnsi"/>
          <w:bCs/>
          <w:i/>
        </w:rPr>
        <w:t>Questo</w:t>
      </w:r>
      <w:r w:rsidR="001A187A" w:rsidRPr="005B46B2">
        <w:rPr>
          <w:rFonts w:asciiTheme="minorHAnsi" w:hAnsiTheme="minorHAnsi" w:cstheme="minorHAnsi"/>
          <w:bCs/>
          <w:i/>
        </w:rPr>
        <w:t xml:space="preserve"> concerne specialmente il Mendrisiotto</w:t>
      </w:r>
      <w:r w:rsidRPr="005B46B2">
        <w:rPr>
          <w:rFonts w:asciiTheme="minorHAnsi" w:hAnsiTheme="minorHAnsi" w:cstheme="minorHAnsi"/>
          <w:bCs/>
          <w:i/>
        </w:rPr>
        <w:t xml:space="preserve">, dove </w:t>
      </w:r>
      <w:r w:rsidR="001A187A" w:rsidRPr="005B46B2">
        <w:rPr>
          <w:rFonts w:asciiTheme="minorHAnsi" w:hAnsiTheme="minorHAnsi" w:cstheme="minorHAnsi"/>
          <w:bCs/>
          <w:i/>
        </w:rPr>
        <w:t xml:space="preserve">AIM Mendrisio, AGE Chiasso e AMS </w:t>
      </w:r>
      <w:proofErr w:type="spellStart"/>
      <w:r w:rsidR="001A187A" w:rsidRPr="005B46B2">
        <w:rPr>
          <w:rFonts w:asciiTheme="minorHAnsi" w:hAnsiTheme="minorHAnsi" w:cstheme="minorHAnsi"/>
          <w:bCs/>
          <w:i/>
        </w:rPr>
        <w:t>Stabio</w:t>
      </w:r>
      <w:proofErr w:type="spellEnd"/>
      <w:r w:rsidR="001A187A" w:rsidRPr="005B46B2">
        <w:rPr>
          <w:rFonts w:asciiTheme="minorHAnsi" w:hAnsiTheme="minorHAnsi" w:cstheme="minorHAnsi"/>
          <w:bCs/>
          <w:i/>
        </w:rPr>
        <w:t xml:space="preserve"> hanno aderito a Power4all, creata dalle AIL Lugano per comprare energia sul libero mercato. Questi distributori non hanno aggiornato i contratti con AET, che per due anni è rimasta scoperta sulla quantità di energia che normalmente destinava a loro (quasi 500 </w:t>
      </w:r>
      <w:proofErr w:type="spellStart"/>
      <w:r w:rsidR="001A187A" w:rsidRPr="005B46B2">
        <w:rPr>
          <w:rFonts w:asciiTheme="minorHAnsi" w:hAnsiTheme="minorHAnsi" w:cstheme="minorHAnsi"/>
          <w:bCs/>
          <w:i/>
        </w:rPr>
        <w:t>GWh</w:t>
      </w:r>
      <w:proofErr w:type="spellEnd"/>
      <w:r w:rsidR="001A187A" w:rsidRPr="005B46B2">
        <w:rPr>
          <w:rFonts w:asciiTheme="minorHAnsi" w:hAnsiTheme="minorHAnsi" w:cstheme="minorHAnsi"/>
          <w:bCs/>
          <w:i/>
        </w:rPr>
        <w:t xml:space="preserve">). </w:t>
      </w:r>
      <w:r w:rsidRPr="005B46B2">
        <w:rPr>
          <w:rFonts w:asciiTheme="minorHAnsi" w:hAnsiTheme="minorHAnsi" w:cstheme="minorHAnsi"/>
          <w:bCs/>
          <w:i/>
        </w:rPr>
        <w:t>L</w:t>
      </w:r>
      <w:r w:rsidR="001A187A" w:rsidRPr="005B46B2">
        <w:rPr>
          <w:rFonts w:asciiTheme="minorHAnsi" w:hAnsiTheme="minorHAnsi" w:cstheme="minorHAnsi"/>
          <w:bCs/>
          <w:i/>
        </w:rPr>
        <w:t xml:space="preserve">a creazione di una società unica con AIL si </w:t>
      </w:r>
      <w:r w:rsidRPr="005B46B2">
        <w:rPr>
          <w:rFonts w:asciiTheme="minorHAnsi" w:hAnsiTheme="minorHAnsi" w:cstheme="minorHAnsi"/>
          <w:bCs/>
          <w:i/>
        </w:rPr>
        <w:t xml:space="preserve">è però </w:t>
      </w:r>
      <w:r w:rsidR="001A187A" w:rsidRPr="005B46B2">
        <w:rPr>
          <w:rFonts w:asciiTheme="minorHAnsi" w:hAnsiTheme="minorHAnsi" w:cstheme="minorHAnsi"/>
          <w:bCs/>
          <w:i/>
        </w:rPr>
        <w:t xml:space="preserve">arenata e per finire le aziende di distribuzione del Mendrisiotto hanno prolungato il contratto con AET almeno per il 2025. </w:t>
      </w:r>
      <w:r w:rsidRPr="005B46B2">
        <w:rPr>
          <w:rFonts w:asciiTheme="minorHAnsi" w:hAnsiTheme="minorHAnsi" w:cstheme="minorHAnsi"/>
          <w:bCs/>
          <w:i/>
        </w:rPr>
        <w:t>L</w:t>
      </w:r>
      <w:r w:rsidR="001A187A" w:rsidRPr="005B46B2">
        <w:rPr>
          <w:rFonts w:asciiTheme="minorHAnsi" w:hAnsiTheme="minorHAnsi" w:cstheme="minorHAnsi"/>
          <w:bCs/>
          <w:i/>
        </w:rPr>
        <w:t xml:space="preserve">e vendite di AET </w:t>
      </w:r>
      <w:r w:rsidRPr="005B46B2">
        <w:rPr>
          <w:rFonts w:asciiTheme="minorHAnsi" w:hAnsiTheme="minorHAnsi" w:cstheme="minorHAnsi"/>
          <w:bCs/>
          <w:i/>
        </w:rPr>
        <w:t xml:space="preserve">oltralpe </w:t>
      </w:r>
      <w:r w:rsidR="001A187A" w:rsidRPr="005B46B2">
        <w:rPr>
          <w:rFonts w:asciiTheme="minorHAnsi" w:hAnsiTheme="minorHAnsi" w:cstheme="minorHAnsi"/>
          <w:bCs/>
          <w:i/>
        </w:rPr>
        <w:t xml:space="preserve">sono cresciute: una quarantina di distributori medio-piccoli oltralpe si riforniscono da AET. </w:t>
      </w:r>
      <w:r w:rsidRPr="005B46B2">
        <w:rPr>
          <w:rFonts w:asciiTheme="minorHAnsi" w:hAnsiTheme="minorHAnsi" w:cstheme="minorHAnsi"/>
          <w:bCs/>
          <w:i/>
        </w:rPr>
        <w:t>A</w:t>
      </w:r>
      <w:r w:rsidR="001A187A" w:rsidRPr="005B46B2">
        <w:rPr>
          <w:rFonts w:asciiTheme="minorHAnsi" w:hAnsiTheme="minorHAnsi" w:cstheme="minorHAnsi"/>
          <w:bCs/>
          <w:i/>
        </w:rPr>
        <w:t xml:space="preserve">nche che tutte le aziende di distribuzione del </w:t>
      </w:r>
      <w:proofErr w:type="spellStart"/>
      <w:r w:rsidR="001A187A" w:rsidRPr="005B46B2">
        <w:rPr>
          <w:rFonts w:asciiTheme="minorHAnsi" w:hAnsiTheme="minorHAnsi" w:cstheme="minorHAnsi"/>
          <w:bCs/>
          <w:i/>
        </w:rPr>
        <w:t>Moesano</w:t>
      </w:r>
      <w:proofErr w:type="spellEnd"/>
      <w:r w:rsidR="001A187A" w:rsidRPr="005B46B2">
        <w:rPr>
          <w:rFonts w:asciiTheme="minorHAnsi" w:hAnsiTheme="minorHAnsi" w:cstheme="minorHAnsi"/>
          <w:bCs/>
          <w:i/>
        </w:rPr>
        <w:t xml:space="preserve"> per quattro anni si riforniranno da AET, sulla base di un contratto analogo a quello stipulato da AET con </w:t>
      </w:r>
      <w:proofErr w:type="spellStart"/>
      <w:r w:rsidR="001A187A" w:rsidRPr="005B46B2">
        <w:rPr>
          <w:rFonts w:asciiTheme="minorHAnsi" w:hAnsiTheme="minorHAnsi" w:cstheme="minorHAnsi"/>
          <w:bCs/>
          <w:i/>
        </w:rPr>
        <w:t>Massgno</w:t>
      </w:r>
      <w:proofErr w:type="spellEnd"/>
      <w:r w:rsidR="001A187A" w:rsidRPr="005B46B2">
        <w:rPr>
          <w:rFonts w:asciiTheme="minorHAnsi" w:hAnsiTheme="minorHAnsi" w:cstheme="minorHAnsi"/>
          <w:bCs/>
          <w:i/>
        </w:rPr>
        <w:t>.</w:t>
      </w:r>
    </w:p>
    <w:p w14:paraId="18B60346" w14:textId="77777777" w:rsidR="001A187A" w:rsidRPr="003536CB" w:rsidRDefault="001A187A" w:rsidP="003536CB">
      <w:pPr>
        <w:ind w:left="426"/>
        <w:rPr>
          <w:rFonts w:asciiTheme="minorHAnsi" w:hAnsiTheme="minorHAnsi" w:cstheme="minorHAnsi"/>
          <w:bCs/>
        </w:rPr>
      </w:pPr>
    </w:p>
    <w:p w14:paraId="1EA5698D" w14:textId="354EB170" w:rsidR="00273FBD" w:rsidRDefault="001A187A" w:rsidP="001A187A">
      <w:pPr>
        <w:spacing w:after="120"/>
        <w:ind w:left="993" w:hanging="567"/>
        <w:rPr>
          <w:rFonts w:asciiTheme="minorHAnsi" w:hAnsiTheme="minorHAnsi" w:cstheme="minorHAnsi"/>
          <w:bCs/>
          <w:i/>
        </w:rPr>
      </w:pPr>
      <w:r>
        <w:rPr>
          <w:rFonts w:asciiTheme="minorHAnsi" w:hAnsiTheme="minorHAnsi" w:cstheme="minorHAnsi"/>
          <w:bCs/>
          <w:i/>
        </w:rPr>
        <w:t>D:</w:t>
      </w:r>
      <w:r>
        <w:rPr>
          <w:rFonts w:asciiTheme="minorHAnsi" w:hAnsiTheme="minorHAnsi" w:cstheme="minorHAnsi"/>
          <w:bCs/>
          <w:i/>
        </w:rPr>
        <w:tab/>
      </w:r>
      <w:r w:rsidR="005B46B2" w:rsidRPr="00273FBD">
        <w:rPr>
          <w:rFonts w:asciiTheme="minorHAnsi" w:hAnsiTheme="minorHAnsi" w:cstheme="minorHAnsi"/>
          <w:bCs/>
          <w:i/>
        </w:rPr>
        <w:t>È possibile avere maggiori informazioni sulle categorie di clienti di AET e sul loro peso percentuale (Aziende di distribuzione, altri grandi consumatori sul libero mercato, clienti in Ticino, clienti fuori Cantone)?</w:t>
      </w:r>
      <w:r w:rsidR="005B46B2">
        <w:rPr>
          <w:rFonts w:asciiTheme="minorHAnsi" w:hAnsiTheme="minorHAnsi" w:cstheme="minorHAnsi"/>
          <w:bCs/>
          <w:i/>
        </w:rPr>
        <w:t xml:space="preserve"> </w:t>
      </w:r>
      <w:r w:rsidR="00273FBD" w:rsidRPr="00273FBD">
        <w:rPr>
          <w:rFonts w:asciiTheme="minorHAnsi" w:hAnsiTheme="minorHAnsi" w:cstheme="minorHAnsi"/>
          <w:bCs/>
          <w:i/>
        </w:rPr>
        <w:t xml:space="preserve">Quanta energia è stata venduta in percentuale a ognuna delle citate categorie di clienti nel 2022? </w:t>
      </w:r>
    </w:p>
    <w:p w14:paraId="70C51B0E" w14:textId="41F77DD1" w:rsidR="00E16E4B" w:rsidRPr="00965F9D" w:rsidRDefault="00E16E4B" w:rsidP="003536CB">
      <w:pPr>
        <w:ind w:left="992" w:hanging="567"/>
        <w:rPr>
          <w:rFonts w:asciiTheme="minorHAnsi" w:hAnsiTheme="minorHAnsi" w:cstheme="minorHAnsi"/>
          <w:bCs/>
          <w:i/>
        </w:rPr>
      </w:pPr>
      <w:r w:rsidRPr="00965F9D">
        <w:rPr>
          <w:rFonts w:asciiTheme="minorHAnsi" w:hAnsiTheme="minorHAnsi" w:cstheme="minorHAnsi"/>
          <w:bCs/>
          <w:i/>
        </w:rPr>
        <w:t>R:</w:t>
      </w:r>
      <w:r w:rsidRPr="00965F9D">
        <w:rPr>
          <w:rFonts w:asciiTheme="minorHAnsi" w:hAnsiTheme="minorHAnsi" w:cstheme="minorHAnsi"/>
          <w:bCs/>
          <w:i/>
        </w:rPr>
        <w:tab/>
        <w:t xml:space="preserve">AET in totale vende grossomodo 4 </w:t>
      </w:r>
      <w:proofErr w:type="spellStart"/>
      <w:r w:rsidRPr="00965F9D">
        <w:rPr>
          <w:rFonts w:asciiTheme="minorHAnsi" w:hAnsiTheme="minorHAnsi" w:cstheme="minorHAnsi"/>
          <w:bCs/>
          <w:i/>
        </w:rPr>
        <w:t>TWh</w:t>
      </w:r>
      <w:proofErr w:type="spellEnd"/>
      <w:r w:rsidRPr="00965F9D">
        <w:rPr>
          <w:rFonts w:asciiTheme="minorHAnsi" w:hAnsiTheme="minorHAnsi" w:cstheme="minorHAnsi"/>
          <w:bCs/>
          <w:i/>
        </w:rPr>
        <w:t xml:space="preserve"> </w:t>
      </w:r>
      <w:r w:rsidR="00965F9D" w:rsidRPr="00965F9D">
        <w:rPr>
          <w:rFonts w:asciiTheme="minorHAnsi" w:hAnsiTheme="minorHAnsi" w:cstheme="minorHAnsi"/>
          <w:bCs/>
          <w:i/>
        </w:rPr>
        <w:t>(</w:t>
      </w:r>
      <w:r w:rsidRPr="00965F9D">
        <w:rPr>
          <w:rFonts w:asciiTheme="minorHAnsi" w:hAnsiTheme="minorHAnsi" w:cstheme="minorHAnsi"/>
          <w:bCs/>
          <w:i/>
        </w:rPr>
        <w:t>metà in Ticino e l’altra metà oltralpe</w:t>
      </w:r>
      <w:r w:rsidR="00965F9D" w:rsidRPr="00965F9D">
        <w:rPr>
          <w:rFonts w:asciiTheme="minorHAnsi" w:hAnsiTheme="minorHAnsi" w:cstheme="minorHAnsi"/>
          <w:bCs/>
          <w:i/>
        </w:rPr>
        <w:t>)</w:t>
      </w:r>
      <w:r w:rsidRPr="00965F9D">
        <w:rPr>
          <w:rFonts w:asciiTheme="minorHAnsi" w:hAnsiTheme="minorHAnsi" w:cstheme="minorHAnsi"/>
          <w:bCs/>
          <w:i/>
        </w:rPr>
        <w:t xml:space="preserve">. Circa 2 </w:t>
      </w:r>
      <w:proofErr w:type="spellStart"/>
      <w:r w:rsidRPr="00965F9D">
        <w:rPr>
          <w:rFonts w:asciiTheme="minorHAnsi" w:hAnsiTheme="minorHAnsi" w:cstheme="minorHAnsi"/>
          <w:bCs/>
          <w:i/>
        </w:rPr>
        <w:t>TWh</w:t>
      </w:r>
      <w:proofErr w:type="spellEnd"/>
      <w:r w:rsidRPr="00965F9D">
        <w:rPr>
          <w:rFonts w:asciiTheme="minorHAnsi" w:hAnsiTheme="minorHAnsi" w:cstheme="minorHAnsi"/>
          <w:bCs/>
          <w:i/>
        </w:rPr>
        <w:t xml:space="preserve"> sono venduti sul mercato vincolato, 0.5 </w:t>
      </w:r>
      <w:proofErr w:type="spellStart"/>
      <w:r w:rsidRPr="00965F9D">
        <w:rPr>
          <w:rFonts w:asciiTheme="minorHAnsi" w:hAnsiTheme="minorHAnsi" w:cstheme="minorHAnsi"/>
          <w:bCs/>
          <w:i/>
        </w:rPr>
        <w:t>TWh</w:t>
      </w:r>
      <w:proofErr w:type="spellEnd"/>
      <w:r w:rsidRPr="00965F9D">
        <w:rPr>
          <w:rFonts w:asciiTheme="minorHAnsi" w:hAnsiTheme="minorHAnsi" w:cstheme="minorHAnsi"/>
          <w:bCs/>
          <w:i/>
        </w:rPr>
        <w:t xml:space="preserve"> sul libero mercato, e 1.5 </w:t>
      </w:r>
      <w:proofErr w:type="spellStart"/>
      <w:r w:rsidRPr="00965F9D">
        <w:rPr>
          <w:rFonts w:asciiTheme="minorHAnsi" w:hAnsiTheme="minorHAnsi" w:cstheme="minorHAnsi"/>
          <w:bCs/>
          <w:i/>
        </w:rPr>
        <w:t>TWh</w:t>
      </w:r>
      <w:proofErr w:type="spellEnd"/>
      <w:r w:rsidRPr="00965F9D">
        <w:rPr>
          <w:rFonts w:asciiTheme="minorHAnsi" w:hAnsiTheme="minorHAnsi" w:cstheme="minorHAnsi"/>
          <w:bCs/>
          <w:i/>
        </w:rPr>
        <w:t xml:space="preserve"> con i cosiddetti “prodotti standard” (bande, annuali o </w:t>
      </w:r>
      <w:proofErr w:type="spellStart"/>
      <w:r w:rsidRPr="00965F9D">
        <w:rPr>
          <w:rFonts w:asciiTheme="minorHAnsi" w:hAnsiTheme="minorHAnsi" w:cstheme="minorHAnsi"/>
          <w:bCs/>
          <w:i/>
        </w:rPr>
        <w:t>quartali</w:t>
      </w:r>
      <w:proofErr w:type="spellEnd"/>
      <w:r w:rsidRPr="00965F9D">
        <w:rPr>
          <w:rFonts w:asciiTheme="minorHAnsi" w:hAnsiTheme="minorHAnsi" w:cstheme="minorHAnsi"/>
          <w:bCs/>
          <w:i/>
        </w:rPr>
        <w:t xml:space="preserve">, che vengono attribuite tramite aste). </w:t>
      </w:r>
      <w:r w:rsidR="00965F9D" w:rsidRPr="00965F9D">
        <w:rPr>
          <w:rFonts w:asciiTheme="minorHAnsi" w:hAnsiTheme="minorHAnsi" w:cstheme="minorHAnsi"/>
          <w:bCs/>
          <w:i/>
        </w:rPr>
        <w:t>L</w:t>
      </w:r>
      <w:r w:rsidRPr="00965F9D">
        <w:rPr>
          <w:rFonts w:asciiTheme="minorHAnsi" w:hAnsiTheme="minorHAnsi" w:cstheme="minorHAnsi"/>
          <w:bCs/>
          <w:i/>
        </w:rPr>
        <w:t>e novità legislative introdurranno dei cambiamenti; bisognerà valutare che cosa AET dovrà correggere e come.</w:t>
      </w:r>
      <w:r w:rsidR="00965F9D" w:rsidRPr="00965F9D">
        <w:rPr>
          <w:rFonts w:asciiTheme="minorHAnsi" w:hAnsiTheme="minorHAnsi" w:cstheme="minorHAnsi"/>
          <w:bCs/>
          <w:i/>
        </w:rPr>
        <w:t xml:space="preserve"> </w:t>
      </w:r>
      <w:r w:rsidRPr="00965F9D">
        <w:rPr>
          <w:rFonts w:asciiTheme="minorHAnsi" w:hAnsiTheme="minorHAnsi" w:cstheme="minorHAnsi"/>
          <w:bCs/>
          <w:i/>
        </w:rPr>
        <w:t>Da anni AET non vende più a clienti finali in Italia. Proseguono comunque gli scambi di energia con i Paesi che confinano con la Svizzera.</w:t>
      </w:r>
    </w:p>
    <w:p w14:paraId="0329914F" w14:textId="77777777" w:rsidR="00E16E4B" w:rsidRPr="003536CB" w:rsidRDefault="00E16E4B" w:rsidP="003536CB">
      <w:pPr>
        <w:ind w:left="992" w:hanging="567"/>
        <w:rPr>
          <w:rFonts w:asciiTheme="minorHAnsi" w:hAnsiTheme="minorHAnsi" w:cstheme="minorHAnsi"/>
          <w:bCs/>
        </w:rPr>
      </w:pPr>
    </w:p>
    <w:p w14:paraId="4ACF1413" w14:textId="234CDA81" w:rsidR="00273FBD" w:rsidRDefault="001A187A" w:rsidP="001A187A">
      <w:pPr>
        <w:spacing w:after="120"/>
        <w:ind w:left="993" w:hanging="567"/>
        <w:rPr>
          <w:rFonts w:asciiTheme="minorHAnsi" w:hAnsiTheme="minorHAnsi" w:cstheme="minorHAnsi"/>
          <w:bCs/>
          <w:i/>
        </w:rPr>
      </w:pPr>
      <w:r>
        <w:rPr>
          <w:rFonts w:asciiTheme="minorHAnsi" w:hAnsiTheme="minorHAnsi" w:cstheme="minorHAnsi"/>
          <w:bCs/>
          <w:i/>
        </w:rPr>
        <w:t>D:</w:t>
      </w:r>
      <w:r>
        <w:rPr>
          <w:rFonts w:asciiTheme="minorHAnsi" w:hAnsiTheme="minorHAnsi" w:cstheme="minorHAnsi"/>
          <w:bCs/>
          <w:i/>
        </w:rPr>
        <w:tab/>
      </w:r>
      <w:r w:rsidR="00273FBD" w:rsidRPr="00273FBD">
        <w:rPr>
          <w:rFonts w:asciiTheme="minorHAnsi" w:hAnsiTheme="minorHAnsi" w:cstheme="minorHAnsi"/>
          <w:bCs/>
          <w:i/>
        </w:rPr>
        <w:t xml:space="preserve">Per quanti anni vengono stipulati i contratti di fornitura alle aziende di distribuzione? Per i nuovi contratti sono stati pattuiti prezzi e condizioni differenti rispetto al passato? I contratti precedenti per quanti anni saranno ancora in essere? </w:t>
      </w:r>
    </w:p>
    <w:p w14:paraId="1AD86648" w14:textId="42FE46D8" w:rsidR="00E16E4B" w:rsidRPr="003536CB" w:rsidRDefault="00E16E4B" w:rsidP="003536CB">
      <w:pPr>
        <w:ind w:left="993" w:hanging="567"/>
        <w:rPr>
          <w:rFonts w:asciiTheme="minorHAnsi" w:hAnsiTheme="minorHAnsi" w:cstheme="minorHAnsi"/>
          <w:bCs/>
          <w:i/>
        </w:rPr>
      </w:pPr>
      <w:r w:rsidRPr="005B46B2">
        <w:rPr>
          <w:rFonts w:asciiTheme="minorHAnsi" w:hAnsiTheme="minorHAnsi" w:cstheme="minorHAnsi"/>
          <w:bCs/>
          <w:i/>
        </w:rPr>
        <w:t>R:</w:t>
      </w:r>
      <w:r w:rsidRPr="005B46B2">
        <w:rPr>
          <w:rFonts w:asciiTheme="minorHAnsi" w:hAnsiTheme="minorHAnsi" w:cstheme="minorHAnsi"/>
          <w:bCs/>
          <w:i/>
        </w:rPr>
        <w:tab/>
      </w:r>
      <w:r w:rsidR="005B46B2" w:rsidRPr="005B46B2">
        <w:rPr>
          <w:rFonts w:asciiTheme="minorHAnsi" w:hAnsiTheme="minorHAnsi" w:cstheme="minorHAnsi"/>
          <w:bCs/>
          <w:i/>
        </w:rPr>
        <w:t>C</w:t>
      </w:r>
      <w:r w:rsidRPr="005B46B2">
        <w:rPr>
          <w:rFonts w:asciiTheme="minorHAnsi" w:hAnsiTheme="minorHAnsi" w:cstheme="minorHAnsi"/>
          <w:bCs/>
          <w:i/>
        </w:rPr>
        <w:t>on i contratti di regola si parte tre anni prima, a volte un anno prima. Gli acquisti sono suddivisi in tranche, e avvengono sulla base dell’andamento del mercato</w:t>
      </w:r>
      <w:r w:rsidRPr="00E16E4B">
        <w:rPr>
          <w:rFonts w:asciiTheme="minorHAnsi" w:hAnsiTheme="minorHAnsi" w:cstheme="minorHAnsi"/>
          <w:bCs/>
          <w:i/>
          <w:color w:val="0432FF"/>
        </w:rPr>
        <w:t>.</w:t>
      </w:r>
      <w:r w:rsidR="005B46B2">
        <w:rPr>
          <w:rFonts w:asciiTheme="minorHAnsi" w:hAnsiTheme="minorHAnsi" w:cstheme="minorHAnsi"/>
          <w:bCs/>
          <w:i/>
          <w:color w:val="0432FF"/>
        </w:rPr>
        <w:t xml:space="preserve"> </w:t>
      </w:r>
      <w:r w:rsidRPr="005B46B2">
        <w:rPr>
          <w:rFonts w:asciiTheme="minorHAnsi" w:hAnsiTheme="minorHAnsi" w:cstheme="minorHAnsi"/>
          <w:bCs/>
          <w:i/>
        </w:rPr>
        <w:t xml:space="preserve">Vi sono contratti più a lungo termine (fino a 20 anni), come ad es. AET blu, che vale 600 </w:t>
      </w:r>
      <w:proofErr w:type="spellStart"/>
      <w:r w:rsidRPr="005B46B2">
        <w:rPr>
          <w:rFonts w:asciiTheme="minorHAnsi" w:hAnsiTheme="minorHAnsi" w:cstheme="minorHAnsi"/>
          <w:bCs/>
          <w:i/>
        </w:rPr>
        <w:t>GWh</w:t>
      </w:r>
      <w:proofErr w:type="spellEnd"/>
      <w:r w:rsidR="005B46B2" w:rsidRPr="005B46B2">
        <w:rPr>
          <w:rFonts w:asciiTheme="minorHAnsi" w:hAnsiTheme="minorHAnsi" w:cstheme="minorHAnsi"/>
          <w:bCs/>
          <w:i/>
        </w:rPr>
        <w:t>, dove</w:t>
      </w:r>
      <w:r w:rsidRPr="005B46B2">
        <w:rPr>
          <w:rFonts w:asciiTheme="minorHAnsi" w:hAnsiTheme="minorHAnsi" w:cstheme="minorHAnsi"/>
          <w:bCs/>
          <w:i/>
        </w:rPr>
        <w:t xml:space="preserve"> AET ha venduto 600 </w:t>
      </w:r>
      <w:proofErr w:type="spellStart"/>
      <w:r w:rsidRPr="005B46B2">
        <w:rPr>
          <w:rFonts w:asciiTheme="minorHAnsi" w:hAnsiTheme="minorHAnsi" w:cstheme="minorHAnsi"/>
          <w:bCs/>
          <w:i/>
        </w:rPr>
        <w:t>GWh</w:t>
      </w:r>
      <w:proofErr w:type="spellEnd"/>
      <w:r w:rsidRPr="005B46B2">
        <w:rPr>
          <w:rFonts w:asciiTheme="minorHAnsi" w:hAnsiTheme="minorHAnsi" w:cstheme="minorHAnsi"/>
          <w:bCs/>
          <w:i/>
        </w:rPr>
        <w:t xml:space="preserve"> coprendo i costi di produzione mediati su tre anni, più un piccolo margine (circa 10 </w:t>
      </w:r>
      <w:proofErr w:type="spellStart"/>
      <w:proofErr w:type="gramStart"/>
      <w:r w:rsidRPr="005B46B2">
        <w:rPr>
          <w:rFonts w:asciiTheme="minorHAnsi" w:hAnsiTheme="minorHAnsi" w:cstheme="minorHAnsi"/>
          <w:bCs/>
          <w:i/>
        </w:rPr>
        <w:t>fr</w:t>
      </w:r>
      <w:proofErr w:type="spellEnd"/>
      <w:r w:rsidRPr="005B46B2">
        <w:rPr>
          <w:rFonts w:asciiTheme="minorHAnsi" w:hAnsiTheme="minorHAnsi" w:cstheme="minorHAnsi"/>
          <w:bCs/>
          <w:i/>
        </w:rPr>
        <w:t>./</w:t>
      </w:r>
      <w:proofErr w:type="gramEnd"/>
      <w:r w:rsidRPr="005B46B2">
        <w:rPr>
          <w:rFonts w:asciiTheme="minorHAnsi" w:hAnsiTheme="minorHAnsi" w:cstheme="minorHAnsi"/>
          <w:bCs/>
          <w:i/>
        </w:rPr>
        <w:t>MWh, quindi molto piccolo rispetto ai margini che oggi consentirebbe il mercato). Il distributore riceve un prezzo medio, quindi non risente particolarmente di eventuali fluttuazioni nella produzione. Contrariamente a quanto è accaduto in passato, quando il costo dell’energia sul mercato era estremamente basso, AET blu oggi è molto richiesto, ma AET non ha più interesse – ovviamente – a mantenere quei prezzi.</w:t>
      </w:r>
      <w:r w:rsidR="005B46B2" w:rsidRPr="005B46B2">
        <w:rPr>
          <w:rFonts w:asciiTheme="minorHAnsi" w:hAnsiTheme="minorHAnsi" w:cstheme="minorHAnsi"/>
          <w:bCs/>
          <w:i/>
        </w:rPr>
        <w:t xml:space="preserve"> </w:t>
      </w:r>
      <w:r w:rsidRPr="005B46B2">
        <w:rPr>
          <w:rFonts w:asciiTheme="minorHAnsi" w:hAnsiTheme="minorHAnsi" w:cstheme="minorHAnsi"/>
          <w:bCs/>
          <w:i/>
        </w:rPr>
        <w:t xml:space="preserve">AET inoltre ha contratti back to back, giorno per </w:t>
      </w:r>
      <w:r w:rsidRPr="003536CB">
        <w:rPr>
          <w:rFonts w:asciiTheme="minorHAnsi" w:hAnsiTheme="minorHAnsi" w:cstheme="minorHAnsi"/>
          <w:bCs/>
          <w:i/>
        </w:rPr>
        <w:t>giorno.</w:t>
      </w:r>
    </w:p>
    <w:p w14:paraId="4316016A" w14:textId="20BE2D94" w:rsidR="005B77C4" w:rsidRPr="003536CB" w:rsidRDefault="005B77C4" w:rsidP="003536CB">
      <w:pPr>
        <w:rPr>
          <w:rFonts w:asciiTheme="minorHAnsi" w:hAnsiTheme="minorHAnsi" w:cstheme="minorHAnsi"/>
          <w:bCs/>
        </w:rPr>
      </w:pPr>
    </w:p>
    <w:p w14:paraId="0541EC2E" w14:textId="399557A9" w:rsidR="00273FBD" w:rsidRDefault="001A187A" w:rsidP="001A187A">
      <w:pPr>
        <w:spacing w:after="120"/>
        <w:ind w:left="993" w:hanging="567"/>
        <w:rPr>
          <w:rFonts w:asciiTheme="minorHAnsi" w:hAnsiTheme="minorHAnsi" w:cstheme="minorHAnsi"/>
          <w:bCs/>
          <w:i/>
        </w:rPr>
      </w:pPr>
      <w:r>
        <w:rPr>
          <w:rFonts w:asciiTheme="minorHAnsi" w:hAnsiTheme="minorHAnsi" w:cstheme="minorHAnsi"/>
          <w:bCs/>
          <w:i/>
        </w:rPr>
        <w:t>D:</w:t>
      </w:r>
      <w:r>
        <w:rPr>
          <w:rFonts w:asciiTheme="minorHAnsi" w:hAnsiTheme="minorHAnsi" w:cstheme="minorHAnsi"/>
          <w:bCs/>
          <w:i/>
        </w:rPr>
        <w:tab/>
      </w:r>
      <w:r w:rsidR="00273FBD" w:rsidRPr="00273FBD">
        <w:rPr>
          <w:rFonts w:asciiTheme="minorHAnsi" w:hAnsiTheme="minorHAnsi" w:cstheme="minorHAnsi"/>
          <w:bCs/>
          <w:i/>
        </w:rPr>
        <w:t xml:space="preserve">Quanta parte della perdita subita da AET è legata ai contratti di fornitura alle aziende di distribuzione dell’energia? </w:t>
      </w:r>
    </w:p>
    <w:p w14:paraId="2C061E24" w14:textId="20F5A5AE" w:rsidR="00AB5CE0" w:rsidRPr="005B46B2" w:rsidRDefault="00AB5CE0" w:rsidP="005B46B2">
      <w:pPr>
        <w:spacing w:after="120"/>
        <w:ind w:left="993" w:hanging="567"/>
        <w:rPr>
          <w:rFonts w:asciiTheme="minorHAnsi" w:hAnsiTheme="minorHAnsi" w:cstheme="minorHAnsi"/>
          <w:bCs/>
          <w:i/>
        </w:rPr>
      </w:pPr>
      <w:r w:rsidRPr="005B46B2">
        <w:rPr>
          <w:rFonts w:asciiTheme="minorHAnsi" w:hAnsiTheme="minorHAnsi" w:cstheme="minorHAnsi"/>
          <w:bCs/>
          <w:i/>
        </w:rPr>
        <w:t>R:</w:t>
      </w:r>
      <w:r w:rsidRPr="005B46B2">
        <w:rPr>
          <w:rFonts w:asciiTheme="minorHAnsi" w:hAnsiTheme="minorHAnsi" w:cstheme="minorHAnsi"/>
          <w:bCs/>
          <w:i/>
        </w:rPr>
        <w:tab/>
      </w:r>
      <w:r w:rsidR="005B46B2" w:rsidRPr="005B46B2">
        <w:rPr>
          <w:rFonts w:asciiTheme="minorHAnsi" w:hAnsiTheme="minorHAnsi" w:cstheme="minorHAnsi"/>
          <w:bCs/>
          <w:i/>
        </w:rPr>
        <w:t>Il portafoglio di energia di AET è gestito come un portafoglio unico, quindi non si può definire quanta parte della perdita è attribuibile al singolo contratto. L’origine della perdita dipende dal fatto già spiegato, cioè che AET ha dovuto comprare sul mercato il volume di energia mancante per onorare tutti i contratti. I</w:t>
      </w:r>
      <w:r w:rsidRPr="005B46B2">
        <w:rPr>
          <w:rFonts w:asciiTheme="minorHAnsi" w:hAnsiTheme="minorHAnsi" w:cstheme="minorHAnsi"/>
          <w:bCs/>
          <w:i/>
        </w:rPr>
        <w:t xml:space="preserve"> bacini in autunno 2022 erano vuoti, AET ha comprato energia per far fronte all’inverno, che poi però si è rivelato essere mite. Il consumo in Ticino è diminuito grossomodo del 5%; per SES è diminuito addirittura del 10%. Mai negli ultimi vent’anni il consumo è diminuito così tanto. Non è chiaro quale sia esattamente la causa di questo calo: semplicemente le temperature più miti? È stata efficace la campagna in favore del risparmio energetico? I prezzi alti hanno indotto i consumatori a migliorare l’efficienza energetica? Il numero di industrie in Ticino è diminuito? Forse ha agito una serie di concause.</w:t>
      </w:r>
    </w:p>
    <w:p w14:paraId="55C97123" w14:textId="457738B6" w:rsidR="00AB5CE0" w:rsidRPr="003536CB" w:rsidRDefault="00AB5CE0" w:rsidP="00967911">
      <w:pPr>
        <w:spacing w:after="120"/>
        <w:ind w:left="993"/>
        <w:rPr>
          <w:rFonts w:asciiTheme="minorHAnsi" w:hAnsiTheme="minorHAnsi" w:cstheme="minorHAnsi"/>
          <w:bCs/>
          <w:i/>
        </w:rPr>
      </w:pPr>
      <w:r w:rsidRPr="003536CB">
        <w:rPr>
          <w:rFonts w:asciiTheme="minorHAnsi" w:hAnsiTheme="minorHAnsi" w:cstheme="minorHAnsi"/>
          <w:bCs/>
          <w:i/>
        </w:rPr>
        <w:t>AET dispone solo di dati aggregati. AET sa quanta energia arriva a quali sottostazioni; da lì in avanti i dati sono posseduti dai distributori, che però non li forniscono. AET ha qualche informazione in più derivante da SES, di cui è azionista, che però non è applicabile per analogia sul resto del territorio cantonale.</w:t>
      </w:r>
    </w:p>
    <w:p w14:paraId="3B16C3F7" w14:textId="77751295" w:rsidR="00AB5CE0" w:rsidRPr="003536CB" w:rsidRDefault="00967911" w:rsidP="00967911">
      <w:pPr>
        <w:spacing w:after="120"/>
        <w:ind w:left="993"/>
        <w:rPr>
          <w:rFonts w:asciiTheme="minorHAnsi" w:hAnsiTheme="minorHAnsi" w:cstheme="minorHAnsi"/>
          <w:bCs/>
          <w:i/>
        </w:rPr>
      </w:pPr>
      <w:r w:rsidRPr="003536CB">
        <w:rPr>
          <w:rFonts w:asciiTheme="minorHAnsi" w:hAnsiTheme="minorHAnsi" w:cstheme="minorHAnsi"/>
          <w:bCs/>
          <w:i/>
        </w:rPr>
        <w:t xml:space="preserve">Dal canto suo </w:t>
      </w:r>
      <w:r w:rsidR="00AB5CE0" w:rsidRPr="003536CB">
        <w:rPr>
          <w:rFonts w:asciiTheme="minorHAnsi" w:hAnsiTheme="minorHAnsi" w:cstheme="minorHAnsi"/>
          <w:bCs/>
          <w:i/>
        </w:rPr>
        <w:t xml:space="preserve">il Cantone fondamentalmente dispone dei dati di AET, quindi si tratta di dati complessivi. La SUPSI tramite </w:t>
      </w:r>
      <w:hyperlink r:id="rId20" w:history="1">
        <w:r w:rsidR="00AB5CE0" w:rsidRPr="003536CB">
          <w:rPr>
            <w:i/>
          </w:rPr>
          <w:t>OASI</w:t>
        </w:r>
      </w:hyperlink>
      <w:r w:rsidR="00AB5CE0" w:rsidRPr="003536CB">
        <w:rPr>
          <w:rFonts w:asciiTheme="minorHAnsi" w:hAnsiTheme="minorHAnsi" w:cstheme="minorHAnsi"/>
          <w:bCs/>
          <w:i/>
        </w:rPr>
        <w:t xml:space="preserve"> fornisce statistiche riguardanti i consumi per tipologia, ma con ritardi di due o tre anni.</w:t>
      </w:r>
    </w:p>
    <w:p w14:paraId="43344519" w14:textId="2B2DC4AC" w:rsidR="00AB5CE0" w:rsidRPr="00967911" w:rsidRDefault="00967911" w:rsidP="00967911">
      <w:pPr>
        <w:spacing w:after="120"/>
        <w:ind w:left="993"/>
        <w:rPr>
          <w:rFonts w:asciiTheme="minorHAnsi" w:hAnsiTheme="minorHAnsi" w:cstheme="minorHAnsi"/>
          <w:bCs/>
        </w:rPr>
      </w:pPr>
      <w:r w:rsidRPr="003536CB">
        <w:rPr>
          <w:rFonts w:asciiTheme="minorHAnsi" w:hAnsiTheme="minorHAnsi" w:cstheme="minorHAnsi"/>
          <w:bCs/>
          <w:i/>
        </w:rPr>
        <w:t>S</w:t>
      </w:r>
      <w:r w:rsidR="00AB5CE0" w:rsidRPr="003536CB">
        <w:rPr>
          <w:rFonts w:asciiTheme="minorHAnsi" w:hAnsiTheme="minorHAnsi" w:cstheme="minorHAnsi"/>
          <w:bCs/>
          <w:i/>
        </w:rPr>
        <w:t xml:space="preserve">apere quali sono le cause della diminuzione dei consumi (effetto del caldo? Sostituzione dei riscaldamenti elettrici diretti con termopompe? Un’industria particolarmente energivora ha lavorato di </w:t>
      </w:r>
      <w:proofErr w:type="gramStart"/>
      <w:r w:rsidR="00AB5CE0" w:rsidRPr="003536CB">
        <w:rPr>
          <w:rFonts w:asciiTheme="minorHAnsi" w:hAnsiTheme="minorHAnsi" w:cstheme="minorHAnsi"/>
          <w:bCs/>
          <w:i/>
        </w:rPr>
        <w:t>meno?...</w:t>
      </w:r>
      <w:proofErr w:type="gramEnd"/>
      <w:r w:rsidR="00AB5CE0" w:rsidRPr="003536CB">
        <w:rPr>
          <w:rFonts w:asciiTheme="minorHAnsi" w:hAnsiTheme="minorHAnsi" w:cstheme="minorHAnsi"/>
          <w:bCs/>
          <w:i/>
        </w:rPr>
        <w:t xml:space="preserve">) sarebbe fondamentale anche per aggiornare il Piano energetico e climatico cantonale (PECC). Probabilmente </w:t>
      </w:r>
      <w:proofErr w:type="spellStart"/>
      <w:r w:rsidR="00AB5CE0" w:rsidRPr="003536CB">
        <w:rPr>
          <w:rFonts w:asciiTheme="minorHAnsi" w:hAnsiTheme="minorHAnsi" w:cstheme="minorHAnsi"/>
          <w:bCs/>
          <w:i/>
        </w:rPr>
        <w:t>ElCom</w:t>
      </w:r>
      <w:proofErr w:type="spellEnd"/>
      <w:r w:rsidR="00AB5CE0" w:rsidRPr="003536CB">
        <w:rPr>
          <w:rFonts w:asciiTheme="minorHAnsi" w:hAnsiTheme="minorHAnsi" w:cstheme="minorHAnsi"/>
          <w:bCs/>
          <w:i/>
        </w:rPr>
        <w:t xml:space="preserve"> riceve i dati </w:t>
      </w:r>
      <w:r w:rsidRPr="003536CB">
        <w:rPr>
          <w:rFonts w:asciiTheme="minorHAnsi" w:hAnsiTheme="minorHAnsi" w:cstheme="minorHAnsi"/>
          <w:bCs/>
          <w:i/>
        </w:rPr>
        <w:t>(</w:t>
      </w:r>
      <w:r w:rsidR="00AB5CE0" w:rsidRPr="003536CB">
        <w:rPr>
          <w:rFonts w:asciiTheme="minorHAnsi" w:hAnsiTheme="minorHAnsi" w:cstheme="minorHAnsi"/>
          <w:bCs/>
          <w:i/>
        </w:rPr>
        <w:t>almeno parzialmente</w:t>
      </w:r>
      <w:r w:rsidRPr="003536CB">
        <w:rPr>
          <w:rFonts w:asciiTheme="minorHAnsi" w:hAnsiTheme="minorHAnsi" w:cstheme="minorHAnsi"/>
          <w:bCs/>
          <w:i/>
        </w:rPr>
        <w:t>)</w:t>
      </w:r>
      <w:r w:rsidR="00AB5CE0" w:rsidRPr="003536CB">
        <w:rPr>
          <w:rFonts w:asciiTheme="minorHAnsi" w:hAnsiTheme="minorHAnsi" w:cstheme="minorHAnsi"/>
          <w:bCs/>
          <w:i/>
        </w:rPr>
        <w:t>. Sarà interessante vedere i dati relativi al 2023. La tendenza a livello svizzero vede la popolazione aumentare, mentre il consumo di elettricità si stabilizza o addirittura diminuisce</w:t>
      </w:r>
      <w:r w:rsidR="00AB5CE0" w:rsidRPr="00967911">
        <w:rPr>
          <w:rFonts w:asciiTheme="minorHAnsi" w:hAnsiTheme="minorHAnsi" w:cstheme="minorHAnsi"/>
          <w:bCs/>
        </w:rPr>
        <w:t>.</w:t>
      </w:r>
    </w:p>
    <w:p w14:paraId="15044745" w14:textId="6DEF0467" w:rsidR="00AB5CE0" w:rsidRDefault="00967911" w:rsidP="003536CB">
      <w:pPr>
        <w:ind w:left="992"/>
        <w:rPr>
          <w:rFonts w:asciiTheme="minorHAnsi" w:hAnsiTheme="minorHAnsi" w:cstheme="minorHAnsi"/>
          <w:bCs/>
          <w:i/>
        </w:rPr>
      </w:pPr>
      <w:r w:rsidRPr="003536CB">
        <w:rPr>
          <w:rFonts w:asciiTheme="minorHAnsi" w:hAnsiTheme="minorHAnsi" w:cstheme="minorHAnsi"/>
          <w:bCs/>
          <w:i/>
        </w:rPr>
        <w:t xml:space="preserve">I dati statistici ci sono. Si </w:t>
      </w:r>
      <w:r w:rsidR="00AB5CE0" w:rsidRPr="003536CB">
        <w:rPr>
          <w:rFonts w:asciiTheme="minorHAnsi" w:hAnsiTheme="minorHAnsi" w:cstheme="minorHAnsi"/>
          <w:bCs/>
          <w:i/>
        </w:rPr>
        <w:t xml:space="preserve">potrà magari dire su che tipo di consumatori il consumo è diminuito, </w:t>
      </w:r>
      <w:r w:rsidRPr="003536CB">
        <w:rPr>
          <w:rFonts w:asciiTheme="minorHAnsi" w:hAnsiTheme="minorHAnsi" w:cstheme="minorHAnsi"/>
          <w:bCs/>
          <w:i/>
        </w:rPr>
        <w:t xml:space="preserve">ma conoscerne i motivi sarà molto </w:t>
      </w:r>
      <w:r w:rsidR="00AB5CE0" w:rsidRPr="003536CB">
        <w:rPr>
          <w:rFonts w:asciiTheme="minorHAnsi" w:hAnsiTheme="minorHAnsi" w:cstheme="minorHAnsi"/>
          <w:bCs/>
          <w:i/>
        </w:rPr>
        <w:t>difficile</w:t>
      </w:r>
      <w:r w:rsidRPr="003536CB">
        <w:rPr>
          <w:rFonts w:asciiTheme="minorHAnsi" w:hAnsiTheme="minorHAnsi" w:cstheme="minorHAnsi"/>
          <w:bCs/>
          <w:i/>
        </w:rPr>
        <w:t>.</w:t>
      </w:r>
    </w:p>
    <w:p w14:paraId="0588E74C" w14:textId="77777777" w:rsidR="003536CB" w:rsidRPr="003536CB" w:rsidRDefault="003536CB" w:rsidP="003536CB">
      <w:pPr>
        <w:rPr>
          <w:rFonts w:asciiTheme="minorHAnsi" w:hAnsiTheme="minorHAnsi" w:cstheme="minorHAnsi"/>
          <w:bCs/>
          <w:i/>
        </w:rPr>
      </w:pPr>
    </w:p>
    <w:p w14:paraId="08AE051A" w14:textId="7D060E30" w:rsidR="00273FBD" w:rsidRPr="00967911" w:rsidRDefault="003536CB" w:rsidP="003536CB">
      <w:pPr>
        <w:spacing w:after="120"/>
        <w:ind w:left="993" w:hanging="567"/>
        <w:rPr>
          <w:rFonts w:asciiTheme="minorHAnsi" w:hAnsiTheme="minorHAnsi" w:cstheme="minorHAnsi"/>
          <w:bCs/>
          <w:i/>
        </w:rPr>
      </w:pPr>
      <w:r>
        <w:rPr>
          <w:rFonts w:asciiTheme="minorHAnsi" w:hAnsiTheme="minorHAnsi" w:cstheme="minorHAnsi"/>
          <w:bCs/>
          <w:i/>
        </w:rPr>
        <w:t>D:</w:t>
      </w:r>
      <w:r>
        <w:rPr>
          <w:rFonts w:asciiTheme="minorHAnsi" w:hAnsiTheme="minorHAnsi" w:cstheme="minorHAnsi"/>
          <w:bCs/>
          <w:i/>
        </w:rPr>
        <w:tab/>
      </w:r>
      <w:r w:rsidR="00967911" w:rsidRPr="00967911">
        <w:rPr>
          <w:rFonts w:asciiTheme="minorHAnsi" w:hAnsiTheme="minorHAnsi" w:cstheme="minorHAnsi"/>
          <w:bCs/>
          <w:i/>
        </w:rPr>
        <w:t>U</w:t>
      </w:r>
      <w:r w:rsidR="00BF5F3F" w:rsidRPr="00967911">
        <w:rPr>
          <w:rFonts w:asciiTheme="minorHAnsi" w:hAnsiTheme="minorHAnsi" w:cstheme="minorHAnsi"/>
          <w:bCs/>
          <w:i/>
        </w:rPr>
        <w:t xml:space="preserve">n fattore importante per il </w:t>
      </w:r>
      <w:proofErr w:type="spellStart"/>
      <w:r w:rsidR="00BF5F3F" w:rsidRPr="00967911">
        <w:rPr>
          <w:rFonts w:asciiTheme="minorHAnsi" w:hAnsiTheme="minorHAnsi" w:cstheme="minorHAnsi"/>
          <w:bCs/>
          <w:i/>
        </w:rPr>
        <w:t>risk</w:t>
      </w:r>
      <w:proofErr w:type="spellEnd"/>
      <w:r w:rsidR="00BF5F3F" w:rsidRPr="00967911">
        <w:rPr>
          <w:rFonts w:asciiTheme="minorHAnsi" w:hAnsiTheme="minorHAnsi" w:cstheme="minorHAnsi"/>
          <w:bCs/>
          <w:i/>
        </w:rPr>
        <w:t xml:space="preserve"> management legato sia ai consumi sia alla produzione è la meteorologia. Il cambiamento climatico, che influenza le precipitazioni e le temperature, è considerato? I dati medi relativi a vent’anni fa probabilmente non corrispondono più alla realtà attuale e in futuro sono molto probabilmente destinati a modificarsi ulteriormente.</w:t>
      </w:r>
    </w:p>
    <w:p w14:paraId="287BCBCD" w14:textId="6411BFBD" w:rsidR="00BF5F3F" w:rsidRDefault="003536CB" w:rsidP="003536CB">
      <w:pPr>
        <w:ind w:left="992" w:hanging="567"/>
        <w:rPr>
          <w:rFonts w:asciiTheme="minorHAnsi" w:hAnsiTheme="minorHAnsi" w:cstheme="minorHAnsi"/>
          <w:bCs/>
          <w:i/>
        </w:rPr>
      </w:pPr>
      <w:r>
        <w:rPr>
          <w:rFonts w:asciiTheme="minorHAnsi" w:hAnsiTheme="minorHAnsi" w:cstheme="minorHAnsi"/>
          <w:bCs/>
          <w:i/>
        </w:rPr>
        <w:t>R:</w:t>
      </w:r>
      <w:r>
        <w:rPr>
          <w:rFonts w:asciiTheme="minorHAnsi" w:hAnsiTheme="minorHAnsi" w:cstheme="minorHAnsi"/>
          <w:bCs/>
          <w:i/>
        </w:rPr>
        <w:tab/>
      </w:r>
      <w:r w:rsidR="009969B1">
        <w:rPr>
          <w:rFonts w:asciiTheme="minorHAnsi" w:hAnsiTheme="minorHAnsi" w:cstheme="minorHAnsi"/>
          <w:bCs/>
          <w:i/>
        </w:rPr>
        <w:t xml:space="preserve">I </w:t>
      </w:r>
      <w:r w:rsidR="009969B1" w:rsidRPr="009969B1">
        <w:rPr>
          <w:rFonts w:asciiTheme="minorHAnsi" w:hAnsiTheme="minorHAnsi" w:cstheme="minorHAnsi"/>
          <w:bCs/>
          <w:i/>
        </w:rPr>
        <w:t>cambiamenti</w:t>
      </w:r>
      <w:r w:rsidR="009969B1">
        <w:rPr>
          <w:rFonts w:asciiTheme="minorHAnsi" w:hAnsiTheme="minorHAnsi" w:cstheme="minorHAnsi"/>
          <w:bCs/>
          <w:i/>
        </w:rPr>
        <w:t xml:space="preserve"> climatici</w:t>
      </w:r>
      <w:r w:rsidR="009969B1" w:rsidRPr="009969B1">
        <w:rPr>
          <w:rFonts w:asciiTheme="minorHAnsi" w:hAnsiTheme="minorHAnsi" w:cstheme="minorHAnsi"/>
          <w:bCs/>
          <w:i/>
        </w:rPr>
        <w:t xml:space="preserve"> stanno avvenendo molto in fretta e bisogna adattarsi.</w:t>
      </w:r>
      <w:r w:rsidR="009969B1">
        <w:rPr>
          <w:rFonts w:asciiTheme="minorHAnsi" w:hAnsiTheme="minorHAnsi" w:cstheme="minorHAnsi"/>
          <w:bCs/>
          <w:i/>
        </w:rPr>
        <w:t xml:space="preserve"> </w:t>
      </w:r>
      <w:r w:rsidR="00BF5F3F" w:rsidRPr="00967911">
        <w:rPr>
          <w:rFonts w:asciiTheme="minorHAnsi" w:hAnsiTheme="minorHAnsi" w:cstheme="minorHAnsi"/>
          <w:bCs/>
          <w:i/>
        </w:rPr>
        <w:t>AET ha già preso atto del fatto che vi sono sempre più spesso scostamenti rispetto alle medie. Il trend dell’evoluzione del consumo rispetto alle temperature è complesso, perché vi sono varie componenti (modifiche dei comportamenti, modifiche tecnologiche, aumento dei pannelli fotovoltaici e quindi dell’autoconsumo…).</w:t>
      </w:r>
      <w:r w:rsidR="009969B1">
        <w:rPr>
          <w:rFonts w:asciiTheme="minorHAnsi" w:hAnsiTheme="minorHAnsi" w:cstheme="minorHAnsi"/>
          <w:bCs/>
          <w:i/>
        </w:rPr>
        <w:t xml:space="preserve"> </w:t>
      </w:r>
      <w:r w:rsidR="009969B1" w:rsidRPr="009969B1">
        <w:rPr>
          <w:rFonts w:asciiTheme="minorHAnsi" w:hAnsiTheme="minorHAnsi" w:cstheme="minorHAnsi"/>
          <w:bCs/>
          <w:i/>
        </w:rPr>
        <w:t xml:space="preserve">I grossi competitor di AET hanno team di meteorologi alle loro dipendenze. AET sta valutando di avviare una collaborazione con </w:t>
      </w:r>
      <w:proofErr w:type="spellStart"/>
      <w:r w:rsidR="009969B1" w:rsidRPr="009969B1">
        <w:rPr>
          <w:rFonts w:asciiTheme="minorHAnsi" w:hAnsiTheme="minorHAnsi" w:cstheme="minorHAnsi"/>
          <w:bCs/>
          <w:i/>
        </w:rPr>
        <w:t>MeteoSvizzera</w:t>
      </w:r>
      <w:proofErr w:type="spellEnd"/>
      <w:r w:rsidR="009969B1" w:rsidRPr="009969B1">
        <w:rPr>
          <w:rFonts w:asciiTheme="minorHAnsi" w:hAnsiTheme="minorHAnsi" w:cstheme="minorHAnsi"/>
          <w:bCs/>
          <w:i/>
        </w:rPr>
        <w:t xml:space="preserve"> per poter disporre di una persona che analizzi i dati meteorologici </w:t>
      </w:r>
      <w:r w:rsidR="009969B1">
        <w:rPr>
          <w:rFonts w:asciiTheme="minorHAnsi" w:hAnsiTheme="minorHAnsi" w:cstheme="minorHAnsi"/>
          <w:bCs/>
          <w:i/>
        </w:rPr>
        <w:t xml:space="preserve">a livello </w:t>
      </w:r>
      <w:r w:rsidR="009969B1" w:rsidRPr="009969B1">
        <w:rPr>
          <w:rFonts w:asciiTheme="minorHAnsi" w:hAnsiTheme="minorHAnsi" w:cstheme="minorHAnsi"/>
          <w:bCs/>
          <w:i/>
        </w:rPr>
        <w:t>Europ</w:t>
      </w:r>
      <w:r w:rsidR="009969B1">
        <w:rPr>
          <w:rFonts w:asciiTheme="minorHAnsi" w:hAnsiTheme="minorHAnsi" w:cstheme="minorHAnsi"/>
          <w:bCs/>
          <w:i/>
        </w:rPr>
        <w:t>eo</w:t>
      </w:r>
      <w:r w:rsidR="009969B1" w:rsidRPr="009969B1">
        <w:rPr>
          <w:rFonts w:asciiTheme="minorHAnsi" w:hAnsiTheme="minorHAnsi" w:cstheme="minorHAnsi"/>
          <w:bCs/>
          <w:i/>
        </w:rPr>
        <w:t>.</w:t>
      </w:r>
    </w:p>
    <w:p w14:paraId="17F5A0BC" w14:textId="77777777" w:rsidR="003536CB" w:rsidRPr="00967911" w:rsidRDefault="003536CB" w:rsidP="003536CB">
      <w:pPr>
        <w:ind w:left="992" w:hanging="567"/>
        <w:rPr>
          <w:rFonts w:asciiTheme="minorHAnsi" w:hAnsiTheme="minorHAnsi" w:cstheme="minorHAnsi"/>
          <w:bCs/>
          <w:i/>
        </w:rPr>
      </w:pPr>
    </w:p>
    <w:p w14:paraId="7461E85E" w14:textId="0B5926EF" w:rsidR="00BF5F3F" w:rsidRPr="00967911" w:rsidRDefault="00967911" w:rsidP="00967911">
      <w:pPr>
        <w:spacing w:after="120"/>
        <w:ind w:left="993" w:hanging="567"/>
        <w:rPr>
          <w:rFonts w:asciiTheme="minorHAnsi" w:hAnsiTheme="minorHAnsi" w:cstheme="minorHAnsi"/>
          <w:bCs/>
          <w:i/>
        </w:rPr>
      </w:pPr>
      <w:r w:rsidRPr="00967911">
        <w:rPr>
          <w:rFonts w:asciiTheme="minorHAnsi" w:hAnsiTheme="minorHAnsi" w:cstheme="minorHAnsi"/>
          <w:bCs/>
          <w:i/>
        </w:rPr>
        <w:t>D:</w:t>
      </w:r>
      <w:r w:rsidRPr="00967911">
        <w:rPr>
          <w:rFonts w:asciiTheme="minorHAnsi" w:hAnsiTheme="minorHAnsi" w:cstheme="minorHAnsi"/>
          <w:bCs/>
          <w:i/>
        </w:rPr>
        <w:tab/>
      </w:r>
      <w:r w:rsidR="00BF5F3F" w:rsidRPr="00967911">
        <w:rPr>
          <w:rFonts w:asciiTheme="minorHAnsi" w:hAnsiTheme="minorHAnsi" w:cstheme="minorHAnsi"/>
          <w:bCs/>
          <w:i/>
        </w:rPr>
        <w:t>l’aumento del numero di impianti fotovoltaici non potrebbe in parte spiegare la diminuzione dei consumi?</w:t>
      </w:r>
    </w:p>
    <w:p w14:paraId="270DF60B" w14:textId="3C2518A6" w:rsidR="00BF5F3F" w:rsidRPr="003536CB" w:rsidRDefault="00967911" w:rsidP="003536CB">
      <w:pPr>
        <w:ind w:left="993" w:hanging="567"/>
        <w:rPr>
          <w:rFonts w:asciiTheme="minorHAnsi" w:hAnsiTheme="minorHAnsi" w:cstheme="minorHAnsi"/>
          <w:bCs/>
          <w:i/>
        </w:rPr>
      </w:pPr>
      <w:r w:rsidRPr="00967911">
        <w:rPr>
          <w:rFonts w:asciiTheme="minorHAnsi" w:hAnsiTheme="minorHAnsi" w:cstheme="minorHAnsi"/>
          <w:bCs/>
          <w:i/>
        </w:rPr>
        <w:t>R:</w:t>
      </w:r>
      <w:r w:rsidRPr="00967911">
        <w:rPr>
          <w:rFonts w:asciiTheme="minorHAnsi" w:hAnsiTheme="minorHAnsi" w:cstheme="minorHAnsi"/>
          <w:bCs/>
          <w:i/>
        </w:rPr>
        <w:tab/>
        <w:t>I</w:t>
      </w:r>
      <w:r w:rsidR="00BF5F3F" w:rsidRPr="00967911">
        <w:rPr>
          <w:rFonts w:asciiTheme="minorHAnsi" w:hAnsiTheme="minorHAnsi" w:cstheme="minorHAnsi"/>
          <w:bCs/>
          <w:i/>
        </w:rPr>
        <w:t xml:space="preserve">n parte sì, proprio in virtù dell’autoconsumo. AET però non possiede dati in </w:t>
      </w:r>
      <w:proofErr w:type="spellStart"/>
      <w:r w:rsidR="00BF5F3F" w:rsidRPr="00967911">
        <w:rPr>
          <w:rFonts w:asciiTheme="minorHAnsi" w:hAnsiTheme="minorHAnsi" w:cstheme="minorHAnsi"/>
          <w:bCs/>
          <w:i/>
        </w:rPr>
        <w:t>proposit</w:t>
      </w:r>
      <w:proofErr w:type="spellEnd"/>
      <w:r>
        <w:rPr>
          <w:rFonts w:asciiTheme="minorHAnsi" w:hAnsiTheme="minorHAnsi" w:cstheme="minorHAnsi"/>
          <w:bCs/>
          <w:i/>
        </w:rPr>
        <w:t>. Le aziende distributrici possono</w:t>
      </w:r>
      <w:r w:rsidR="00BF5F3F" w:rsidRPr="00967911">
        <w:rPr>
          <w:rFonts w:asciiTheme="minorHAnsi" w:hAnsiTheme="minorHAnsi" w:cstheme="minorHAnsi"/>
          <w:bCs/>
          <w:i/>
        </w:rPr>
        <w:t xml:space="preserve"> fare delle stime, perché gli impianti fotovoltaici devono essere annunciati e si può stimare la loro produzione. Si tratta sempre</w:t>
      </w:r>
      <w:r>
        <w:rPr>
          <w:rFonts w:asciiTheme="minorHAnsi" w:hAnsiTheme="minorHAnsi" w:cstheme="minorHAnsi"/>
          <w:bCs/>
          <w:i/>
        </w:rPr>
        <w:t xml:space="preserve"> e comunque</w:t>
      </w:r>
      <w:r w:rsidR="00BF5F3F" w:rsidRPr="00967911">
        <w:rPr>
          <w:rFonts w:asciiTheme="minorHAnsi" w:hAnsiTheme="minorHAnsi" w:cstheme="minorHAnsi"/>
          <w:bCs/>
          <w:i/>
        </w:rPr>
        <w:t xml:space="preserve"> di stime, con margini di errore.</w:t>
      </w:r>
      <w:r w:rsidR="009969B1">
        <w:rPr>
          <w:rFonts w:asciiTheme="minorHAnsi" w:hAnsiTheme="minorHAnsi" w:cstheme="minorHAnsi"/>
          <w:bCs/>
          <w:i/>
        </w:rPr>
        <w:t xml:space="preserve"> Bisogna considerare che </w:t>
      </w:r>
      <w:r w:rsidR="00BF5F3F" w:rsidRPr="009969B1">
        <w:rPr>
          <w:rFonts w:asciiTheme="minorHAnsi" w:hAnsiTheme="minorHAnsi" w:cstheme="minorHAnsi"/>
          <w:bCs/>
          <w:i/>
        </w:rPr>
        <w:t xml:space="preserve">già oggi la produzione fotovoltaica causa oscillazioni sulla rete imprevedibili. A luglio si è </w:t>
      </w:r>
      <w:r w:rsidR="00BF5F3F" w:rsidRPr="003536CB">
        <w:rPr>
          <w:rFonts w:asciiTheme="minorHAnsi" w:hAnsiTheme="minorHAnsi" w:cstheme="minorHAnsi"/>
          <w:bCs/>
          <w:i/>
        </w:rPr>
        <w:t>registrato in una sola giornata un +/- 30%.</w:t>
      </w:r>
    </w:p>
    <w:p w14:paraId="0F95C17E" w14:textId="77777777" w:rsidR="00BF5F3F" w:rsidRPr="003536CB" w:rsidRDefault="00BF5F3F" w:rsidP="003536CB"/>
    <w:p w14:paraId="0E953444" w14:textId="3F6FCA18" w:rsidR="00BA4F6F" w:rsidRDefault="003536CB" w:rsidP="003536CB">
      <w:pPr>
        <w:pStyle w:val="Paragrafoelenco"/>
        <w:numPr>
          <w:ilvl w:val="0"/>
          <w:numId w:val="31"/>
        </w:numPr>
        <w:spacing w:after="120"/>
        <w:ind w:left="425" w:hanging="425"/>
        <w:contextualSpacing w:val="0"/>
      </w:pPr>
      <w:r>
        <w:t>«</w:t>
      </w:r>
      <w:r w:rsidR="00BA4F6F" w:rsidRPr="003536CB">
        <w:rPr>
          <w:i/>
        </w:rPr>
        <w:t>AET si prepara a gestire le attuali risorse in maniera conservativa e ad accelerare i piani per l’incremento della produzione da fonti rinnovabili e la loro diversificazione</w:t>
      </w:r>
      <w:r w:rsidR="00BA4F6F" w:rsidRPr="00BA4F6F">
        <w:t xml:space="preserve">» (Rapporto annuale 2022, pag. 20) </w:t>
      </w:r>
    </w:p>
    <w:p w14:paraId="27032097" w14:textId="3B1A10A1" w:rsidR="0047044D" w:rsidRPr="00EC5C40" w:rsidRDefault="00BF5F3F" w:rsidP="00BF5F3F">
      <w:pPr>
        <w:spacing w:after="120"/>
        <w:ind w:left="993" w:hanging="567"/>
        <w:rPr>
          <w:rFonts w:asciiTheme="minorHAnsi" w:hAnsiTheme="minorHAnsi" w:cstheme="minorHAnsi"/>
          <w:bCs/>
          <w:i/>
        </w:rPr>
      </w:pPr>
      <w:r w:rsidRPr="00EC5C40">
        <w:rPr>
          <w:rFonts w:asciiTheme="minorHAnsi" w:hAnsiTheme="minorHAnsi" w:cstheme="minorHAnsi"/>
          <w:bCs/>
          <w:i/>
        </w:rPr>
        <w:t>D:</w:t>
      </w:r>
      <w:r w:rsidRPr="00EC5C40">
        <w:rPr>
          <w:rFonts w:asciiTheme="minorHAnsi" w:hAnsiTheme="minorHAnsi" w:cstheme="minorHAnsi"/>
          <w:bCs/>
          <w:i/>
        </w:rPr>
        <w:tab/>
      </w:r>
      <w:r w:rsidR="0047044D" w:rsidRPr="00EC5C40">
        <w:rPr>
          <w:rFonts w:asciiTheme="minorHAnsi" w:hAnsiTheme="minorHAnsi" w:cstheme="minorHAnsi"/>
          <w:bCs/>
          <w:i/>
        </w:rPr>
        <w:t xml:space="preserve">Attualmente quanta parte dell’energia venduta da AET è di sua produzione? </w:t>
      </w:r>
    </w:p>
    <w:p w14:paraId="0D2E5148" w14:textId="0D53ECB8" w:rsidR="00EC5C40" w:rsidRDefault="00EC5C40" w:rsidP="003536CB">
      <w:pPr>
        <w:ind w:left="992" w:hanging="567"/>
        <w:rPr>
          <w:rFonts w:asciiTheme="minorHAnsi" w:hAnsiTheme="minorHAnsi" w:cstheme="minorHAnsi"/>
          <w:bCs/>
          <w:i/>
        </w:rPr>
      </w:pPr>
      <w:r w:rsidRPr="009969B1">
        <w:rPr>
          <w:rFonts w:asciiTheme="minorHAnsi" w:hAnsiTheme="minorHAnsi" w:cstheme="minorHAnsi"/>
          <w:bCs/>
          <w:i/>
        </w:rPr>
        <w:t>R:</w:t>
      </w:r>
      <w:r w:rsidRPr="009969B1">
        <w:rPr>
          <w:rFonts w:asciiTheme="minorHAnsi" w:hAnsiTheme="minorHAnsi" w:cstheme="minorHAnsi"/>
          <w:bCs/>
          <w:i/>
        </w:rPr>
        <w:tab/>
      </w:r>
      <w:r w:rsidR="009969B1">
        <w:rPr>
          <w:rFonts w:asciiTheme="minorHAnsi" w:hAnsiTheme="minorHAnsi" w:cstheme="minorHAnsi"/>
          <w:bCs/>
          <w:i/>
        </w:rPr>
        <w:t>G</w:t>
      </w:r>
      <w:r w:rsidRPr="009969B1">
        <w:rPr>
          <w:rFonts w:asciiTheme="minorHAnsi" w:hAnsiTheme="minorHAnsi" w:cstheme="minorHAnsi"/>
          <w:bCs/>
          <w:i/>
        </w:rPr>
        <w:t>rossomodo il 70% dell’energia venduta da AET è di sua produzione ed è rinnovabile, mentre il restante 30% deriva da nucleare e fossile e dai contratti in essere con EDF. L’obiettivo del PECC è arrivare al 95% di energia propria prodotta entro il 2035.</w:t>
      </w:r>
    </w:p>
    <w:p w14:paraId="67ACFDBF" w14:textId="77777777" w:rsidR="003536CB" w:rsidRPr="009969B1" w:rsidRDefault="003536CB" w:rsidP="003536CB">
      <w:pPr>
        <w:ind w:left="992" w:hanging="567"/>
        <w:rPr>
          <w:rFonts w:asciiTheme="minorHAnsi" w:hAnsiTheme="minorHAnsi" w:cstheme="minorHAnsi"/>
          <w:bCs/>
          <w:i/>
        </w:rPr>
      </w:pPr>
    </w:p>
    <w:p w14:paraId="3E05FE4C" w14:textId="4F4EE8BE" w:rsidR="0047044D" w:rsidRDefault="00BF5F3F" w:rsidP="00BF5F3F">
      <w:pPr>
        <w:spacing w:after="120"/>
        <w:ind w:left="993" w:hanging="567"/>
        <w:rPr>
          <w:rFonts w:asciiTheme="minorHAnsi" w:hAnsiTheme="minorHAnsi" w:cstheme="minorHAnsi"/>
          <w:bCs/>
          <w:i/>
        </w:rPr>
      </w:pPr>
      <w:r w:rsidRPr="00EC5C40">
        <w:rPr>
          <w:rFonts w:asciiTheme="minorHAnsi" w:hAnsiTheme="minorHAnsi" w:cstheme="minorHAnsi"/>
          <w:bCs/>
          <w:i/>
        </w:rPr>
        <w:t>D:</w:t>
      </w:r>
      <w:r w:rsidRPr="00EC5C40">
        <w:rPr>
          <w:rFonts w:asciiTheme="minorHAnsi" w:hAnsiTheme="minorHAnsi" w:cstheme="minorHAnsi"/>
          <w:bCs/>
          <w:i/>
        </w:rPr>
        <w:tab/>
      </w:r>
      <w:r w:rsidR="0047044D" w:rsidRPr="00EC5C40">
        <w:rPr>
          <w:rFonts w:asciiTheme="minorHAnsi" w:hAnsiTheme="minorHAnsi" w:cstheme="minorHAnsi"/>
          <w:bCs/>
          <w:i/>
        </w:rPr>
        <w:t xml:space="preserve">AET intende avviare nuovi progetti per aumentare la propria produzione? </w:t>
      </w:r>
    </w:p>
    <w:p w14:paraId="768D929A" w14:textId="77777777" w:rsidR="00B55298" w:rsidRDefault="00EC5C40" w:rsidP="00B55298">
      <w:pPr>
        <w:spacing w:after="120"/>
        <w:ind w:left="993" w:hanging="567"/>
        <w:rPr>
          <w:rFonts w:asciiTheme="minorHAnsi" w:hAnsiTheme="minorHAnsi" w:cstheme="minorHAnsi"/>
          <w:bCs/>
          <w:i/>
        </w:rPr>
      </w:pPr>
      <w:r w:rsidRPr="005C6434">
        <w:rPr>
          <w:rFonts w:asciiTheme="minorHAnsi" w:hAnsiTheme="minorHAnsi" w:cstheme="minorHAnsi"/>
          <w:bCs/>
          <w:i/>
        </w:rPr>
        <w:t>R:</w:t>
      </w:r>
      <w:r w:rsidRPr="005C6434">
        <w:rPr>
          <w:rFonts w:asciiTheme="minorHAnsi" w:hAnsiTheme="minorHAnsi" w:cstheme="minorHAnsi"/>
          <w:bCs/>
          <w:i/>
        </w:rPr>
        <w:tab/>
      </w:r>
      <w:r w:rsidR="005C6434">
        <w:rPr>
          <w:rFonts w:asciiTheme="minorHAnsi" w:hAnsiTheme="minorHAnsi" w:cstheme="minorHAnsi"/>
          <w:bCs/>
          <w:i/>
        </w:rPr>
        <w:t>Si certo. A</w:t>
      </w:r>
      <w:r w:rsidRPr="005C6434">
        <w:rPr>
          <w:rFonts w:asciiTheme="minorHAnsi" w:hAnsiTheme="minorHAnsi" w:cstheme="minorHAnsi"/>
          <w:bCs/>
          <w:i/>
        </w:rPr>
        <w:t xml:space="preserve">nche perché importanti contratti stipulati da AET arrivano a scadenza nel 2027. AET prevede di installare in futuro almeno 20 MW di solare, 1 MW all’anno su propri stabili e 1.5 MW almeno all’anno su stabili del Cantone, in collaborazione con la Sezione della logistica. Al momento sono stati identificati i primi 70 stabili cantonali, ma presumibilmente ve ne sono altri 300 idonei. Il potenziale è importante. Secondo le simulazioni effettuate, seguendo il piano di investimento previsto, si arriverà al 3-4% del solare prodotto in Svizzera. Circa la metà sarà di proprietà di AET, l’altra metà sarà in gestione via fondo FER. AET, assieme ad AIL e SES, ha vinto il concorso per la posa di pannelli fotovoltaici sulle pareti foniche delle autostrade (i costi di produzione sono sopra i 15 </w:t>
      </w:r>
      <w:proofErr w:type="spellStart"/>
      <w:proofErr w:type="gramStart"/>
      <w:r w:rsidRPr="005C6434">
        <w:rPr>
          <w:rFonts w:asciiTheme="minorHAnsi" w:hAnsiTheme="minorHAnsi" w:cstheme="minorHAnsi"/>
          <w:bCs/>
          <w:i/>
        </w:rPr>
        <w:t>cts</w:t>
      </w:r>
      <w:proofErr w:type="spellEnd"/>
      <w:r w:rsidRPr="005C6434">
        <w:rPr>
          <w:rFonts w:asciiTheme="minorHAnsi" w:hAnsiTheme="minorHAnsi" w:cstheme="minorHAnsi"/>
          <w:bCs/>
          <w:i/>
        </w:rPr>
        <w:t>./</w:t>
      </w:r>
      <w:proofErr w:type="gramEnd"/>
      <w:r w:rsidRPr="005C6434">
        <w:rPr>
          <w:rFonts w:asciiTheme="minorHAnsi" w:hAnsiTheme="minorHAnsi" w:cstheme="minorHAnsi"/>
          <w:bCs/>
          <w:i/>
        </w:rPr>
        <w:t xml:space="preserve">kWh). AET sta per decidere di installare pannelli sulla diga del </w:t>
      </w:r>
      <w:proofErr w:type="spellStart"/>
      <w:r w:rsidRPr="005C6434">
        <w:rPr>
          <w:rFonts w:asciiTheme="minorHAnsi" w:hAnsiTheme="minorHAnsi" w:cstheme="minorHAnsi"/>
          <w:bCs/>
          <w:i/>
        </w:rPr>
        <w:t>Ritom</w:t>
      </w:r>
      <w:proofErr w:type="spellEnd"/>
      <w:r w:rsidRPr="005C6434">
        <w:rPr>
          <w:rFonts w:asciiTheme="minorHAnsi" w:hAnsiTheme="minorHAnsi" w:cstheme="minorHAnsi"/>
          <w:bCs/>
          <w:i/>
        </w:rPr>
        <w:t xml:space="preserve"> e sta portando avanti calcoli riguardanti </w:t>
      </w:r>
      <w:proofErr w:type="spellStart"/>
      <w:r w:rsidRPr="005C6434">
        <w:rPr>
          <w:rFonts w:asciiTheme="minorHAnsi" w:hAnsiTheme="minorHAnsi" w:cstheme="minorHAnsi"/>
          <w:bCs/>
          <w:i/>
        </w:rPr>
        <w:t>Robiei</w:t>
      </w:r>
      <w:proofErr w:type="spellEnd"/>
      <w:r w:rsidRPr="005C6434">
        <w:rPr>
          <w:rFonts w:asciiTheme="minorHAnsi" w:hAnsiTheme="minorHAnsi" w:cstheme="minorHAnsi"/>
          <w:bCs/>
          <w:i/>
        </w:rPr>
        <w:t xml:space="preserve"> (questi impianti però non forniscono una grande produzione). Inoltre, si sta misurando il vento sul San Gottardo in zona Belvedere per valutare la posa di ulteriori pale eoliche. La prima fase dei lavori nell’impianto del </w:t>
      </w:r>
      <w:proofErr w:type="spellStart"/>
      <w:r w:rsidRPr="005C6434">
        <w:rPr>
          <w:rFonts w:asciiTheme="minorHAnsi" w:hAnsiTheme="minorHAnsi" w:cstheme="minorHAnsi"/>
          <w:bCs/>
          <w:i/>
        </w:rPr>
        <w:t>Piottino</w:t>
      </w:r>
      <w:proofErr w:type="spellEnd"/>
      <w:r w:rsidRPr="005C6434">
        <w:rPr>
          <w:rFonts w:asciiTheme="minorHAnsi" w:hAnsiTheme="minorHAnsi" w:cstheme="minorHAnsi"/>
          <w:bCs/>
          <w:i/>
        </w:rPr>
        <w:t xml:space="preserve"> si è conclusa a ottobre, poi inizierà il rinnovo vero e proprio. Si tratta di un investimento di oltre 70 milioni di franchi sui prossimi 4-5 anni.</w:t>
      </w:r>
    </w:p>
    <w:p w14:paraId="55990A7C" w14:textId="34387FDA" w:rsidR="00B55298" w:rsidRPr="00B55298" w:rsidRDefault="00B55298" w:rsidP="00B55298">
      <w:pPr>
        <w:spacing w:after="120"/>
        <w:ind w:left="993" w:hanging="567"/>
        <w:rPr>
          <w:rFonts w:asciiTheme="minorHAnsi" w:hAnsiTheme="minorHAnsi" w:cstheme="minorHAnsi"/>
          <w:bCs/>
          <w:i/>
        </w:rPr>
      </w:pPr>
      <w:r w:rsidRPr="00B55298">
        <w:rPr>
          <w:rFonts w:asciiTheme="minorHAnsi" w:hAnsiTheme="minorHAnsi" w:cstheme="minorHAnsi"/>
          <w:bCs/>
          <w:i/>
        </w:rPr>
        <w:tab/>
        <w:t xml:space="preserve">La realizzazione della nuova centrale del </w:t>
      </w:r>
      <w:proofErr w:type="spellStart"/>
      <w:r w:rsidRPr="00B55298">
        <w:rPr>
          <w:rFonts w:asciiTheme="minorHAnsi" w:hAnsiTheme="minorHAnsi" w:cstheme="minorHAnsi"/>
          <w:bCs/>
          <w:i/>
        </w:rPr>
        <w:t>Ritom</w:t>
      </w:r>
      <w:proofErr w:type="spellEnd"/>
      <w:r w:rsidRPr="00B55298">
        <w:rPr>
          <w:rFonts w:asciiTheme="minorHAnsi" w:hAnsiTheme="minorHAnsi" w:cstheme="minorHAnsi"/>
          <w:bCs/>
          <w:i/>
        </w:rPr>
        <w:t xml:space="preserve"> sta avanzando, anche se con alcuni rallentamenti dovuti a problemi tecnici.</w:t>
      </w:r>
    </w:p>
    <w:p w14:paraId="6B341FA5" w14:textId="77777777" w:rsidR="00B55298" w:rsidRPr="00B55298" w:rsidRDefault="00B55298" w:rsidP="00B55298">
      <w:pPr>
        <w:spacing w:after="120"/>
        <w:ind w:left="993" w:hanging="567"/>
        <w:rPr>
          <w:rFonts w:asciiTheme="minorHAnsi" w:hAnsiTheme="minorHAnsi" w:cstheme="minorHAnsi"/>
          <w:bCs/>
          <w:i/>
        </w:rPr>
      </w:pPr>
      <w:r w:rsidRPr="00B55298">
        <w:rPr>
          <w:rFonts w:asciiTheme="minorHAnsi" w:hAnsiTheme="minorHAnsi" w:cstheme="minorHAnsi"/>
          <w:bCs/>
          <w:i/>
        </w:rPr>
        <w:tab/>
        <w:t xml:space="preserve">Si sta iniziando a ragionare attorno alle riversioni di </w:t>
      </w:r>
      <w:proofErr w:type="spellStart"/>
      <w:r w:rsidRPr="00B55298">
        <w:rPr>
          <w:rFonts w:asciiTheme="minorHAnsi" w:hAnsiTheme="minorHAnsi" w:cstheme="minorHAnsi"/>
          <w:bCs/>
          <w:i/>
        </w:rPr>
        <w:t>Ofima</w:t>
      </w:r>
      <w:proofErr w:type="spellEnd"/>
      <w:r w:rsidRPr="00B55298">
        <w:rPr>
          <w:rFonts w:asciiTheme="minorHAnsi" w:hAnsiTheme="minorHAnsi" w:cstheme="minorHAnsi"/>
          <w:bCs/>
          <w:i/>
        </w:rPr>
        <w:t xml:space="preserve"> e </w:t>
      </w:r>
      <w:proofErr w:type="spellStart"/>
      <w:r w:rsidRPr="00B55298">
        <w:rPr>
          <w:rFonts w:asciiTheme="minorHAnsi" w:hAnsiTheme="minorHAnsi" w:cstheme="minorHAnsi"/>
          <w:bCs/>
          <w:i/>
        </w:rPr>
        <w:t>Ofible</w:t>
      </w:r>
      <w:proofErr w:type="spellEnd"/>
      <w:r w:rsidRPr="00B55298">
        <w:rPr>
          <w:rFonts w:asciiTheme="minorHAnsi" w:hAnsiTheme="minorHAnsi" w:cstheme="minorHAnsi"/>
          <w:bCs/>
          <w:i/>
        </w:rPr>
        <w:t>.</w:t>
      </w:r>
    </w:p>
    <w:p w14:paraId="49AEECA9" w14:textId="77777777" w:rsidR="00B55298" w:rsidRPr="00B55298" w:rsidRDefault="00B55298" w:rsidP="003536CB">
      <w:pPr>
        <w:ind w:left="992" w:hanging="567"/>
        <w:rPr>
          <w:rFonts w:asciiTheme="minorHAnsi" w:hAnsiTheme="minorHAnsi" w:cstheme="minorHAnsi"/>
          <w:bCs/>
          <w:i/>
        </w:rPr>
      </w:pPr>
      <w:r w:rsidRPr="00B55298">
        <w:rPr>
          <w:rFonts w:asciiTheme="minorHAnsi" w:hAnsiTheme="minorHAnsi" w:cstheme="minorHAnsi"/>
          <w:bCs/>
          <w:i/>
        </w:rPr>
        <w:tab/>
        <w:t>Si sta valutando con Lugano un eventuale progetto Verzasca 2.</w:t>
      </w:r>
    </w:p>
    <w:p w14:paraId="564FFC90" w14:textId="77777777" w:rsidR="00B55298" w:rsidRPr="005C6434" w:rsidRDefault="00B55298" w:rsidP="003536CB">
      <w:pPr>
        <w:ind w:left="992" w:hanging="567"/>
        <w:rPr>
          <w:rFonts w:asciiTheme="minorHAnsi" w:hAnsiTheme="minorHAnsi" w:cstheme="minorHAnsi"/>
          <w:bCs/>
          <w:i/>
        </w:rPr>
      </w:pPr>
    </w:p>
    <w:p w14:paraId="0406DAF3" w14:textId="4F70F47D" w:rsidR="00EC5C40" w:rsidRPr="00EC5C40" w:rsidRDefault="00EC5C40" w:rsidP="00EC5C40">
      <w:pPr>
        <w:spacing w:after="120"/>
        <w:ind w:left="993" w:hanging="567"/>
        <w:rPr>
          <w:rFonts w:asciiTheme="minorHAnsi" w:hAnsiTheme="minorHAnsi" w:cstheme="minorHAnsi"/>
          <w:bCs/>
          <w:i/>
        </w:rPr>
      </w:pPr>
      <w:r>
        <w:rPr>
          <w:rFonts w:asciiTheme="minorHAnsi" w:hAnsiTheme="minorHAnsi" w:cstheme="minorHAnsi"/>
          <w:bCs/>
          <w:i/>
        </w:rPr>
        <w:t>D:</w:t>
      </w:r>
      <w:r>
        <w:rPr>
          <w:rFonts w:asciiTheme="minorHAnsi" w:hAnsiTheme="minorHAnsi" w:cstheme="minorHAnsi"/>
          <w:bCs/>
          <w:i/>
        </w:rPr>
        <w:tab/>
      </w:r>
      <w:r w:rsidR="005C6434">
        <w:rPr>
          <w:rFonts w:asciiTheme="minorHAnsi" w:hAnsiTheme="minorHAnsi" w:cstheme="minorHAnsi"/>
          <w:bCs/>
          <w:i/>
        </w:rPr>
        <w:t>P</w:t>
      </w:r>
      <w:r w:rsidRPr="00EC5C40">
        <w:rPr>
          <w:rFonts w:asciiTheme="minorHAnsi" w:hAnsiTheme="minorHAnsi" w:cstheme="minorHAnsi"/>
          <w:bCs/>
          <w:i/>
        </w:rPr>
        <w:t xml:space="preserve">er la posa delle nuove pale eoliche occorre rifare una procedura </w:t>
      </w:r>
      <w:proofErr w:type="spellStart"/>
      <w:r w:rsidRPr="00EC5C40">
        <w:rPr>
          <w:rFonts w:asciiTheme="minorHAnsi" w:hAnsiTheme="minorHAnsi" w:cstheme="minorHAnsi"/>
          <w:bCs/>
          <w:i/>
        </w:rPr>
        <w:t>pianificatoria</w:t>
      </w:r>
      <w:proofErr w:type="spellEnd"/>
      <w:r w:rsidRPr="00EC5C40">
        <w:rPr>
          <w:rFonts w:asciiTheme="minorHAnsi" w:hAnsiTheme="minorHAnsi" w:cstheme="minorHAnsi"/>
          <w:bCs/>
          <w:i/>
        </w:rPr>
        <w:t>?</w:t>
      </w:r>
    </w:p>
    <w:p w14:paraId="584F582F" w14:textId="0D9251FF" w:rsidR="00EC5C40" w:rsidRPr="003536CB" w:rsidRDefault="00EC5C40" w:rsidP="003536CB">
      <w:pPr>
        <w:ind w:left="992" w:hanging="567"/>
        <w:rPr>
          <w:rFonts w:asciiTheme="minorHAnsi" w:hAnsiTheme="minorHAnsi" w:cstheme="minorHAnsi"/>
          <w:bCs/>
          <w:i/>
        </w:rPr>
      </w:pPr>
      <w:r w:rsidRPr="005C6434">
        <w:rPr>
          <w:rFonts w:asciiTheme="minorHAnsi" w:hAnsiTheme="minorHAnsi" w:cstheme="minorHAnsi"/>
          <w:bCs/>
          <w:i/>
        </w:rPr>
        <w:t>R:</w:t>
      </w:r>
      <w:r w:rsidRPr="005C6434">
        <w:rPr>
          <w:rFonts w:asciiTheme="minorHAnsi" w:hAnsiTheme="minorHAnsi" w:cstheme="minorHAnsi"/>
          <w:bCs/>
          <w:i/>
        </w:rPr>
        <w:tab/>
      </w:r>
      <w:r w:rsidR="005C6434" w:rsidRPr="005C6434">
        <w:rPr>
          <w:rFonts w:asciiTheme="minorHAnsi" w:hAnsiTheme="minorHAnsi" w:cstheme="minorHAnsi"/>
          <w:bCs/>
          <w:i/>
        </w:rPr>
        <w:t>I</w:t>
      </w:r>
      <w:r w:rsidRPr="005C6434">
        <w:rPr>
          <w:rFonts w:asciiTheme="minorHAnsi" w:hAnsiTheme="minorHAnsi" w:cstheme="minorHAnsi"/>
          <w:bCs/>
          <w:i/>
        </w:rPr>
        <w:t xml:space="preserve">l Piano particolareggiato del San Gottardo autorizza un certo numero di aerogeneratori all’interno del parco eolico, ma pone una serie di vincoli e indica quota e zona delle pale. </w:t>
      </w:r>
      <w:r w:rsidR="005C6434">
        <w:rPr>
          <w:rFonts w:asciiTheme="minorHAnsi" w:hAnsiTheme="minorHAnsi" w:cstheme="minorHAnsi"/>
          <w:bCs/>
          <w:i/>
        </w:rPr>
        <w:t>Sussiste però i</w:t>
      </w:r>
      <w:r w:rsidRPr="005C6434">
        <w:rPr>
          <w:rFonts w:asciiTheme="minorHAnsi" w:hAnsiTheme="minorHAnsi" w:cstheme="minorHAnsi"/>
          <w:bCs/>
          <w:i/>
        </w:rPr>
        <w:t xml:space="preserve">l problema che le pale già posate sono andate fuori produzione; il fornitore dispone solo di pale più alte e più lunghe. Se si supera la quota indicata nel piano, occorre una modifica di poco conto. Per la nuova pala che si vorrebbe installare nella zona Belvedere serve una procedura nuova. Si sta valutando la situazione con il Comune di Airolo e </w:t>
      </w:r>
      <w:r w:rsidRPr="003536CB">
        <w:rPr>
          <w:rFonts w:asciiTheme="minorHAnsi" w:hAnsiTheme="minorHAnsi" w:cstheme="minorHAnsi"/>
          <w:bCs/>
          <w:i/>
        </w:rPr>
        <w:t>con il Cantone. L’operazione è interessante e il Cantone è favorevole all’ampliamento.</w:t>
      </w:r>
    </w:p>
    <w:p w14:paraId="495BBC14" w14:textId="77777777" w:rsidR="00EC5C40" w:rsidRPr="00EC5C40" w:rsidRDefault="00EC5C40" w:rsidP="003536CB">
      <w:pPr>
        <w:ind w:left="992" w:hanging="567"/>
        <w:rPr>
          <w:rFonts w:asciiTheme="minorHAnsi" w:hAnsiTheme="minorHAnsi" w:cstheme="minorHAnsi"/>
          <w:bCs/>
          <w:i/>
        </w:rPr>
      </w:pPr>
    </w:p>
    <w:p w14:paraId="52783FDE" w14:textId="77777777" w:rsidR="00C564C2" w:rsidRPr="00C564C2" w:rsidRDefault="00C564C2" w:rsidP="003536CB">
      <w:pPr>
        <w:pStyle w:val="Paragrafoelenco"/>
        <w:numPr>
          <w:ilvl w:val="0"/>
          <w:numId w:val="31"/>
        </w:numPr>
        <w:spacing w:after="120"/>
        <w:ind w:left="425" w:hanging="425"/>
        <w:contextualSpacing w:val="0"/>
      </w:pPr>
      <w:r w:rsidRPr="00C564C2">
        <w:t xml:space="preserve">Sicurezza dell’approvvigionamento </w:t>
      </w:r>
    </w:p>
    <w:p w14:paraId="03D43B82" w14:textId="1D36B542" w:rsidR="00C564C2" w:rsidRDefault="00EC5C40" w:rsidP="00EC5C40">
      <w:pPr>
        <w:spacing w:after="120"/>
        <w:ind w:left="993" w:hanging="567"/>
        <w:rPr>
          <w:rFonts w:asciiTheme="minorHAnsi" w:hAnsiTheme="minorHAnsi" w:cstheme="minorHAnsi"/>
          <w:bCs/>
          <w:i/>
        </w:rPr>
      </w:pPr>
      <w:r>
        <w:rPr>
          <w:rFonts w:asciiTheme="minorHAnsi" w:hAnsiTheme="minorHAnsi" w:cstheme="minorHAnsi"/>
          <w:bCs/>
          <w:i/>
        </w:rPr>
        <w:t>D:</w:t>
      </w:r>
      <w:r>
        <w:rPr>
          <w:rFonts w:asciiTheme="minorHAnsi" w:hAnsiTheme="minorHAnsi" w:cstheme="minorHAnsi"/>
          <w:bCs/>
          <w:i/>
        </w:rPr>
        <w:tab/>
      </w:r>
      <w:r w:rsidR="00C564C2" w:rsidRPr="00C564C2">
        <w:rPr>
          <w:rFonts w:asciiTheme="minorHAnsi" w:hAnsiTheme="minorHAnsi" w:cstheme="minorHAnsi"/>
          <w:bCs/>
          <w:i/>
        </w:rPr>
        <w:t xml:space="preserve">La strategia della Confederazione (brevemente illustrata nel corso dell’incontro tenutosi a Peccia nel mese di giugno) ha subito modifiche? </w:t>
      </w:r>
    </w:p>
    <w:p w14:paraId="3A12D691" w14:textId="25803B0D" w:rsidR="00EC5C40" w:rsidRDefault="00EC5C40" w:rsidP="003536CB">
      <w:pPr>
        <w:ind w:left="992" w:hanging="567"/>
        <w:rPr>
          <w:rFonts w:asciiTheme="minorHAnsi" w:hAnsiTheme="minorHAnsi" w:cstheme="minorHAnsi"/>
          <w:bCs/>
          <w:i/>
        </w:rPr>
      </w:pPr>
      <w:r w:rsidRPr="00EF1111">
        <w:rPr>
          <w:rFonts w:asciiTheme="minorHAnsi" w:hAnsiTheme="minorHAnsi" w:cstheme="minorHAnsi"/>
          <w:bCs/>
          <w:i/>
        </w:rPr>
        <w:t>R:</w:t>
      </w:r>
      <w:r w:rsidRPr="00EF1111">
        <w:rPr>
          <w:rFonts w:asciiTheme="minorHAnsi" w:hAnsiTheme="minorHAnsi" w:cstheme="minorHAnsi"/>
          <w:bCs/>
          <w:i/>
        </w:rPr>
        <w:tab/>
      </w:r>
      <w:r w:rsidR="00EF1111" w:rsidRPr="00EF1111">
        <w:rPr>
          <w:rFonts w:asciiTheme="minorHAnsi" w:hAnsiTheme="minorHAnsi" w:cstheme="minorHAnsi"/>
          <w:bCs/>
          <w:i/>
        </w:rPr>
        <w:t>L</w:t>
      </w:r>
      <w:r w:rsidRPr="00EF1111">
        <w:rPr>
          <w:rFonts w:asciiTheme="minorHAnsi" w:hAnsiTheme="minorHAnsi" w:cstheme="minorHAnsi"/>
          <w:bCs/>
          <w:i/>
        </w:rPr>
        <w:t xml:space="preserve">a strategia è </w:t>
      </w:r>
      <w:r w:rsidR="00EF1111" w:rsidRPr="00EF1111">
        <w:rPr>
          <w:rFonts w:asciiTheme="minorHAnsi" w:hAnsiTheme="minorHAnsi" w:cstheme="minorHAnsi"/>
          <w:bCs/>
          <w:i/>
        </w:rPr>
        <w:t xml:space="preserve">grossomodo </w:t>
      </w:r>
      <w:r w:rsidRPr="00EF1111">
        <w:rPr>
          <w:rFonts w:asciiTheme="minorHAnsi" w:hAnsiTheme="minorHAnsi" w:cstheme="minorHAnsi"/>
          <w:bCs/>
          <w:i/>
        </w:rPr>
        <w:t xml:space="preserve">confermata. Le Camere federali hanno aumentato gli obiettivi energetici al 2035 per dipendere meno dall’estero, quindi occorrerà investire di più. Si tratta di miliardi – almeno 50 nella produzione e almeno altrettanti nella rete nei prossimi 20 anni – che saranno investiti in Svizzera. </w:t>
      </w:r>
      <w:r w:rsidR="00EF1111">
        <w:rPr>
          <w:rFonts w:asciiTheme="minorHAnsi" w:hAnsiTheme="minorHAnsi" w:cstheme="minorHAnsi"/>
          <w:bCs/>
          <w:i/>
        </w:rPr>
        <w:t>I</w:t>
      </w:r>
      <w:r w:rsidRPr="00EF1111">
        <w:rPr>
          <w:rFonts w:asciiTheme="minorHAnsi" w:hAnsiTheme="minorHAnsi" w:cstheme="minorHAnsi"/>
          <w:bCs/>
          <w:i/>
        </w:rPr>
        <w:t>mportanti</w:t>
      </w:r>
      <w:r w:rsidR="00EF1111">
        <w:rPr>
          <w:rFonts w:asciiTheme="minorHAnsi" w:hAnsiTheme="minorHAnsi" w:cstheme="minorHAnsi"/>
          <w:bCs/>
          <w:i/>
        </w:rPr>
        <w:t xml:space="preserve"> saranno</w:t>
      </w:r>
      <w:r w:rsidRPr="00EF1111">
        <w:rPr>
          <w:rFonts w:asciiTheme="minorHAnsi" w:hAnsiTheme="minorHAnsi" w:cstheme="minorHAnsi"/>
          <w:bCs/>
          <w:i/>
        </w:rPr>
        <w:t xml:space="preserve"> le ordinanze che usciranno a inizio 2024</w:t>
      </w:r>
      <w:r w:rsidRPr="003536CB">
        <w:rPr>
          <w:rFonts w:asciiTheme="minorHAnsi" w:hAnsiTheme="minorHAnsi" w:cstheme="minorHAnsi"/>
          <w:bCs/>
          <w:i/>
        </w:rPr>
        <w:t>.</w:t>
      </w:r>
    </w:p>
    <w:p w14:paraId="43662CA7" w14:textId="77777777" w:rsidR="003536CB" w:rsidRPr="003536CB" w:rsidRDefault="003536CB" w:rsidP="003536CB">
      <w:pPr>
        <w:ind w:left="992" w:hanging="567"/>
        <w:rPr>
          <w:rFonts w:asciiTheme="minorHAnsi" w:hAnsiTheme="minorHAnsi" w:cstheme="minorHAnsi"/>
          <w:bCs/>
          <w:i/>
        </w:rPr>
      </w:pPr>
    </w:p>
    <w:p w14:paraId="7FFB94DB" w14:textId="1EDCC15E" w:rsidR="00C564C2" w:rsidRDefault="00EC5C40" w:rsidP="00EC5C40">
      <w:pPr>
        <w:spacing w:after="120"/>
        <w:ind w:left="993" w:hanging="567"/>
        <w:rPr>
          <w:rFonts w:asciiTheme="minorHAnsi" w:hAnsiTheme="minorHAnsi" w:cstheme="minorHAnsi"/>
          <w:bCs/>
          <w:i/>
        </w:rPr>
      </w:pPr>
      <w:r>
        <w:rPr>
          <w:rFonts w:asciiTheme="minorHAnsi" w:hAnsiTheme="minorHAnsi" w:cstheme="minorHAnsi"/>
          <w:bCs/>
          <w:i/>
        </w:rPr>
        <w:t>D:</w:t>
      </w:r>
      <w:r>
        <w:rPr>
          <w:rFonts w:asciiTheme="minorHAnsi" w:hAnsiTheme="minorHAnsi" w:cstheme="minorHAnsi"/>
          <w:bCs/>
          <w:i/>
        </w:rPr>
        <w:tab/>
      </w:r>
      <w:r w:rsidR="00C564C2" w:rsidRPr="00C564C2">
        <w:rPr>
          <w:rFonts w:asciiTheme="minorHAnsi" w:hAnsiTheme="minorHAnsi" w:cstheme="minorHAnsi"/>
          <w:bCs/>
          <w:i/>
        </w:rPr>
        <w:t xml:space="preserve">Si prospettano nuove gare per la costituzione di una riserva idroelettrica? AET intende parteciparvi? </w:t>
      </w:r>
    </w:p>
    <w:p w14:paraId="3BE66DA3" w14:textId="077AE445" w:rsidR="003536CB" w:rsidRDefault="00EC5C40" w:rsidP="00EC5C40">
      <w:pPr>
        <w:spacing w:after="120"/>
        <w:ind w:left="993" w:hanging="567"/>
        <w:rPr>
          <w:rFonts w:asciiTheme="minorHAnsi" w:hAnsiTheme="minorHAnsi" w:cstheme="minorHAnsi"/>
          <w:bCs/>
          <w:i/>
        </w:rPr>
      </w:pPr>
      <w:r w:rsidRPr="00C109DC">
        <w:rPr>
          <w:rFonts w:asciiTheme="minorHAnsi" w:hAnsiTheme="minorHAnsi" w:cstheme="minorHAnsi"/>
          <w:bCs/>
          <w:i/>
        </w:rPr>
        <w:t>R:</w:t>
      </w:r>
      <w:r w:rsidR="00C109DC" w:rsidRPr="00C109DC">
        <w:rPr>
          <w:rFonts w:asciiTheme="minorHAnsi" w:hAnsiTheme="minorHAnsi" w:cstheme="minorHAnsi"/>
          <w:bCs/>
          <w:i/>
        </w:rPr>
        <w:tab/>
        <w:t>S</w:t>
      </w:r>
      <w:r w:rsidRPr="00C109DC">
        <w:rPr>
          <w:rFonts w:asciiTheme="minorHAnsi" w:hAnsiTheme="minorHAnsi" w:cstheme="minorHAnsi"/>
          <w:bCs/>
          <w:i/>
        </w:rPr>
        <w:t>i sono</w:t>
      </w:r>
      <w:r w:rsidR="00C109DC" w:rsidRPr="00C109DC">
        <w:rPr>
          <w:rFonts w:asciiTheme="minorHAnsi" w:hAnsiTheme="minorHAnsi" w:cstheme="minorHAnsi"/>
          <w:bCs/>
          <w:i/>
        </w:rPr>
        <w:t xml:space="preserve"> finora</w:t>
      </w:r>
      <w:r w:rsidRPr="00C109DC">
        <w:rPr>
          <w:rFonts w:asciiTheme="minorHAnsi" w:hAnsiTheme="minorHAnsi" w:cstheme="minorHAnsi"/>
          <w:bCs/>
          <w:i/>
        </w:rPr>
        <w:t xml:space="preserve"> tenute tre gare e AET ha partecipato a tutte, vincendo una tranche ognuna nelle prime due. Complessivamente nel 2023 AET si è aggiudicata solo 6 </w:t>
      </w:r>
      <w:proofErr w:type="spellStart"/>
      <w:r w:rsidRPr="00C109DC">
        <w:rPr>
          <w:rFonts w:asciiTheme="minorHAnsi" w:hAnsiTheme="minorHAnsi" w:cstheme="minorHAnsi"/>
          <w:bCs/>
          <w:i/>
        </w:rPr>
        <w:t>GWh</w:t>
      </w:r>
      <w:proofErr w:type="spellEnd"/>
      <w:r w:rsidRPr="00C109DC">
        <w:rPr>
          <w:rFonts w:asciiTheme="minorHAnsi" w:hAnsiTheme="minorHAnsi" w:cstheme="minorHAnsi"/>
          <w:bCs/>
          <w:i/>
        </w:rPr>
        <w:t xml:space="preserve">, preferendo essere prudente vista la scarsità di acqua; nelle gare precedenti del 2022 AET si era aggiudicata 15 </w:t>
      </w:r>
      <w:proofErr w:type="spellStart"/>
      <w:r w:rsidRPr="00C109DC">
        <w:rPr>
          <w:rFonts w:asciiTheme="minorHAnsi" w:hAnsiTheme="minorHAnsi" w:cstheme="minorHAnsi"/>
          <w:bCs/>
          <w:i/>
        </w:rPr>
        <w:t>GWh</w:t>
      </w:r>
      <w:proofErr w:type="spellEnd"/>
      <w:r w:rsidRPr="00C109DC">
        <w:rPr>
          <w:rFonts w:asciiTheme="minorHAnsi" w:hAnsiTheme="minorHAnsi" w:cstheme="minorHAnsi"/>
          <w:bCs/>
          <w:i/>
        </w:rPr>
        <w:t>.</w:t>
      </w:r>
      <w:r w:rsidR="003536CB">
        <w:rPr>
          <w:rFonts w:asciiTheme="minorHAnsi" w:hAnsiTheme="minorHAnsi" w:cstheme="minorHAnsi"/>
          <w:bCs/>
          <w:i/>
        </w:rPr>
        <w:br w:type="page"/>
      </w:r>
    </w:p>
    <w:p w14:paraId="6EA8741A" w14:textId="09EEAC88" w:rsidR="00C564C2" w:rsidRPr="00C564C2" w:rsidRDefault="00EC5C40" w:rsidP="00EC5C40">
      <w:pPr>
        <w:spacing w:after="120"/>
        <w:ind w:left="993" w:hanging="567"/>
        <w:rPr>
          <w:rFonts w:asciiTheme="minorHAnsi" w:hAnsiTheme="minorHAnsi" w:cstheme="minorHAnsi"/>
          <w:bCs/>
          <w:i/>
        </w:rPr>
      </w:pPr>
      <w:r>
        <w:rPr>
          <w:rFonts w:asciiTheme="minorHAnsi" w:hAnsiTheme="minorHAnsi" w:cstheme="minorHAnsi"/>
          <w:bCs/>
          <w:i/>
        </w:rPr>
        <w:t>D:</w:t>
      </w:r>
      <w:r>
        <w:rPr>
          <w:rFonts w:asciiTheme="minorHAnsi" w:hAnsiTheme="minorHAnsi" w:cstheme="minorHAnsi"/>
          <w:bCs/>
          <w:i/>
        </w:rPr>
        <w:tab/>
      </w:r>
      <w:r w:rsidR="00C564C2" w:rsidRPr="00C564C2">
        <w:rPr>
          <w:rFonts w:asciiTheme="minorHAnsi" w:hAnsiTheme="minorHAnsi" w:cstheme="minorHAnsi"/>
          <w:bCs/>
          <w:i/>
        </w:rPr>
        <w:t>Confrontati all’ipotesi di non riuscire a erogare energia ovunque, a livello cantonale sono stati approntati dei piani di distribuzione? In un</w:t>
      </w:r>
      <w:r w:rsidR="005519AD">
        <w:rPr>
          <w:rFonts w:asciiTheme="minorHAnsi" w:hAnsiTheme="minorHAnsi" w:cstheme="minorHAnsi"/>
          <w:bCs/>
          <w:i/>
        </w:rPr>
        <w:t>o</w:t>
      </w:r>
      <w:r w:rsidR="00C564C2" w:rsidRPr="00C564C2">
        <w:rPr>
          <w:rFonts w:asciiTheme="minorHAnsi" w:hAnsiTheme="minorHAnsi" w:cstheme="minorHAnsi"/>
          <w:bCs/>
          <w:i/>
        </w:rPr>
        <w:t xml:space="preserve"> scenario</w:t>
      </w:r>
      <w:r w:rsidR="005519AD" w:rsidRPr="005519AD">
        <w:rPr>
          <w:rFonts w:asciiTheme="minorHAnsi" w:hAnsiTheme="minorHAnsi" w:cstheme="minorHAnsi"/>
          <w:bCs/>
          <w:i/>
        </w:rPr>
        <w:t xml:space="preserve"> </w:t>
      </w:r>
      <w:r w:rsidR="005519AD" w:rsidRPr="00C564C2">
        <w:rPr>
          <w:rFonts w:asciiTheme="minorHAnsi" w:hAnsiTheme="minorHAnsi" w:cstheme="minorHAnsi"/>
          <w:bCs/>
          <w:i/>
        </w:rPr>
        <w:t>simile</w:t>
      </w:r>
      <w:r w:rsidR="00C564C2" w:rsidRPr="00C564C2">
        <w:rPr>
          <w:rFonts w:asciiTheme="minorHAnsi" w:hAnsiTheme="minorHAnsi" w:cstheme="minorHAnsi"/>
          <w:bCs/>
          <w:i/>
        </w:rPr>
        <w:t xml:space="preserve">, quale sarebbero i ruoli di AET e delle aziende di distribuzione? </w:t>
      </w:r>
    </w:p>
    <w:p w14:paraId="11B2A33D" w14:textId="4A16C742" w:rsidR="00EC5C40" w:rsidRPr="003536CB" w:rsidRDefault="00EC5C40" w:rsidP="003536CB">
      <w:pPr>
        <w:ind w:left="993" w:hanging="567"/>
        <w:rPr>
          <w:rFonts w:asciiTheme="minorHAnsi" w:hAnsiTheme="minorHAnsi" w:cstheme="minorHAnsi"/>
          <w:bCs/>
          <w:i/>
        </w:rPr>
      </w:pPr>
      <w:r w:rsidRPr="00B72FF8">
        <w:rPr>
          <w:rFonts w:asciiTheme="minorHAnsi" w:hAnsiTheme="minorHAnsi" w:cstheme="minorHAnsi"/>
          <w:bCs/>
          <w:i/>
        </w:rPr>
        <w:t>R:</w:t>
      </w:r>
      <w:r w:rsidRPr="00B72FF8">
        <w:rPr>
          <w:rFonts w:asciiTheme="minorHAnsi" w:hAnsiTheme="minorHAnsi" w:cstheme="minorHAnsi"/>
          <w:bCs/>
          <w:i/>
        </w:rPr>
        <w:tab/>
      </w:r>
      <w:r w:rsidR="00B72FF8" w:rsidRPr="00B72FF8">
        <w:rPr>
          <w:rFonts w:asciiTheme="minorHAnsi" w:hAnsiTheme="minorHAnsi" w:cstheme="minorHAnsi"/>
          <w:bCs/>
          <w:i/>
        </w:rPr>
        <w:t>E</w:t>
      </w:r>
      <w:r w:rsidRPr="00B72FF8">
        <w:rPr>
          <w:rFonts w:asciiTheme="minorHAnsi" w:hAnsiTheme="minorHAnsi" w:cstheme="minorHAnsi"/>
          <w:bCs/>
          <w:i/>
        </w:rPr>
        <w:t xml:space="preserve">sistono piani di distribuzione. È stata creata </w:t>
      </w:r>
      <w:hyperlink r:id="rId21" w:history="1">
        <w:r w:rsidRPr="00B72FF8">
          <w:rPr>
            <w:i/>
          </w:rPr>
          <w:t>OSTRAL</w:t>
        </w:r>
      </w:hyperlink>
      <w:r w:rsidRPr="00B72FF8">
        <w:rPr>
          <w:rFonts w:asciiTheme="minorHAnsi" w:hAnsiTheme="minorHAnsi" w:cstheme="minorHAnsi"/>
          <w:bCs/>
          <w:i/>
        </w:rPr>
        <w:t xml:space="preserve"> (Organizzazione per l’approvvigionamento elettrico in situazioni straordinarie), coordinata a livello federale, che si attiva al verificarsi di una situazione di penuria di elettricità. Sono già stati condotti anche dei test. In caso di necessità, AET fungerebbe da coordinatore, collaborando con i distributori a valle. Sono in atto una serie di programmi informatici di sgancio dalla rete e si vuole creare una piattaforma per definire i contingentamenti dell’energia. Ciò concretamente significa che, qualora arrivasse l’ordine da Berna, di ridurre il consumo di 200 </w:t>
      </w:r>
      <w:proofErr w:type="spellStart"/>
      <w:r w:rsidRPr="00B72FF8">
        <w:rPr>
          <w:rFonts w:asciiTheme="minorHAnsi" w:hAnsiTheme="minorHAnsi" w:cstheme="minorHAnsi"/>
          <w:bCs/>
          <w:i/>
        </w:rPr>
        <w:t>GWh</w:t>
      </w:r>
      <w:proofErr w:type="spellEnd"/>
      <w:r w:rsidRPr="00B72FF8">
        <w:rPr>
          <w:rFonts w:asciiTheme="minorHAnsi" w:hAnsiTheme="minorHAnsi" w:cstheme="minorHAnsi"/>
          <w:bCs/>
          <w:i/>
        </w:rPr>
        <w:t>, occorrerebbe suddividere questo volume tra i consumatori, distinguendo quelli che sono interrompibili e quelli che non lo sono. Un’azienda potrebbe magari interrompere la propria produzione per uno o due giorni, un ospedale certamente non potrebbe interrompere la propria attività</w:t>
      </w:r>
      <w:r w:rsidRPr="00EC5C40">
        <w:rPr>
          <w:rFonts w:asciiTheme="minorHAnsi" w:hAnsiTheme="minorHAnsi" w:cstheme="minorHAnsi"/>
          <w:bCs/>
          <w:i/>
          <w:color w:val="0432FF"/>
        </w:rPr>
        <w:t xml:space="preserve">. </w:t>
      </w:r>
      <w:r w:rsidRPr="00B72FF8">
        <w:rPr>
          <w:rFonts w:asciiTheme="minorHAnsi" w:hAnsiTheme="minorHAnsi" w:cstheme="minorHAnsi"/>
          <w:bCs/>
          <w:i/>
        </w:rPr>
        <w:t xml:space="preserve">Secondo le valutazioni attuali della Confederazione la situazione è molto migliore dell’anno scorso, e siamo anche meglio preparati rispetto all’anno scorso. Anche la task force per l’approvvigionamento energetico creata dal Canton Ticino (comprendente rappresentanti della Divisione dell’economia, della Divisione dell’ambiente, dell’Ufficio energia, di AET, delle aziende di distribuzione) ha sospeso i lavori fino a </w:t>
      </w:r>
      <w:r w:rsidRPr="003536CB">
        <w:rPr>
          <w:rFonts w:asciiTheme="minorHAnsi" w:hAnsiTheme="minorHAnsi" w:cstheme="minorHAnsi"/>
          <w:bCs/>
          <w:i/>
        </w:rPr>
        <w:t>gennaio</w:t>
      </w:r>
      <w:r w:rsidR="00B72FF8" w:rsidRPr="003536CB">
        <w:rPr>
          <w:rFonts w:asciiTheme="minorHAnsi" w:hAnsiTheme="minorHAnsi" w:cstheme="minorHAnsi"/>
          <w:bCs/>
          <w:i/>
        </w:rPr>
        <w:t xml:space="preserve"> 2024</w:t>
      </w:r>
      <w:r w:rsidRPr="003536CB">
        <w:rPr>
          <w:rFonts w:asciiTheme="minorHAnsi" w:hAnsiTheme="minorHAnsi" w:cstheme="minorHAnsi"/>
          <w:bCs/>
          <w:i/>
        </w:rPr>
        <w:t>.</w:t>
      </w:r>
    </w:p>
    <w:p w14:paraId="20260460" w14:textId="279807D3" w:rsidR="005B77C4" w:rsidRPr="003536CB" w:rsidRDefault="005B77C4" w:rsidP="003536CB"/>
    <w:p w14:paraId="201B0F29" w14:textId="77777777" w:rsidR="003B7380" w:rsidRDefault="003B7380" w:rsidP="003536CB">
      <w:pPr>
        <w:pStyle w:val="Paragrafoelenco"/>
        <w:numPr>
          <w:ilvl w:val="0"/>
          <w:numId w:val="31"/>
        </w:numPr>
        <w:spacing w:after="120"/>
        <w:ind w:left="425" w:hanging="425"/>
        <w:contextualSpacing w:val="0"/>
      </w:pPr>
      <w:r w:rsidRPr="003B7380">
        <w:t xml:space="preserve">Partecipate </w:t>
      </w:r>
    </w:p>
    <w:p w14:paraId="2E3B0B53" w14:textId="0A310F0C" w:rsidR="003B7380" w:rsidRPr="003B7380" w:rsidRDefault="0069328D" w:rsidP="0069328D">
      <w:pPr>
        <w:spacing w:after="120"/>
        <w:ind w:left="993" w:hanging="567"/>
        <w:rPr>
          <w:rFonts w:asciiTheme="minorHAnsi" w:hAnsiTheme="minorHAnsi" w:cstheme="minorHAnsi"/>
          <w:bCs/>
          <w:i/>
        </w:rPr>
      </w:pPr>
      <w:r>
        <w:rPr>
          <w:rFonts w:asciiTheme="minorHAnsi" w:hAnsiTheme="minorHAnsi" w:cstheme="minorHAnsi"/>
          <w:bCs/>
          <w:i/>
        </w:rPr>
        <w:t>D:</w:t>
      </w:r>
      <w:r>
        <w:rPr>
          <w:rFonts w:asciiTheme="minorHAnsi" w:hAnsiTheme="minorHAnsi" w:cstheme="minorHAnsi"/>
          <w:bCs/>
          <w:i/>
        </w:rPr>
        <w:tab/>
      </w:r>
      <w:r w:rsidR="003B7380" w:rsidRPr="003B7380">
        <w:rPr>
          <w:rFonts w:asciiTheme="minorHAnsi" w:hAnsiTheme="minorHAnsi" w:cstheme="minorHAnsi"/>
          <w:bCs/>
          <w:i/>
        </w:rPr>
        <w:t xml:space="preserve">La Commissione gradirebbe avere maggiori informazioni sulle partecipate (prospettive per i prossimi anni), in Svizzera e all’estero. </w:t>
      </w:r>
    </w:p>
    <w:p w14:paraId="159B290E" w14:textId="09974C77" w:rsidR="00EC5C40" w:rsidRPr="000024C7" w:rsidRDefault="0069328D" w:rsidP="0069328D">
      <w:pPr>
        <w:ind w:left="993" w:hanging="567"/>
        <w:rPr>
          <w:rFonts w:asciiTheme="minorHAnsi" w:hAnsiTheme="minorHAnsi" w:cstheme="minorHAnsi"/>
          <w:bCs/>
          <w:i/>
          <w:iCs/>
        </w:rPr>
      </w:pPr>
      <w:r w:rsidRPr="000024C7">
        <w:rPr>
          <w:rFonts w:asciiTheme="minorHAnsi" w:hAnsiTheme="minorHAnsi" w:cstheme="minorHAnsi"/>
          <w:bCs/>
          <w:i/>
          <w:iCs/>
        </w:rPr>
        <w:t>R:</w:t>
      </w:r>
      <w:r w:rsidR="000024C7" w:rsidRPr="000024C7">
        <w:rPr>
          <w:rFonts w:asciiTheme="minorHAnsi" w:hAnsiTheme="minorHAnsi" w:cstheme="minorHAnsi"/>
          <w:bCs/>
          <w:i/>
          <w:iCs/>
        </w:rPr>
        <w:tab/>
      </w:r>
      <w:proofErr w:type="spellStart"/>
      <w:r w:rsidR="000024C7" w:rsidRPr="000024C7">
        <w:rPr>
          <w:rFonts w:asciiTheme="minorHAnsi" w:hAnsiTheme="minorHAnsi" w:cstheme="minorHAnsi"/>
          <w:bCs/>
          <w:i/>
          <w:iCs/>
        </w:rPr>
        <w:t>oltre</w:t>
      </w:r>
      <w:r w:rsidR="00EC5C40" w:rsidRPr="000024C7">
        <w:rPr>
          <w:rFonts w:asciiTheme="minorHAnsi" w:hAnsiTheme="minorHAnsi" w:cstheme="minorHAnsi"/>
          <w:bCs/>
          <w:i/>
          <w:iCs/>
        </w:rPr>
        <w:t>a</w:t>
      </w:r>
      <w:proofErr w:type="spellEnd"/>
      <w:r w:rsidR="00EC5C40" w:rsidRPr="000024C7">
        <w:rPr>
          <w:rFonts w:asciiTheme="minorHAnsi" w:hAnsiTheme="minorHAnsi" w:cstheme="minorHAnsi"/>
          <w:bCs/>
          <w:i/>
          <w:iCs/>
        </w:rPr>
        <w:t xml:space="preserve"> quanto</w:t>
      </w:r>
      <w:r w:rsidR="000024C7" w:rsidRPr="000024C7">
        <w:rPr>
          <w:rFonts w:asciiTheme="minorHAnsi" w:hAnsiTheme="minorHAnsi" w:cstheme="minorHAnsi"/>
          <w:bCs/>
          <w:i/>
          <w:iCs/>
        </w:rPr>
        <w:t xml:space="preserve"> pubblicato sul sito di AET (alla pagina “</w:t>
      </w:r>
      <w:hyperlink r:id="rId22" w:history="1">
        <w:r w:rsidR="000024C7" w:rsidRPr="000024C7">
          <w:t>Struttura aziendale</w:t>
        </w:r>
      </w:hyperlink>
      <w:r w:rsidR="000024C7" w:rsidRPr="000024C7">
        <w:rPr>
          <w:rFonts w:asciiTheme="minorHAnsi" w:hAnsiTheme="minorHAnsi" w:cstheme="minorHAnsi"/>
          <w:bCs/>
          <w:i/>
          <w:iCs/>
        </w:rPr>
        <w:t>”)</w:t>
      </w:r>
      <w:r w:rsidR="00EC5C40" w:rsidRPr="000024C7">
        <w:rPr>
          <w:rFonts w:asciiTheme="minorHAnsi" w:hAnsiTheme="minorHAnsi" w:cstheme="minorHAnsi"/>
          <w:bCs/>
          <w:i/>
          <w:iCs/>
        </w:rPr>
        <w:t xml:space="preserve"> </w:t>
      </w:r>
      <w:r w:rsidR="000024C7" w:rsidRPr="000024C7">
        <w:rPr>
          <w:rFonts w:asciiTheme="minorHAnsi" w:hAnsiTheme="minorHAnsi" w:cstheme="minorHAnsi"/>
          <w:bCs/>
          <w:i/>
          <w:iCs/>
        </w:rPr>
        <w:t xml:space="preserve">o </w:t>
      </w:r>
      <w:r w:rsidR="00EC5C40" w:rsidRPr="000024C7">
        <w:rPr>
          <w:rFonts w:asciiTheme="minorHAnsi" w:hAnsiTheme="minorHAnsi" w:cstheme="minorHAnsi"/>
          <w:bCs/>
          <w:i/>
          <w:iCs/>
        </w:rPr>
        <w:t>desumibile direttamente dallo schema</w:t>
      </w:r>
      <w:r w:rsidR="000024C7" w:rsidRPr="000024C7">
        <w:rPr>
          <w:rFonts w:asciiTheme="minorHAnsi" w:hAnsiTheme="minorHAnsi" w:cstheme="minorHAnsi"/>
          <w:bCs/>
          <w:i/>
          <w:iCs/>
        </w:rPr>
        <w:t xml:space="preserve"> seguente (vedi pagine 84-85 del Rapporto annuale 2022 di AET)</w:t>
      </w:r>
      <w:r w:rsidR="00EC5C40" w:rsidRPr="000024C7">
        <w:rPr>
          <w:rFonts w:asciiTheme="minorHAnsi" w:hAnsiTheme="minorHAnsi" w:cstheme="minorHAnsi"/>
          <w:bCs/>
          <w:i/>
          <w:iCs/>
        </w:rPr>
        <w:t xml:space="preserve">, </w:t>
      </w:r>
      <w:r w:rsidR="000024C7" w:rsidRPr="000024C7">
        <w:rPr>
          <w:rFonts w:asciiTheme="minorHAnsi" w:hAnsiTheme="minorHAnsi" w:cstheme="minorHAnsi"/>
          <w:bCs/>
          <w:i/>
          <w:iCs/>
        </w:rPr>
        <w:t xml:space="preserve">si </w:t>
      </w:r>
      <w:r w:rsidR="00EC5C40" w:rsidRPr="000024C7">
        <w:rPr>
          <w:rFonts w:asciiTheme="minorHAnsi" w:hAnsiTheme="minorHAnsi" w:cstheme="minorHAnsi"/>
          <w:bCs/>
          <w:i/>
          <w:iCs/>
        </w:rPr>
        <w:t>segnalo che:</w:t>
      </w:r>
    </w:p>
    <w:p w14:paraId="7C82B0A9" w14:textId="77777777" w:rsidR="00EC5C40" w:rsidRPr="000024C7" w:rsidRDefault="00EC5C40" w:rsidP="000024C7">
      <w:pPr>
        <w:pStyle w:val="Paragrafoelenco"/>
        <w:numPr>
          <w:ilvl w:val="0"/>
          <w:numId w:val="44"/>
        </w:numPr>
        <w:ind w:left="1418" w:hanging="284"/>
        <w:rPr>
          <w:rFonts w:asciiTheme="minorHAnsi" w:hAnsiTheme="minorHAnsi" w:cstheme="minorHAnsi"/>
          <w:bCs/>
          <w:i/>
          <w:iCs/>
        </w:rPr>
      </w:pPr>
      <w:proofErr w:type="spellStart"/>
      <w:r w:rsidRPr="000024C7">
        <w:rPr>
          <w:rFonts w:asciiTheme="minorHAnsi" w:hAnsiTheme="minorHAnsi" w:cstheme="minorHAnsi"/>
          <w:bCs/>
          <w:i/>
          <w:iCs/>
        </w:rPr>
        <w:t>Terravent</w:t>
      </w:r>
      <w:proofErr w:type="spellEnd"/>
      <w:r w:rsidRPr="000024C7">
        <w:rPr>
          <w:rFonts w:asciiTheme="minorHAnsi" w:hAnsiTheme="minorHAnsi" w:cstheme="minorHAnsi"/>
          <w:bCs/>
          <w:i/>
          <w:iCs/>
        </w:rPr>
        <w:t xml:space="preserve"> è una società svizzera, ma con parchi eolici in Francia e Germania;</w:t>
      </w:r>
    </w:p>
    <w:p w14:paraId="3CC03489" w14:textId="77777777" w:rsidR="00EC5C40" w:rsidRPr="000024C7" w:rsidRDefault="00EC5C40" w:rsidP="000024C7">
      <w:pPr>
        <w:pStyle w:val="Paragrafoelenco"/>
        <w:numPr>
          <w:ilvl w:val="0"/>
          <w:numId w:val="44"/>
        </w:numPr>
        <w:ind w:left="1418" w:hanging="284"/>
        <w:rPr>
          <w:rFonts w:asciiTheme="minorHAnsi" w:hAnsiTheme="minorHAnsi" w:cstheme="minorHAnsi"/>
          <w:bCs/>
          <w:i/>
          <w:iCs/>
        </w:rPr>
      </w:pPr>
      <w:r w:rsidRPr="000024C7">
        <w:rPr>
          <w:rFonts w:asciiTheme="minorHAnsi" w:hAnsiTheme="minorHAnsi" w:cstheme="minorHAnsi"/>
          <w:bCs/>
          <w:i/>
          <w:iCs/>
        </w:rPr>
        <w:t>AKEB ha partecipazioni nel nucleare sia in Svizzera sia in Francia;</w:t>
      </w:r>
    </w:p>
    <w:p w14:paraId="34AC5066" w14:textId="77777777" w:rsidR="00EC5C40" w:rsidRPr="000024C7" w:rsidRDefault="00EC5C40" w:rsidP="000024C7">
      <w:pPr>
        <w:pStyle w:val="Paragrafoelenco"/>
        <w:numPr>
          <w:ilvl w:val="0"/>
          <w:numId w:val="44"/>
        </w:numPr>
        <w:ind w:left="1418" w:hanging="284"/>
        <w:rPr>
          <w:rFonts w:asciiTheme="minorHAnsi" w:hAnsiTheme="minorHAnsi" w:cstheme="minorHAnsi"/>
          <w:bCs/>
          <w:i/>
          <w:iCs/>
        </w:rPr>
      </w:pPr>
      <w:r w:rsidRPr="000024C7">
        <w:rPr>
          <w:rFonts w:asciiTheme="minorHAnsi" w:hAnsiTheme="minorHAnsi" w:cstheme="minorHAnsi"/>
          <w:bCs/>
          <w:i/>
          <w:iCs/>
        </w:rPr>
        <w:t xml:space="preserve">Geo-Energie </w:t>
      </w:r>
      <w:proofErr w:type="spellStart"/>
      <w:r w:rsidRPr="000024C7">
        <w:rPr>
          <w:rFonts w:asciiTheme="minorHAnsi" w:hAnsiTheme="minorHAnsi" w:cstheme="minorHAnsi"/>
          <w:bCs/>
          <w:i/>
          <w:iCs/>
        </w:rPr>
        <w:t>Suisse</w:t>
      </w:r>
      <w:proofErr w:type="spellEnd"/>
      <w:r w:rsidRPr="000024C7">
        <w:rPr>
          <w:rFonts w:asciiTheme="minorHAnsi" w:hAnsiTheme="minorHAnsi" w:cstheme="minorHAnsi"/>
          <w:bCs/>
          <w:i/>
          <w:iCs/>
        </w:rPr>
        <w:t xml:space="preserve"> AG ha tentato di ricavare energia dalla geotermia, ma ha incontrato vari problemi, compresi problemi di accettazione da parte della popolazione nei luoghi in cui sono stati condotti i test. Perciò l’attività è stata per il momento fermata;</w:t>
      </w:r>
    </w:p>
    <w:p w14:paraId="519530B8" w14:textId="77777777" w:rsidR="00EC5C40" w:rsidRPr="000024C7" w:rsidRDefault="00EC5C40" w:rsidP="000024C7">
      <w:pPr>
        <w:pStyle w:val="Paragrafoelenco"/>
        <w:numPr>
          <w:ilvl w:val="0"/>
          <w:numId w:val="44"/>
        </w:numPr>
        <w:ind w:left="1418" w:hanging="284"/>
        <w:rPr>
          <w:rFonts w:asciiTheme="minorHAnsi" w:hAnsiTheme="minorHAnsi" w:cstheme="minorHAnsi"/>
          <w:bCs/>
          <w:i/>
          <w:iCs/>
        </w:rPr>
      </w:pPr>
      <w:r w:rsidRPr="000024C7">
        <w:rPr>
          <w:rFonts w:asciiTheme="minorHAnsi" w:hAnsiTheme="minorHAnsi" w:cstheme="minorHAnsi"/>
          <w:bCs/>
          <w:i/>
          <w:iCs/>
        </w:rPr>
        <w:t xml:space="preserve">la concessione della </w:t>
      </w:r>
      <w:proofErr w:type="spellStart"/>
      <w:r w:rsidRPr="000024C7">
        <w:rPr>
          <w:rFonts w:asciiTheme="minorHAnsi" w:hAnsiTheme="minorHAnsi" w:cstheme="minorHAnsi"/>
          <w:bCs/>
          <w:i/>
          <w:iCs/>
        </w:rPr>
        <w:t>Lucendro</w:t>
      </w:r>
      <w:proofErr w:type="spellEnd"/>
      <w:r w:rsidRPr="000024C7">
        <w:rPr>
          <w:rFonts w:asciiTheme="minorHAnsi" w:hAnsiTheme="minorHAnsi" w:cstheme="minorHAnsi"/>
          <w:bCs/>
          <w:i/>
          <w:iCs/>
        </w:rPr>
        <w:t xml:space="preserve"> SA è in scadenza a fine 2024. La centrale fa parte della catena della </w:t>
      </w:r>
      <w:proofErr w:type="spellStart"/>
      <w:r w:rsidRPr="000024C7">
        <w:rPr>
          <w:rFonts w:asciiTheme="minorHAnsi" w:hAnsiTheme="minorHAnsi" w:cstheme="minorHAnsi"/>
          <w:bCs/>
          <w:i/>
          <w:iCs/>
        </w:rPr>
        <w:t>Leventina</w:t>
      </w:r>
      <w:proofErr w:type="spellEnd"/>
      <w:r w:rsidRPr="000024C7">
        <w:rPr>
          <w:rFonts w:asciiTheme="minorHAnsi" w:hAnsiTheme="minorHAnsi" w:cstheme="minorHAnsi"/>
          <w:bCs/>
          <w:i/>
          <w:iCs/>
        </w:rPr>
        <w:t xml:space="preserve">. Il Canton Uri rivendica una partecipazione, perché una parte delle acque turbinate sono di sua pertinenza. È in atto una disputa fra i due Cantoni. Dato che non si è riusciti ad arrivare a un accordo sulle partecipazioni future, sarà la Confederazione a decidere. Al momento l’impianto viene gestito completamente da AET, ma in futuro ci sarà una partecipazione </w:t>
      </w:r>
      <w:proofErr w:type="spellStart"/>
      <w:r w:rsidRPr="000024C7">
        <w:rPr>
          <w:rFonts w:asciiTheme="minorHAnsi" w:hAnsiTheme="minorHAnsi" w:cstheme="minorHAnsi"/>
          <w:bCs/>
          <w:i/>
          <w:iCs/>
        </w:rPr>
        <w:t>urana</w:t>
      </w:r>
      <w:proofErr w:type="spellEnd"/>
      <w:r w:rsidRPr="000024C7">
        <w:rPr>
          <w:rFonts w:asciiTheme="minorHAnsi" w:hAnsiTheme="minorHAnsi" w:cstheme="minorHAnsi"/>
          <w:bCs/>
          <w:i/>
          <w:iCs/>
        </w:rPr>
        <w:t>.</w:t>
      </w:r>
    </w:p>
    <w:p w14:paraId="7721F985" w14:textId="061638A7" w:rsidR="002D649C" w:rsidRPr="00FA3B8E" w:rsidRDefault="003536CB" w:rsidP="003536CB">
      <w:pPr>
        <w:spacing w:before="120" w:after="120"/>
        <w:ind w:left="426"/>
        <w:rPr>
          <w:rFonts w:asciiTheme="minorHAnsi" w:hAnsiTheme="minorHAnsi" w:cstheme="minorHAnsi"/>
          <w:bCs/>
          <w:i/>
        </w:rPr>
      </w:pPr>
      <w:r>
        <w:rPr>
          <w:rFonts w:asciiTheme="minorHAnsi" w:hAnsiTheme="minorHAnsi" w:cstheme="minorHAnsi"/>
          <w:bCs/>
          <w:i/>
        </w:rPr>
        <w:t>L</w:t>
      </w:r>
      <w:r w:rsidR="00EC5C40" w:rsidRPr="00FA3B8E">
        <w:rPr>
          <w:rFonts w:asciiTheme="minorHAnsi" w:hAnsiTheme="minorHAnsi" w:cstheme="minorHAnsi"/>
          <w:bCs/>
          <w:i/>
        </w:rPr>
        <w:t>a strategia di base di AET, stabilita con l’accordo del consiglio di amministrazione, si concentra sul locale e sul regionale, al massimo sul nazionale, e si evitano gli investimenti all’estero. Le società in Italia sostanzialmente sono tutte sulla via della liquidazione nel giro di pochi anni. Rimangono alcune partite fiscali aperte su un paio di società e vanno recuperati degli importi versate alle autorità fiscali, ma di attività commerciali sostanzialmente non ce ne sono più.</w:t>
      </w:r>
    </w:p>
    <w:p w14:paraId="4453A0F1" w14:textId="269E117C" w:rsidR="00FA3B8E" w:rsidRPr="003536CB" w:rsidRDefault="00FA3B8E">
      <w:pPr>
        <w:rPr>
          <w:rFonts w:asciiTheme="minorHAnsi" w:hAnsiTheme="minorHAnsi" w:cstheme="minorHAnsi"/>
          <w:bCs/>
        </w:rPr>
      </w:pPr>
      <w:r>
        <w:rPr>
          <w:rFonts w:asciiTheme="minorHAnsi" w:hAnsiTheme="minorHAnsi" w:cstheme="minorHAnsi"/>
          <w:bCs/>
          <w:color w:val="0432FF"/>
        </w:rPr>
        <w:br w:type="page"/>
      </w:r>
      <w:r w:rsidR="00BE783E">
        <w:rPr>
          <w:rFonts w:asciiTheme="minorHAnsi" w:hAnsiTheme="minorHAnsi" w:cstheme="minorHAnsi"/>
          <w:bCs/>
          <w:noProof/>
          <w:color w:val="0432FF"/>
          <w:lang w:eastAsia="it-CH"/>
        </w:rPr>
        <w:drawing>
          <wp:inline distT="0" distB="0" distL="0" distR="0" wp14:anchorId="4BA57261" wp14:editId="191186E9">
            <wp:extent cx="6301105" cy="7122160"/>
            <wp:effectExtent l="0" t="0" r="0" b="2540"/>
            <wp:docPr id="840083004" name="Immagine 8" descr="Immagine che contiene testo, schermata, numero, docu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83004" name="Immagine 8" descr="Immagine che contiene testo, schermata, numero, documento&#10;&#10;Descrizione generat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6301105" cy="7122160"/>
                    </a:xfrm>
                    <a:prstGeom prst="rect">
                      <a:avLst/>
                    </a:prstGeom>
                  </pic:spPr>
                </pic:pic>
              </a:graphicData>
            </a:graphic>
          </wp:inline>
        </w:drawing>
      </w:r>
    </w:p>
    <w:p w14:paraId="46501025" w14:textId="08883B34" w:rsidR="00BE783E" w:rsidRPr="003536CB" w:rsidRDefault="00BE783E">
      <w:pPr>
        <w:rPr>
          <w:rFonts w:asciiTheme="minorHAnsi" w:hAnsiTheme="minorHAnsi" w:cstheme="minorHAnsi"/>
          <w:bCs/>
        </w:rPr>
      </w:pPr>
      <w:r>
        <w:rPr>
          <w:rFonts w:asciiTheme="minorHAnsi" w:hAnsiTheme="minorHAnsi" w:cstheme="minorHAnsi"/>
          <w:bCs/>
          <w:color w:val="0432FF"/>
        </w:rPr>
        <w:br w:type="page"/>
      </w:r>
    </w:p>
    <w:p w14:paraId="6D53F29C" w14:textId="488F37C4" w:rsidR="00BE783E" w:rsidRPr="003536CB" w:rsidRDefault="00BE783E">
      <w:pPr>
        <w:rPr>
          <w:rFonts w:asciiTheme="minorHAnsi" w:hAnsiTheme="minorHAnsi" w:cstheme="minorHAnsi"/>
          <w:bCs/>
        </w:rPr>
      </w:pPr>
      <w:r w:rsidRPr="003536CB">
        <w:rPr>
          <w:rFonts w:asciiTheme="minorHAnsi" w:hAnsiTheme="minorHAnsi" w:cstheme="minorHAnsi"/>
          <w:bCs/>
          <w:noProof/>
          <w:lang w:eastAsia="it-CH"/>
        </w:rPr>
        <w:drawing>
          <wp:inline distT="0" distB="0" distL="0" distR="0" wp14:anchorId="395B4607" wp14:editId="6B67011B">
            <wp:extent cx="6301105" cy="5647055"/>
            <wp:effectExtent l="0" t="0" r="0" b="4445"/>
            <wp:docPr id="358257328" name="Immagine 7" descr="Immagine che contiene testo, schermata, numero, men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57328" name="Immagine 7" descr="Immagine che contiene testo, schermata, numero, menu&#10;&#10;Descrizione generat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6301105" cy="5647055"/>
                    </a:xfrm>
                    <a:prstGeom prst="rect">
                      <a:avLst/>
                    </a:prstGeom>
                  </pic:spPr>
                </pic:pic>
              </a:graphicData>
            </a:graphic>
          </wp:inline>
        </w:drawing>
      </w:r>
    </w:p>
    <w:p w14:paraId="2A99F586" w14:textId="54EBAFD3" w:rsidR="00001CAD" w:rsidRDefault="00001CAD">
      <w:pPr>
        <w:rPr>
          <w:rFonts w:asciiTheme="minorHAnsi" w:hAnsiTheme="minorHAnsi" w:cstheme="minorHAnsi"/>
          <w:bCs/>
        </w:rPr>
      </w:pPr>
    </w:p>
    <w:p w14:paraId="70C509B1" w14:textId="77777777" w:rsidR="00001CAD" w:rsidRPr="003536CB" w:rsidRDefault="00001CAD">
      <w:pPr>
        <w:rPr>
          <w:rFonts w:asciiTheme="minorHAnsi" w:hAnsiTheme="minorHAnsi" w:cstheme="minorHAnsi"/>
          <w:bCs/>
        </w:rPr>
      </w:pPr>
    </w:p>
    <w:p w14:paraId="23C09941" w14:textId="77777777" w:rsidR="0069328D" w:rsidRPr="00BE6D5E" w:rsidRDefault="0069328D" w:rsidP="0069328D">
      <w:pPr>
        <w:pStyle w:val="Titolo1"/>
        <w:numPr>
          <w:ilvl w:val="0"/>
          <w:numId w:val="18"/>
        </w:numPr>
        <w:tabs>
          <w:tab w:val="left" w:pos="567"/>
        </w:tabs>
        <w:spacing w:before="0"/>
        <w:ind w:left="567" w:hanging="567"/>
        <w:jc w:val="both"/>
      </w:pPr>
      <w:bookmarkStart w:id="10" w:name="_Toc471834933"/>
      <w:r w:rsidRPr="00D65A89">
        <w:t xml:space="preserve">CONSIDERAZIONI </w:t>
      </w:r>
      <w:bookmarkEnd w:id="10"/>
      <w:r>
        <w:t>DELLA COMMISSIONE</w:t>
      </w:r>
    </w:p>
    <w:p w14:paraId="62965800" w14:textId="65231AC6" w:rsidR="008739BE" w:rsidRPr="003536CB" w:rsidRDefault="008739BE" w:rsidP="003536CB">
      <w:pPr>
        <w:spacing w:after="120"/>
        <w:rPr>
          <w:rFonts w:cs="Arial"/>
          <w:szCs w:val="24"/>
        </w:rPr>
      </w:pPr>
      <w:bookmarkStart w:id="11" w:name="_Toc353800481"/>
      <w:bookmarkStart w:id="12" w:name="_Toc390264055"/>
      <w:bookmarkStart w:id="13" w:name="_Toc471834934"/>
      <w:r w:rsidRPr="008739BE">
        <w:rPr>
          <w:rFonts w:cs="Arial"/>
          <w:szCs w:val="24"/>
        </w:rPr>
        <w:t xml:space="preserve">Lo stile di vita della nostra </w:t>
      </w:r>
      <w:proofErr w:type="spellStart"/>
      <w:r w:rsidRPr="008739BE">
        <w:rPr>
          <w:rFonts w:cs="Arial"/>
          <w:szCs w:val="24"/>
        </w:rPr>
        <w:t>societa</w:t>
      </w:r>
      <w:proofErr w:type="spellEnd"/>
      <w:r w:rsidRPr="008739BE">
        <w:rPr>
          <w:rFonts w:cs="Arial"/>
          <w:szCs w:val="24"/>
        </w:rPr>
        <w:t xml:space="preserve">̀ dipende dalla </w:t>
      </w:r>
      <w:proofErr w:type="spellStart"/>
      <w:r w:rsidRPr="008739BE">
        <w:rPr>
          <w:rFonts w:cs="Arial"/>
          <w:szCs w:val="24"/>
        </w:rPr>
        <w:t>disponibilita</w:t>
      </w:r>
      <w:proofErr w:type="spellEnd"/>
      <w:r w:rsidRPr="008739BE">
        <w:rPr>
          <w:rFonts w:cs="Arial"/>
          <w:szCs w:val="24"/>
        </w:rPr>
        <w:t xml:space="preserve">̀ di grandi </w:t>
      </w:r>
      <w:proofErr w:type="spellStart"/>
      <w:r w:rsidRPr="008739BE">
        <w:rPr>
          <w:rFonts w:cs="Arial"/>
          <w:szCs w:val="24"/>
        </w:rPr>
        <w:t>quantita</w:t>
      </w:r>
      <w:proofErr w:type="spellEnd"/>
      <w:r w:rsidRPr="008739BE">
        <w:rPr>
          <w:rFonts w:cs="Arial"/>
          <w:szCs w:val="24"/>
        </w:rPr>
        <w:t xml:space="preserve">̀ di energia. L’aumento della popolazione e l’evoluzione delle sue necessità generano importanti consumi energetici, per la produzione e la distribuzione di beni e servizi, per i trasporti, per le abitazioni, </w:t>
      </w:r>
      <w:r w:rsidRPr="009779CA">
        <w:rPr>
          <w:rFonts w:cs="Arial"/>
          <w:szCs w:val="24"/>
        </w:rPr>
        <w:t xml:space="preserve">per lo svolgimento delle </w:t>
      </w:r>
      <w:proofErr w:type="spellStart"/>
      <w:r w:rsidRPr="009779CA">
        <w:rPr>
          <w:rFonts w:cs="Arial"/>
          <w:szCs w:val="24"/>
        </w:rPr>
        <w:t>attivita</w:t>
      </w:r>
      <w:proofErr w:type="spellEnd"/>
      <w:r w:rsidRPr="009779CA">
        <w:rPr>
          <w:rFonts w:cs="Arial"/>
          <w:szCs w:val="24"/>
        </w:rPr>
        <w:t xml:space="preserve">̀ nel tempo libero ecc. Su tutti, sono soprattutto la mobilità, il riscaldamento degli edifici e i processi industriali a consumare ingenti </w:t>
      </w:r>
      <w:proofErr w:type="spellStart"/>
      <w:r w:rsidRPr="009779CA">
        <w:rPr>
          <w:rFonts w:cs="Arial"/>
          <w:szCs w:val="24"/>
        </w:rPr>
        <w:t>quantita</w:t>
      </w:r>
      <w:proofErr w:type="spellEnd"/>
      <w:r w:rsidRPr="009779CA">
        <w:rPr>
          <w:rFonts w:cs="Arial"/>
          <w:szCs w:val="24"/>
        </w:rPr>
        <w:t xml:space="preserve">̀ d’energia, ma in </w:t>
      </w:r>
      <w:proofErr w:type="spellStart"/>
      <w:r w:rsidRPr="009779CA">
        <w:rPr>
          <w:rFonts w:cs="Arial"/>
          <w:szCs w:val="24"/>
        </w:rPr>
        <w:t>realta</w:t>
      </w:r>
      <w:proofErr w:type="spellEnd"/>
      <w:r w:rsidRPr="009779CA">
        <w:rPr>
          <w:rFonts w:cs="Arial"/>
          <w:szCs w:val="24"/>
        </w:rPr>
        <w:t>̀ l’energia è presente ovunque, in tutti i beni di consumo, nelle macchine e nelle costruzioni che ci circondano</w:t>
      </w:r>
      <w:r w:rsidR="009779CA" w:rsidRPr="009779CA">
        <w:rPr>
          <w:rFonts w:cs="Arial"/>
          <w:szCs w:val="24"/>
        </w:rPr>
        <w:t>. Malgrado in Svizzera dal 1990 si registr</w:t>
      </w:r>
      <w:r w:rsidR="003536CB">
        <w:rPr>
          <w:rFonts w:cs="Arial"/>
          <w:szCs w:val="24"/>
        </w:rPr>
        <w:t>i</w:t>
      </w:r>
      <w:r w:rsidR="009779CA" w:rsidRPr="009779CA">
        <w:rPr>
          <w:rFonts w:cs="Arial"/>
          <w:szCs w:val="24"/>
        </w:rPr>
        <w:t xml:space="preserve"> una diminuzione del con</w:t>
      </w:r>
      <w:r w:rsidR="00AE2526">
        <w:rPr>
          <w:rFonts w:cs="Arial"/>
          <w:szCs w:val="24"/>
        </w:rPr>
        <w:t>s</w:t>
      </w:r>
      <w:r w:rsidR="009779CA" w:rsidRPr="009779CA">
        <w:rPr>
          <w:rFonts w:cs="Arial"/>
          <w:szCs w:val="24"/>
        </w:rPr>
        <w:t xml:space="preserve">umo energetico medio pro capite, </w:t>
      </w:r>
      <w:r w:rsidR="009779CA" w:rsidRPr="003536CB">
        <w:rPr>
          <w:rFonts w:cs="Arial"/>
          <w:szCs w:val="24"/>
        </w:rPr>
        <w:t xml:space="preserve">l’aumento della popolazione residente fa </w:t>
      </w:r>
      <w:proofErr w:type="spellStart"/>
      <w:r w:rsidR="009779CA" w:rsidRPr="003536CB">
        <w:rPr>
          <w:rFonts w:cs="Arial"/>
          <w:szCs w:val="24"/>
        </w:rPr>
        <w:t>si</w:t>
      </w:r>
      <w:proofErr w:type="spellEnd"/>
      <w:r w:rsidR="009779CA" w:rsidRPr="003536CB">
        <w:rPr>
          <w:rFonts w:cs="Arial"/>
          <w:szCs w:val="24"/>
        </w:rPr>
        <w:t xml:space="preserve"> che la quantità totale di energia utilizzata sia aumentata. </w:t>
      </w:r>
    </w:p>
    <w:p w14:paraId="0B4C53F9" w14:textId="3A8BE45F" w:rsidR="005C630D" w:rsidRPr="005C630D" w:rsidRDefault="005C630D" w:rsidP="003536CB">
      <w:pPr>
        <w:spacing w:after="120"/>
        <w:rPr>
          <w:rFonts w:cs="Arial"/>
          <w:szCs w:val="24"/>
        </w:rPr>
      </w:pPr>
      <w:r w:rsidRPr="005C630D">
        <w:rPr>
          <w:rFonts w:cs="Arial"/>
          <w:szCs w:val="24"/>
        </w:rPr>
        <w:t xml:space="preserve">Le infrastrutture di trasporto e di distribuzione dell’energia (reti elettriche e condotte) </w:t>
      </w:r>
      <w:r>
        <w:rPr>
          <w:rFonts w:cs="Arial"/>
          <w:szCs w:val="24"/>
        </w:rPr>
        <w:t>n</w:t>
      </w:r>
      <w:r w:rsidRPr="005C630D">
        <w:rPr>
          <w:rFonts w:cs="Arial"/>
          <w:szCs w:val="24"/>
        </w:rPr>
        <w:t xml:space="preserve">ei prossimi anni dovranno essere adeguate alle trasformazioni del mercato energetico, influenzato da scelte politiche e di mercato prese a scala internazionale, nazionale e cantonale. La </w:t>
      </w:r>
      <w:r w:rsidR="001948E2">
        <w:rPr>
          <w:rFonts w:cs="Arial"/>
          <w:szCs w:val="24"/>
        </w:rPr>
        <w:t>S</w:t>
      </w:r>
      <w:r w:rsidRPr="005C630D">
        <w:rPr>
          <w:rFonts w:cs="Arial"/>
          <w:szCs w:val="24"/>
        </w:rPr>
        <w:t>trategia Energ</w:t>
      </w:r>
      <w:r w:rsidR="001948E2">
        <w:rPr>
          <w:rFonts w:cs="Arial"/>
          <w:szCs w:val="24"/>
        </w:rPr>
        <w:t>etica</w:t>
      </w:r>
      <w:r w:rsidRPr="005C630D">
        <w:rPr>
          <w:rFonts w:cs="Arial"/>
          <w:szCs w:val="24"/>
        </w:rPr>
        <w:t xml:space="preserve"> 2050</w:t>
      </w:r>
      <w:r w:rsidR="00A90E81">
        <w:rPr>
          <w:rFonts w:cs="Arial"/>
          <w:szCs w:val="24"/>
        </w:rPr>
        <w:t xml:space="preserve"> della Confederazione</w:t>
      </w:r>
      <w:r w:rsidRPr="005C630D">
        <w:rPr>
          <w:rFonts w:cs="Arial"/>
          <w:szCs w:val="24"/>
        </w:rPr>
        <w:t xml:space="preserve">, volta a incentivare l’utilizzo delle fonti rinnovabili e la sicurezza dell’approvvigionamento, necessita </w:t>
      </w:r>
      <w:r w:rsidR="003536CB">
        <w:rPr>
          <w:rFonts w:cs="Arial"/>
          <w:szCs w:val="24"/>
        </w:rPr>
        <w:t xml:space="preserve">di </w:t>
      </w:r>
      <w:r w:rsidRPr="005C630D">
        <w:rPr>
          <w:rFonts w:cs="Arial"/>
          <w:szCs w:val="24"/>
        </w:rPr>
        <w:t xml:space="preserve">un adeguamento delle infrastrutture, </w:t>
      </w:r>
      <w:proofErr w:type="spellStart"/>
      <w:r w:rsidRPr="005C630D">
        <w:rPr>
          <w:rFonts w:cs="Arial"/>
          <w:szCs w:val="24"/>
        </w:rPr>
        <w:t>perche</w:t>
      </w:r>
      <w:proofErr w:type="spellEnd"/>
      <w:r w:rsidRPr="005C630D">
        <w:rPr>
          <w:rFonts w:cs="Arial"/>
          <w:szCs w:val="24"/>
        </w:rPr>
        <w:t>́ (ad esempio) l’energia del sole e l’energia del vento devono essere raccolte quando e dove ci sono, indipendentemente dal luogo del consumo, che normalmente avviene altrove e in altri momenti. Anche la liberalizzazione del mercato dell’energia elettrica rende necessario il potenziamento delle reti di trasmissione tra la produzione e il consumo: la Svizzera svolge infatti un ruolo di piattaforma di scambio europeo e attraverso il Ticino transitano diversi elettrodotti di grande potenza, necessari per lo scambio internazionale di energia elettrica, che dovranno essere adattati alle nuove esigenz</w:t>
      </w:r>
      <w:r w:rsidR="009779CA">
        <w:rPr>
          <w:rFonts w:cs="Arial"/>
          <w:szCs w:val="24"/>
        </w:rPr>
        <w:t>e.</w:t>
      </w:r>
    </w:p>
    <w:p w14:paraId="4F7E2BDC" w14:textId="293F741C" w:rsidR="00FF36E0" w:rsidRDefault="0069328D" w:rsidP="003536CB">
      <w:pPr>
        <w:spacing w:after="120"/>
        <w:rPr>
          <w:rFonts w:cs="Arial"/>
          <w:szCs w:val="24"/>
        </w:rPr>
      </w:pPr>
      <w:r w:rsidRPr="00992E7F">
        <w:rPr>
          <w:rFonts w:cs="Arial"/>
          <w:szCs w:val="24"/>
        </w:rPr>
        <w:t xml:space="preserve">I prezzi dell’energia elettrica </w:t>
      </w:r>
      <w:r w:rsidR="00FF36E0" w:rsidRPr="00992E7F">
        <w:rPr>
          <w:rFonts w:cs="Arial"/>
          <w:szCs w:val="24"/>
        </w:rPr>
        <w:t xml:space="preserve">hanno </w:t>
      </w:r>
      <w:r w:rsidR="00AE2526" w:rsidRPr="00992E7F">
        <w:rPr>
          <w:rFonts w:cs="Arial"/>
          <w:szCs w:val="24"/>
        </w:rPr>
        <w:t>subito</w:t>
      </w:r>
      <w:r w:rsidRPr="00992E7F">
        <w:rPr>
          <w:rFonts w:cs="Arial"/>
          <w:szCs w:val="24"/>
        </w:rPr>
        <w:t xml:space="preserve"> </w:t>
      </w:r>
      <w:r w:rsidR="00FF36E0" w:rsidRPr="00992E7F">
        <w:rPr>
          <w:rFonts w:cs="Arial"/>
          <w:szCs w:val="24"/>
        </w:rPr>
        <w:t>una</w:t>
      </w:r>
      <w:r w:rsidRPr="00992E7F">
        <w:rPr>
          <w:rFonts w:cs="Arial"/>
          <w:szCs w:val="24"/>
        </w:rPr>
        <w:t xml:space="preserve"> forte ascesa </w:t>
      </w:r>
      <w:r w:rsidR="00FF36E0" w:rsidRPr="00992E7F">
        <w:rPr>
          <w:rFonts w:cs="Arial"/>
          <w:szCs w:val="24"/>
        </w:rPr>
        <w:t xml:space="preserve">sui mercati internazionali raggiungendo </w:t>
      </w:r>
      <w:r w:rsidRPr="00992E7F">
        <w:rPr>
          <w:rFonts w:cs="Arial"/>
          <w:szCs w:val="24"/>
        </w:rPr>
        <w:t>livelli record</w:t>
      </w:r>
      <w:r w:rsidR="00FF36E0" w:rsidRPr="00992E7F">
        <w:rPr>
          <w:rFonts w:cs="Arial"/>
          <w:szCs w:val="24"/>
        </w:rPr>
        <w:t xml:space="preserve">, nell’anno dell’esercizio in questione. </w:t>
      </w:r>
      <w:r w:rsidR="00AE2526" w:rsidRPr="00992E7F">
        <w:rPr>
          <w:rFonts w:cs="Arial"/>
          <w:szCs w:val="24"/>
        </w:rPr>
        <w:t>A</w:t>
      </w:r>
      <w:r w:rsidR="00FF36E0" w:rsidRPr="00992E7F">
        <w:rPr>
          <w:rFonts w:cs="Arial"/>
          <w:szCs w:val="24"/>
        </w:rPr>
        <w:t xml:space="preserve"> tendere il trend sarà quello di una stabilizzazione, ma la tendenza sarà comunque quella di vedere i prezzi per i consumatori aumentare</w:t>
      </w:r>
      <w:r w:rsidRPr="00992E7F">
        <w:rPr>
          <w:rFonts w:cs="Arial"/>
          <w:szCs w:val="24"/>
        </w:rPr>
        <w:t>.</w:t>
      </w:r>
    </w:p>
    <w:p w14:paraId="5048AFE8" w14:textId="16097C79" w:rsidR="00A90E81" w:rsidRPr="00C6627F" w:rsidRDefault="00A90E81" w:rsidP="00A90E81">
      <w:pPr>
        <w:spacing w:after="120"/>
        <w:rPr>
          <w:szCs w:val="24"/>
        </w:rPr>
      </w:pPr>
      <w:r w:rsidRPr="002B56CB">
        <w:rPr>
          <w:szCs w:val="24"/>
        </w:rPr>
        <w:t>Il Gruppo AET effettua parte delle operazioni di copertura (</w:t>
      </w:r>
      <w:proofErr w:type="spellStart"/>
      <w:r w:rsidRPr="002B56CB">
        <w:rPr>
          <w:szCs w:val="24"/>
        </w:rPr>
        <w:t>hedging</w:t>
      </w:r>
      <w:proofErr w:type="spellEnd"/>
      <w:r w:rsidRPr="002B56CB">
        <w:rPr>
          <w:szCs w:val="24"/>
        </w:rPr>
        <w:t xml:space="preserve">) del proprio portafoglio energia sui mercati finanziari (borse dell’energia). Il forte aumento dei prezzi di mercato dell’energia ha causato un significativo incremento della liquidità che AET </w:t>
      </w:r>
      <w:r>
        <w:rPr>
          <w:szCs w:val="24"/>
        </w:rPr>
        <w:t xml:space="preserve">ha dovuto </w:t>
      </w:r>
      <w:r w:rsidRPr="002B56CB">
        <w:rPr>
          <w:szCs w:val="24"/>
        </w:rPr>
        <w:t xml:space="preserve">depositare a garanzia dell’esecuzione di operazioni di compravendita energia a termine sulle borse. Ad inizio 2022 le tensioni geopolitiche attorno all’Ucraina e la sua invasione da parte della Russia hanno posto nuove pressioni sui mercati dell’energia, prezzi e </w:t>
      </w:r>
      <w:proofErr w:type="spellStart"/>
      <w:r w:rsidRPr="002B56CB">
        <w:rPr>
          <w:szCs w:val="24"/>
        </w:rPr>
        <w:t>volatilita</w:t>
      </w:r>
      <w:proofErr w:type="spellEnd"/>
      <w:r w:rsidRPr="002B56CB">
        <w:rPr>
          <w:szCs w:val="24"/>
        </w:rPr>
        <w:t>̀ in forte aumento</w:t>
      </w:r>
      <w:r>
        <w:rPr>
          <w:szCs w:val="24"/>
        </w:rPr>
        <w:t xml:space="preserve">. </w:t>
      </w:r>
      <w:r w:rsidRPr="002B56CB">
        <w:rPr>
          <w:szCs w:val="24"/>
        </w:rPr>
        <w:t>Questa situazione</w:t>
      </w:r>
      <w:r>
        <w:rPr>
          <w:szCs w:val="24"/>
        </w:rPr>
        <w:t>, con gli aumenti di prezzo sui mercati,</w:t>
      </w:r>
      <w:r w:rsidRPr="002B56CB">
        <w:rPr>
          <w:szCs w:val="24"/>
        </w:rPr>
        <w:t xml:space="preserve"> </w:t>
      </w:r>
      <w:r>
        <w:rPr>
          <w:szCs w:val="24"/>
        </w:rPr>
        <w:t xml:space="preserve">ha </w:t>
      </w:r>
      <w:r w:rsidRPr="002B56CB">
        <w:rPr>
          <w:szCs w:val="24"/>
        </w:rPr>
        <w:t>comporta</w:t>
      </w:r>
      <w:r>
        <w:rPr>
          <w:szCs w:val="24"/>
        </w:rPr>
        <w:t>to</w:t>
      </w:r>
      <w:r w:rsidRPr="002B56CB">
        <w:rPr>
          <w:szCs w:val="24"/>
        </w:rPr>
        <w:t xml:space="preserve"> un accresciuto rischio finanziario per AET e la necessità di effettuare maggiori depositi di liquidità a copertura delle operazioni a termine sui mercati (</w:t>
      </w:r>
      <w:proofErr w:type="spellStart"/>
      <w:r w:rsidRPr="002B56CB">
        <w:rPr>
          <w:szCs w:val="24"/>
        </w:rPr>
        <w:t>margin</w:t>
      </w:r>
      <w:proofErr w:type="spellEnd"/>
      <w:r w:rsidRPr="002B56CB">
        <w:rPr>
          <w:szCs w:val="24"/>
        </w:rPr>
        <w:t xml:space="preserve"> call). AET gestisce questo rischio assicurandosi di avere la liquidità e</w:t>
      </w:r>
      <w:r w:rsidRPr="00B34AED">
        <w:rPr>
          <w:szCs w:val="24"/>
        </w:rPr>
        <w:t xml:space="preserve"> </w:t>
      </w:r>
      <w:r>
        <w:rPr>
          <w:szCs w:val="24"/>
        </w:rPr>
        <w:t xml:space="preserve">le </w:t>
      </w:r>
      <w:r w:rsidRPr="00B34AED">
        <w:rPr>
          <w:szCs w:val="24"/>
        </w:rPr>
        <w:t xml:space="preserve">linee di credito necessarie per poter operare </w:t>
      </w:r>
      <w:r>
        <w:rPr>
          <w:szCs w:val="24"/>
        </w:rPr>
        <w:t>sui mercati. Per far fronte ai problemi di liquidità la Confederazione ha stanziato una linea di credito da 4 mia. di franchi da mettere a disposizione delle Aziende elettriche con rilevanza sistemica (</w:t>
      </w:r>
      <w:proofErr w:type="spellStart"/>
      <w:r>
        <w:rPr>
          <w:szCs w:val="24"/>
        </w:rPr>
        <w:t>Axpo</w:t>
      </w:r>
      <w:proofErr w:type="spellEnd"/>
      <w:r>
        <w:rPr>
          <w:szCs w:val="24"/>
        </w:rPr>
        <w:t xml:space="preserve">, </w:t>
      </w:r>
      <w:proofErr w:type="spellStart"/>
      <w:r>
        <w:rPr>
          <w:szCs w:val="24"/>
        </w:rPr>
        <w:t>Alpiq</w:t>
      </w:r>
      <w:proofErr w:type="spellEnd"/>
      <w:r>
        <w:rPr>
          <w:szCs w:val="24"/>
        </w:rPr>
        <w:t xml:space="preserve"> e BKV). Non rientrando tra queste aziende AET non ha purtroppo potuto beneficiare di questo credito e per  fronteggiare i temporanei problemi di liquidità causati dall’esplosione dei prezzi dell’energia sui mercati europei, a fine agosto 2022 AET ha potuto beneficiare di un prestito supplementare di 110 mio di franchi messo a di</w:t>
      </w:r>
      <w:r w:rsidR="009F7393">
        <w:rPr>
          <w:szCs w:val="24"/>
        </w:rPr>
        <w:t>s</w:t>
      </w:r>
      <w:r>
        <w:rPr>
          <w:szCs w:val="24"/>
        </w:rPr>
        <w:t xml:space="preserve">posizione dallo Stato del Canton Ticino, che sommato ai 10 mio </w:t>
      </w:r>
      <w:r w:rsidR="009F7393">
        <w:rPr>
          <w:szCs w:val="24"/>
        </w:rPr>
        <w:t>p</w:t>
      </w:r>
      <w:r>
        <w:rPr>
          <w:szCs w:val="24"/>
        </w:rPr>
        <w:t>recedentemente versati ha prosciugato la linea di credito di 120 mio di franchi sottoscritta negli anni precedenti. AET ha saputo rimborsare l’aumento di prestito di 110 milioni di franchi nel giro di un paio di settimane.</w:t>
      </w:r>
    </w:p>
    <w:p w14:paraId="01EEA0BF" w14:textId="141ED482" w:rsidR="0069328D" w:rsidRPr="009E493F" w:rsidRDefault="00A90E81" w:rsidP="00A90E81">
      <w:pPr>
        <w:spacing w:after="120"/>
      </w:pPr>
      <w:r w:rsidRPr="00FF36E0">
        <w:t>La Svizzera d’inverno non produce sufficiente energia per coprire i propri consumi.</w:t>
      </w:r>
      <w:r w:rsidRPr="009E493F">
        <w:rPr>
          <w:color w:val="FF0000"/>
        </w:rPr>
        <w:t xml:space="preserve"> </w:t>
      </w:r>
      <w:r w:rsidR="0069328D" w:rsidRPr="00FF36E0">
        <w:t xml:space="preserve">Da oltre 20 anni importiamo energia in inverno dall’estero. È stato calcolato che, con i livelli di consumo attuali, occorrerà importare circa tra il 10% e il 20% del fabbisogno. Nel prossimo futuro sarà quindi importante aumentare la produzione indigena da fonti rinnovabili. </w:t>
      </w:r>
      <w:r w:rsidR="003536CB">
        <w:t>Oltre a</w:t>
      </w:r>
      <w:r w:rsidR="0069328D" w:rsidRPr="00FF36E0">
        <w:t>lla produzione dell’idroelettrico sarà i</w:t>
      </w:r>
      <w:r w:rsidR="00FD24E6">
        <w:t>mportante incrementare anche, l</w:t>
      </w:r>
      <w:r w:rsidR="0069328D" w:rsidRPr="00FF36E0">
        <w:t xml:space="preserve">addove possibile, la produzione di energia da fonti rinnovabili quali il solare, l’eolico, la geotermia e la biomassa. Quasi tutti i Paesi europei basano la loro strategia per l’inverno sull’importazione. </w:t>
      </w:r>
      <w:r w:rsidR="00FF36E0" w:rsidRPr="00FF36E0">
        <w:t xml:space="preserve">I </w:t>
      </w:r>
      <w:r w:rsidR="0069328D" w:rsidRPr="00FF36E0">
        <w:t xml:space="preserve">problemi di penuria energetica nei mesi invernali accentuati dal conflitto in Ucraina </w:t>
      </w:r>
      <w:r w:rsidR="00FF36E0" w:rsidRPr="00FF36E0">
        <w:t>hanno dimostrato l’impor</w:t>
      </w:r>
      <w:r w:rsidR="00AE2526">
        <w:t>t</w:t>
      </w:r>
      <w:r w:rsidR="00FF36E0" w:rsidRPr="00FF36E0">
        <w:t xml:space="preserve">anza di </w:t>
      </w:r>
      <w:r w:rsidR="00AE2526">
        <w:t>svincolarsi</w:t>
      </w:r>
      <w:r w:rsidR="00FF36E0" w:rsidRPr="00FF36E0">
        <w:t xml:space="preserve"> d</w:t>
      </w:r>
      <w:r w:rsidR="00AE2526">
        <w:t>a</w:t>
      </w:r>
      <w:r w:rsidR="00FF36E0" w:rsidRPr="00FF36E0">
        <w:t>lla dipendenza estera ed aumentare la produzione di elettricità indigena</w:t>
      </w:r>
      <w:r w:rsidR="003536CB">
        <w:t>.</w:t>
      </w:r>
    </w:p>
    <w:p w14:paraId="3370A84D" w14:textId="3D8BD5CC" w:rsidR="00D6557F" w:rsidRPr="005F77DD" w:rsidRDefault="0069328D" w:rsidP="003536CB">
      <w:pPr>
        <w:spacing w:after="120"/>
        <w:rPr>
          <w:rFonts w:cs="Arial"/>
          <w:szCs w:val="24"/>
        </w:rPr>
      </w:pPr>
      <w:r w:rsidRPr="00FF36E0">
        <w:rPr>
          <w:rFonts w:eastAsia="Rockwell" w:cs="Arial"/>
          <w:szCs w:val="24"/>
        </w:rPr>
        <w:t xml:space="preserve">La </w:t>
      </w:r>
      <w:r w:rsidRPr="00FF36E0">
        <w:rPr>
          <w:szCs w:val="24"/>
        </w:rPr>
        <w:t xml:space="preserve">garanzia dell’approvvigionamento energetico </w:t>
      </w:r>
      <w:r w:rsidR="00AE2526">
        <w:rPr>
          <w:szCs w:val="24"/>
        </w:rPr>
        <w:t>rimarrà</w:t>
      </w:r>
      <w:r w:rsidR="00FF36E0" w:rsidRPr="00FF36E0">
        <w:rPr>
          <w:szCs w:val="24"/>
        </w:rPr>
        <w:t xml:space="preserve"> la </w:t>
      </w:r>
      <w:r w:rsidRPr="00FF36E0">
        <w:rPr>
          <w:szCs w:val="24"/>
        </w:rPr>
        <w:t>sfida centrale per i prossimi anni</w:t>
      </w:r>
      <w:r w:rsidR="00AE2526">
        <w:rPr>
          <w:szCs w:val="24"/>
        </w:rPr>
        <w:t>.</w:t>
      </w:r>
      <w:r w:rsidRPr="00FF36E0">
        <w:rPr>
          <w:szCs w:val="24"/>
        </w:rPr>
        <w:t xml:space="preserve"> </w:t>
      </w:r>
      <w:r w:rsidR="00AE2526">
        <w:rPr>
          <w:szCs w:val="24"/>
        </w:rPr>
        <w:t>L</w:t>
      </w:r>
      <w:r w:rsidRPr="00FF36E0">
        <w:rPr>
          <w:szCs w:val="24"/>
        </w:rPr>
        <w:t>’estrema volatilità del costo dell’energia all’ingrosso s</w:t>
      </w:r>
      <w:r w:rsidR="003536CB">
        <w:rPr>
          <w:szCs w:val="24"/>
        </w:rPr>
        <w:t>u</w:t>
      </w:r>
      <w:r w:rsidR="00AE2526">
        <w:rPr>
          <w:szCs w:val="24"/>
        </w:rPr>
        <w:t>i</w:t>
      </w:r>
      <w:r w:rsidRPr="00FF36E0">
        <w:rPr>
          <w:szCs w:val="24"/>
        </w:rPr>
        <w:t xml:space="preserve"> mercat</w:t>
      </w:r>
      <w:r w:rsidR="00AE2526">
        <w:rPr>
          <w:szCs w:val="24"/>
        </w:rPr>
        <w:t>i</w:t>
      </w:r>
      <w:r w:rsidRPr="00FF36E0">
        <w:rPr>
          <w:szCs w:val="24"/>
        </w:rPr>
        <w:t xml:space="preserve"> europe</w:t>
      </w:r>
      <w:r w:rsidR="00AE2526">
        <w:rPr>
          <w:szCs w:val="24"/>
        </w:rPr>
        <w:t>i</w:t>
      </w:r>
      <w:r w:rsidRPr="00FF36E0">
        <w:rPr>
          <w:szCs w:val="24"/>
        </w:rPr>
        <w:t xml:space="preserve"> e una maggior indipendenza energetica costituiranno le importanti sfide che impegneranno </w:t>
      </w:r>
      <w:r w:rsidR="00AE2526">
        <w:rPr>
          <w:szCs w:val="24"/>
        </w:rPr>
        <w:t>AET</w:t>
      </w:r>
      <w:r w:rsidRPr="00FF36E0">
        <w:rPr>
          <w:szCs w:val="24"/>
        </w:rPr>
        <w:t xml:space="preserve"> nel prossimo futuro.</w:t>
      </w:r>
      <w:r w:rsidR="00D6557F">
        <w:rPr>
          <w:szCs w:val="24"/>
        </w:rPr>
        <w:t xml:space="preserve"> </w:t>
      </w:r>
      <w:r w:rsidR="00D6557F" w:rsidRPr="005F77DD">
        <w:rPr>
          <w:rFonts w:cs="Arial"/>
          <w:szCs w:val="24"/>
        </w:rPr>
        <w:t xml:space="preserve">In Ticino il consumo di elettricità si aggira sui 3'200 </w:t>
      </w:r>
      <w:proofErr w:type="spellStart"/>
      <w:r w:rsidR="00D6557F" w:rsidRPr="005F77DD">
        <w:rPr>
          <w:rFonts w:cs="Arial"/>
          <w:szCs w:val="24"/>
        </w:rPr>
        <w:t>GWh</w:t>
      </w:r>
      <w:proofErr w:type="spellEnd"/>
      <w:r w:rsidR="00D6557F" w:rsidRPr="005F77DD">
        <w:rPr>
          <w:rFonts w:cs="Arial"/>
          <w:szCs w:val="24"/>
        </w:rPr>
        <w:t xml:space="preserve">. In ragione della </w:t>
      </w:r>
      <w:proofErr w:type="spellStart"/>
      <w:r w:rsidR="00D6557F" w:rsidRPr="005F77DD">
        <w:rPr>
          <w:rFonts w:cs="Arial"/>
          <w:szCs w:val="24"/>
        </w:rPr>
        <w:t>decarbonizzazione</w:t>
      </w:r>
      <w:proofErr w:type="spellEnd"/>
      <w:r w:rsidR="00D6557F" w:rsidRPr="005F77DD">
        <w:rPr>
          <w:rFonts w:cs="Arial"/>
          <w:szCs w:val="24"/>
        </w:rPr>
        <w:t xml:space="preserve"> (pompe di calore, mobilità elettrica, </w:t>
      </w:r>
      <w:proofErr w:type="gramStart"/>
      <w:r w:rsidR="00D6557F" w:rsidRPr="005F77DD">
        <w:rPr>
          <w:rFonts w:cs="Arial"/>
          <w:szCs w:val="24"/>
        </w:rPr>
        <w:t>ecc...</w:t>
      </w:r>
      <w:proofErr w:type="gramEnd"/>
      <w:r w:rsidR="00D6557F" w:rsidRPr="005F77DD">
        <w:rPr>
          <w:rFonts w:cs="Arial"/>
          <w:szCs w:val="24"/>
        </w:rPr>
        <w:t xml:space="preserve">) i consumi tenderanno ad aumentare in futuro.  La produzione elettrica media ticinese è di 3’600 </w:t>
      </w:r>
      <w:proofErr w:type="spellStart"/>
      <w:r w:rsidR="00D6557F" w:rsidRPr="005F77DD">
        <w:rPr>
          <w:rFonts w:cs="Arial"/>
          <w:szCs w:val="24"/>
        </w:rPr>
        <w:t>GWh</w:t>
      </w:r>
      <w:proofErr w:type="spellEnd"/>
      <w:r w:rsidR="00D6557F" w:rsidRPr="005F77DD">
        <w:rPr>
          <w:rFonts w:cs="Arial"/>
          <w:szCs w:val="24"/>
        </w:rPr>
        <w:t xml:space="preserve">, di cui solo il 40% circa sono nelle mani di AET (1'500 </w:t>
      </w:r>
      <w:proofErr w:type="spellStart"/>
      <w:r w:rsidR="00D6557F" w:rsidRPr="005F77DD">
        <w:rPr>
          <w:rFonts w:cs="Arial"/>
          <w:szCs w:val="24"/>
        </w:rPr>
        <w:t>GWh</w:t>
      </w:r>
      <w:proofErr w:type="spellEnd"/>
      <w:r w:rsidR="00D6557F" w:rsidRPr="005F77DD">
        <w:rPr>
          <w:rFonts w:cs="Arial"/>
          <w:szCs w:val="24"/>
        </w:rPr>
        <w:t xml:space="preserve">). Al momento in cui tutti gli impianti </w:t>
      </w:r>
      <w:r w:rsidR="00D6557F" w:rsidRPr="005F77DD">
        <w:t>idroelettrici saranno stati acquis</w:t>
      </w:r>
      <w:r w:rsidR="00A90E81">
        <w:t>i</w:t>
      </w:r>
      <w:r w:rsidR="00D6557F" w:rsidRPr="005F77DD">
        <w:t>ti dal Cantone</w:t>
      </w:r>
      <w:r w:rsidR="00A90E81">
        <w:t xml:space="preserve"> tramite riversione</w:t>
      </w:r>
      <w:r w:rsidR="00D6557F" w:rsidRPr="005F77DD">
        <w:t xml:space="preserve">, l’energia prodotta sarà maggiore di quella </w:t>
      </w:r>
      <w:r w:rsidR="00D6557F" w:rsidRPr="005F77DD">
        <w:rPr>
          <w:rFonts w:cs="Arial"/>
          <w:szCs w:val="24"/>
        </w:rPr>
        <w:t>consumata</w:t>
      </w:r>
      <w:r w:rsidR="00A90E81">
        <w:rPr>
          <w:rFonts w:cs="Arial"/>
          <w:szCs w:val="24"/>
        </w:rPr>
        <w:t xml:space="preserve"> nel Cantone</w:t>
      </w:r>
      <w:r w:rsidR="00D6557F" w:rsidRPr="005F77DD">
        <w:rPr>
          <w:rFonts w:cs="Arial"/>
          <w:szCs w:val="24"/>
        </w:rPr>
        <w:t>.</w:t>
      </w:r>
    </w:p>
    <w:p w14:paraId="2D72B39E" w14:textId="27ECB787" w:rsidR="002061D2" w:rsidRPr="00CC5629" w:rsidRDefault="00CC5629" w:rsidP="003536CB">
      <w:pPr>
        <w:spacing w:after="120"/>
      </w:pPr>
      <w:r>
        <w:t>Un</w:t>
      </w:r>
      <w:r w:rsidR="003536CB">
        <w:t>'</w:t>
      </w:r>
      <w:r>
        <w:t>altr</w:t>
      </w:r>
      <w:r w:rsidR="00AE2526">
        <w:t>a</w:t>
      </w:r>
      <w:r>
        <w:t xml:space="preserve"> importante sfida sarà </w:t>
      </w:r>
      <w:r w:rsidR="00D6557F">
        <w:t xml:space="preserve">quindi </w:t>
      </w:r>
      <w:r>
        <w:t>quella legata all</w:t>
      </w:r>
      <w:r w:rsidRPr="00CC5629">
        <w:t>’esercizio del diritto di riversione, per poi affidare ad AET la gestione degli impianti idroelettrici oggi oggetto di concessione</w:t>
      </w:r>
      <w:r>
        <w:t>.</w:t>
      </w:r>
      <w:r w:rsidRPr="00CC5629">
        <w:t xml:space="preserve"> </w:t>
      </w:r>
      <w:r w:rsidR="003536CB">
        <w:t>È un e</w:t>
      </w:r>
      <w:r w:rsidRPr="00CC5629">
        <w:t>lemento centrale della politica energetica, condiviso dal Governo e dal Parlamento e</w:t>
      </w:r>
      <w:r>
        <w:t>d</w:t>
      </w:r>
      <w:r w:rsidRPr="00CC5629">
        <w:t xml:space="preserve"> inserito in vari documenti strategici (Piano energetico cantonale, scheda V3 Energia del Piano Direttore, Linee direttive). Le trattative sui valori di riscatto si prospettano impegnative e comporteranno ingenti investimenti. </w:t>
      </w:r>
      <w:r w:rsidR="002061D2">
        <w:t>A dimostrazione di ciò portiamo l’esempio del</w:t>
      </w:r>
      <w:r w:rsidR="00530293">
        <w:t xml:space="preserve">la concessione della </w:t>
      </w:r>
      <w:proofErr w:type="spellStart"/>
      <w:r w:rsidR="00530293" w:rsidRPr="00CB7DED">
        <w:t>Lucendro</w:t>
      </w:r>
      <w:proofErr w:type="spellEnd"/>
      <w:r w:rsidR="00530293" w:rsidRPr="00CB7DED">
        <w:t xml:space="preserve"> SA</w:t>
      </w:r>
      <w:r w:rsidR="003536CB">
        <w:t>,</w:t>
      </w:r>
      <w:r w:rsidR="00530293">
        <w:t xml:space="preserve"> </w:t>
      </w:r>
      <w:r w:rsidR="002061D2">
        <w:t xml:space="preserve">che </w:t>
      </w:r>
      <w:r w:rsidR="00530293">
        <w:t>scadr</w:t>
      </w:r>
      <w:r w:rsidR="002061D2">
        <w:t>à</w:t>
      </w:r>
      <w:r w:rsidR="00530293">
        <w:t xml:space="preserve"> a fine 2024. La centrale fa parte della catena della </w:t>
      </w:r>
      <w:proofErr w:type="spellStart"/>
      <w:r w:rsidR="00530293">
        <w:t>Leventina</w:t>
      </w:r>
      <w:proofErr w:type="spellEnd"/>
      <w:r w:rsidR="00530293">
        <w:t>. È in atto una disputa fra i due Cantoni</w:t>
      </w:r>
      <w:r w:rsidR="003536CB">
        <w:t>,</w:t>
      </w:r>
      <w:r w:rsidR="00530293">
        <w:t xml:space="preserve"> in quanto il Canton Uri rivendica una partecipazione, perché una parte delle acque turbinate sono di sua pertinenza. </w:t>
      </w:r>
      <w:r w:rsidR="00530293" w:rsidRPr="00530293">
        <w:t xml:space="preserve">Il Canton Uri sostiene che il 55% delle acque è </w:t>
      </w:r>
      <w:proofErr w:type="spellStart"/>
      <w:r w:rsidR="00530293" w:rsidRPr="00530293">
        <w:t>urano</w:t>
      </w:r>
      <w:proofErr w:type="spellEnd"/>
      <w:r w:rsidR="00530293" w:rsidRPr="00530293">
        <w:t xml:space="preserve"> e il 45% ticinese (</w:t>
      </w:r>
      <w:r w:rsidR="002061D2">
        <w:t>secondo</w:t>
      </w:r>
      <w:r w:rsidR="00530293" w:rsidRPr="00530293">
        <w:t xml:space="preserve"> un calcolo compiuto 80 anni fa); il Canton Ticino sostiene che il 60% è ticinese e il 40% </w:t>
      </w:r>
      <w:proofErr w:type="spellStart"/>
      <w:r w:rsidR="00530293" w:rsidRPr="00530293">
        <w:t>urano</w:t>
      </w:r>
      <w:proofErr w:type="spellEnd"/>
      <w:r w:rsidR="00530293" w:rsidRPr="00530293">
        <w:t>.</w:t>
      </w:r>
      <w:r w:rsidR="002061D2" w:rsidRPr="002061D2">
        <w:t xml:space="preserve"> </w:t>
      </w:r>
      <w:r w:rsidR="002061D2">
        <w:t xml:space="preserve">Dato che non si è riusciti ad arrivare a un accordo sulle partecipazioni future, sarà la Confederazione a decidere. </w:t>
      </w:r>
      <w:r w:rsidR="002061D2" w:rsidRPr="00CC5629">
        <w:t>La posta in gioco è importante, e l’obiettivo di rilevare le centrali idroelettriche da parte del Cantone deve essere perseguito. Il recupero delle acque al Cantone deve essere considerato un elemento imprescindibile.</w:t>
      </w:r>
    </w:p>
    <w:p w14:paraId="31B932CB" w14:textId="77777777" w:rsidR="00A90E81" w:rsidRDefault="00A90E81" w:rsidP="00A90E81">
      <w:pPr>
        <w:spacing w:after="240"/>
      </w:pPr>
      <w:r w:rsidRPr="00992E7F">
        <w:t xml:space="preserve">Malgrado non si sia più in regime di monopolio, AET svolge un ruolo importante nell’ambito dell’approvvigionamento del Paese. AET ha deciso di focalizzarsi prevalentemente su fotovoltaico e idroelettrico. In questo contesto il settore idroelettrico assumerà un ruolo sempre più importante quale produttore di energia in grado di compensare le fluttuazioni produttive delle nuove energie rinnovabili con i suoi bacini imbriferi di stoccaggio in particolare per il solare. Oltre al progetto di AET per l’innalzamento della diga del Sambuco che </w:t>
      </w:r>
      <w:r>
        <w:t>rientra nei 15 progetti previsti dalla “tavola rotonda” istituita a suo tempo dal DATEC</w:t>
      </w:r>
      <w:r w:rsidRPr="00992E7F">
        <w:t xml:space="preserve">, AET sta già valutando altri analoghi progetti, come quello dell’innalzamento della diga del lago Sella dell’impianto del </w:t>
      </w:r>
      <w:proofErr w:type="spellStart"/>
      <w:r w:rsidRPr="00992E7F">
        <w:t>Lucendro</w:t>
      </w:r>
      <w:proofErr w:type="spellEnd"/>
      <w:r w:rsidRPr="00992E7F">
        <w:t xml:space="preserve">. Progetti del genere richiedono fino a 15 anni per la loro realizzazione. In questo senso va salutata positivamente l’agevolazione delle procedure adottate a livello federale dal DATEC, e l’operato dell’amministrazione cantonale nell’aggiornare le basi </w:t>
      </w:r>
      <w:proofErr w:type="spellStart"/>
      <w:r w:rsidRPr="00992E7F">
        <w:t>pianificatorie</w:t>
      </w:r>
      <w:proofErr w:type="spellEnd"/>
      <w:r w:rsidRPr="00992E7F">
        <w:t>, che permetteranno di disporre di maggior capacità di accum</w:t>
      </w:r>
      <w:r>
        <w:t>u</w:t>
      </w:r>
      <w:r w:rsidRPr="00992E7F">
        <w:t xml:space="preserve">lo per impianti che costituiscono delle vere e proprie batterie </w:t>
      </w:r>
      <w:r>
        <w:t xml:space="preserve">di regolazione </w:t>
      </w:r>
      <w:r w:rsidRPr="00992E7F">
        <w:t>per le nuove energie rinnovabili.</w:t>
      </w:r>
    </w:p>
    <w:p w14:paraId="019348F4" w14:textId="4C3203A8" w:rsidR="0069328D" w:rsidRPr="00992E7F" w:rsidRDefault="00992E7F" w:rsidP="003536CB">
      <w:pPr>
        <w:spacing w:after="120"/>
        <w:rPr>
          <w:rFonts w:eastAsia="Rockwell" w:cs="Arial"/>
          <w:szCs w:val="24"/>
        </w:rPr>
      </w:pPr>
      <w:r w:rsidRPr="00992E7F">
        <w:t xml:space="preserve">In ambito di fotovoltaico va salutato positivamente l’accordo tra AET e la Sezione della logistica del DFE, che prevede l’investimento da parte di AET di CHF 40 mio entro il 2035 per la realizzazione di nuovi impianti solari sui tetti degli edifici di </w:t>
      </w:r>
      <w:r w:rsidR="0086280A" w:rsidRPr="00992E7F">
        <w:t>proprietà</w:t>
      </w:r>
      <w:r w:rsidRPr="00992E7F">
        <w:t xml:space="preserve">̀ dello Stato. </w:t>
      </w:r>
      <w:r w:rsidR="003536CB">
        <w:t>Questo</w:t>
      </w:r>
      <w:r w:rsidRPr="00992E7F">
        <w:t xml:space="preserve"> piano </w:t>
      </w:r>
      <w:r w:rsidR="003536CB">
        <w:t>permetterà</w:t>
      </w:r>
      <w:r w:rsidRPr="00992E7F">
        <w:t xml:space="preserve"> di generare 20 </w:t>
      </w:r>
      <w:proofErr w:type="spellStart"/>
      <w:r w:rsidRPr="00992E7F">
        <w:t>GWh</w:t>
      </w:r>
      <w:proofErr w:type="spellEnd"/>
      <w:r w:rsidRPr="00992E7F">
        <w:t xml:space="preserve"> di energia all’anno. </w:t>
      </w:r>
      <w:r w:rsidR="003536CB">
        <w:t>È u</w:t>
      </w:r>
      <w:r w:rsidRPr="00992E7F">
        <w:t xml:space="preserve">n ulteriore concreto tassello dell’impegno di AET a favore dell’aumento della produzione rinnovabile ed indigena. </w:t>
      </w:r>
      <w:r w:rsidR="0069328D" w:rsidRPr="00992E7F">
        <w:rPr>
          <w:rFonts w:eastAsia="Rockwell" w:cs="Arial"/>
          <w:szCs w:val="24"/>
        </w:rPr>
        <w:t xml:space="preserve">Si sta </w:t>
      </w:r>
      <w:r w:rsidRPr="00992E7F">
        <w:rPr>
          <w:rFonts w:eastAsia="Rockwell" w:cs="Arial"/>
          <w:szCs w:val="24"/>
        </w:rPr>
        <w:t xml:space="preserve">ancora </w:t>
      </w:r>
      <w:r w:rsidR="0069328D" w:rsidRPr="00992E7F">
        <w:rPr>
          <w:rFonts w:eastAsia="Rockwell" w:cs="Arial"/>
          <w:szCs w:val="24"/>
        </w:rPr>
        <w:t xml:space="preserve">discutendo </w:t>
      </w:r>
      <w:r w:rsidRPr="00992E7F">
        <w:rPr>
          <w:rFonts w:eastAsia="Rockwell" w:cs="Arial"/>
          <w:szCs w:val="24"/>
        </w:rPr>
        <w:t xml:space="preserve">sul tema del </w:t>
      </w:r>
      <w:r w:rsidR="00A90E81">
        <w:rPr>
          <w:rFonts w:eastAsia="Rockwell" w:cs="Arial"/>
          <w:szCs w:val="24"/>
        </w:rPr>
        <w:t>“</w:t>
      </w:r>
      <w:r w:rsidR="0069328D" w:rsidRPr="00992E7F">
        <w:rPr>
          <w:rFonts w:eastAsia="Rockwell" w:cs="Arial"/>
          <w:szCs w:val="24"/>
        </w:rPr>
        <w:t>solare alpino</w:t>
      </w:r>
      <w:r w:rsidR="00A90E81">
        <w:rPr>
          <w:rFonts w:eastAsia="Rockwell" w:cs="Arial"/>
          <w:szCs w:val="24"/>
        </w:rPr>
        <w:t>”</w:t>
      </w:r>
      <w:r w:rsidR="0069328D" w:rsidRPr="00992E7F">
        <w:rPr>
          <w:rFonts w:eastAsia="Rockwell" w:cs="Arial"/>
          <w:szCs w:val="24"/>
        </w:rPr>
        <w:t>, che potrebbe avere una resa interessante</w:t>
      </w:r>
      <w:r w:rsidRPr="00992E7F">
        <w:rPr>
          <w:rFonts w:eastAsia="Rockwell" w:cs="Arial"/>
          <w:szCs w:val="24"/>
        </w:rPr>
        <w:t xml:space="preserve"> anche nei mesi invernali</w:t>
      </w:r>
      <w:r w:rsidR="0069328D" w:rsidRPr="00992E7F">
        <w:rPr>
          <w:rFonts w:eastAsia="Rockwell" w:cs="Arial"/>
          <w:szCs w:val="24"/>
        </w:rPr>
        <w:t>; per andare in questa direzione occorrerà però modificare le condizioni giuridiche. In generale, il fotovoltaico è una parte importante della futura strategia energetica. Bisognerà trovare il modo di gestirlo e l’idroelettrico</w:t>
      </w:r>
      <w:r w:rsidRPr="00992E7F">
        <w:rPr>
          <w:rFonts w:eastAsia="Rockwell" w:cs="Arial"/>
          <w:szCs w:val="24"/>
        </w:rPr>
        <w:t>,</w:t>
      </w:r>
      <w:r w:rsidR="0069328D" w:rsidRPr="00992E7F">
        <w:rPr>
          <w:rFonts w:eastAsia="Rockwell" w:cs="Arial"/>
          <w:szCs w:val="24"/>
        </w:rPr>
        <w:t xml:space="preserve"> </w:t>
      </w:r>
      <w:r w:rsidRPr="00992E7F">
        <w:rPr>
          <w:rFonts w:eastAsia="Rockwell" w:cs="Arial"/>
          <w:szCs w:val="24"/>
        </w:rPr>
        <w:t xml:space="preserve">come detto, </w:t>
      </w:r>
      <w:r w:rsidR="0069328D" w:rsidRPr="00992E7F">
        <w:rPr>
          <w:rFonts w:eastAsia="Rockwell" w:cs="Arial"/>
          <w:szCs w:val="24"/>
        </w:rPr>
        <w:t>giocherà un ruolo importante con la sua flessibilità.</w:t>
      </w:r>
    </w:p>
    <w:p w14:paraId="284313F7" w14:textId="445814F1" w:rsidR="0069328D" w:rsidRPr="00B77A09" w:rsidRDefault="002061D2" w:rsidP="0069328D">
      <w:r>
        <w:t>In sintesi</w:t>
      </w:r>
      <w:r w:rsidR="0069328D" w:rsidRPr="00B77A09">
        <w:t>, i temi che AET dovrà affrontare rimangono:</w:t>
      </w:r>
    </w:p>
    <w:p w14:paraId="3061A819" w14:textId="77777777" w:rsidR="0069328D" w:rsidRPr="00B77A09" w:rsidRDefault="0069328D" w:rsidP="0069328D">
      <w:pPr>
        <w:pStyle w:val="Paragrafoelenco"/>
        <w:numPr>
          <w:ilvl w:val="0"/>
          <w:numId w:val="20"/>
        </w:numPr>
        <w:spacing w:before="60"/>
        <w:ind w:left="284" w:hanging="284"/>
        <w:contextualSpacing w:val="0"/>
      </w:pPr>
      <w:r w:rsidRPr="00B77A09">
        <w:t>la sicurezza di approvvigionamento e la valorizzazione della produzione rinnovabile indigena (con particolare riferimento all’idroelettrico);</w:t>
      </w:r>
    </w:p>
    <w:p w14:paraId="2D7A97DB" w14:textId="06B9179A" w:rsidR="0069328D" w:rsidRPr="00B77A09" w:rsidRDefault="0069328D" w:rsidP="0069328D">
      <w:pPr>
        <w:pStyle w:val="Paragrafoelenco"/>
        <w:numPr>
          <w:ilvl w:val="0"/>
          <w:numId w:val="20"/>
        </w:numPr>
        <w:spacing w:before="60"/>
        <w:ind w:left="284" w:hanging="284"/>
        <w:contextualSpacing w:val="0"/>
      </w:pPr>
      <w:r w:rsidRPr="00B77A09">
        <w:t>l’</w:t>
      </w:r>
      <w:proofErr w:type="spellStart"/>
      <w:r w:rsidRPr="00B77A09">
        <w:t>incrementazione</w:t>
      </w:r>
      <w:proofErr w:type="spellEnd"/>
      <w:r w:rsidRPr="00B77A09">
        <w:t xml:space="preserve"> del fotovoltaico e delle nuove rinnovabili in generale</w:t>
      </w:r>
      <w:r w:rsidR="003536CB">
        <w:t>;</w:t>
      </w:r>
    </w:p>
    <w:p w14:paraId="53207F0E" w14:textId="77777777" w:rsidR="0069328D" w:rsidRPr="00B77A09" w:rsidRDefault="0069328D" w:rsidP="0069328D">
      <w:pPr>
        <w:pStyle w:val="Paragrafoelenco"/>
        <w:numPr>
          <w:ilvl w:val="0"/>
          <w:numId w:val="20"/>
        </w:numPr>
        <w:spacing w:before="60"/>
        <w:ind w:left="284" w:hanging="284"/>
        <w:contextualSpacing w:val="0"/>
      </w:pPr>
      <w:r w:rsidRPr="00B77A09">
        <w:t>l’apertura completa del mercato;</w:t>
      </w:r>
    </w:p>
    <w:p w14:paraId="20B71567" w14:textId="155CB011" w:rsidR="0069328D" w:rsidRPr="00B77A09" w:rsidRDefault="00A90E81" w:rsidP="00A90E81">
      <w:pPr>
        <w:pStyle w:val="Paragrafoelenco"/>
        <w:numPr>
          <w:ilvl w:val="0"/>
          <w:numId w:val="20"/>
        </w:numPr>
        <w:spacing w:before="60"/>
        <w:ind w:left="284" w:hanging="284"/>
        <w:contextualSpacing w:val="0"/>
      </w:pPr>
      <w:r>
        <w:t>i risvolti derivanti dal</w:t>
      </w:r>
      <w:r w:rsidRPr="00B77A09">
        <w:t>l’accordo</w:t>
      </w:r>
      <w:r>
        <w:t xml:space="preserve"> (o dal mancato accordo)</w:t>
      </w:r>
      <w:r w:rsidRPr="00B77A09">
        <w:t xml:space="preserve"> CH-UE sull’elettricità</w:t>
      </w:r>
      <w:r w:rsidR="0069328D" w:rsidRPr="00B77A09">
        <w:t>;</w:t>
      </w:r>
    </w:p>
    <w:p w14:paraId="2ABCD7AD" w14:textId="77777777" w:rsidR="0069328D" w:rsidRPr="00B77A09" w:rsidRDefault="0069328D" w:rsidP="0069328D">
      <w:pPr>
        <w:pStyle w:val="Paragrafoelenco"/>
        <w:numPr>
          <w:ilvl w:val="0"/>
          <w:numId w:val="20"/>
        </w:numPr>
        <w:spacing w:before="60"/>
        <w:ind w:left="284" w:hanging="284"/>
        <w:contextualSpacing w:val="0"/>
      </w:pPr>
      <w:r w:rsidRPr="00B77A09">
        <w:t>il nuovo modello di mercato dell’elettricità;</w:t>
      </w:r>
    </w:p>
    <w:p w14:paraId="29AAD7B9" w14:textId="7039F97C" w:rsidR="0069328D" w:rsidRDefault="0069328D" w:rsidP="0069328D">
      <w:pPr>
        <w:pStyle w:val="Paragrafoelenco"/>
        <w:numPr>
          <w:ilvl w:val="0"/>
          <w:numId w:val="20"/>
        </w:numPr>
        <w:spacing w:before="60"/>
        <w:ind w:left="284" w:hanging="284"/>
        <w:contextualSpacing w:val="0"/>
      </w:pPr>
      <w:r w:rsidRPr="00B77A09">
        <w:t>i canoni d’acqua.</w:t>
      </w:r>
    </w:p>
    <w:p w14:paraId="7B24F484" w14:textId="2D45FFBD" w:rsidR="003536CB" w:rsidRDefault="003536CB" w:rsidP="003536CB"/>
    <w:p w14:paraId="7170BA97" w14:textId="77777777" w:rsidR="003536CB" w:rsidRPr="00B77A09" w:rsidRDefault="003536CB" w:rsidP="003536CB"/>
    <w:bookmarkEnd w:id="11"/>
    <w:bookmarkEnd w:id="12"/>
    <w:bookmarkEnd w:id="13"/>
    <w:p w14:paraId="7DA11B77" w14:textId="77777777" w:rsidR="00B10D38" w:rsidRPr="00D65A89" w:rsidRDefault="00B10D38" w:rsidP="00B10D38">
      <w:pPr>
        <w:pStyle w:val="Titolo1"/>
        <w:numPr>
          <w:ilvl w:val="0"/>
          <w:numId w:val="18"/>
        </w:numPr>
        <w:tabs>
          <w:tab w:val="left" w:pos="567"/>
        </w:tabs>
        <w:spacing w:before="0"/>
        <w:ind w:left="567" w:hanging="567"/>
        <w:jc w:val="both"/>
      </w:pPr>
      <w:r w:rsidRPr="00D65A89">
        <w:t>CONCLUSIONI</w:t>
      </w:r>
      <w:bookmarkEnd w:id="9"/>
    </w:p>
    <w:p w14:paraId="074D0F34" w14:textId="5ED4A39F" w:rsidR="00522CED" w:rsidRPr="00522CED" w:rsidRDefault="00522CED" w:rsidP="003536CB">
      <w:pPr>
        <w:rPr>
          <w:szCs w:val="24"/>
        </w:rPr>
      </w:pPr>
      <w:r>
        <w:rPr>
          <w:szCs w:val="24"/>
        </w:rPr>
        <w:t>La</w:t>
      </w:r>
      <w:r w:rsidRPr="00522CED">
        <w:rPr>
          <w:szCs w:val="24"/>
        </w:rPr>
        <w:t xml:space="preserve"> Commissione ambiente, territorio ed energia (CATE), tiene </w:t>
      </w:r>
      <w:r>
        <w:rPr>
          <w:szCs w:val="24"/>
        </w:rPr>
        <w:t xml:space="preserve">in conclusione </w:t>
      </w:r>
      <w:r w:rsidRPr="00522CED">
        <w:rPr>
          <w:szCs w:val="24"/>
        </w:rPr>
        <w:t xml:space="preserve">a ringraziare i vertici e le maestranze dell’Azienda per l’impegno </w:t>
      </w:r>
      <w:r>
        <w:rPr>
          <w:szCs w:val="24"/>
        </w:rPr>
        <w:t>profuso per</w:t>
      </w:r>
      <w:r w:rsidRPr="00522CED">
        <w:rPr>
          <w:szCs w:val="24"/>
        </w:rPr>
        <w:t xml:space="preserve"> mantene</w:t>
      </w:r>
      <w:r>
        <w:rPr>
          <w:szCs w:val="24"/>
        </w:rPr>
        <w:t>re</w:t>
      </w:r>
      <w:r w:rsidRPr="00522CED">
        <w:rPr>
          <w:szCs w:val="24"/>
        </w:rPr>
        <w:t xml:space="preserve"> servizi d’alta qualità all’utenza e, giusta l’art. 6 della Legge sull’Azienda elettrica ticinese (LAET), invita il Gran Consiglio ad approvare il conto annuale di AET per l’esercizio 202</w:t>
      </w:r>
      <w:r>
        <w:rPr>
          <w:szCs w:val="24"/>
        </w:rPr>
        <w:t>2</w:t>
      </w:r>
      <w:r w:rsidRPr="00522CED">
        <w:rPr>
          <w:szCs w:val="24"/>
        </w:rPr>
        <w:t>, dando scarico agli organi dell’azienda e prendendo atto, oltre che del rapporto di gestione e del rapporto di revisione, anche del resoconto sulla vigilanza diretta e del rapporto sul raggiungimento degli obiettivi strategici del Consiglio di Stato.</w:t>
      </w:r>
    </w:p>
    <w:p w14:paraId="44D23E94" w14:textId="32BE887B" w:rsidR="00C95C6C" w:rsidRDefault="00C95C6C" w:rsidP="003536CB">
      <w:pPr>
        <w:rPr>
          <w:szCs w:val="24"/>
        </w:rPr>
      </w:pPr>
    </w:p>
    <w:p w14:paraId="2765F094" w14:textId="6200FBD8" w:rsidR="003536CB" w:rsidRDefault="003536CB" w:rsidP="003536CB">
      <w:pPr>
        <w:rPr>
          <w:szCs w:val="24"/>
        </w:rPr>
      </w:pPr>
    </w:p>
    <w:p w14:paraId="675B59C5" w14:textId="1145FB9C" w:rsidR="00821BB1" w:rsidRPr="00D65A89" w:rsidRDefault="00821BB1" w:rsidP="00821BB1">
      <w:pPr>
        <w:spacing w:after="120"/>
        <w:rPr>
          <w:szCs w:val="24"/>
        </w:rPr>
      </w:pPr>
      <w:r w:rsidRPr="00D65A89">
        <w:rPr>
          <w:szCs w:val="24"/>
        </w:rPr>
        <w:t>Per la Commissione ambiente, territorio ed energia:</w:t>
      </w:r>
    </w:p>
    <w:p w14:paraId="368FD766" w14:textId="77777777" w:rsidR="00821BB1" w:rsidRPr="00D65A89" w:rsidRDefault="00821BB1" w:rsidP="00821BB1">
      <w:pPr>
        <w:rPr>
          <w:szCs w:val="24"/>
        </w:rPr>
      </w:pPr>
      <w:r w:rsidRPr="00D65A89">
        <w:rPr>
          <w:szCs w:val="24"/>
        </w:rPr>
        <w:t xml:space="preserve">Omar </w:t>
      </w:r>
      <w:r w:rsidRPr="00D65A89">
        <w:t>Terraneo</w:t>
      </w:r>
      <w:r w:rsidRPr="00D65A89">
        <w:rPr>
          <w:szCs w:val="24"/>
        </w:rPr>
        <w:t>, relatore</w:t>
      </w:r>
    </w:p>
    <w:p w14:paraId="7D74B848" w14:textId="77777777" w:rsidR="00001CAD" w:rsidRDefault="00001CAD" w:rsidP="00821BB1">
      <w:r>
        <w:t xml:space="preserve">Berardi - Bühler - Buzzi - Cedraschi - </w:t>
      </w:r>
    </w:p>
    <w:p w14:paraId="7059A71E" w14:textId="2714FFE4" w:rsidR="00001CAD" w:rsidRDefault="00001CAD" w:rsidP="00821BB1">
      <w:r>
        <w:t xml:space="preserve">David - Ermotti-Lepori -Genini Sem - Mobiglia - </w:t>
      </w:r>
    </w:p>
    <w:p w14:paraId="04B2999A" w14:textId="77777777" w:rsidR="00001CAD" w:rsidRDefault="00001CAD" w:rsidP="00821BB1">
      <w:r>
        <w:t xml:space="preserve">Padlina - Pasi -  Piccaluga - Renzetti - Rigamonti - </w:t>
      </w:r>
    </w:p>
    <w:p w14:paraId="732E6F50" w14:textId="2C480B0B" w:rsidR="00001CAD" w:rsidRPr="00D65A89" w:rsidRDefault="00001CAD" w:rsidP="00821BB1">
      <w:r>
        <w:t>Schnellmann - Tonini - Tricarico - Zanini Barzaghi</w:t>
      </w:r>
    </w:p>
    <w:p w14:paraId="137E7CCF" w14:textId="74B7A91D" w:rsidR="0085588A" w:rsidRDefault="0085588A" w:rsidP="00821BB1">
      <w:pPr>
        <w:rPr>
          <w:rFonts w:cs="Arial"/>
          <w:sz w:val="23"/>
          <w:szCs w:val="23"/>
          <w:u w:val="single"/>
        </w:rPr>
      </w:pPr>
    </w:p>
    <w:p w14:paraId="44DFA5FC" w14:textId="4DDDD916" w:rsidR="003536CB" w:rsidRDefault="003536CB" w:rsidP="00821BB1">
      <w:pPr>
        <w:rPr>
          <w:rFonts w:cs="Arial"/>
          <w:sz w:val="23"/>
          <w:szCs w:val="23"/>
          <w:u w:val="single"/>
        </w:rPr>
      </w:pPr>
    </w:p>
    <w:p w14:paraId="52DDFB5B" w14:textId="030240BA" w:rsidR="003536CB" w:rsidRDefault="003536CB" w:rsidP="00821BB1">
      <w:pPr>
        <w:rPr>
          <w:rFonts w:cs="Arial"/>
          <w:sz w:val="23"/>
          <w:szCs w:val="23"/>
          <w:u w:val="single"/>
        </w:rPr>
      </w:pPr>
    </w:p>
    <w:p w14:paraId="145B4D69" w14:textId="6F05D05C" w:rsidR="003536CB" w:rsidRDefault="003536CB" w:rsidP="00821BB1">
      <w:pPr>
        <w:rPr>
          <w:rFonts w:cs="Arial"/>
          <w:sz w:val="23"/>
          <w:szCs w:val="23"/>
          <w:u w:val="single"/>
        </w:rPr>
      </w:pPr>
    </w:p>
    <w:p w14:paraId="4D173C1A" w14:textId="60905724" w:rsidR="00001CAD" w:rsidRDefault="00001CAD" w:rsidP="00821BB1">
      <w:pPr>
        <w:rPr>
          <w:rFonts w:cs="Arial"/>
          <w:sz w:val="23"/>
          <w:szCs w:val="23"/>
          <w:u w:val="single"/>
        </w:rPr>
      </w:pPr>
    </w:p>
    <w:p w14:paraId="1C6BEE26" w14:textId="5FB9E03B" w:rsidR="00001CAD" w:rsidRDefault="00001CAD" w:rsidP="00821BB1">
      <w:pPr>
        <w:rPr>
          <w:rFonts w:cs="Arial"/>
          <w:sz w:val="23"/>
          <w:szCs w:val="23"/>
          <w:u w:val="single"/>
        </w:rPr>
      </w:pPr>
    </w:p>
    <w:p w14:paraId="78DC2C2B" w14:textId="01AE662A" w:rsidR="00001CAD" w:rsidRDefault="00001CAD" w:rsidP="00821BB1">
      <w:pPr>
        <w:rPr>
          <w:rFonts w:cs="Arial"/>
          <w:sz w:val="23"/>
          <w:szCs w:val="23"/>
          <w:u w:val="single"/>
        </w:rPr>
      </w:pPr>
    </w:p>
    <w:p w14:paraId="1A920FCF" w14:textId="7B15EF8F" w:rsidR="00001CAD" w:rsidRDefault="00001CAD" w:rsidP="00821BB1">
      <w:pPr>
        <w:rPr>
          <w:rFonts w:cs="Arial"/>
          <w:sz w:val="23"/>
          <w:szCs w:val="23"/>
          <w:u w:val="single"/>
        </w:rPr>
      </w:pPr>
    </w:p>
    <w:p w14:paraId="13943025" w14:textId="5C84C075" w:rsidR="00001CAD" w:rsidRDefault="00001CAD" w:rsidP="00821BB1">
      <w:pPr>
        <w:rPr>
          <w:rFonts w:cs="Arial"/>
          <w:sz w:val="23"/>
          <w:szCs w:val="23"/>
          <w:u w:val="single"/>
        </w:rPr>
      </w:pPr>
    </w:p>
    <w:p w14:paraId="6BD820D8" w14:textId="007F23AE" w:rsidR="00001CAD" w:rsidRDefault="00001CAD" w:rsidP="00821BB1">
      <w:pPr>
        <w:rPr>
          <w:rFonts w:cs="Arial"/>
          <w:sz w:val="23"/>
          <w:szCs w:val="23"/>
          <w:u w:val="single"/>
        </w:rPr>
      </w:pPr>
    </w:p>
    <w:p w14:paraId="28887D2A" w14:textId="18A580C5" w:rsidR="00001CAD" w:rsidRDefault="00001CAD" w:rsidP="00821BB1">
      <w:pPr>
        <w:rPr>
          <w:rFonts w:cs="Arial"/>
          <w:sz w:val="23"/>
          <w:szCs w:val="23"/>
          <w:u w:val="single"/>
        </w:rPr>
      </w:pPr>
    </w:p>
    <w:p w14:paraId="2049B213" w14:textId="61BF3695" w:rsidR="00001CAD" w:rsidRDefault="00001CAD" w:rsidP="00821BB1">
      <w:pPr>
        <w:rPr>
          <w:rFonts w:cs="Arial"/>
          <w:sz w:val="23"/>
          <w:szCs w:val="23"/>
          <w:u w:val="single"/>
        </w:rPr>
      </w:pPr>
    </w:p>
    <w:p w14:paraId="7F9DE703" w14:textId="195011C4" w:rsidR="00001CAD" w:rsidRDefault="00001CAD" w:rsidP="00821BB1">
      <w:pPr>
        <w:rPr>
          <w:rFonts w:cs="Arial"/>
          <w:sz w:val="23"/>
          <w:szCs w:val="23"/>
          <w:u w:val="single"/>
        </w:rPr>
      </w:pPr>
    </w:p>
    <w:p w14:paraId="2FC6387D" w14:textId="27845002" w:rsidR="00001CAD" w:rsidRDefault="00001CAD" w:rsidP="00821BB1">
      <w:pPr>
        <w:rPr>
          <w:rFonts w:cs="Arial"/>
          <w:sz w:val="23"/>
          <w:szCs w:val="23"/>
          <w:u w:val="single"/>
        </w:rPr>
      </w:pPr>
    </w:p>
    <w:p w14:paraId="19FE1F44" w14:textId="42026BC9" w:rsidR="00001CAD" w:rsidRDefault="00001CAD" w:rsidP="00821BB1">
      <w:pPr>
        <w:rPr>
          <w:rFonts w:cs="Arial"/>
          <w:sz w:val="23"/>
          <w:szCs w:val="23"/>
          <w:u w:val="single"/>
        </w:rPr>
      </w:pPr>
    </w:p>
    <w:p w14:paraId="71EDCB1E" w14:textId="093DE964" w:rsidR="00001CAD" w:rsidRDefault="00001CAD" w:rsidP="00821BB1">
      <w:pPr>
        <w:rPr>
          <w:rFonts w:cs="Arial"/>
          <w:sz w:val="23"/>
          <w:szCs w:val="23"/>
          <w:u w:val="single"/>
        </w:rPr>
      </w:pPr>
    </w:p>
    <w:p w14:paraId="272F4F30" w14:textId="3521134F" w:rsidR="00001CAD" w:rsidRDefault="00001CAD" w:rsidP="00821BB1">
      <w:pPr>
        <w:rPr>
          <w:rFonts w:cs="Arial"/>
          <w:sz w:val="23"/>
          <w:szCs w:val="23"/>
          <w:u w:val="single"/>
        </w:rPr>
      </w:pPr>
    </w:p>
    <w:p w14:paraId="50EE7FDC" w14:textId="54C7B7E0" w:rsidR="00001CAD" w:rsidRDefault="00001CAD" w:rsidP="00821BB1">
      <w:pPr>
        <w:rPr>
          <w:rFonts w:cs="Arial"/>
          <w:sz w:val="23"/>
          <w:szCs w:val="23"/>
          <w:u w:val="single"/>
        </w:rPr>
      </w:pPr>
    </w:p>
    <w:p w14:paraId="0CE5ED8F" w14:textId="2CE504C8" w:rsidR="00001CAD" w:rsidRDefault="00001CAD" w:rsidP="00821BB1">
      <w:pPr>
        <w:rPr>
          <w:rFonts w:cs="Arial"/>
          <w:sz w:val="23"/>
          <w:szCs w:val="23"/>
          <w:u w:val="single"/>
        </w:rPr>
      </w:pPr>
    </w:p>
    <w:p w14:paraId="68F5272C" w14:textId="24E15B15" w:rsidR="00001CAD" w:rsidRDefault="00001CAD" w:rsidP="00821BB1">
      <w:pPr>
        <w:rPr>
          <w:rFonts w:cs="Arial"/>
          <w:sz w:val="23"/>
          <w:szCs w:val="23"/>
          <w:u w:val="single"/>
        </w:rPr>
      </w:pPr>
    </w:p>
    <w:p w14:paraId="7470016D" w14:textId="21A1AD6B" w:rsidR="00001CAD" w:rsidRDefault="00001CAD" w:rsidP="00821BB1">
      <w:pPr>
        <w:rPr>
          <w:rFonts w:cs="Arial"/>
          <w:sz w:val="23"/>
          <w:szCs w:val="23"/>
          <w:u w:val="single"/>
        </w:rPr>
      </w:pPr>
    </w:p>
    <w:p w14:paraId="528694BF" w14:textId="09E4D9E5" w:rsidR="00001CAD" w:rsidRDefault="00001CAD" w:rsidP="00821BB1">
      <w:pPr>
        <w:rPr>
          <w:rFonts w:cs="Arial"/>
          <w:sz w:val="23"/>
          <w:szCs w:val="23"/>
          <w:u w:val="single"/>
        </w:rPr>
      </w:pPr>
    </w:p>
    <w:p w14:paraId="2B87D2B4" w14:textId="51EC20E2" w:rsidR="00001CAD" w:rsidRDefault="00001CAD" w:rsidP="00821BB1">
      <w:pPr>
        <w:rPr>
          <w:rFonts w:cs="Arial"/>
          <w:sz w:val="23"/>
          <w:szCs w:val="23"/>
          <w:u w:val="single"/>
        </w:rPr>
      </w:pPr>
    </w:p>
    <w:p w14:paraId="6AB657F0" w14:textId="4866D7D0" w:rsidR="00001CAD" w:rsidRDefault="00001CAD" w:rsidP="00821BB1">
      <w:pPr>
        <w:rPr>
          <w:rFonts w:cs="Arial"/>
          <w:sz w:val="23"/>
          <w:szCs w:val="23"/>
          <w:u w:val="single"/>
        </w:rPr>
      </w:pPr>
    </w:p>
    <w:p w14:paraId="2C722C51" w14:textId="32F25964" w:rsidR="00001CAD" w:rsidRDefault="00001CAD" w:rsidP="00821BB1">
      <w:pPr>
        <w:rPr>
          <w:rFonts w:cs="Arial"/>
          <w:sz w:val="23"/>
          <w:szCs w:val="23"/>
          <w:u w:val="single"/>
        </w:rPr>
      </w:pPr>
    </w:p>
    <w:p w14:paraId="165C2B9F" w14:textId="77777777" w:rsidR="00001CAD" w:rsidRDefault="00001CAD" w:rsidP="00821BB1">
      <w:pPr>
        <w:rPr>
          <w:rFonts w:cs="Arial"/>
          <w:sz w:val="23"/>
          <w:szCs w:val="23"/>
          <w:u w:val="single"/>
        </w:rPr>
      </w:pPr>
      <w:bookmarkStart w:id="14" w:name="_GoBack"/>
      <w:bookmarkEnd w:id="14"/>
    </w:p>
    <w:p w14:paraId="58E86737" w14:textId="123B998D" w:rsidR="00821BB1" w:rsidRPr="00001CAD" w:rsidRDefault="00821BB1" w:rsidP="00821BB1">
      <w:pPr>
        <w:rPr>
          <w:rFonts w:cs="Arial"/>
          <w:szCs w:val="24"/>
        </w:rPr>
      </w:pPr>
      <w:r w:rsidRPr="00001CAD">
        <w:rPr>
          <w:rFonts w:cs="Arial"/>
          <w:szCs w:val="24"/>
          <w:u w:val="single"/>
        </w:rPr>
        <w:t>Allegato:</w:t>
      </w:r>
    </w:p>
    <w:p w14:paraId="66CC8883" w14:textId="71011A98" w:rsidR="00821BB1" w:rsidRPr="00001CAD" w:rsidRDefault="00821BB1" w:rsidP="00C8010E">
      <w:pPr>
        <w:spacing w:before="80"/>
        <w:rPr>
          <w:rFonts w:cs="Arial"/>
          <w:szCs w:val="24"/>
        </w:rPr>
      </w:pPr>
      <w:r w:rsidRPr="00001CAD">
        <w:rPr>
          <w:rFonts w:cs="Arial"/>
          <w:szCs w:val="24"/>
        </w:rPr>
        <w:t>Rapporto della Commissione di controllo del mandato pubblico</w:t>
      </w:r>
      <w:r w:rsidR="003536CB" w:rsidRPr="00001CAD">
        <w:rPr>
          <w:rFonts w:cs="Arial"/>
          <w:szCs w:val="24"/>
        </w:rPr>
        <w:t xml:space="preserve"> di AET</w:t>
      </w:r>
    </w:p>
    <w:sectPr w:rsidR="00821BB1" w:rsidRPr="00001CAD" w:rsidSect="000F2B36">
      <w:headerReference w:type="default" r:id="rId25"/>
      <w:footerReference w:type="default" r:id="rId26"/>
      <w:headerReference w:type="first" r:id="rId27"/>
      <w:footerReference w:type="first" r:id="rId28"/>
      <w:pgSz w:w="11906" w:h="16838" w:code="9"/>
      <w:pgMar w:top="1985" w:right="707" w:bottom="1134" w:left="1276"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F2E0E" w14:textId="77777777" w:rsidR="000F2B36" w:rsidRDefault="000F2B36" w:rsidP="00F657BF">
      <w:r>
        <w:separator/>
      </w:r>
    </w:p>
  </w:endnote>
  <w:endnote w:type="continuationSeparator" w:id="0">
    <w:p w14:paraId="3AA9CDAD" w14:textId="77777777" w:rsidR="000F2B36" w:rsidRDefault="000F2B36"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1002AFF" w:usb1="4000ACFF" w:usb2="00000009"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20002A87" w:usb1="00000000" w:usb2="00000000"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3658"/>
    </w:tblGrid>
    <w:tr w:rsidR="00912E34" w:rsidRPr="003D1008" w14:paraId="6766A53A" w14:textId="77777777" w:rsidTr="006C4FF6">
      <w:trPr>
        <w:trHeight w:hRule="exact" w:val="737"/>
      </w:trPr>
      <w:tc>
        <w:tcPr>
          <w:tcW w:w="4695" w:type="dxa"/>
        </w:tcPr>
        <w:p w14:paraId="692DBC3A" w14:textId="77777777" w:rsidR="00F248EE" w:rsidRPr="003D1008" w:rsidRDefault="00F248EE" w:rsidP="00912E34">
          <w:pPr>
            <w:tabs>
              <w:tab w:val="center" w:pos="2382"/>
            </w:tabs>
          </w:pPr>
        </w:p>
      </w:tc>
      <w:tc>
        <w:tcPr>
          <w:tcW w:w="721" w:type="dxa"/>
        </w:tcPr>
        <w:p w14:paraId="1A9AF422" w14:textId="77777777" w:rsidR="00F248EE" w:rsidRPr="003D1008" w:rsidRDefault="001B2764" w:rsidP="00912E34">
          <w:pPr>
            <w:jc w:val="center"/>
          </w:pPr>
          <w:r w:rsidRPr="003D1008">
            <w:rPr>
              <w:noProof/>
              <w:lang w:eastAsia="it-CH"/>
            </w:rPr>
            <w:drawing>
              <wp:anchor distT="0" distB="0" distL="114300" distR="114300" simplePos="0" relativeHeight="251669504" behindDoc="0" locked="1" layoutInCell="1" allowOverlap="1" wp14:anchorId="4F5DD6B9" wp14:editId="5E0352D8">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14:paraId="459487E1" w14:textId="77777777" w:rsidR="00F248EE" w:rsidRPr="003D1008" w:rsidRDefault="001B2764" w:rsidP="00912E34">
          <w:pPr>
            <w:jc w:val="center"/>
          </w:pPr>
          <w:r w:rsidRPr="003D1008">
            <w:rPr>
              <w:noProof/>
              <w:lang w:eastAsia="it-CH"/>
            </w:rPr>
            <w:drawing>
              <wp:anchor distT="0" distB="0" distL="114300" distR="114300" simplePos="0" relativeHeight="251670528" behindDoc="0" locked="1" layoutInCell="1" allowOverlap="1" wp14:anchorId="408E07ED" wp14:editId="23D2F8AC">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3658" w:type="dxa"/>
        </w:tcPr>
        <w:p w14:paraId="6E2DA02C" w14:textId="77777777" w:rsidR="00F248EE" w:rsidRPr="003D1008" w:rsidRDefault="00F248EE" w:rsidP="00912E34"/>
      </w:tc>
    </w:tr>
  </w:tbl>
  <w:p w14:paraId="67DD9BFA" w14:textId="77777777" w:rsidR="00F657BF" w:rsidRDefault="00F657BF" w:rsidP="00F5689F">
    <w:pPr>
      <w:pStyle w:val="InvisibleLi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F18C" w14:textId="77777777" w:rsidR="00F248EE" w:rsidRDefault="00F248EE">
    <w:pPr>
      <w:pStyle w:val="Pidipagina"/>
      <w:jc w:val="center"/>
    </w:pPr>
  </w:p>
  <w:p w14:paraId="17FF4A79" w14:textId="77777777"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F43E7" w14:textId="77777777" w:rsidR="000F2B36" w:rsidRDefault="000F2B36" w:rsidP="00F657BF">
      <w:r>
        <w:separator/>
      </w:r>
    </w:p>
  </w:footnote>
  <w:footnote w:type="continuationSeparator" w:id="0">
    <w:p w14:paraId="7BE05496" w14:textId="77777777" w:rsidR="000F2B36" w:rsidRDefault="000F2B36" w:rsidP="00F657BF">
      <w:r>
        <w:continuationSeparator/>
      </w:r>
    </w:p>
  </w:footnote>
  <w:footnote w:id="1">
    <w:p w14:paraId="2DE5D50A" w14:textId="77777777" w:rsidR="007E62B8" w:rsidRPr="00C8010E" w:rsidRDefault="007E62B8" w:rsidP="007E62B8">
      <w:pPr>
        <w:pStyle w:val="Testonotaapidipagina"/>
        <w:rPr>
          <w:sz w:val="20"/>
          <w:lang w:val="it-CH"/>
        </w:rPr>
      </w:pPr>
      <w:r w:rsidRPr="00C8010E">
        <w:rPr>
          <w:rStyle w:val="Rimandonotaapidipagina"/>
          <w:sz w:val="20"/>
          <w:lang w:val="it-CH"/>
        </w:rPr>
        <w:footnoteRef/>
      </w:r>
      <w:r w:rsidRPr="00C8010E">
        <w:rPr>
          <w:sz w:val="20"/>
          <w:lang w:val="it-CH"/>
        </w:rPr>
        <w:t xml:space="preserve"> Il loro esame avviene per il tramite della CCMP-AET, che sottopone alla CATE il proprio rapporto (allegato al presente rapporto).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77" w:type="dxa"/>
      <w:tblInd w:w="-159" w:type="dxa"/>
      <w:tblLayout w:type="fixed"/>
      <w:tblCellMar>
        <w:left w:w="0" w:type="dxa"/>
        <w:right w:w="0" w:type="dxa"/>
      </w:tblCellMar>
      <w:tblLook w:val="04A0" w:firstRow="1" w:lastRow="0" w:firstColumn="1" w:lastColumn="0" w:noHBand="0" w:noVBand="1"/>
    </w:tblPr>
    <w:tblGrid>
      <w:gridCol w:w="8383"/>
      <w:gridCol w:w="855"/>
      <w:gridCol w:w="839"/>
    </w:tblGrid>
    <w:tr w:rsidR="005012EC" w:rsidRPr="002747E7" w14:paraId="7BDCCE83" w14:textId="77777777" w:rsidTr="000024C7">
      <w:trPr>
        <w:trHeight w:val="562"/>
      </w:trPr>
      <w:sdt>
        <w:sdtPr>
          <w:rPr>
            <w:rFonts w:ascii="Gill Alt One MT Light" w:hAnsi="Gill Alt One MT Light"/>
            <w:sz w:val="16"/>
            <w:szCs w:val="16"/>
          </w:rPr>
          <w:alias w:val="CustomElements.Fields.Dipartimenti"/>
          <w:id w:val="1567676091"/>
          <w:dataBinding w:xpath="//Text[@id='CustomElements.Fields.Dipartimenti']" w:storeItemID="{30F030EE-EC98-4A1E-92DB-4B14147379DC}"/>
          <w:text w:multiLine="1"/>
        </w:sdtPr>
        <w:sdtEndPr/>
        <w:sdtContent>
          <w:tc>
            <w:tcPr>
              <w:tcW w:w="8383" w:type="dxa"/>
              <w:tcBorders>
                <w:left w:val="single" w:sz="4" w:space="0" w:color="auto"/>
                <w:bottom w:val="single" w:sz="4" w:space="0" w:color="auto"/>
              </w:tcBorders>
              <w:tcMar>
                <w:left w:w="142" w:type="dxa"/>
              </w:tcMar>
              <w:vAlign w:val="bottom"/>
            </w:tcPr>
            <w:p w14:paraId="1159B817" w14:textId="77777777" w:rsidR="00F248EE" w:rsidRPr="00E8185F" w:rsidRDefault="00540B5B" w:rsidP="00A532F6">
              <w:pPr>
                <w:pStyle w:val="Page"/>
                <w:rPr>
                  <w:rFonts w:ascii="Gill Alt One MT Light" w:hAnsi="Gill Alt One MT Light"/>
                  <w:sz w:val="16"/>
                  <w:szCs w:val="16"/>
                </w:rPr>
              </w:pPr>
              <w:r>
                <w:rPr>
                  <w:rFonts w:ascii="Gill Alt One MT Light" w:hAnsi="Gill Alt One MT Light"/>
                  <w:sz w:val="16"/>
                  <w:szCs w:val="16"/>
                </w:rPr>
                <w:t>Dipartimento delle finanze e dell’economia</w:t>
              </w:r>
            </w:p>
          </w:tc>
        </w:sdtContent>
      </w:sdt>
      <w:tc>
        <w:tcPr>
          <w:tcW w:w="1694" w:type="dxa"/>
          <w:gridSpan w:val="2"/>
          <w:tcBorders>
            <w:bottom w:val="single" w:sz="4" w:space="0" w:color="auto"/>
          </w:tcBorders>
          <w:vAlign w:val="bottom"/>
        </w:tcPr>
        <w:p w14:paraId="39F80B78" w14:textId="7D9E5B20" w:rsidR="00F248EE" w:rsidRPr="004204CB" w:rsidRDefault="001B2764" w:rsidP="00662409">
          <w:pPr>
            <w:pStyle w:val="Page"/>
            <w:jc w:val="right"/>
          </w:pPr>
          <w:r w:rsidRPr="004204CB">
            <w:fldChar w:fldCharType="begin"/>
          </w:r>
          <w:r w:rsidRPr="004204CB">
            <w:instrText xml:space="preserve"> PAGE   \* MERGEFORMAT </w:instrText>
          </w:r>
          <w:r w:rsidRPr="004204CB">
            <w:fldChar w:fldCharType="separate"/>
          </w:r>
          <w:r w:rsidR="00AF3632">
            <w:rPr>
              <w:noProof/>
            </w:rPr>
            <w:t>21</w:t>
          </w:r>
          <w:r w:rsidRPr="004204CB">
            <w:fldChar w:fldCharType="end"/>
          </w:r>
          <w:r w:rsidRPr="004204CB">
            <w:t xml:space="preserve"> di </w:t>
          </w:r>
          <w:r w:rsidR="00D3715E">
            <w:fldChar w:fldCharType="begin"/>
          </w:r>
          <w:r w:rsidR="00D3715E">
            <w:instrText xml:space="preserve"> NUMPAGES   \* MERGEFORMAT </w:instrText>
          </w:r>
          <w:r w:rsidR="00D3715E">
            <w:fldChar w:fldCharType="separate"/>
          </w:r>
          <w:r w:rsidR="00AF3632">
            <w:rPr>
              <w:noProof/>
            </w:rPr>
            <w:t>21</w:t>
          </w:r>
          <w:r w:rsidR="00D3715E">
            <w:rPr>
              <w:noProof/>
            </w:rPr>
            <w:fldChar w:fldCharType="end"/>
          </w:r>
        </w:p>
      </w:tc>
    </w:tr>
    <w:tr w:rsidR="005012EC" w:rsidRPr="009E444B" w14:paraId="0E6739A0" w14:textId="77777777" w:rsidTr="000024C7">
      <w:trPr>
        <w:gridAfter w:val="1"/>
        <w:wAfter w:w="839" w:type="dxa"/>
        <w:trHeight w:val="334"/>
      </w:trPr>
      <w:sdt>
        <w:sdtPr>
          <w:rPr>
            <w:rFonts w:ascii="Gill Sans Display MT Pro BdCn" w:hAnsi="Gill Sans Display MT Pro BdCn"/>
            <w:sz w:val="18"/>
            <w:szCs w:val="18"/>
          </w:rPr>
          <w:alias w:val="CustomElements.Fields.Titolo2"/>
          <w:id w:val="48588533"/>
          <w:dataBinding w:xpath="//Text[@id='CustomElements.Fields.Titolo2']" w:storeItemID="{30F030EE-EC98-4A1E-92DB-4B14147379DC}"/>
          <w:text w:multiLine="1"/>
        </w:sdtPr>
        <w:sdtEndPr/>
        <w:sdtContent>
          <w:tc>
            <w:tcPr>
              <w:tcW w:w="8383" w:type="dxa"/>
              <w:tcBorders>
                <w:left w:val="single" w:sz="4" w:space="0" w:color="auto"/>
              </w:tcBorders>
              <w:tcMar>
                <w:top w:w="0" w:type="dxa"/>
                <w:left w:w="142" w:type="dxa"/>
              </w:tcMar>
            </w:tcPr>
            <w:p w14:paraId="60EB6236" w14:textId="1F747634" w:rsidR="00F248EE" w:rsidRPr="00836029" w:rsidRDefault="0054374D" w:rsidP="00A532F6">
              <w:pPr>
                <w:pStyle w:val="Information"/>
                <w:rPr>
                  <w:rFonts w:ascii="Gill Sans Display MT Pro BdCn" w:hAnsi="Gill Sans Display MT Pro BdCn"/>
                  <w:sz w:val="18"/>
                  <w:szCs w:val="18"/>
                </w:rPr>
              </w:pPr>
              <w:r>
                <w:rPr>
                  <w:rFonts w:ascii="Gill Sans Display MT Pro BdCn" w:hAnsi="Gill Sans Display MT Pro BdCn"/>
                  <w:sz w:val="18"/>
                  <w:szCs w:val="18"/>
                </w:rPr>
                <w:t>Rapporto n. 8328 R del 22 febbraio 2024</w:t>
              </w:r>
            </w:p>
          </w:tc>
        </w:sdtContent>
      </w:sdt>
      <w:tc>
        <w:tcPr>
          <w:tcW w:w="855" w:type="dxa"/>
          <w:tcBorders>
            <w:top w:val="single" w:sz="4" w:space="0" w:color="auto"/>
          </w:tcBorders>
        </w:tcPr>
        <w:p w14:paraId="41239DBD" w14:textId="77777777" w:rsidR="00F248EE" w:rsidRPr="00836029" w:rsidRDefault="00F248EE" w:rsidP="00662409">
          <w:pPr>
            <w:pStyle w:val="InvisibleLine"/>
            <w:rPr>
              <w:lang w:val="it-CH"/>
            </w:rPr>
          </w:pPr>
        </w:p>
      </w:tc>
    </w:tr>
  </w:tbl>
  <w:p w14:paraId="291A5A10" w14:textId="77777777" w:rsidR="00F657BF" w:rsidRPr="00980362" w:rsidRDefault="001B2764"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3E9DDD3D" wp14:editId="493D4A72">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30F030EE-EC98-4A1E-92DB-4B14147379DC}"/>
                            <w:text w:multiLine="1"/>
                          </w:sdtPr>
                          <w:sdtEndPr/>
                          <w:sdtContent>
                            <w:p w14:paraId="721B0DDA" w14:textId="77777777" w:rsidR="00F248EE" w:rsidRPr="00411371" w:rsidRDefault="001B2764"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9DDD3D"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" filled="f" stroked="f" strokeweight=".5pt">
              <v:textbox inset="0,0,0,0">
                <w:txbxContent>
                  <w:sdt>
                    <w:sdtPr>
                      <w:rPr>
                        <w:lang w:val="it-CH"/>
                      </w:rPr>
                      <w:alias w:val="CustomElements.Texts.Draft"/>
                      <w:id w:val="1849289353"/>
                      <w:dataBinding w:xpath="//Text[@id='CustomElements.Texts.Draft']" w:storeItemID="{FDC79B52-E90D-42A1-9D47-B8692E820A5F}"/>
                      <w:text w:multiLine="1"/>
                    </w:sdtPr>
                    <w:sdtContent>
                      <w:p w14:paraId="721B0DDA" w14:textId="77777777" w:rsidR="00F248EE" w:rsidRPr="00411371" w:rsidRDefault="001B2764"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414"/>
      <w:gridCol w:w="2349"/>
      <w:gridCol w:w="1390"/>
      <w:gridCol w:w="788"/>
      <w:gridCol w:w="441"/>
      <w:gridCol w:w="4178"/>
    </w:tblGrid>
    <w:tr w:rsidR="00912E34" w:rsidRPr="0004624C" w14:paraId="17E293FB" w14:textId="77777777" w:rsidTr="0098208F">
      <w:trPr>
        <w:trHeight w:val="586"/>
      </w:trPr>
      <w:tc>
        <w:tcPr>
          <w:tcW w:w="2440" w:type="pct"/>
          <w:gridSpan w:val="3"/>
          <w:tcBorders>
            <w:top w:val="nil"/>
            <w:left w:val="nil"/>
            <w:bottom w:val="single" w:sz="4" w:space="0" w:color="auto"/>
          </w:tcBorders>
          <w:vAlign w:val="bottom"/>
        </w:tcPr>
        <w:p w14:paraId="44C5E505" w14:textId="77777777" w:rsidR="00F248EE" w:rsidRPr="003108C0" w:rsidRDefault="00F248EE" w:rsidP="00D07D6E">
          <w:pPr>
            <w:pStyle w:val="InvisibleLine"/>
            <w:ind w:left="150"/>
            <w:rPr>
              <w:sz w:val="16"/>
            </w:rPr>
          </w:pPr>
        </w:p>
      </w:tc>
      <w:tc>
        <w:tcPr>
          <w:tcW w:w="373" w:type="pct"/>
          <w:tcBorders>
            <w:top w:val="nil"/>
            <w:bottom w:val="single" w:sz="4" w:space="0" w:color="auto"/>
          </w:tcBorders>
          <w:vAlign w:val="bottom"/>
        </w:tcPr>
        <w:p w14:paraId="76EFC5EF" w14:textId="77777777" w:rsidR="00F248EE" w:rsidRPr="003108C0" w:rsidRDefault="00F248EE" w:rsidP="00D07D6E">
          <w:pPr>
            <w:pStyle w:val="Level"/>
            <w:ind w:left="150"/>
            <w:rPr>
              <w:sz w:val="16"/>
            </w:rPr>
          </w:pPr>
        </w:p>
      </w:tc>
      <w:tc>
        <w:tcPr>
          <w:tcW w:w="209" w:type="pct"/>
          <w:tcBorders>
            <w:top w:val="nil"/>
            <w:bottom w:val="single" w:sz="4" w:space="0" w:color="auto"/>
          </w:tcBorders>
        </w:tcPr>
        <w:p w14:paraId="678948D9" w14:textId="77777777" w:rsidR="00F248EE" w:rsidRDefault="001B2764" w:rsidP="00D07D6E">
          <w:pPr>
            <w:pStyle w:val="InvisibleLine"/>
            <w:ind w:left="150"/>
          </w:pPr>
          <w:r>
            <w:rPr>
              <w:noProof/>
              <w:lang w:val="it-CH" w:eastAsia="it-CH"/>
            </w:rPr>
            <w:drawing>
              <wp:anchor distT="0" distB="0" distL="114300" distR="114300" simplePos="0" relativeHeight="251667456" behindDoc="1" locked="1" layoutInCell="1" allowOverlap="1" wp14:anchorId="6F9AB5B3" wp14:editId="1D397E5A">
                <wp:simplePos x="0" y="0"/>
                <wp:positionH relativeFrom="column">
                  <wp:posOffset>-92710</wp:posOffset>
                </wp:positionH>
                <wp:positionV relativeFrom="page">
                  <wp:posOffset>-119380</wp:posOffset>
                </wp:positionV>
                <wp:extent cx="275590" cy="467995"/>
                <wp:effectExtent l="0" t="0" r="0" b="8255"/>
                <wp:wrapNone/>
                <wp:docPr id="6" name="ooImg_133498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590"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14:paraId="18BCA3BF" w14:textId="02C89A19" w:rsidR="00F248EE" w:rsidRPr="004204CB" w:rsidRDefault="001B2764"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AF3632">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AF3632">
            <w:rPr>
              <w:rFonts w:asciiTheme="minorHAnsi" w:hAnsiTheme="minorHAnsi" w:cstheme="minorHAnsi"/>
              <w:noProof/>
              <w:sz w:val="24"/>
            </w:rPr>
            <w:t>21</w:t>
          </w:r>
          <w:r w:rsidRPr="004204CB">
            <w:rPr>
              <w:rFonts w:asciiTheme="minorHAnsi" w:hAnsiTheme="minorHAnsi" w:cstheme="minorHAnsi"/>
              <w:noProof/>
              <w:sz w:val="24"/>
            </w:rPr>
            <w:fldChar w:fldCharType="end"/>
          </w:r>
        </w:p>
      </w:tc>
    </w:tr>
    <w:tr w:rsidR="00912E34" w:rsidRPr="0004624C" w14:paraId="2A7FCBA2" w14:textId="77777777" w:rsidTr="0098208F">
      <w:trPr>
        <w:trHeight w:val="1097"/>
      </w:trPr>
      <w:tc>
        <w:tcPr>
          <w:tcW w:w="5000" w:type="pct"/>
          <w:gridSpan w:val="6"/>
          <w:tcBorders>
            <w:left w:val="nil"/>
            <w:right w:val="nil"/>
          </w:tcBorders>
          <w:noWrap/>
          <w:tcMar>
            <w:top w:w="0" w:type="dxa"/>
          </w:tcMar>
          <w:vAlign w:val="bottom"/>
        </w:tcPr>
        <w:p w14:paraId="6A53C37F" w14:textId="66E6843B" w:rsidR="00F248EE" w:rsidRPr="008C03B5" w:rsidRDefault="00D3715E" w:rsidP="00D26B91">
          <w:pPr>
            <w:pStyle w:val="HeaderDecisione"/>
            <w:tabs>
              <w:tab w:val="left" w:pos="1459"/>
            </w:tabs>
            <w:spacing w:after="160" w:line="640" w:lineRule="exact"/>
            <w:rPr>
              <w:rFonts w:ascii="Gill Sans Display MT Pro BdCn" w:hAnsi="Gill Sans Display MT Pro BdCn"/>
              <w:sz w:val="44"/>
              <w:szCs w:val="44"/>
            </w:rPr>
          </w:pPr>
          <w:sdt>
            <w:sdtPr>
              <w:rPr>
                <w:rFonts w:ascii="Gill Sans Display MT Pro BdCn" w:hAnsi="Gill Sans Display MT Pro BdCn"/>
                <w:sz w:val="44"/>
                <w:szCs w:val="44"/>
              </w:rPr>
              <w:alias w:val="CustomElements.Fields.Titolo1"/>
              <w:id w:val="1596973270"/>
              <w:dataBinding w:xpath="//Text[@id='CustomElements.Fields.Titolo1']" w:storeItemID="{30F030EE-EC98-4A1E-92DB-4B14147379DC}"/>
              <w:text w:multiLine="1"/>
            </w:sdtPr>
            <w:sdtEndPr/>
            <w:sdtContent>
              <w:r w:rsidR="00540B5B">
                <w:rPr>
                  <w:rFonts w:ascii="Gill Sans Display MT Pro BdCn" w:hAnsi="Gill Sans Display MT Pro BdCn"/>
                  <w:sz w:val="44"/>
                  <w:szCs w:val="44"/>
                </w:rPr>
                <w:t>Rapporto</w:t>
              </w:r>
            </w:sdtContent>
          </w:sdt>
        </w:p>
      </w:tc>
    </w:tr>
    <w:tr w:rsidR="008C03B5" w:rsidRPr="0004624C" w14:paraId="49BEB1C4" w14:textId="77777777" w:rsidTr="00B76ABD">
      <w:trPr>
        <w:trHeight w:hRule="exact" w:val="306"/>
      </w:trPr>
      <w:tc>
        <w:tcPr>
          <w:tcW w:w="670" w:type="pct"/>
          <w:tcBorders>
            <w:left w:val="nil"/>
            <w:bottom w:val="nil"/>
          </w:tcBorders>
          <w:noWrap/>
          <w:tcMar>
            <w:top w:w="57" w:type="dxa"/>
            <w:left w:w="142" w:type="dxa"/>
          </w:tcMar>
        </w:tcPr>
        <w:p w14:paraId="03B3E04B" w14:textId="77777777" w:rsidR="00F248EE" w:rsidRPr="00C7320A" w:rsidRDefault="001B2764" w:rsidP="002B0F22">
          <w:pPr>
            <w:pStyle w:val="Level"/>
            <w:spacing w:before="60"/>
            <w:rPr>
              <w:rFonts w:ascii="Gill Alt One MT Light" w:hAnsi="Gill Alt One MT Light"/>
              <w:sz w:val="16"/>
            </w:rPr>
          </w:pPr>
          <w:r w:rsidRPr="00C7320A">
            <w:rPr>
              <w:rFonts w:ascii="Gill Alt One MT Light" w:hAnsi="Gill Alt One MT Light"/>
              <w:sz w:val="16"/>
            </w:rPr>
            <w:t>numero</w:t>
          </w:r>
        </w:p>
        <w:p w14:paraId="26B059F1" w14:textId="77777777" w:rsidR="00F248EE" w:rsidRPr="00C7320A" w:rsidRDefault="00F248EE"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14:paraId="56772AF9" w14:textId="77777777" w:rsidR="00F248EE" w:rsidRPr="00C7320A" w:rsidRDefault="001B2764" w:rsidP="002B0F22">
          <w:pPr>
            <w:pStyle w:val="Level"/>
            <w:spacing w:before="60"/>
            <w:rPr>
              <w:rFonts w:ascii="Gill Alt One MT Light" w:hAnsi="Gill Alt One MT Light"/>
              <w:sz w:val="16"/>
            </w:rPr>
          </w:pPr>
          <w:r w:rsidRPr="00C7320A">
            <w:rPr>
              <w:rFonts w:ascii="Gill Alt One MT Light" w:hAnsi="Gill Alt One MT Light"/>
              <w:sz w:val="16"/>
            </w:rPr>
            <w:t>data</w:t>
          </w:r>
        </w:p>
        <w:p w14:paraId="34B863AE" w14:textId="77777777" w:rsidR="00F248EE" w:rsidRPr="00C7320A" w:rsidRDefault="00F248EE"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14:paraId="20D4E028" w14:textId="77777777" w:rsidR="00F248EE" w:rsidRPr="00C7320A" w:rsidRDefault="001B2764" w:rsidP="002B0F22">
          <w:pPr>
            <w:pStyle w:val="Level"/>
            <w:spacing w:before="60"/>
            <w:rPr>
              <w:rFonts w:ascii="Gill Alt One MT Light" w:hAnsi="Gill Alt One MT Light"/>
              <w:sz w:val="16"/>
            </w:rPr>
          </w:pPr>
          <w:r>
            <w:rPr>
              <w:rFonts w:ascii="Gill Alt One MT Light" w:hAnsi="Gill Alt One MT Light"/>
              <w:sz w:val="16"/>
            </w:rPr>
            <w:t>competenza</w:t>
          </w:r>
        </w:p>
        <w:p w14:paraId="21A81F1F" w14:textId="77777777" w:rsidR="00F248EE" w:rsidRPr="008C03B5" w:rsidRDefault="00F248EE" w:rsidP="002B0F22">
          <w:pPr>
            <w:pStyle w:val="Level"/>
            <w:spacing w:before="60" w:line="240" w:lineRule="auto"/>
            <w:rPr>
              <w:rFonts w:ascii="Gill Alt One MT Light" w:hAnsi="Gill Alt One MT Light"/>
              <w:sz w:val="16"/>
            </w:rPr>
          </w:pPr>
        </w:p>
      </w:tc>
    </w:tr>
    <w:tr w:rsidR="008C03B5" w:rsidRPr="0004624C" w14:paraId="3071D5A2" w14:textId="77777777" w:rsidTr="008C03B5">
      <w:trPr>
        <w:trHeight w:hRule="exact" w:val="699"/>
      </w:trPr>
      <w:tc>
        <w:tcPr>
          <w:tcW w:w="670" w:type="pct"/>
          <w:tcBorders>
            <w:top w:val="nil"/>
            <w:left w:val="nil"/>
            <w:bottom w:val="single" w:sz="4" w:space="0" w:color="auto"/>
            <w:right w:val="nil"/>
          </w:tcBorders>
          <w:noWrap/>
          <w:tcMar>
            <w:top w:w="0" w:type="dxa"/>
          </w:tcMar>
        </w:tcPr>
        <w:p w14:paraId="33B68D50" w14:textId="71403D3C" w:rsidR="00F248EE" w:rsidRPr="00BE22A2" w:rsidRDefault="00D3715E" w:rsidP="00A532F6">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30F030EE-EC98-4A1E-92DB-4B14147379DC}"/>
              <w:text w:multiLine="1"/>
            </w:sdtPr>
            <w:sdtEndPr/>
            <w:sdtContent>
              <w:r w:rsidR="00540B5B">
                <w:rPr>
                  <w:rFonts w:cstheme="minorHAnsi"/>
                  <w:b/>
                  <w:sz w:val="24"/>
                  <w:szCs w:val="24"/>
                </w:rPr>
                <w:t>8</w:t>
              </w:r>
              <w:r w:rsidR="007556AF">
                <w:rPr>
                  <w:rFonts w:cstheme="minorHAnsi"/>
                  <w:b/>
                  <w:sz w:val="24"/>
                  <w:szCs w:val="24"/>
                </w:rPr>
                <w:t>328</w:t>
              </w:r>
              <w:r w:rsidR="00540B5B">
                <w:rPr>
                  <w:rFonts w:cstheme="minorHAnsi"/>
                  <w:b/>
                  <w:sz w:val="24"/>
                  <w:szCs w:val="24"/>
                </w:rPr>
                <w:t xml:space="preserve"> R</w:t>
              </w:r>
            </w:sdtContent>
          </w:sdt>
        </w:p>
      </w:tc>
      <w:sdt>
        <w:sdtPr>
          <w:alias w:val="DocParam.Date"/>
          <w:id w:val="-464426178"/>
          <w:dataBinding w:xpath="//DateTime[@id='DocParam.Date']" w:storeItemID="{30F030EE-EC98-4A1E-92DB-4B14147379DC}"/>
          <w:date w:fullDate="2024-02-22T01:00:00Z">
            <w:dateFormat w:val="d MMMM yyyy"/>
            <w:lid w:val="it-CH"/>
            <w:storeMappedDataAs w:val="dateTime"/>
            <w:calendar w:val="gregorian"/>
          </w:date>
        </w:sdtPr>
        <w:sdtEndPr/>
        <w:sdtContent>
          <w:tc>
            <w:tcPr>
              <w:tcW w:w="1112" w:type="pct"/>
              <w:tcBorders>
                <w:top w:val="nil"/>
                <w:left w:val="nil"/>
                <w:bottom w:val="single" w:sz="4" w:space="0" w:color="auto"/>
                <w:right w:val="nil"/>
              </w:tcBorders>
              <w:noWrap/>
              <w:tcMar>
                <w:top w:w="0" w:type="dxa"/>
              </w:tcMar>
            </w:tcPr>
            <w:p w14:paraId="7D57F91F" w14:textId="7DE78BFF" w:rsidR="00F248EE" w:rsidRPr="002A0371" w:rsidRDefault="0054374D" w:rsidP="000F0B4D">
              <w:pPr>
                <w:pStyle w:val="Data"/>
              </w:pPr>
              <w:r>
                <w:t>22 febbraio 2024</w:t>
              </w:r>
            </w:p>
          </w:tc>
        </w:sdtContent>
      </w:sdt>
      <w:tc>
        <w:tcPr>
          <w:tcW w:w="3218" w:type="pct"/>
          <w:gridSpan w:val="4"/>
          <w:tcBorders>
            <w:top w:val="nil"/>
            <w:left w:val="nil"/>
            <w:bottom w:val="nil"/>
            <w:right w:val="nil"/>
          </w:tcBorders>
        </w:tcPr>
        <w:p w14:paraId="32FD09E8" w14:textId="77777777" w:rsidR="00F248EE" w:rsidRPr="00BE22A2" w:rsidRDefault="00D3715E"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30F030EE-EC98-4A1E-92DB-4B14147379DC}"/>
              <w:text w:multiLine="1"/>
            </w:sdtPr>
            <w:sdtEndPr/>
            <w:sdtContent>
              <w:r w:rsidR="00540B5B">
                <w:rPr>
                  <w:smallCaps/>
                  <w:sz w:val="23"/>
                  <w:szCs w:val="23"/>
                </w:rPr>
                <w:t>Dipartimento delle finanze e dell’economia</w:t>
              </w:r>
            </w:sdtContent>
          </w:sdt>
        </w:p>
      </w:tc>
    </w:tr>
    <w:tr w:rsidR="00912E34" w:rsidRPr="00C63927" w14:paraId="798C4EE4" w14:textId="77777777" w:rsidTr="0098208F">
      <w:trPr>
        <w:trHeight w:hRule="exact" w:val="198"/>
      </w:trPr>
      <w:tc>
        <w:tcPr>
          <w:tcW w:w="5000" w:type="pct"/>
          <w:gridSpan w:val="6"/>
          <w:tcBorders>
            <w:left w:val="nil"/>
            <w:bottom w:val="nil"/>
            <w:right w:val="nil"/>
          </w:tcBorders>
          <w:noWrap/>
          <w:tcMar>
            <w:top w:w="57" w:type="dxa"/>
            <w:left w:w="85" w:type="dxa"/>
            <w:bottom w:w="170" w:type="dxa"/>
          </w:tcMar>
        </w:tcPr>
        <w:p w14:paraId="1A1D8537" w14:textId="77777777" w:rsidR="00F248EE" w:rsidRPr="00C7320A" w:rsidRDefault="00F248EE" w:rsidP="00D07D6E">
          <w:pPr>
            <w:pStyle w:val="Level"/>
            <w:ind w:left="150"/>
            <w:rPr>
              <w:rFonts w:ascii="Gill Alt One MT Light" w:hAnsi="Gill Alt One MT Light"/>
              <w:sz w:val="16"/>
              <w:szCs w:val="16"/>
            </w:rPr>
          </w:pPr>
        </w:p>
      </w:tc>
    </w:tr>
  </w:tbl>
  <w:p w14:paraId="16BB7EB6" w14:textId="74F24CDE" w:rsidR="00F657BF" w:rsidRPr="00DA2879" w:rsidRDefault="001B2764"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41B112F2" wp14:editId="534BCA36">
          <wp:simplePos x="0" y="0"/>
          <wp:positionH relativeFrom="column">
            <wp:posOffset>3211195</wp:posOffset>
          </wp:positionH>
          <wp:positionV relativeFrom="page">
            <wp:posOffset>215265</wp:posOffset>
          </wp:positionV>
          <wp:extent cx="458470" cy="467995"/>
          <wp:effectExtent l="0" t="0" r="0" b="8255"/>
          <wp:wrapNone/>
          <wp:docPr id="7" name="ooImg_99398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8470"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7FF7276F" wp14:editId="47B0B852">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30F030EE-EC98-4A1E-92DB-4B14147379DC}"/>
                            <w:text w:multiLine="1"/>
                          </w:sdtPr>
                          <w:sdtEndPr/>
                          <w:sdtContent>
                            <w:p w14:paraId="02AF6877" w14:textId="77777777" w:rsidR="00F248EE" w:rsidRPr="00411371" w:rsidRDefault="001B2764"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F7276F"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" filled="f" stroked="f" strokeweight=".5pt">
              <v:textbox inset="0,0,0,0">
                <w:txbxContent>
                  <w:sdt>
                    <w:sdtPr>
                      <w:rPr>
                        <w:lang w:val="it-CH"/>
                      </w:rPr>
                      <w:alias w:val="CustomElements.Texts.Draft"/>
                      <w:id w:val="1582408335"/>
                      <w:dataBinding w:xpath="//Text[@id='CustomElements.Texts.Draft']" w:storeItemID="{CF3A011D-E57D-403A-9BF3-3553B0B7AB13}"/>
                      <w:text w:multiLine="1"/>
                    </w:sdtPr>
                    <w:sdtEndPr/>
                    <w:sdtContent>
                      <w:p w14:paraId="02AF6877" w14:textId="77777777" w:rsidR="00F248EE" w:rsidRPr="00411371" w:rsidRDefault="001B2764"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73CDD"/>
    <w:multiLevelType w:val="hybridMultilevel"/>
    <w:tmpl w:val="00145E48"/>
    <w:lvl w:ilvl="0" w:tplc="1076E198">
      <w:start w:val="2027"/>
      <w:numFmt w:val="bullet"/>
      <w:lvlText w:val="-"/>
      <w:lvlJc w:val="left"/>
      <w:pPr>
        <w:ind w:left="2061" w:hanging="360"/>
      </w:pPr>
      <w:rPr>
        <w:rFonts w:ascii="Arial" w:eastAsiaTheme="minorHAnsi" w:hAnsi="Arial" w:cs="Arial" w:hint="default"/>
      </w:rPr>
    </w:lvl>
    <w:lvl w:ilvl="1" w:tplc="08100003" w:tentative="1">
      <w:start w:val="1"/>
      <w:numFmt w:val="bullet"/>
      <w:lvlText w:val="o"/>
      <w:lvlJc w:val="left"/>
      <w:pPr>
        <w:ind w:left="2781" w:hanging="360"/>
      </w:pPr>
      <w:rPr>
        <w:rFonts w:ascii="Courier New" w:hAnsi="Courier New" w:cs="Courier New" w:hint="default"/>
      </w:rPr>
    </w:lvl>
    <w:lvl w:ilvl="2" w:tplc="08100005" w:tentative="1">
      <w:start w:val="1"/>
      <w:numFmt w:val="bullet"/>
      <w:lvlText w:val=""/>
      <w:lvlJc w:val="left"/>
      <w:pPr>
        <w:ind w:left="3501" w:hanging="360"/>
      </w:pPr>
      <w:rPr>
        <w:rFonts w:ascii="Wingdings" w:hAnsi="Wingdings" w:hint="default"/>
      </w:rPr>
    </w:lvl>
    <w:lvl w:ilvl="3" w:tplc="08100001" w:tentative="1">
      <w:start w:val="1"/>
      <w:numFmt w:val="bullet"/>
      <w:lvlText w:val=""/>
      <w:lvlJc w:val="left"/>
      <w:pPr>
        <w:ind w:left="4221" w:hanging="360"/>
      </w:pPr>
      <w:rPr>
        <w:rFonts w:ascii="Symbol" w:hAnsi="Symbol" w:hint="default"/>
      </w:rPr>
    </w:lvl>
    <w:lvl w:ilvl="4" w:tplc="08100003" w:tentative="1">
      <w:start w:val="1"/>
      <w:numFmt w:val="bullet"/>
      <w:lvlText w:val="o"/>
      <w:lvlJc w:val="left"/>
      <w:pPr>
        <w:ind w:left="4941" w:hanging="360"/>
      </w:pPr>
      <w:rPr>
        <w:rFonts w:ascii="Courier New" w:hAnsi="Courier New" w:cs="Courier New" w:hint="default"/>
      </w:rPr>
    </w:lvl>
    <w:lvl w:ilvl="5" w:tplc="08100005" w:tentative="1">
      <w:start w:val="1"/>
      <w:numFmt w:val="bullet"/>
      <w:lvlText w:val=""/>
      <w:lvlJc w:val="left"/>
      <w:pPr>
        <w:ind w:left="5661" w:hanging="360"/>
      </w:pPr>
      <w:rPr>
        <w:rFonts w:ascii="Wingdings" w:hAnsi="Wingdings" w:hint="default"/>
      </w:rPr>
    </w:lvl>
    <w:lvl w:ilvl="6" w:tplc="08100001" w:tentative="1">
      <w:start w:val="1"/>
      <w:numFmt w:val="bullet"/>
      <w:lvlText w:val=""/>
      <w:lvlJc w:val="left"/>
      <w:pPr>
        <w:ind w:left="6381" w:hanging="360"/>
      </w:pPr>
      <w:rPr>
        <w:rFonts w:ascii="Symbol" w:hAnsi="Symbol" w:hint="default"/>
      </w:rPr>
    </w:lvl>
    <w:lvl w:ilvl="7" w:tplc="08100003" w:tentative="1">
      <w:start w:val="1"/>
      <w:numFmt w:val="bullet"/>
      <w:lvlText w:val="o"/>
      <w:lvlJc w:val="left"/>
      <w:pPr>
        <w:ind w:left="7101" w:hanging="360"/>
      </w:pPr>
      <w:rPr>
        <w:rFonts w:ascii="Courier New" w:hAnsi="Courier New" w:cs="Courier New" w:hint="default"/>
      </w:rPr>
    </w:lvl>
    <w:lvl w:ilvl="8" w:tplc="08100005" w:tentative="1">
      <w:start w:val="1"/>
      <w:numFmt w:val="bullet"/>
      <w:lvlText w:val=""/>
      <w:lvlJc w:val="left"/>
      <w:pPr>
        <w:ind w:left="7821" w:hanging="360"/>
      </w:pPr>
      <w:rPr>
        <w:rFonts w:ascii="Wingdings" w:hAnsi="Wingdings" w:hint="default"/>
      </w:rPr>
    </w:lvl>
  </w:abstractNum>
  <w:abstractNum w:abstractNumId="11" w15:restartNumberingAfterBreak="0">
    <w:nsid w:val="06941BC2"/>
    <w:multiLevelType w:val="hybridMultilevel"/>
    <w:tmpl w:val="3A565D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74B6D97"/>
    <w:multiLevelType w:val="hybridMultilevel"/>
    <w:tmpl w:val="2BEEC80A"/>
    <w:lvl w:ilvl="0" w:tplc="14485E46">
      <w:start w:val="2"/>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3" w15:restartNumberingAfterBreak="0">
    <w:nsid w:val="07EC13FB"/>
    <w:multiLevelType w:val="multilevel"/>
    <w:tmpl w:val="7AA8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355C0C"/>
    <w:multiLevelType w:val="multilevel"/>
    <w:tmpl w:val="DE9204B8"/>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15A916B4"/>
    <w:multiLevelType w:val="hybridMultilevel"/>
    <w:tmpl w:val="71241184"/>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7" w15:restartNumberingAfterBreak="0">
    <w:nsid w:val="19075CAA"/>
    <w:multiLevelType w:val="hybridMultilevel"/>
    <w:tmpl w:val="59E2BC1A"/>
    <w:lvl w:ilvl="0" w:tplc="1076E198">
      <w:start w:val="2027"/>
      <w:numFmt w:val="bullet"/>
      <w:lvlText w:val="-"/>
      <w:lvlJc w:val="left"/>
      <w:pPr>
        <w:ind w:left="1713" w:hanging="360"/>
      </w:pPr>
      <w:rPr>
        <w:rFonts w:ascii="Arial" w:eastAsiaTheme="minorHAnsi" w:hAnsi="Arial" w:cs="Arial" w:hint="default"/>
      </w:rPr>
    </w:lvl>
    <w:lvl w:ilvl="1" w:tplc="04100003" w:tentative="1">
      <w:start w:val="1"/>
      <w:numFmt w:val="bullet"/>
      <w:lvlText w:val="o"/>
      <w:lvlJc w:val="left"/>
      <w:pPr>
        <w:ind w:left="2433" w:hanging="360"/>
      </w:pPr>
      <w:rPr>
        <w:rFonts w:ascii="Courier New" w:hAnsi="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18" w15:restartNumberingAfterBreak="0">
    <w:nsid w:val="1E3E54B7"/>
    <w:multiLevelType w:val="multilevel"/>
    <w:tmpl w:val="953CA1B2"/>
    <w:styleLink w:val="HeadingList"/>
    <w:lvl w:ilvl="0">
      <w:start w:val="1"/>
      <w:numFmt w:val="decimal"/>
      <w:pStyle w:val="Titolo1"/>
      <w:lvlText w:val="%1"/>
      <w:lvlJc w:val="left"/>
      <w:pPr>
        <w:ind w:left="363" w:hanging="363"/>
      </w:pPr>
      <w:rPr>
        <w:rFonts w:asciiTheme="majorHAnsi" w:hAnsiTheme="majorHAnsi" w:hint="default"/>
      </w:rPr>
    </w:lvl>
    <w:lvl w:ilvl="1">
      <w:start w:val="1"/>
      <w:numFmt w:val="decimal"/>
      <w:pStyle w:val="Titolo2"/>
      <w:lvlText w:val="%1.%2"/>
      <w:lvlJc w:val="left"/>
      <w:pPr>
        <w:ind w:left="544" w:hanging="544"/>
      </w:pPr>
      <w:rPr>
        <w:rFonts w:hint="default"/>
      </w:rPr>
    </w:lvl>
    <w:lvl w:ilvl="2">
      <w:start w:val="1"/>
      <w:numFmt w:val="decimal"/>
      <w:pStyle w:val="Titolo3"/>
      <w:lvlText w:val="%1.%2.%3"/>
      <w:lvlJc w:val="left"/>
      <w:pPr>
        <w:ind w:left="726" w:hanging="726"/>
      </w:pPr>
      <w:rPr>
        <w:rFonts w:hint="default"/>
      </w:rPr>
    </w:lvl>
    <w:lvl w:ilvl="3">
      <w:start w:val="1"/>
      <w:numFmt w:val="decimal"/>
      <w:pStyle w:val="Titolo4"/>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9" w15:restartNumberingAfterBreak="0">
    <w:nsid w:val="1FC162B3"/>
    <w:multiLevelType w:val="hybridMultilevel"/>
    <w:tmpl w:val="34D080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1"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2" w15:restartNumberingAfterBreak="0">
    <w:nsid w:val="2B686D5D"/>
    <w:multiLevelType w:val="hybridMultilevel"/>
    <w:tmpl w:val="920A2C4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0490A37"/>
    <w:multiLevelType w:val="multilevel"/>
    <w:tmpl w:val="47DE7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1757C8"/>
    <w:multiLevelType w:val="multilevel"/>
    <w:tmpl w:val="DCEE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6" w15:restartNumberingAfterBreak="0">
    <w:nsid w:val="3BB12AE6"/>
    <w:multiLevelType w:val="multilevel"/>
    <w:tmpl w:val="F308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8D2A06"/>
    <w:multiLevelType w:val="hybridMultilevel"/>
    <w:tmpl w:val="E7C02D16"/>
    <w:lvl w:ilvl="0" w:tplc="1076E198">
      <w:start w:val="2027"/>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F696CB7"/>
    <w:multiLevelType w:val="hybridMultilevel"/>
    <w:tmpl w:val="FA542C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F8B75FF"/>
    <w:multiLevelType w:val="multilevel"/>
    <w:tmpl w:val="0C02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D46B4C"/>
    <w:multiLevelType w:val="multilevel"/>
    <w:tmpl w:val="0A4A23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32" w15:restartNumberingAfterBreak="0">
    <w:nsid w:val="49D524CC"/>
    <w:multiLevelType w:val="multilevel"/>
    <w:tmpl w:val="953CA1B2"/>
    <w:numStyleLink w:val="HeadingList"/>
  </w:abstractNum>
  <w:abstractNum w:abstractNumId="33" w15:restartNumberingAfterBreak="0">
    <w:nsid w:val="51167942"/>
    <w:multiLevelType w:val="multilevel"/>
    <w:tmpl w:val="58507A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1F5C56"/>
    <w:multiLevelType w:val="multilevel"/>
    <w:tmpl w:val="3CB0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2054C6"/>
    <w:multiLevelType w:val="multilevel"/>
    <w:tmpl w:val="F39E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643DFD"/>
    <w:multiLevelType w:val="hybridMultilevel"/>
    <w:tmpl w:val="B694C87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B2364F0"/>
    <w:multiLevelType w:val="hybridMultilevel"/>
    <w:tmpl w:val="2F5AD5CA"/>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8" w15:restartNumberingAfterBreak="0">
    <w:nsid w:val="6B6D7420"/>
    <w:multiLevelType w:val="hybridMultilevel"/>
    <w:tmpl w:val="05C2612C"/>
    <w:lvl w:ilvl="0" w:tplc="1076E198">
      <w:start w:val="2027"/>
      <w:numFmt w:val="bullet"/>
      <w:lvlText w:val="-"/>
      <w:lvlJc w:val="left"/>
      <w:pPr>
        <w:ind w:left="1713" w:hanging="360"/>
      </w:pPr>
      <w:rPr>
        <w:rFonts w:ascii="Arial" w:eastAsiaTheme="minorHAnsi" w:hAnsi="Arial" w:cs="Arial" w:hint="default"/>
      </w:rPr>
    </w:lvl>
    <w:lvl w:ilvl="1" w:tplc="04100003" w:tentative="1">
      <w:start w:val="1"/>
      <w:numFmt w:val="bullet"/>
      <w:lvlText w:val="o"/>
      <w:lvlJc w:val="left"/>
      <w:pPr>
        <w:ind w:left="2433" w:hanging="360"/>
      </w:pPr>
      <w:rPr>
        <w:rFonts w:ascii="Courier New" w:hAnsi="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39" w15:restartNumberingAfterBreak="0">
    <w:nsid w:val="78A065B9"/>
    <w:multiLevelType w:val="multilevel"/>
    <w:tmpl w:val="7DA0D3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997B74"/>
    <w:multiLevelType w:val="multilevel"/>
    <w:tmpl w:val="DFEE66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222768"/>
    <w:multiLevelType w:val="multilevel"/>
    <w:tmpl w:val="039E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2"/>
    <w:lvlOverride w:ilvl="0">
      <w:lvl w:ilvl="0">
        <w:start w:val="1"/>
        <w:numFmt w:val="decimal"/>
        <w:pStyle w:val="Titolo1"/>
        <w:lvlText w:val="%1"/>
        <w:lvlJc w:val="left"/>
        <w:pPr>
          <w:ind w:left="363" w:hanging="363"/>
        </w:pPr>
        <w:rPr>
          <w:rFonts w:ascii="Arial" w:hAnsi="Arial" w:cs="Arial" w:hint="default"/>
        </w:rPr>
      </w:lvl>
    </w:lvlOverride>
  </w:num>
  <w:num w:numId="3">
    <w:abstractNumId w:val="15"/>
  </w:num>
  <w:num w:numId="4">
    <w:abstractNumId w:val="31"/>
  </w:num>
  <w:num w:numId="5">
    <w:abstractNumId w:val="25"/>
  </w:num>
  <w:num w:numId="6">
    <w:abstractNumId w:val="20"/>
  </w:num>
  <w:num w:numId="7">
    <w:abstractNumId w:val="21"/>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4"/>
  </w:num>
  <w:num w:numId="19">
    <w:abstractNumId w:val="36"/>
  </w:num>
  <w:num w:numId="20">
    <w:abstractNumId w:val="12"/>
  </w:num>
  <w:num w:numId="21">
    <w:abstractNumId w:val="22"/>
  </w:num>
  <w:num w:numId="22">
    <w:abstractNumId w:val="32"/>
    <w:lvlOverride w:ilvl="0">
      <w:lvl w:ilvl="0">
        <w:start w:val="1"/>
        <w:numFmt w:val="decimal"/>
        <w:pStyle w:val="Titolo1"/>
        <w:lvlText w:val="%1"/>
        <w:lvlJc w:val="left"/>
        <w:pPr>
          <w:ind w:left="363" w:hanging="363"/>
        </w:pPr>
        <w:rPr>
          <w:rFonts w:ascii="Arial" w:hAnsi="Arial" w:cs="Arial" w:hint="default"/>
        </w:rPr>
      </w:lvl>
    </w:lvlOverride>
  </w:num>
  <w:num w:numId="23">
    <w:abstractNumId w:val="32"/>
    <w:lvlOverride w:ilvl="0">
      <w:lvl w:ilvl="0">
        <w:start w:val="1"/>
        <w:numFmt w:val="decimal"/>
        <w:pStyle w:val="Titolo1"/>
        <w:lvlText w:val="%1"/>
        <w:lvlJc w:val="left"/>
        <w:pPr>
          <w:ind w:left="363" w:hanging="363"/>
        </w:pPr>
        <w:rPr>
          <w:rFonts w:ascii="Arial" w:hAnsi="Arial" w:cs="Arial" w:hint="default"/>
        </w:rPr>
      </w:lvl>
    </w:lvlOverride>
  </w:num>
  <w:num w:numId="24">
    <w:abstractNumId w:val="32"/>
    <w:lvlOverride w:ilvl="0">
      <w:lvl w:ilvl="0">
        <w:start w:val="1"/>
        <w:numFmt w:val="decimal"/>
        <w:pStyle w:val="Titolo1"/>
        <w:lvlText w:val="%1"/>
        <w:lvlJc w:val="left"/>
        <w:pPr>
          <w:ind w:left="363" w:hanging="363"/>
        </w:pPr>
        <w:rPr>
          <w:rFonts w:ascii="Arial" w:hAnsi="Arial" w:cs="Arial" w:hint="default"/>
        </w:rPr>
      </w:lvl>
    </w:lvlOverride>
  </w:num>
  <w:num w:numId="25">
    <w:abstractNumId w:val="32"/>
    <w:lvlOverride w:ilvl="0">
      <w:lvl w:ilvl="0">
        <w:start w:val="1"/>
        <w:numFmt w:val="decimal"/>
        <w:pStyle w:val="Titolo1"/>
        <w:lvlText w:val="%1"/>
        <w:lvlJc w:val="left"/>
        <w:pPr>
          <w:ind w:left="363" w:hanging="363"/>
        </w:pPr>
        <w:rPr>
          <w:rFonts w:ascii="Arial" w:hAnsi="Arial" w:cs="Arial" w:hint="default"/>
        </w:rPr>
      </w:lvl>
    </w:lvlOverride>
  </w:num>
  <w:num w:numId="26">
    <w:abstractNumId w:val="37"/>
  </w:num>
  <w:num w:numId="27">
    <w:abstractNumId w:val="11"/>
  </w:num>
  <w:num w:numId="28">
    <w:abstractNumId w:val="23"/>
  </w:num>
  <w:num w:numId="29">
    <w:abstractNumId w:val="27"/>
  </w:num>
  <w:num w:numId="30">
    <w:abstractNumId w:val="13"/>
  </w:num>
  <w:num w:numId="31">
    <w:abstractNumId w:val="28"/>
  </w:num>
  <w:num w:numId="32">
    <w:abstractNumId w:val="24"/>
  </w:num>
  <w:num w:numId="33">
    <w:abstractNumId w:val="35"/>
  </w:num>
  <w:num w:numId="34">
    <w:abstractNumId w:val="29"/>
  </w:num>
  <w:num w:numId="35">
    <w:abstractNumId w:val="30"/>
  </w:num>
  <w:num w:numId="36">
    <w:abstractNumId w:val="41"/>
  </w:num>
  <w:num w:numId="37">
    <w:abstractNumId w:val="33"/>
  </w:num>
  <w:num w:numId="38">
    <w:abstractNumId w:val="26"/>
  </w:num>
  <w:num w:numId="39">
    <w:abstractNumId w:val="40"/>
  </w:num>
  <w:num w:numId="40">
    <w:abstractNumId w:val="34"/>
  </w:num>
  <w:num w:numId="41">
    <w:abstractNumId w:val="39"/>
  </w:num>
  <w:num w:numId="42">
    <w:abstractNumId w:val="10"/>
  </w:num>
  <w:num w:numId="43">
    <w:abstractNumId w:val="17"/>
  </w:num>
  <w:num w:numId="44">
    <w:abstractNumId w:val="38"/>
  </w:num>
  <w:num w:numId="45">
    <w:abstractNumId w:val="16"/>
  </w:num>
  <w:num w:numId="46">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BB1"/>
    <w:rsid w:val="00001CAD"/>
    <w:rsid w:val="000024C7"/>
    <w:rsid w:val="00005009"/>
    <w:rsid w:val="000063CB"/>
    <w:rsid w:val="00024E66"/>
    <w:rsid w:val="0003098E"/>
    <w:rsid w:val="00037409"/>
    <w:rsid w:val="00043FA1"/>
    <w:rsid w:val="00065D6A"/>
    <w:rsid w:val="00074A00"/>
    <w:rsid w:val="0007517D"/>
    <w:rsid w:val="00090D07"/>
    <w:rsid w:val="0009743D"/>
    <w:rsid w:val="000A4C15"/>
    <w:rsid w:val="000C23B4"/>
    <w:rsid w:val="000C3ACF"/>
    <w:rsid w:val="000D18C0"/>
    <w:rsid w:val="000E6270"/>
    <w:rsid w:val="000F0B4D"/>
    <w:rsid w:val="000F2B36"/>
    <w:rsid w:val="000F4F62"/>
    <w:rsid w:val="00102BCD"/>
    <w:rsid w:val="00110A6F"/>
    <w:rsid w:val="001370CE"/>
    <w:rsid w:val="00145D7B"/>
    <w:rsid w:val="001476B6"/>
    <w:rsid w:val="00157C19"/>
    <w:rsid w:val="00161600"/>
    <w:rsid w:val="00163FEA"/>
    <w:rsid w:val="001948E2"/>
    <w:rsid w:val="00197C3C"/>
    <w:rsid w:val="001A187A"/>
    <w:rsid w:val="001B207B"/>
    <w:rsid w:val="001B2764"/>
    <w:rsid w:val="001B57E4"/>
    <w:rsid w:val="001B57F9"/>
    <w:rsid w:val="001C0EA8"/>
    <w:rsid w:val="001D4084"/>
    <w:rsid w:val="001E00A5"/>
    <w:rsid w:val="001E3583"/>
    <w:rsid w:val="001E69CD"/>
    <w:rsid w:val="001F2250"/>
    <w:rsid w:val="001F2D41"/>
    <w:rsid w:val="00201CC8"/>
    <w:rsid w:val="00202E67"/>
    <w:rsid w:val="00205A21"/>
    <w:rsid w:val="002061D2"/>
    <w:rsid w:val="00212886"/>
    <w:rsid w:val="00216C85"/>
    <w:rsid w:val="002603AE"/>
    <w:rsid w:val="00260430"/>
    <w:rsid w:val="00273FBD"/>
    <w:rsid w:val="00276DEA"/>
    <w:rsid w:val="00286790"/>
    <w:rsid w:val="00294395"/>
    <w:rsid w:val="00296039"/>
    <w:rsid w:val="0029650B"/>
    <w:rsid w:val="002B4F61"/>
    <w:rsid w:val="002B5D9F"/>
    <w:rsid w:val="002C0FCA"/>
    <w:rsid w:val="002C22EA"/>
    <w:rsid w:val="002D649C"/>
    <w:rsid w:val="002D6943"/>
    <w:rsid w:val="002F1FB3"/>
    <w:rsid w:val="002F2B78"/>
    <w:rsid w:val="00311637"/>
    <w:rsid w:val="00312BE4"/>
    <w:rsid w:val="00343813"/>
    <w:rsid w:val="003534A1"/>
    <w:rsid w:val="003536CB"/>
    <w:rsid w:val="00354547"/>
    <w:rsid w:val="00355320"/>
    <w:rsid w:val="00355560"/>
    <w:rsid w:val="00384544"/>
    <w:rsid w:val="00393FEF"/>
    <w:rsid w:val="003B7380"/>
    <w:rsid w:val="003B756D"/>
    <w:rsid w:val="003C4434"/>
    <w:rsid w:val="003C7327"/>
    <w:rsid w:val="003D7790"/>
    <w:rsid w:val="003E12D0"/>
    <w:rsid w:val="00403ADB"/>
    <w:rsid w:val="004454CA"/>
    <w:rsid w:val="004470CE"/>
    <w:rsid w:val="00461A92"/>
    <w:rsid w:val="0046740E"/>
    <w:rsid w:val="0047044D"/>
    <w:rsid w:val="00482C57"/>
    <w:rsid w:val="00482C64"/>
    <w:rsid w:val="00482F6B"/>
    <w:rsid w:val="0048488B"/>
    <w:rsid w:val="004B07AB"/>
    <w:rsid w:val="004B73E8"/>
    <w:rsid w:val="004C5A68"/>
    <w:rsid w:val="004D7111"/>
    <w:rsid w:val="004F1CCE"/>
    <w:rsid w:val="004F4300"/>
    <w:rsid w:val="004F55B7"/>
    <w:rsid w:val="00500880"/>
    <w:rsid w:val="00511774"/>
    <w:rsid w:val="005153DD"/>
    <w:rsid w:val="00522CED"/>
    <w:rsid w:val="00524D96"/>
    <w:rsid w:val="00527662"/>
    <w:rsid w:val="00530293"/>
    <w:rsid w:val="00533F23"/>
    <w:rsid w:val="00540B5B"/>
    <w:rsid w:val="0054266B"/>
    <w:rsid w:val="0054374D"/>
    <w:rsid w:val="00551807"/>
    <w:rsid w:val="005519AD"/>
    <w:rsid w:val="0055389E"/>
    <w:rsid w:val="00553A72"/>
    <w:rsid w:val="00572FD3"/>
    <w:rsid w:val="005743E5"/>
    <w:rsid w:val="005924FE"/>
    <w:rsid w:val="00592524"/>
    <w:rsid w:val="005B46B2"/>
    <w:rsid w:val="005B50C7"/>
    <w:rsid w:val="005B77C4"/>
    <w:rsid w:val="005C1A64"/>
    <w:rsid w:val="005C630D"/>
    <w:rsid w:val="005C6434"/>
    <w:rsid w:val="005E3CAD"/>
    <w:rsid w:val="005F726F"/>
    <w:rsid w:val="005F77DD"/>
    <w:rsid w:val="00615010"/>
    <w:rsid w:val="00633156"/>
    <w:rsid w:val="006402EA"/>
    <w:rsid w:val="00647FDB"/>
    <w:rsid w:val="00652204"/>
    <w:rsid w:val="00653E66"/>
    <w:rsid w:val="006546FF"/>
    <w:rsid w:val="00676176"/>
    <w:rsid w:val="00691533"/>
    <w:rsid w:val="0069328D"/>
    <w:rsid w:val="006A6398"/>
    <w:rsid w:val="006A6FDF"/>
    <w:rsid w:val="006C1DA2"/>
    <w:rsid w:val="006C4FF6"/>
    <w:rsid w:val="006D18DC"/>
    <w:rsid w:val="006E10E3"/>
    <w:rsid w:val="00703724"/>
    <w:rsid w:val="007048F3"/>
    <w:rsid w:val="00707C2B"/>
    <w:rsid w:val="00715FE4"/>
    <w:rsid w:val="00725D17"/>
    <w:rsid w:val="00727FC3"/>
    <w:rsid w:val="00737BA5"/>
    <w:rsid w:val="00742C3D"/>
    <w:rsid w:val="007556AF"/>
    <w:rsid w:val="00757DE1"/>
    <w:rsid w:val="00771ADD"/>
    <w:rsid w:val="007907A3"/>
    <w:rsid w:val="007A6B9E"/>
    <w:rsid w:val="007B3F40"/>
    <w:rsid w:val="007B60C8"/>
    <w:rsid w:val="007C2A9E"/>
    <w:rsid w:val="007D149E"/>
    <w:rsid w:val="007D2EB1"/>
    <w:rsid w:val="007D4523"/>
    <w:rsid w:val="007D7FAE"/>
    <w:rsid w:val="007E62B8"/>
    <w:rsid w:val="007E7956"/>
    <w:rsid w:val="007F595F"/>
    <w:rsid w:val="007F7019"/>
    <w:rsid w:val="00804196"/>
    <w:rsid w:val="00821BB1"/>
    <w:rsid w:val="00825966"/>
    <w:rsid w:val="00825EED"/>
    <w:rsid w:val="00836029"/>
    <w:rsid w:val="00843F28"/>
    <w:rsid w:val="0085588A"/>
    <w:rsid w:val="0086074E"/>
    <w:rsid w:val="00862189"/>
    <w:rsid w:val="0086280A"/>
    <w:rsid w:val="00864801"/>
    <w:rsid w:val="00865B03"/>
    <w:rsid w:val="00866F44"/>
    <w:rsid w:val="008720C4"/>
    <w:rsid w:val="00872877"/>
    <w:rsid w:val="008739BE"/>
    <w:rsid w:val="00873CC2"/>
    <w:rsid w:val="008A5CB7"/>
    <w:rsid w:val="008D58E5"/>
    <w:rsid w:val="008E5134"/>
    <w:rsid w:val="008F37B8"/>
    <w:rsid w:val="008F52AF"/>
    <w:rsid w:val="008F53D3"/>
    <w:rsid w:val="009253B3"/>
    <w:rsid w:val="009259EB"/>
    <w:rsid w:val="009303D8"/>
    <w:rsid w:val="009413C4"/>
    <w:rsid w:val="00944D80"/>
    <w:rsid w:val="0095099C"/>
    <w:rsid w:val="009529B5"/>
    <w:rsid w:val="00965F9D"/>
    <w:rsid w:val="00967911"/>
    <w:rsid w:val="009779CA"/>
    <w:rsid w:val="00980EAA"/>
    <w:rsid w:val="00981861"/>
    <w:rsid w:val="00992E7F"/>
    <w:rsid w:val="009969B1"/>
    <w:rsid w:val="009C07D6"/>
    <w:rsid w:val="009C5E5A"/>
    <w:rsid w:val="009E3797"/>
    <w:rsid w:val="009E493F"/>
    <w:rsid w:val="009E5521"/>
    <w:rsid w:val="009F67D3"/>
    <w:rsid w:val="009F7393"/>
    <w:rsid w:val="00A05E70"/>
    <w:rsid w:val="00A12130"/>
    <w:rsid w:val="00A159FD"/>
    <w:rsid w:val="00A17ABA"/>
    <w:rsid w:val="00A23F4D"/>
    <w:rsid w:val="00A24667"/>
    <w:rsid w:val="00A32693"/>
    <w:rsid w:val="00A50F74"/>
    <w:rsid w:val="00A61508"/>
    <w:rsid w:val="00A61627"/>
    <w:rsid w:val="00A63BF1"/>
    <w:rsid w:val="00A70495"/>
    <w:rsid w:val="00A714FF"/>
    <w:rsid w:val="00A90E81"/>
    <w:rsid w:val="00AA38B3"/>
    <w:rsid w:val="00AA7804"/>
    <w:rsid w:val="00AB4DDD"/>
    <w:rsid w:val="00AB5CE0"/>
    <w:rsid w:val="00AD387B"/>
    <w:rsid w:val="00AD4971"/>
    <w:rsid w:val="00AE00CB"/>
    <w:rsid w:val="00AE21CF"/>
    <w:rsid w:val="00AE2526"/>
    <w:rsid w:val="00AF0268"/>
    <w:rsid w:val="00AF0647"/>
    <w:rsid w:val="00AF3632"/>
    <w:rsid w:val="00B04C93"/>
    <w:rsid w:val="00B1029B"/>
    <w:rsid w:val="00B10D38"/>
    <w:rsid w:val="00B1726B"/>
    <w:rsid w:val="00B3719A"/>
    <w:rsid w:val="00B37CD2"/>
    <w:rsid w:val="00B55298"/>
    <w:rsid w:val="00B602A2"/>
    <w:rsid w:val="00B6516B"/>
    <w:rsid w:val="00B72FF8"/>
    <w:rsid w:val="00B73A6E"/>
    <w:rsid w:val="00B77A09"/>
    <w:rsid w:val="00B80E6D"/>
    <w:rsid w:val="00B83695"/>
    <w:rsid w:val="00BA1050"/>
    <w:rsid w:val="00BA4F6F"/>
    <w:rsid w:val="00BB3E49"/>
    <w:rsid w:val="00BC115C"/>
    <w:rsid w:val="00BC47CF"/>
    <w:rsid w:val="00BD0919"/>
    <w:rsid w:val="00BE49F9"/>
    <w:rsid w:val="00BE6D5E"/>
    <w:rsid w:val="00BE783E"/>
    <w:rsid w:val="00BF0A1F"/>
    <w:rsid w:val="00BF4925"/>
    <w:rsid w:val="00BF5F3F"/>
    <w:rsid w:val="00C027B1"/>
    <w:rsid w:val="00C109DC"/>
    <w:rsid w:val="00C24A2D"/>
    <w:rsid w:val="00C32D6C"/>
    <w:rsid w:val="00C34CF2"/>
    <w:rsid w:val="00C51ACA"/>
    <w:rsid w:val="00C564C2"/>
    <w:rsid w:val="00C666D3"/>
    <w:rsid w:val="00C8010E"/>
    <w:rsid w:val="00C85C7E"/>
    <w:rsid w:val="00C95C6C"/>
    <w:rsid w:val="00CA2DF2"/>
    <w:rsid w:val="00CC32AF"/>
    <w:rsid w:val="00CC5629"/>
    <w:rsid w:val="00CE7DBF"/>
    <w:rsid w:val="00CF5002"/>
    <w:rsid w:val="00D26B91"/>
    <w:rsid w:val="00D33940"/>
    <w:rsid w:val="00D33D50"/>
    <w:rsid w:val="00D3508C"/>
    <w:rsid w:val="00D3715E"/>
    <w:rsid w:val="00D600FD"/>
    <w:rsid w:val="00D649A8"/>
    <w:rsid w:val="00D6557F"/>
    <w:rsid w:val="00D65A89"/>
    <w:rsid w:val="00D729CD"/>
    <w:rsid w:val="00DA5864"/>
    <w:rsid w:val="00DA5EE4"/>
    <w:rsid w:val="00DA77CC"/>
    <w:rsid w:val="00DB26D4"/>
    <w:rsid w:val="00DB3438"/>
    <w:rsid w:val="00DB79A3"/>
    <w:rsid w:val="00DC115E"/>
    <w:rsid w:val="00DC2E20"/>
    <w:rsid w:val="00DC36DB"/>
    <w:rsid w:val="00DE6A53"/>
    <w:rsid w:val="00DF5B0B"/>
    <w:rsid w:val="00E04C7D"/>
    <w:rsid w:val="00E16E4B"/>
    <w:rsid w:val="00E16F71"/>
    <w:rsid w:val="00E2013A"/>
    <w:rsid w:val="00E40CF7"/>
    <w:rsid w:val="00E63143"/>
    <w:rsid w:val="00E72342"/>
    <w:rsid w:val="00E73293"/>
    <w:rsid w:val="00E73EA6"/>
    <w:rsid w:val="00E95AEF"/>
    <w:rsid w:val="00EA09B3"/>
    <w:rsid w:val="00EA141F"/>
    <w:rsid w:val="00EB088A"/>
    <w:rsid w:val="00EC035C"/>
    <w:rsid w:val="00EC5C40"/>
    <w:rsid w:val="00ED0721"/>
    <w:rsid w:val="00ED45FF"/>
    <w:rsid w:val="00EF1111"/>
    <w:rsid w:val="00EF37E2"/>
    <w:rsid w:val="00EF6005"/>
    <w:rsid w:val="00F0357C"/>
    <w:rsid w:val="00F16E9A"/>
    <w:rsid w:val="00F248EE"/>
    <w:rsid w:val="00F267F9"/>
    <w:rsid w:val="00F26BB2"/>
    <w:rsid w:val="00F52727"/>
    <w:rsid w:val="00F657BF"/>
    <w:rsid w:val="00F70354"/>
    <w:rsid w:val="00F73B68"/>
    <w:rsid w:val="00F77307"/>
    <w:rsid w:val="00F77610"/>
    <w:rsid w:val="00F95465"/>
    <w:rsid w:val="00FA3B8E"/>
    <w:rsid w:val="00FB1446"/>
    <w:rsid w:val="00FC5ED0"/>
    <w:rsid w:val="00FD0CF0"/>
    <w:rsid w:val="00FD24E6"/>
    <w:rsid w:val="00FE2855"/>
    <w:rsid w:val="00FF36E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F455A"/>
  <w15:docId w15:val="{15C6BDA2-BB74-415D-AC47-ACCAA36C6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21BB1"/>
    <w:rPr>
      <w:rFonts w:ascii="Arial" w:eastAsia="Calibri" w:hAnsi="Arial" w:cs="Times New Roman"/>
      <w:sz w:val="24"/>
      <w:lang w:val="it-CH"/>
    </w:rPr>
  </w:style>
  <w:style w:type="paragraph" w:styleId="Titolo1">
    <w:name w:val="heading 1"/>
    <w:basedOn w:val="Normale"/>
    <w:next w:val="Normale"/>
    <w:link w:val="Titolo1Carattere"/>
    <w:qFormat/>
    <w:rsid w:val="006F0D42"/>
    <w:pPr>
      <w:keepNext/>
      <w:numPr>
        <w:numId w:val="2"/>
      </w:numPr>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uiPriority w:val="9"/>
    <w:rsid w:val="006F0D42"/>
    <w:rPr>
      <w:rFonts w:ascii="Arial" w:hAnsi="Arial"/>
      <w:b/>
      <w:lang w:val="it-CH"/>
    </w:rPr>
  </w:style>
  <w:style w:type="character" w:customStyle="1" w:styleId="Titolo3Carattere">
    <w:name w:val="Titolo 3 Carattere"/>
    <w:basedOn w:val="Carpredefinitoparagrafo"/>
    <w:link w:val="Titolo3"/>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qFormat/>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style>
  <w:style w:type="paragraph" w:customStyle="1" w:styleId="ListAlphabetic12">
    <w:name w:val="ListAlphabetic12"/>
    <w:basedOn w:val="ListAlphabetic"/>
    <w:qFormat/>
    <w:rsid w:val="0040086C"/>
    <w:pPr>
      <w:numPr>
        <w:numId w:val="3"/>
      </w:numPr>
    </w:pPr>
    <w:rPr>
      <w:szCs w:val="24"/>
    </w:rPr>
  </w:style>
  <w:style w:type="paragraph" w:customStyle="1" w:styleId="ListNumeric12">
    <w:name w:val="ListNumeric12"/>
    <w:basedOn w:val="ListNumeric"/>
    <w:qFormat/>
    <w:rsid w:val="0040086C"/>
    <w:rPr>
      <w:szCs w:val="24"/>
    </w:rPr>
  </w:style>
  <w:style w:type="paragraph" w:customStyle="1" w:styleId="ListBullet12">
    <w:name w:val="ListBullet12"/>
    <w:basedOn w:val="ListBullet"/>
    <w:qFormat/>
    <w:rsid w:val="0040086C"/>
    <w:rPr>
      <w:szCs w:val="24"/>
    </w:rPr>
  </w:style>
  <w:style w:type="paragraph" w:customStyle="1" w:styleId="ListLine12">
    <w:name w:val="ListLine12"/>
    <w:basedOn w:val="ListLine"/>
    <w:qFormat/>
    <w:rsid w:val="0040086C"/>
    <w:rPr>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table" w:styleId="Grigliatabella">
    <w:name w:val="Table Grid"/>
    <w:basedOn w:val="Tabellanormale"/>
    <w:uiPriority w:val="59"/>
    <w:rsid w:val="00821BB1"/>
    <w:pPr>
      <w:jc w:val="left"/>
    </w:pPr>
    <w:rPr>
      <w:rFonts w:ascii="Calibri" w:eastAsia="Calibri" w:hAnsi="Calibri" w:cs="Times New Roman"/>
      <w:sz w:val="20"/>
      <w:szCs w:val="20"/>
      <w:lang w:val="it-CH" w:eastAsia="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nhideWhenUsed/>
    <w:rsid w:val="00821BB1"/>
    <w:rPr>
      <w:color w:val="0000FF"/>
      <w:u w:val="single"/>
    </w:rPr>
  </w:style>
  <w:style w:type="paragraph" w:styleId="NormaleWeb">
    <w:name w:val="Normal (Web)"/>
    <w:basedOn w:val="Normale"/>
    <w:uiPriority w:val="99"/>
    <w:unhideWhenUsed/>
    <w:rsid w:val="00821BB1"/>
    <w:pPr>
      <w:spacing w:before="100" w:beforeAutospacing="1" w:after="100" w:afterAutospacing="1"/>
      <w:jc w:val="left"/>
    </w:pPr>
    <w:rPr>
      <w:rFonts w:ascii="Times New Roman" w:eastAsia="Times New Roman" w:hAnsi="Times New Roman"/>
      <w:szCs w:val="24"/>
      <w:lang w:eastAsia="it-CH"/>
    </w:rPr>
  </w:style>
  <w:style w:type="paragraph" w:styleId="Testofumetto">
    <w:name w:val="Balloon Text"/>
    <w:basedOn w:val="Normale"/>
    <w:link w:val="TestofumettoCarattere"/>
    <w:uiPriority w:val="99"/>
    <w:semiHidden/>
    <w:unhideWhenUsed/>
    <w:rsid w:val="00821BB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21BB1"/>
    <w:rPr>
      <w:rFonts w:ascii="Segoe UI" w:eastAsia="Calibri" w:hAnsi="Segoe UI" w:cs="Segoe UI"/>
      <w:sz w:val="18"/>
      <w:szCs w:val="18"/>
      <w:lang w:val="it-CH"/>
    </w:rPr>
  </w:style>
  <w:style w:type="character" w:styleId="Collegamentovisitato">
    <w:name w:val="FollowedHyperlink"/>
    <w:basedOn w:val="Carpredefinitoparagrafo"/>
    <w:uiPriority w:val="99"/>
    <w:semiHidden/>
    <w:unhideWhenUsed/>
    <w:rsid w:val="001D4084"/>
    <w:rPr>
      <w:color w:val="800080" w:themeColor="followedHyperlink"/>
      <w:u w:val="single"/>
    </w:rPr>
  </w:style>
  <w:style w:type="character" w:customStyle="1" w:styleId="Menzionenonrisolta1">
    <w:name w:val="Menzione non risolta1"/>
    <w:basedOn w:val="Carpredefinitoparagrafo"/>
    <w:uiPriority w:val="99"/>
    <w:semiHidden/>
    <w:unhideWhenUsed/>
    <w:rsid w:val="001D4084"/>
    <w:rPr>
      <w:color w:val="605E5C"/>
      <w:shd w:val="clear" w:color="auto" w:fill="E1DFDD"/>
    </w:rPr>
  </w:style>
  <w:style w:type="character" w:customStyle="1" w:styleId="Menzionenonrisolta2">
    <w:name w:val="Menzione non risolta2"/>
    <w:basedOn w:val="Carpredefinitoparagrafo"/>
    <w:uiPriority w:val="99"/>
    <w:semiHidden/>
    <w:unhideWhenUsed/>
    <w:rsid w:val="00BE49F9"/>
    <w:rPr>
      <w:color w:val="605E5C"/>
      <w:shd w:val="clear" w:color="auto" w:fill="E1DFDD"/>
    </w:rPr>
  </w:style>
  <w:style w:type="character" w:styleId="Rimandocommento">
    <w:name w:val="annotation reference"/>
    <w:basedOn w:val="Carpredefinitoparagrafo"/>
    <w:uiPriority w:val="99"/>
    <w:semiHidden/>
    <w:unhideWhenUsed/>
    <w:rsid w:val="006A6398"/>
    <w:rPr>
      <w:sz w:val="16"/>
      <w:szCs w:val="16"/>
    </w:rPr>
  </w:style>
  <w:style w:type="paragraph" w:styleId="Testocommento">
    <w:name w:val="annotation text"/>
    <w:basedOn w:val="Normale"/>
    <w:link w:val="TestocommentoCarattere"/>
    <w:uiPriority w:val="99"/>
    <w:semiHidden/>
    <w:unhideWhenUsed/>
    <w:rsid w:val="006A6398"/>
    <w:rPr>
      <w:sz w:val="20"/>
      <w:szCs w:val="20"/>
    </w:rPr>
  </w:style>
  <w:style w:type="character" w:customStyle="1" w:styleId="TestocommentoCarattere">
    <w:name w:val="Testo commento Carattere"/>
    <w:basedOn w:val="Carpredefinitoparagrafo"/>
    <w:link w:val="Testocommento"/>
    <w:uiPriority w:val="99"/>
    <w:semiHidden/>
    <w:rsid w:val="006A6398"/>
    <w:rPr>
      <w:rFonts w:ascii="Arial" w:eastAsia="Calibri" w:hAnsi="Arial" w:cs="Times New Roman"/>
      <w:sz w:val="20"/>
      <w:szCs w:val="20"/>
      <w:lang w:val="it-CH"/>
    </w:rPr>
  </w:style>
  <w:style w:type="paragraph" w:styleId="Soggettocommento">
    <w:name w:val="annotation subject"/>
    <w:basedOn w:val="Testocommento"/>
    <w:next w:val="Testocommento"/>
    <w:link w:val="SoggettocommentoCarattere"/>
    <w:uiPriority w:val="99"/>
    <w:semiHidden/>
    <w:unhideWhenUsed/>
    <w:rsid w:val="006A6398"/>
    <w:rPr>
      <w:b/>
      <w:bCs/>
    </w:rPr>
  </w:style>
  <w:style w:type="character" w:customStyle="1" w:styleId="SoggettocommentoCarattere">
    <w:name w:val="Soggetto commento Carattere"/>
    <w:basedOn w:val="TestocommentoCarattere"/>
    <w:link w:val="Soggettocommento"/>
    <w:uiPriority w:val="99"/>
    <w:semiHidden/>
    <w:rsid w:val="006A6398"/>
    <w:rPr>
      <w:rFonts w:ascii="Arial" w:eastAsia="Calibri" w:hAnsi="Arial" w:cs="Times New Roman"/>
      <w:b/>
      <w:bCs/>
      <w:sz w:val="20"/>
      <w:szCs w:val="20"/>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80130">
      <w:bodyDiv w:val="1"/>
      <w:marLeft w:val="0"/>
      <w:marRight w:val="0"/>
      <w:marTop w:val="0"/>
      <w:marBottom w:val="0"/>
      <w:divBdr>
        <w:top w:val="none" w:sz="0" w:space="0" w:color="auto"/>
        <w:left w:val="none" w:sz="0" w:space="0" w:color="auto"/>
        <w:bottom w:val="none" w:sz="0" w:space="0" w:color="auto"/>
        <w:right w:val="none" w:sz="0" w:space="0" w:color="auto"/>
      </w:divBdr>
      <w:divsChild>
        <w:div w:id="512190438">
          <w:marLeft w:val="0"/>
          <w:marRight w:val="0"/>
          <w:marTop w:val="0"/>
          <w:marBottom w:val="0"/>
          <w:divBdr>
            <w:top w:val="none" w:sz="0" w:space="0" w:color="auto"/>
            <w:left w:val="none" w:sz="0" w:space="0" w:color="auto"/>
            <w:bottom w:val="none" w:sz="0" w:space="0" w:color="auto"/>
            <w:right w:val="none" w:sz="0" w:space="0" w:color="auto"/>
          </w:divBdr>
          <w:divsChild>
            <w:div w:id="1274510876">
              <w:marLeft w:val="0"/>
              <w:marRight w:val="0"/>
              <w:marTop w:val="0"/>
              <w:marBottom w:val="0"/>
              <w:divBdr>
                <w:top w:val="none" w:sz="0" w:space="0" w:color="auto"/>
                <w:left w:val="none" w:sz="0" w:space="0" w:color="auto"/>
                <w:bottom w:val="none" w:sz="0" w:space="0" w:color="auto"/>
                <w:right w:val="none" w:sz="0" w:space="0" w:color="auto"/>
              </w:divBdr>
              <w:divsChild>
                <w:div w:id="19270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2124">
      <w:bodyDiv w:val="1"/>
      <w:marLeft w:val="0"/>
      <w:marRight w:val="0"/>
      <w:marTop w:val="0"/>
      <w:marBottom w:val="0"/>
      <w:divBdr>
        <w:top w:val="none" w:sz="0" w:space="0" w:color="auto"/>
        <w:left w:val="none" w:sz="0" w:space="0" w:color="auto"/>
        <w:bottom w:val="none" w:sz="0" w:space="0" w:color="auto"/>
        <w:right w:val="none" w:sz="0" w:space="0" w:color="auto"/>
      </w:divBdr>
      <w:divsChild>
        <w:div w:id="1981612212">
          <w:marLeft w:val="0"/>
          <w:marRight w:val="0"/>
          <w:marTop w:val="0"/>
          <w:marBottom w:val="0"/>
          <w:divBdr>
            <w:top w:val="none" w:sz="0" w:space="0" w:color="auto"/>
            <w:left w:val="none" w:sz="0" w:space="0" w:color="auto"/>
            <w:bottom w:val="none" w:sz="0" w:space="0" w:color="auto"/>
            <w:right w:val="none" w:sz="0" w:space="0" w:color="auto"/>
          </w:divBdr>
          <w:divsChild>
            <w:div w:id="1575116810">
              <w:marLeft w:val="0"/>
              <w:marRight w:val="0"/>
              <w:marTop w:val="0"/>
              <w:marBottom w:val="0"/>
              <w:divBdr>
                <w:top w:val="none" w:sz="0" w:space="0" w:color="auto"/>
                <w:left w:val="none" w:sz="0" w:space="0" w:color="auto"/>
                <w:bottom w:val="none" w:sz="0" w:space="0" w:color="auto"/>
                <w:right w:val="none" w:sz="0" w:space="0" w:color="auto"/>
              </w:divBdr>
              <w:divsChild>
                <w:div w:id="1991012045">
                  <w:marLeft w:val="0"/>
                  <w:marRight w:val="0"/>
                  <w:marTop w:val="0"/>
                  <w:marBottom w:val="0"/>
                  <w:divBdr>
                    <w:top w:val="none" w:sz="0" w:space="0" w:color="auto"/>
                    <w:left w:val="none" w:sz="0" w:space="0" w:color="auto"/>
                    <w:bottom w:val="none" w:sz="0" w:space="0" w:color="auto"/>
                    <w:right w:val="none" w:sz="0" w:space="0" w:color="auto"/>
                  </w:divBdr>
                  <w:divsChild>
                    <w:div w:id="18378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2873">
      <w:bodyDiv w:val="1"/>
      <w:marLeft w:val="0"/>
      <w:marRight w:val="0"/>
      <w:marTop w:val="0"/>
      <w:marBottom w:val="0"/>
      <w:divBdr>
        <w:top w:val="none" w:sz="0" w:space="0" w:color="auto"/>
        <w:left w:val="none" w:sz="0" w:space="0" w:color="auto"/>
        <w:bottom w:val="none" w:sz="0" w:space="0" w:color="auto"/>
        <w:right w:val="none" w:sz="0" w:space="0" w:color="auto"/>
      </w:divBdr>
    </w:div>
    <w:div w:id="110561533">
      <w:bodyDiv w:val="1"/>
      <w:marLeft w:val="0"/>
      <w:marRight w:val="0"/>
      <w:marTop w:val="0"/>
      <w:marBottom w:val="0"/>
      <w:divBdr>
        <w:top w:val="none" w:sz="0" w:space="0" w:color="auto"/>
        <w:left w:val="none" w:sz="0" w:space="0" w:color="auto"/>
        <w:bottom w:val="none" w:sz="0" w:space="0" w:color="auto"/>
        <w:right w:val="none" w:sz="0" w:space="0" w:color="auto"/>
      </w:divBdr>
      <w:divsChild>
        <w:div w:id="1176311713">
          <w:marLeft w:val="0"/>
          <w:marRight w:val="0"/>
          <w:marTop w:val="0"/>
          <w:marBottom w:val="0"/>
          <w:divBdr>
            <w:top w:val="none" w:sz="0" w:space="0" w:color="auto"/>
            <w:left w:val="none" w:sz="0" w:space="0" w:color="auto"/>
            <w:bottom w:val="none" w:sz="0" w:space="0" w:color="auto"/>
            <w:right w:val="none" w:sz="0" w:space="0" w:color="auto"/>
          </w:divBdr>
          <w:divsChild>
            <w:div w:id="1714771369">
              <w:marLeft w:val="0"/>
              <w:marRight w:val="0"/>
              <w:marTop w:val="0"/>
              <w:marBottom w:val="0"/>
              <w:divBdr>
                <w:top w:val="none" w:sz="0" w:space="0" w:color="auto"/>
                <w:left w:val="none" w:sz="0" w:space="0" w:color="auto"/>
                <w:bottom w:val="none" w:sz="0" w:space="0" w:color="auto"/>
                <w:right w:val="none" w:sz="0" w:space="0" w:color="auto"/>
              </w:divBdr>
              <w:divsChild>
                <w:div w:id="32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6725">
      <w:bodyDiv w:val="1"/>
      <w:marLeft w:val="0"/>
      <w:marRight w:val="0"/>
      <w:marTop w:val="0"/>
      <w:marBottom w:val="0"/>
      <w:divBdr>
        <w:top w:val="none" w:sz="0" w:space="0" w:color="auto"/>
        <w:left w:val="none" w:sz="0" w:space="0" w:color="auto"/>
        <w:bottom w:val="none" w:sz="0" w:space="0" w:color="auto"/>
        <w:right w:val="none" w:sz="0" w:space="0" w:color="auto"/>
      </w:divBdr>
      <w:divsChild>
        <w:div w:id="37052867">
          <w:marLeft w:val="0"/>
          <w:marRight w:val="0"/>
          <w:marTop w:val="0"/>
          <w:marBottom w:val="0"/>
          <w:divBdr>
            <w:top w:val="none" w:sz="0" w:space="0" w:color="auto"/>
            <w:left w:val="none" w:sz="0" w:space="0" w:color="auto"/>
            <w:bottom w:val="none" w:sz="0" w:space="0" w:color="auto"/>
            <w:right w:val="none" w:sz="0" w:space="0" w:color="auto"/>
          </w:divBdr>
          <w:divsChild>
            <w:div w:id="21520444">
              <w:marLeft w:val="0"/>
              <w:marRight w:val="0"/>
              <w:marTop w:val="0"/>
              <w:marBottom w:val="0"/>
              <w:divBdr>
                <w:top w:val="none" w:sz="0" w:space="0" w:color="auto"/>
                <w:left w:val="none" w:sz="0" w:space="0" w:color="auto"/>
                <w:bottom w:val="none" w:sz="0" w:space="0" w:color="auto"/>
                <w:right w:val="none" w:sz="0" w:space="0" w:color="auto"/>
              </w:divBdr>
              <w:divsChild>
                <w:div w:id="5693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1930">
      <w:bodyDiv w:val="1"/>
      <w:marLeft w:val="0"/>
      <w:marRight w:val="0"/>
      <w:marTop w:val="0"/>
      <w:marBottom w:val="0"/>
      <w:divBdr>
        <w:top w:val="none" w:sz="0" w:space="0" w:color="auto"/>
        <w:left w:val="none" w:sz="0" w:space="0" w:color="auto"/>
        <w:bottom w:val="none" w:sz="0" w:space="0" w:color="auto"/>
        <w:right w:val="none" w:sz="0" w:space="0" w:color="auto"/>
      </w:divBdr>
      <w:divsChild>
        <w:div w:id="582224633">
          <w:marLeft w:val="0"/>
          <w:marRight w:val="0"/>
          <w:marTop w:val="0"/>
          <w:marBottom w:val="0"/>
          <w:divBdr>
            <w:top w:val="none" w:sz="0" w:space="0" w:color="auto"/>
            <w:left w:val="none" w:sz="0" w:space="0" w:color="auto"/>
            <w:bottom w:val="none" w:sz="0" w:space="0" w:color="auto"/>
            <w:right w:val="none" w:sz="0" w:space="0" w:color="auto"/>
          </w:divBdr>
          <w:divsChild>
            <w:div w:id="1850437554">
              <w:marLeft w:val="0"/>
              <w:marRight w:val="0"/>
              <w:marTop w:val="0"/>
              <w:marBottom w:val="0"/>
              <w:divBdr>
                <w:top w:val="none" w:sz="0" w:space="0" w:color="auto"/>
                <w:left w:val="none" w:sz="0" w:space="0" w:color="auto"/>
                <w:bottom w:val="none" w:sz="0" w:space="0" w:color="auto"/>
                <w:right w:val="none" w:sz="0" w:space="0" w:color="auto"/>
              </w:divBdr>
              <w:divsChild>
                <w:div w:id="33056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9217">
      <w:bodyDiv w:val="1"/>
      <w:marLeft w:val="0"/>
      <w:marRight w:val="0"/>
      <w:marTop w:val="0"/>
      <w:marBottom w:val="0"/>
      <w:divBdr>
        <w:top w:val="none" w:sz="0" w:space="0" w:color="auto"/>
        <w:left w:val="none" w:sz="0" w:space="0" w:color="auto"/>
        <w:bottom w:val="none" w:sz="0" w:space="0" w:color="auto"/>
        <w:right w:val="none" w:sz="0" w:space="0" w:color="auto"/>
      </w:divBdr>
      <w:divsChild>
        <w:div w:id="2047414183">
          <w:marLeft w:val="0"/>
          <w:marRight w:val="0"/>
          <w:marTop w:val="0"/>
          <w:marBottom w:val="0"/>
          <w:divBdr>
            <w:top w:val="none" w:sz="0" w:space="0" w:color="auto"/>
            <w:left w:val="none" w:sz="0" w:space="0" w:color="auto"/>
            <w:bottom w:val="none" w:sz="0" w:space="0" w:color="auto"/>
            <w:right w:val="none" w:sz="0" w:space="0" w:color="auto"/>
          </w:divBdr>
          <w:divsChild>
            <w:div w:id="1275206614">
              <w:marLeft w:val="0"/>
              <w:marRight w:val="0"/>
              <w:marTop w:val="0"/>
              <w:marBottom w:val="0"/>
              <w:divBdr>
                <w:top w:val="none" w:sz="0" w:space="0" w:color="auto"/>
                <w:left w:val="none" w:sz="0" w:space="0" w:color="auto"/>
                <w:bottom w:val="none" w:sz="0" w:space="0" w:color="auto"/>
                <w:right w:val="none" w:sz="0" w:space="0" w:color="auto"/>
              </w:divBdr>
              <w:divsChild>
                <w:div w:id="14044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05295">
      <w:bodyDiv w:val="1"/>
      <w:marLeft w:val="0"/>
      <w:marRight w:val="0"/>
      <w:marTop w:val="0"/>
      <w:marBottom w:val="0"/>
      <w:divBdr>
        <w:top w:val="none" w:sz="0" w:space="0" w:color="auto"/>
        <w:left w:val="none" w:sz="0" w:space="0" w:color="auto"/>
        <w:bottom w:val="none" w:sz="0" w:space="0" w:color="auto"/>
        <w:right w:val="none" w:sz="0" w:space="0" w:color="auto"/>
      </w:divBdr>
      <w:divsChild>
        <w:div w:id="1611621617">
          <w:marLeft w:val="0"/>
          <w:marRight w:val="0"/>
          <w:marTop w:val="0"/>
          <w:marBottom w:val="0"/>
          <w:divBdr>
            <w:top w:val="none" w:sz="0" w:space="0" w:color="auto"/>
            <w:left w:val="none" w:sz="0" w:space="0" w:color="auto"/>
            <w:bottom w:val="none" w:sz="0" w:space="0" w:color="auto"/>
            <w:right w:val="none" w:sz="0" w:space="0" w:color="auto"/>
          </w:divBdr>
          <w:divsChild>
            <w:div w:id="1259682202">
              <w:marLeft w:val="0"/>
              <w:marRight w:val="0"/>
              <w:marTop w:val="0"/>
              <w:marBottom w:val="0"/>
              <w:divBdr>
                <w:top w:val="none" w:sz="0" w:space="0" w:color="auto"/>
                <w:left w:val="none" w:sz="0" w:space="0" w:color="auto"/>
                <w:bottom w:val="none" w:sz="0" w:space="0" w:color="auto"/>
                <w:right w:val="none" w:sz="0" w:space="0" w:color="auto"/>
              </w:divBdr>
              <w:divsChild>
                <w:div w:id="42410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88040">
      <w:bodyDiv w:val="1"/>
      <w:marLeft w:val="0"/>
      <w:marRight w:val="0"/>
      <w:marTop w:val="0"/>
      <w:marBottom w:val="0"/>
      <w:divBdr>
        <w:top w:val="none" w:sz="0" w:space="0" w:color="auto"/>
        <w:left w:val="none" w:sz="0" w:space="0" w:color="auto"/>
        <w:bottom w:val="none" w:sz="0" w:space="0" w:color="auto"/>
        <w:right w:val="none" w:sz="0" w:space="0" w:color="auto"/>
      </w:divBdr>
      <w:divsChild>
        <w:div w:id="587496557">
          <w:marLeft w:val="0"/>
          <w:marRight w:val="0"/>
          <w:marTop w:val="0"/>
          <w:marBottom w:val="0"/>
          <w:divBdr>
            <w:top w:val="none" w:sz="0" w:space="0" w:color="auto"/>
            <w:left w:val="none" w:sz="0" w:space="0" w:color="auto"/>
            <w:bottom w:val="none" w:sz="0" w:space="0" w:color="auto"/>
            <w:right w:val="none" w:sz="0" w:space="0" w:color="auto"/>
          </w:divBdr>
          <w:divsChild>
            <w:div w:id="591934235">
              <w:marLeft w:val="0"/>
              <w:marRight w:val="0"/>
              <w:marTop w:val="0"/>
              <w:marBottom w:val="0"/>
              <w:divBdr>
                <w:top w:val="none" w:sz="0" w:space="0" w:color="auto"/>
                <w:left w:val="none" w:sz="0" w:space="0" w:color="auto"/>
                <w:bottom w:val="none" w:sz="0" w:space="0" w:color="auto"/>
                <w:right w:val="none" w:sz="0" w:space="0" w:color="auto"/>
              </w:divBdr>
              <w:divsChild>
                <w:div w:id="18822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635668">
      <w:bodyDiv w:val="1"/>
      <w:marLeft w:val="0"/>
      <w:marRight w:val="0"/>
      <w:marTop w:val="0"/>
      <w:marBottom w:val="0"/>
      <w:divBdr>
        <w:top w:val="none" w:sz="0" w:space="0" w:color="auto"/>
        <w:left w:val="none" w:sz="0" w:space="0" w:color="auto"/>
        <w:bottom w:val="none" w:sz="0" w:space="0" w:color="auto"/>
        <w:right w:val="none" w:sz="0" w:space="0" w:color="auto"/>
      </w:divBdr>
      <w:divsChild>
        <w:div w:id="1513758082">
          <w:marLeft w:val="0"/>
          <w:marRight w:val="0"/>
          <w:marTop w:val="0"/>
          <w:marBottom w:val="0"/>
          <w:divBdr>
            <w:top w:val="none" w:sz="0" w:space="0" w:color="auto"/>
            <w:left w:val="none" w:sz="0" w:space="0" w:color="auto"/>
            <w:bottom w:val="none" w:sz="0" w:space="0" w:color="auto"/>
            <w:right w:val="none" w:sz="0" w:space="0" w:color="auto"/>
          </w:divBdr>
          <w:divsChild>
            <w:div w:id="232012486">
              <w:marLeft w:val="0"/>
              <w:marRight w:val="0"/>
              <w:marTop w:val="0"/>
              <w:marBottom w:val="0"/>
              <w:divBdr>
                <w:top w:val="none" w:sz="0" w:space="0" w:color="auto"/>
                <w:left w:val="none" w:sz="0" w:space="0" w:color="auto"/>
                <w:bottom w:val="none" w:sz="0" w:space="0" w:color="auto"/>
                <w:right w:val="none" w:sz="0" w:space="0" w:color="auto"/>
              </w:divBdr>
              <w:divsChild>
                <w:div w:id="121446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544416">
      <w:bodyDiv w:val="1"/>
      <w:marLeft w:val="0"/>
      <w:marRight w:val="0"/>
      <w:marTop w:val="0"/>
      <w:marBottom w:val="0"/>
      <w:divBdr>
        <w:top w:val="none" w:sz="0" w:space="0" w:color="auto"/>
        <w:left w:val="none" w:sz="0" w:space="0" w:color="auto"/>
        <w:bottom w:val="none" w:sz="0" w:space="0" w:color="auto"/>
        <w:right w:val="none" w:sz="0" w:space="0" w:color="auto"/>
      </w:divBdr>
      <w:divsChild>
        <w:div w:id="807283438">
          <w:marLeft w:val="0"/>
          <w:marRight w:val="0"/>
          <w:marTop w:val="0"/>
          <w:marBottom w:val="0"/>
          <w:divBdr>
            <w:top w:val="none" w:sz="0" w:space="0" w:color="auto"/>
            <w:left w:val="none" w:sz="0" w:space="0" w:color="auto"/>
            <w:bottom w:val="none" w:sz="0" w:space="0" w:color="auto"/>
            <w:right w:val="none" w:sz="0" w:space="0" w:color="auto"/>
          </w:divBdr>
          <w:divsChild>
            <w:div w:id="788625528">
              <w:marLeft w:val="0"/>
              <w:marRight w:val="0"/>
              <w:marTop w:val="0"/>
              <w:marBottom w:val="0"/>
              <w:divBdr>
                <w:top w:val="none" w:sz="0" w:space="0" w:color="auto"/>
                <w:left w:val="none" w:sz="0" w:space="0" w:color="auto"/>
                <w:bottom w:val="none" w:sz="0" w:space="0" w:color="auto"/>
                <w:right w:val="none" w:sz="0" w:space="0" w:color="auto"/>
              </w:divBdr>
              <w:divsChild>
                <w:div w:id="57234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62731">
      <w:bodyDiv w:val="1"/>
      <w:marLeft w:val="0"/>
      <w:marRight w:val="0"/>
      <w:marTop w:val="0"/>
      <w:marBottom w:val="0"/>
      <w:divBdr>
        <w:top w:val="none" w:sz="0" w:space="0" w:color="auto"/>
        <w:left w:val="none" w:sz="0" w:space="0" w:color="auto"/>
        <w:bottom w:val="none" w:sz="0" w:space="0" w:color="auto"/>
        <w:right w:val="none" w:sz="0" w:space="0" w:color="auto"/>
      </w:divBdr>
      <w:divsChild>
        <w:div w:id="113016488">
          <w:marLeft w:val="0"/>
          <w:marRight w:val="0"/>
          <w:marTop w:val="0"/>
          <w:marBottom w:val="0"/>
          <w:divBdr>
            <w:top w:val="none" w:sz="0" w:space="0" w:color="auto"/>
            <w:left w:val="none" w:sz="0" w:space="0" w:color="auto"/>
            <w:bottom w:val="none" w:sz="0" w:space="0" w:color="auto"/>
            <w:right w:val="none" w:sz="0" w:space="0" w:color="auto"/>
          </w:divBdr>
          <w:divsChild>
            <w:div w:id="654649494">
              <w:marLeft w:val="0"/>
              <w:marRight w:val="0"/>
              <w:marTop w:val="0"/>
              <w:marBottom w:val="0"/>
              <w:divBdr>
                <w:top w:val="none" w:sz="0" w:space="0" w:color="auto"/>
                <w:left w:val="none" w:sz="0" w:space="0" w:color="auto"/>
                <w:bottom w:val="none" w:sz="0" w:space="0" w:color="auto"/>
                <w:right w:val="none" w:sz="0" w:space="0" w:color="auto"/>
              </w:divBdr>
              <w:divsChild>
                <w:div w:id="1219627700">
                  <w:marLeft w:val="0"/>
                  <w:marRight w:val="0"/>
                  <w:marTop w:val="0"/>
                  <w:marBottom w:val="0"/>
                  <w:divBdr>
                    <w:top w:val="none" w:sz="0" w:space="0" w:color="auto"/>
                    <w:left w:val="none" w:sz="0" w:space="0" w:color="auto"/>
                    <w:bottom w:val="none" w:sz="0" w:space="0" w:color="auto"/>
                    <w:right w:val="none" w:sz="0" w:space="0" w:color="auto"/>
                  </w:divBdr>
                  <w:divsChild>
                    <w:div w:id="6685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750090">
      <w:bodyDiv w:val="1"/>
      <w:marLeft w:val="0"/>
      <w:marRight w:val="0"/>
      <w:marTop w:val="0"/>
      <w:marBottom w:val="0"/>
      <w:divBdr>
        <w:top w:val="none" w:sz="0" w:space="0" w:color="auto"/>
        <w:left w:val="none" w:sz="0" w:space="0" w:color="auto"/>
        <w:bottom w:val="none" w:sz="0" w:space="0" w:color="auto"/>
        <w:right w:val="none" w:sz="0" w:space="0" w:color="auto"/>
      </w:divBdr>
      <w:divsChild>
        <w:div w:id="1744915482">
          <w:marLeft w:val="0"/>
          <w:marRight w:val="0"/>
          <w:marTop w:val="0"/>
          <w:marBottom w:val="0"/>
          <w:divBdr>
            <w:top w:val="none" w:sz="0" w:space="0" w:color="auto"/>
            <w:left w:val="none" w:sz="0" w:space="0" w:color="auto"/>
            <w:bottom w:val="none" w:sz="0" w:space="0" w:color="auto"/>
            <w:right w:val="none" w:sz="0" w:space="0" w:color="auto"/>
          </w:divBdr>
          <w:divsChild>
            <w:div w:id="1452749884">
              <w:marLeft w:val="0"/>
              <w:marRight w:val="0"/>
              <w:marTop w:val="0"/>
              <w:marBottom w:val="0"/>
              <w:divBdr>
                <w:top w:val="none" w:sz="0" w:space="0" w:color="auto"/>
                <w:left w:val="none" w:sz="0" w:space="0" w:color="auto"/>
                <w:bottom w:val="none" w:sz="0" w:space="0" w:color="auto"/>
                <w:right w:val="none" w:sz="0" w:space="0" w:color="auto"/>
              </w:divBdr>
              <w:divsChild>
                <w:div w:id="3132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09519">
      <w:bodyDiv w:val="1"/>
      <w:marLeft w:val="0"/>
      <w:marRight w:val="0"/>
      <w:marTop w:val="0"/>
      <w:marBottom w:val="0"/>
      <w:divBdr>
        <w:top w:val="none" w:sz="0" w:space="0" w:color="auto"/>
        <w:left w:val="none" w:sz="0" w:space="0" w:color="auto"/>
        <w:bottom w:val="none" w:sz="0" w:space="0" w:color="auto"/>
        <w:right w:val="none" w:sz="0" w:space="0" w:color="auto"/>
      </w:divBdr>
      <w:divsChild>
        <w:div w:id="2014720568">
          <w:marLeft w:val="0"/>
          <w:marRight w:val="0"/>
          <w:marTop w:val="0"/>
          <w:marBottom w:val="0"/>
          <w:divBdr>
            <w:top w:val="none" w:sz="0" w:space="0" w:color="auto"/>
            <w:left w:val="none" w:sz="0" w:space="0" w:color="auto"/>
            <w:bottom w:val="none" w:sz="0" w:space="0" w:color="auto"/>
            <w:right w:val="none" w:sz="0" w:space="0" w:color="auto"/>
          </w:divBdr>
          <w:divsChild>
            <w:div w:id="115567617">
              <w:marLeft w:val="0"/>
              <w:marRight w:val="0"/>
              <w:marTop w:val="0"/>
              <w:marBottom w:val="0"/>
              <w:divBdr>
                <w:top w:val="none" w:sz="0" w:space="0" w:color="auto"/>
                <w:left w:val="none" w:sz="0" w:space="0" w:color="auto"/>
                <w:bottom w:val="none" w:sz="0" w:space="0" w:color="auto"/>
                <w:right w:val="none" w:sz="0" w:space="0" w:color="auto"/>
              </w:divBdr>
              <w:divsChild>
                <w:div w:id="214342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6196">
      <w:bodyDiv w:val="1"/>
      <w:marLeft w:val="0"/>
      <w:marRight w:val="0"/>
      <w:marTop w:val="0"/>
      <w:marBottom w:val="0"/>
      <w:divBdr>
        <w:top w:val="none" w:sz="0" w:space="0" w:color="auto"/>
        <w:left w:val="none" w:sz="0" w:space="0" w:color="auto"/>
        <w:bottom w:val="none" w:sz="0" w:space="0" w:color="auto"/>
        <w:right w:val="none" w:sz="0" w:space="0" w:color="auto"/>
      </w:divBdr>
      <w:divsChild>
        <w:div w:id="1026635994">
          <w:marLeft w:val="0"/>
          <w:marRight w:val="0"/>
          <w:marTop w:val="0"/>
          <w:marBottom w:val="0"/>
          <w:divBdr>
            <w:top w:val="none" w:sz="0" w:space="0" w:color="auto"/>
            <w:left w:val="none" w:sz="0" w:space="0" w:color="auto"/>
            <w:bottom w:val="none" w:sz="0" w:space="0" w:color="auto"/>
            <w:right w:val="none" w:sz="0" w:space="0" w:color="auto"/>
          </w:divBdr>
          <w:divsChild>
            <w:div w:id="1384211635">
              <w:marLeft w:val="0"/>
              <w:marRight w:val="0"/>
              <w:marTop w:val="0"/>
              <w:marBottom w:val="0"/>
              <w:divBdr>
                <w:top w:val="none" w:sz="0" w:space="0" w:color="auto"/>
                <w:left w:val="none" w:sz="0" w:space="0" w:color="auto"/>
                <w:bottom w:val="none" w:sz="0" w:space="0" w:color="auto"/>
                <w:right w:val="none" w:sz="0" w:space="0" w:color="auto"/>
              </w:divBdr>
              <w:divsChild>
                <w:div w:id="1526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00290">
      <w:bodyDiv w:val="1"/>
      <w:marLeft w:val="0"/>
      <w:marRight w:val="0"/>
      <w:marTop w:val="0"/>
      <w:marBottom w:val="0"/>
      <w:divBdr>
        <w:top w:val="none" w:sz="0" w:space="0" w:color="auto"/>
        <w:left w:val="none" w:sz="0" w:space="0" w:color="auto"/>
        <w:bottom w:val="none" w:sz="0" w:space="0" w:color="auto"/>
        <w:right w:val="none" w:sz="0" w:space="0" w:color="auto"/>
      </w:divBdr>
      <w:divsChild>
        <w:div w:id="633944766">
          <w:marLeft w:val="0"/>
          <w:marRight w:val="0"/>
          <w:marTop w:val="0"/>
          <w:marBottom w:val="0"/>
          <w:divBdr>
            <w:top w:val="none" w:sz="0" w:space="0" w:color="auto"/>
            <w:left w:val="none" w:sz="0" w:space="0" w:color="auto"/>
            <w:bottom w:val="none" w:sz="0" w:space="0" w:color="auto"/>
            <w:right w:val="none" w:sz="0" w:space="0" w:color="auto"/>
          </w:divBdr>
          <w:divsChild>
            <w:div w:id="767045199">
              <w:marLeft w:val="0"/>
              <w:marRight w:val="0"/>
              <w:marTop w:val="0"/>
              <w:marBottom w:val="0"/>
              <w:divBdr>
                <w:top w:val="none" w:sz="0" w:space="0" w:color="auto"/>
                <w:left w:val="none" w:sz="0" w:space="0" w:color="auto"/>
                <w:bottom w:val="none" w:sz="0" w:space="0" w:color="auto"/>
                <w:right w:val="none" w:sz="0" w:space="0" w:color="auto"/>
              </w:divBdr>
              <w:divsChild>
                <w:div w:id="14832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8404">
      <w:bodyDiv w:val="1"/>
      <w:marLeft w:val="0"/>
      <w:marRight w:val="0"/>
      <w:marTop w:val="0"/>
      <w:marBottom w:val="0"/>
      <w:divBdr>
        <w:top w:val="none" w:sz="0" w:space="0" w:color="auto"/>
        <w:left w:val="none" w:sz="0" w:space="0" w:color="auto"/>
        <w:bottom w:val="none" w:sz="0" w:space="0" w:color="auto"/>
        <w:right w:val="none" w:sz="0" w:space="0" w:color="auto"/>
      </w:divBdr>
      <w:divsChild>
        <w:div w:id="34044444">
          <w:marLeft w:val="0"/>
          <w:marRight w:val="0"/>
          <w:marTop w:val="0"/>
          <w:marBottom w:val="0"/>
          <w:divBdr>
            <w:top w:val="none" w:sz="0" w:space="0" w:color="auto"/>
            <w:left w:val="none" w:sz="0" w:space="0" w:color="auto"/>
            <w:bottom w:val="none" w:sz="0" w:space="0" w:color="auto"/>
            <w:right w:val="none" w:sz="0" w:space="0" w:color="auto"/>
          </w:divBdr>
          <w:divsChild>
            <w:div w:id="1201211799">
              <w:marLeft w:val="0"/>
              <w:marRight w:val="0"/>
              <w:marTop w:val="0"/>
              <w:marBottom w:val="0"/>
              <w:divBdr>
                <w:top w:val="none" w:sz="0" w:space="0" w:color="auto"/>
                <w:left w:val="none" w:sz="0" w:space="0" w:color="auto"/>
                <w:bottom w:val="none" w:sz="0" w:space="0" w:color="auto"/>
                <w:right w:val="none" w:sz="0" w:space="0" w:color="auto"/>
              </w:divBdr>
              <w:divsChild>
                <w:div w:id="139165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04192">
      <w:bodyDiv w:val="1"/>
      <w:marLeft w:val="0"/>
      <w:marRight w:val="0"/>
      <w:marTop w:val="0"/>
      <w:marBottom w:val="0"/>
      <w:divBdr>
        <w:top w:val="none" w:sz="0" w:space="0" w:color="auto"/>
        <w:left w:val="none" w:sz="0" w:space="0" w:color="auto"/>
        <w:bottom w:val="none" w:sz="0" w:space="0" w:color="auto"/>
        <w:right w:val="none" w:sz="0" w:space="0" w:color="auto"/>
      </w:divBdr>
      <w:divsChild>
        <w:div w:id="1331257892">
          <w:marLeft w:val="0"/>
          <w:marRight w:val="0"/>
          <w:marTop w:val="0"/>
          <w:marBottom w:val="0"/>
          <w:divBdr>
            <w:top w:val="none" w:sz="0" w:space="0" w:color="auto"/>
            <w:left w:val="none" w:sz="0" w:space="0" w:color="auto"/>
            <w:bottom w:val="none" w:sz="0" w:space="0" w:color="auto"/>
            <w:right w:val="none" w:sz="0" w:space="0" w:color="auto"/>
          </w:divBdr>
          <w:divsChild>
            <w:div w:id="1044452766">
              <w:marLeft w:val="0"/>
              <w:marRight w:val="0"/>
              <w:marTop w:val="0"/>
              <w:marBottom w:val="0"/>
              <w:divBdr>
                <w:top w:val="none" w:sz="0" w:space="0" w:color="auto"/>
                <w:left w:val="none" w:sz="0" w:space="0" w:color="auto"/>
                <w:bottom w:val="none" w:sz="0" w:space="0" w:color="auto"/>
                <w:right w:val="none" w:sz="0" w:space="0" w:color="auto"/>
              </w:divBdr>
              <w:divsChild>
                <w:div w:id="9587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92259">
      <w:bodyDiv w:val="1"/>
      <w:marLeft w:val="0"/>
      <w:marRight w:val="0"/>
      <w:marTop w:val="0"/>
      <w:marBottom w:val="0"/>
      <w:divBdr>
        <w:top w:val="none" w:sz="0" w:space="0" w:color="auto"/>
        <w:left w:val="none" w:sz="0" w:space="0" w:color="auto"/>
        <w:bottom w:val="none" w:sz="0" w:space="0" w:color="auto"/>
        <w:right w:val="none" w:sz="0" w:space="0" w:color="auto"/>
      </w:divBdr>
      <w:divsChild>
        <w:div w:id="801582194">
          <w:marLeft w:val="0"/>
          <w:marRight w:val="0"/>
          <w:marTop w:val="0"/>
          <w:marBottom w:val="0"/>
          <w:divBdr>
            <w:top w:val="none" w:sz="0" w:space="0" w:color="auto"/>
            <w:left w:val="none" w:sz="0" w:space="0" w:color="auto"/>
            <w:bottom w:val="none" w:sz="0" w:space="0" w:color="auto"/>
            <w:right w:val="none" w:sz="0" w:space="0" w:color="auto"/>
          </w:divBdr>
          <w:divsChild>
            <w:div w:id="434181176">
              <w:marLeft w:val="0"/>
              <w:marRight w:val="0"/>
              <w:marTop w:val="0"/>
              <w:marBottom w:val="0"/>
              <w:divBdr>
                <w:top w:val="none" w:sz="0" w:space="0" w:color="auto"/>
                <w:left w:val="none" w:sz="0" w:space="0" w:color="auto"/>
                <w:bottom w:val="none" w:sz="0" w:space="0" w:color="auto"/>
                <w:right w:val="none" w:sz="0" w:space="0" w:color="auto"/>
              </w:divBdr>
              <w:divsChild>
                <w:div w:id="100790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17370">
      <w:bodyDiv w:val="1"/>
      <w:marLeft w:val="0"/>
      <w:marRight w:val="0"/>
      <w:marTop w:val="0"/>
      <w:marBottom w:val="0"/>
      <w:divBdr>
        <w:top w:val="none" w:sz="0" w:space="0" w:color="auto"/>
        <w:left w:val="none" w:sz="0" w:space="0" w:color="auto"/>
        <w:bottom w:val="none" w:sz="0" w:space="0" w:color="auto"/>
        <w:right w:val="none" w:sz="0" w:space="0" w:color="auto"/>
      </w:divBdr>
      <w:divsChild>
        <w:div w:id="866913902">
          <w:marLeft w:val="0"/>
          <w:marRight w:val="0"/>
          <w:marTop w:val="0"/>
          <w:marBottom w:val="0"/>
          <w:divBdr>
            <w:top w:val="none" w:sz="0" w:space="0" w:color="auto"/>
            <w:left w:val="none" w:sz="0" w:space="0" w:color="auto"/>
            <w:bottom w:val="none" w:sz="0" w:space="0" w:color="auto"/>
            <w:right w:val="none" w:sz="0" w:space="0" w:color="auto"/>
          </w:divBdr>
          <w:divsChild>
            <w:div w:id="27923102">
              <w:marLeft w:val="0"/>
              <w:marRight w:val="0"/>
              <w:marTop w:val="0"/>
              <w:marBottom w:val="0"/>
              <w:divBdr>
                <w:top w:val="none" w:sz="0" w:space="0" w:color="auto"/>
                <w:left w:val="none" w:sz="0" w:space="0" w:color="auto"/>
                <w:bottom w:val="none" w:sz="0" w:space="0" w:color="auto"/>
                <w:right w:val="none" w:sz="0" w:space="0" w:color="auto"/>
              </w:divBdr>
              <w:divsChild>
                <w:div w:id="20247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00155">
      <w:bodyDiv w:val="1"/>
      <w:marLeft w:val="0"/>
      <w:marRight w:val="0"/>
      <w:marTop w:val="0"/>
      <w:marBottom w:val="0"/>
      <w:divBdr>
        <w:top w:val="none" w:sz="0" w:space="0" w:color="auto"/>
        <w:left w:val="none" w:sz="0" w:space="0" w:color="auto"/>
        <w:bottom w:val="none" w:sz="0" w:space="0" w:color="auto"/>
        <w:right w:val="none" w:sz="0" w:space="0" w:color="auto"/>
      </w:divBdr>
      <w:divsChild>
        <w:div w:id="985472720">
          <w:marLeft w:val="0"/>
          <w:marRight w:val="0"/>
          <w:marTop w:val="0"/>
          <w:marBottom w:val="0"/>
          <w:divBdr>
            <w:top w:val="none" w:sz="0" w:space="0" w:color="auto"/>
            <w:left w:val="none" w:sz="0" w:space="0" w:color="auto"/>
            <w:bottom w:val="none" w:sz="0" w:space="0" w:color="auto"/>
            <w:right w:val="none" w:sz="0" w:space="0" w:color="auto"/>
          </w:divBdr>
          <w:divsChild>
            <w:div w:id="203443270">
              <w:marLeft w:val="0"/>
              <w:marRight w:val="0"/>
              <w:marTop w:val="0"/>
              <w:marBottom w:val="0"/>
              <w:divBdr>
                <w:top w:val="none" w:sz="0" w:space="0" w:color="auto"/>
                <w:left w:val="none" w:sz="0" w:space="0" w:color="auto"/>
                <w:bottom w:val="none" w:sz="0" w:space="0" w:color="auto"/>
                <w:right w:val="none" w:sz="0" w:space="0" w:color="auto"/>
              </w:divBdr>
              <w:divsChild>
                <w:div w:id="2091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99784">
      <w:bodyDiv w:val="1"/>
      <w:marLeft w:val="0"/>
      <w:marRight w:val="0"/>
      <w:marTop w:val="0"/>
      <w:marBottom w:val="0"/>
      <w:divBdr>
        <w:top w:val="none" w:sz="0" w:space="0" w:color="auto"/>
        <w:left w:val="none" w:sz="0" w:space="0" w:color="auto"/>
        <w:bottom w:val="none" w:sz="0" w:space="0" w:color="auto"/>
        <w:right w:val="none" w:sz="0" w:space="0" w:color="auto"/>
      </w:divBdr>
      <w:divsChild>
        <w:div w:id="415323974">
          <w:marLeft w:val="0"/>
          <w:marRight w:val="0"/>
          <w:marTop w:val="0"/>
          <w:marBottom w:val="0"/>
          <w:divBdr>
            <w:top w:val="none" w:sz="0" w:space="0" w:color="auto"/>
            <w:left w:val="none" w:sz="0" w:space="0" w:color="auto"/>
            <w:bottom w:val="none" w:sz="0" w:space="0" w:color="auto"/>
            <w:right w:val="none" w:sz="0" w:space="0" w:color="auto"/>
          </w:divBdr>
          <w:divsChild>
            <w:div w:id="299766976">
              <w:marLeft w:val="0"/>
              <w:marRight w:val="0"/>
              <w:marTop w:val="0"/>
              <w:marBottom w:val="0"/>
              <w:divBdr>
                <w:top w:val="none" w:sz="0" w:space="0" w:color="auto"/>
                <w:left w:val="none" w:sz="0" w:space="0" w:color="auto"/>
                <w:bottom w:val="none" w:sz="0" w:space="0" w:color="auto"/>
                <w:right w:val="none" w:sz="0" w:space="0" w:color="auto"/>
              </w:divBdr>
              <w:divsChild>
                <w:div w:id="3446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48365">
      <w:bodyDiv w:val="1"/>
      <w:marLeft w:val="0"/>
      <w:marRight w:val="0"/>
      <w:marTop w:val="0"/>
      <w:marBottom w:val="0"/>
      <w:divBdr>
        <w:top w:val="none" w:sz="0" w:space="0" w:color="auto"/>
        <w:left w:val="none" w:sz="0" w:space="0" w:color="auto"/>
        <w:bottom w:val="none" w:sz="0" w:space="0" w:color="auto"/>
        <w:right w:val="none" w:sz="0" w:space="0" w:color="auto"/>
      </w:divBdr>
      <w:divsChild>
        <w:div w:id="1226603543">
          <w:marLeft w:val="0"/>
          <w:marRight w:val="0"/>
          <w:marTop w:val="0"/>
          <w:marBottom w:val="0"/>
          <w:divBdr>
            <w:top w:val="none" w:sz="0" w:space="0" w:color="auto"/>
            <w:left w:val="none" w:sz="0" w:space="0" w:color="auto"/>
            <w:bottom w:val="none" w:sz="0" w:space="0" w:color="auto"/>
            <w:right w:val="none" w:sz="0" w:space="0" w:color="auto"/>
          </w:divBdr>
          <w:divsChild>
            <w:div w:id="2048329003">
              <w:marLeft w:val="0"/>
              <w:marRight w:val="0"/>
              <w:marTop w:val="0"/>
              <w:marBottom w:val="0"/>
              <w:divBdr>
                <w:top w:val="none" w:sz="0" w:space="0" w:color="auto"/>
                <w:left w:val="none" w:sz="0" w:space="0" w:color="auto"/>
                <w:bottom w:val="none" w:sz="0" w:space="0" w:color="auto"/>
                <w:right w:val="none" w:sz="0" w:space="0" w:color="auto"/>
              </w:divBdr>
              <w:divsChild>
                <w:div w:id="13978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4037">
      <w:bodyDiv w:val="1"/>
      <w:marLeft w:val="0"/>
      <w:marRight w:val="0"/>
      <w:marTop w:val="0"/>
      <w:marBottom w:val="0"/>
      <w:divBdr>
        <w:top w:val="none" w:sz="0" w:space="0" w:color="auto"/>
        <w:left w:val="none" w:sz="0" w:space="0" w:color="auto"/>
        <w:bottom w:val="none" w:sz="0" w:space="0" w:color="auto"/>
        <w:right w:val="none" w:sz="0" w:space="0" w:color="auto"/>
      </w:divBdr>
      <w:divsChild>
        <w:div w:id="111368690">
          <w:marLeft w:val="0"/>
          <w:marRight w:val="0"/>
          <w:marTop w:val="0"/>
          <w:marBottom w:val="0"/>
          <w:divBdr>
            <w:top w:val="none" w:sz="0" w:space="0" w:color="auto"/>
            <w:left w:val="none" w:sz="0" w:space="0" w:color="auto"/>
            <w:bottom w:val="none" w:sz="0" w:space="0" w:color="auto"/>
            <w:right w:val="none" w:sz="0" w:space="0" w:color="auto"/>
          </w:divBdr>
          <w:divsChild>
            <w:div w:id="1438015104">
              <w:marLeft w:val="0"/>
              <w:marRight w:val="0"/>
              <w:marTop w:val="0"/>
              <w:marBottom w:val="0"/>
              <w:divBdr>
                <w:top w:val="none" w:sz="0" w:space="0" w:color="auto"/>
                <w:left w:val="none" w:sz="0" w:space="0" w:color="auto"/>
                <w:bottom w:val="none" w:sz="0" w:space="0" w:color="auto"/>
                <w:right w:val="none" w:sz="0" w:space="0" w:color="auto"/>
              </w:divBdr>
              <w:divsChild>
                <w:div w:id="13999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899716">
      <w:bodyDiv w:val="1"/>
      <w:marLeft w:val="0"/>
      <w:marRight w:val="0"/>
      <w:marTop w:val="0"/>
      <w:marBottom w:val="0"/>
      <w:divBdr>
        <w:top w:val="none" w:sz="0" w:space="0" w:color="auto"/>
        <w:left w:val="none" w:sz="0" w:space="0" w:color="auto"/>
        <w:bottom w:val="none" w:sz="0" w:space="0" w:color="auto"/>
        <w:right w:val="none" w:sz="0" w:space="0" w:color="auto"/>
      </w:divBdr>
      <w:divsChild>
        <w:div w:id="2057582504">
          <w:marLeft w:val="0"/>
          <w:marRight w:val="0"/>
          <w:marTop w:val="0"/>
          <w:marBottom w:val="0"/>
          <w:divBdr>
            <w:top w:val="none" w:sz="0" w:space="0" w:color="auto"/>
            <w:left w:val="none" w:sz="0" w:space="0" w:color="auto"/>
            <w:bottom w:val="none" w:sz="0" w:space="0" w:color="auto"/>
            <w:right w:val="none" w:sz="0" w:space="0" w:color="auto"/>
          </w:divBdr>
          <w:divsChild>
            <w:div w:id="2069642040">
              <w:marLeft w:val="0"/>
              <w:marRight w:val="0"/>
              <w:marTop w:val="0"/>
              <w:marBottom w:val="0"/>
              <w:divBdr>
                <w:top w:val="none" w:sz="0" w:space="0" w:color="auto"/>
                <w:left w:val="none" w:sz="0" w:space="0" w:color="auto"/>
                <w:bottom w:val="none" w:sz="0" w:space="0" w:color="auto"/>
                <w:right w:val="none" w:sz="0" w:space="0" w:color="auto"/>
              </w:divBdr>
              <w:divsChild>
                <w:div w:id="920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397567">
      <w:bodyDiv w:val="1"/>
      <w:marLeft w:val="0"/>
      <w:marRight w:val="0"/>
      <w:marTop w:val="0"/>
      <w:marBottom w:val="0"/>
      <w:divBdr>
        <w:top w:val="none" w:sz="0" w:space="0" w:color="auto"/>
        <w:left w:val="none" w:sz="0" w:space="0" w:color="auto"/>
        <w:bottom w:val="none" w:sz="0" w:space="0" w:color="auto"/>
        <w:right w:val="none" w:sz="0" w:space="0" w:color="auto"/>
      </w:divBdr>
      <w:divsChild>
        <w:div w:id="608467695">
          <w:marLeft w:val="0"/>
          <w:marRight w:val="0"/>
          <w:marTop w:val="0"/>
          <w:marBottom w:val="0"/>
          <w:divBdr>
            <w:top w:val="none" w:sz="0" w:space="0" w:color="auto"/>
            <w:left w:val="none" w:sz="0" w:space="0" w:color="auto"/>
            <w:bottom w:val="none" w:sz="0" w:space="0" w:color="auto"/>
            <w:right w:val="none" w:sz="0" w:space="0" w:color="auto"/>
          </w:divBdr>
          <w:divsChild>
            <w:div w:id="1495218925">
              <w:marLeft w:val="0"/>
              <w:marRight w:val="0"/>
              <w:marTop w:val="0"/>
              <w:marBottom w:val="0"/>
              <w:divBdr>
                <w:top w:val="none" w:sz="0" w:space="0" w:color="auto"/>
                <w:left w:val="none" w:sz="0" w:space="0" w:color="auto"/>
                <w:bottom w:val="none" w:sz="0" w:space="0" w:color="auto"/>
                <w:right w:val="none" w:sz="0" w:space="0" w:color="auto"/>
              </w:divBdr>
              <w:divsChild>
                <w:div w:id="174090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47141">
      <w:bodyDiv w:val="1"/>
      <w:marLeft w:val="0"/>
      <w:marRight w:val="0"/>
      <w:marTop w:val="0"/>
      <w:marBottom w:val="0"/>
      <w:divBdr>
        <w:top w:val="none" w:sz="0" w:space="0" w:color="auto"/>
        <w:left w:val="none" w:sz="0" w:space="0" w:color="auto"/>
        <w:bottom w:val="none" w:sz="0" w:space="0" w:color="auto"/>
        <w:right w:val="none" w:sz="0" w:space="0" w:color="auto"/>
      </w:divBdr>
      <w:divsChild>
        <w:div w:id="1245841357">
          <w:marLeft w:val="0"/>
          <w:marRight w:val="0"/>
          <w:marTop w:val="0"/>
          <w:marBottom w:val="0"/>
          <w:divBdr>
            <w:top w:val="none" w:sz="0" w:space="0" w:color="auto"/>
            <w:left w:val="none" w:sz="0" w:space="0" w:color="auto"/>
            <w:bottom w:val="none" w:sz="0" w:space="0" w:color="auto"/>
            <w:right w:val="none" w:sz="0" w:space="0" w:color="auto"/>
          </w:divBdr>
          <w:divsChild>
            <w:div w:id="1541700722">
              <w:marLeft w:val="0"/>
              <w:marRight w:val="0"/>
              <w:marTop w:val="0"/>
              <w:marBottom w:val="0"/>
              <w:divBdr>
                <w:top w:val="none" w:sz="0" w:space="0" w:color="auto"/>
                <w:left w:val="none" w:sz="0" w:space="0" w:color="auto"/>
                <w:bottom w:val="none" w:sz="0" w:space="0" w:color="auto"/>
                <w:right w:val="none" w:sz="0" w:space="0" w:color="auto"/>
              </w:divBdr>
              <w:divsChild>
                <w:div w:id="13073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20537">
      <w:bodyDiv w:val="1"/>
      <w:marLeft w:val="0"/>
      <w:marRight w:val="0"/>
      <w:marTop w:val="0"/>
      <w:marBottom w:val="0"/>
      <w:divBdr>
        <w:top w:val="none" w:sz="0" w:space="0" w:color="auto"/>
        <w:left w:val="none" w:sz="0" w:space="0" w:color="auto"/>
        <w:bottom w:val="none" w:sz="0" w:space="0" w:color="auto"/>
        <w:right w:val="none" w:sz="0" w:space="0" w:color="auto"/>
      </w:divBdr>
      <w:divsChild>
        <w:div w:id="981733882">
          <w:marLeft w:val="0"/>
          <w:marRight w:val="0"/>
          <w:marTop w:val="0"/>
          <w:marBottom w:val="0"/>
          <w:divBdr>
            <w:top w:val="none" w:sz="0" w:space="0" w:color="auto"/>
            <w:left w:val="none" w:sz="0" w:space="0" w:color="auto"/>
            <w:bottom w:val="none" w:sz="0" w:space="0" w:color="auto"/>
            <w:right w:val="none" w:sz="0" w:space="0" w:color="auto"/>
          </w:divBdr>
          <w:divsChild>
            <w:div w:id="1668554882">
              <w:marLeft w:val="0"/>
              <w:marRight w:val="0"/>
              <w:marTop w:val="0"/>
              <w:marBottom w:val="0"/>
              <w:divBdr>
                <w:top w:val="none" w:sz="0" w:space="0" w:color="auto"/>
                <w:left w:val="none" w:sz="0" w:space="0" w:color="auto"/>
                <w:bottom w:val="none" w:sz="0" w:space="0" w:color="auto"/>
                <w:right w:val="none" w:sz="0" w:space="0" w:color="auto"/>
              </w:divBdr>
              <w:divsChild>
                <w:div w:id="10369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57403">
      <w:bodyDiv w:val="1"/>
      <w:marLeft w:val="0"/>
      <w:marRight w:val="0"/>
      <w:marTop w:val="0"/>
      <w:marBottom w:val="0"/>
      <w:divBdr>
        <w:top w:val="none" w:sz="0" w:space="0" w:color="auto"/>
        <w:left w:val="none" w:sz="0" w:space="0" w:color="auto"/>
        <w:bottom w:val="none" w:sz="0" w:space="0" w:color="auto"/>
        <w:right w:val="none" w:sz="0" w:space="0" w:color="auto"/>
      </w:divBdr>
      <w:divsChild>
        <w:div w:id="1396195577">
          <w:marLeft w:val="0"/>
          <w:marRight w:val="0"/>
          <w:marTop w:val="0"/>
          <w:marBottom w:val="0"/>
          <w:divBdr>
            <w:top w:val="none" w:sz="0" w:space="0" w:color="auto"/>
            <w:left w:val="none" w:sz="0" w:space="0" w:color="auto"/>
            <w:bottom w:val="none" w:sz="0" w:space="0" w:color="auto"/>
            <w:right w:val="none" w:sz="0" w:space="0" w:color="auto"/>
          </w:divBdr>
          <w:divsChild>
            <w:div w:id="1971861403">
              <w:marLeft w:val="0"/>
              <w:marRight w:val="0"/>
              <w:marTop w:val="0"/>
              <w:marBottom w:val="0"/>
              <w:divBdr>
                <w:top w:val="none" w:sz="0" w:space="0" w:color="auto"/>
                <w:left w:val="none" w:sz="0" w:space="0" w:color="auto"/>
                <w:bottom w:val="none" w:sz="0" w:space="0" w:color="auto"/>
                <w:right w:val="none" w:sz="0" w:space="0" w:color="auto"/>
              </w:divBdr>
              <w:divsChild>
                <w:div w:id="2060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94021">
      <w:bodyDiv w:val="1"/>
      <w:marLeft w:val="0"/>
      <w:marRight w:val="0"/>
      <w:marTop w:val="0"/>
      <w:marBottom w:val="0"/>
      <w:divBdr>
        <w:top w:val="none" w:sz="0" w:space="0" w:color="auto"/>
        <w:left w:val="none" w:sz="0" w:space="0" w:color="auto"/>
        <w:bottom w:val="none" w:sz="0" w:space="0" w:color="auto"/>
        <w:right w:val="none" w:sz="0" w:space="0" w:color="auto"/>
      </w:divBdr>
      <w:divsChild>
        <w:div w:id="687482694">
          <w:marLeft w:val="0"/>
          <w:marRight w:val="0"/>
          <w:marTop w:val="0"/>
          <w:marBottom w:val="0"/>
          <w:divBdr>
            <w:top w:val="none" w:sz="0" w:space="0" w:color="auto"/>
            <w:left w:val="none" w:sz="0" w:space="0" w:color="auto"/>
            <w:bottom w:val="none" w:sz="0" w:space="0" w:color="auto"/>
            <w:right w:val="none" w:sz="0" w:space="0" w:color="auto"/>
          </w:divBdr>
          <w:divsChild>
            <w:div w:id="1058897893">
              <w:marLeft w:val="0"/>
              <w:marRight w:val="0"/>
              <w:marTop w:val="0"/>
              <w:marBottom w:val="0"/>
              <w:divBdr>
                <w:top w:val="none" w:sz="0" w:space="0" w:color="auto"/>
                <w:left w:val="none" w:sz="0" w:space="0" w:color="auto"/>
                <w:bottom w:val="none" w:sz="0" w:space="0" w:color="auto"/>
                <w:right w:val="none" w:sz="0" w:space="0" w:color="auto"/>
              </w:divBdr>
              <w:divsChild>
                <w:div w:id="16442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74357">
      <w:bodyDiv w:val="1"/>
      <w:marLeft w:val="0"/>
      <w:marRight w:val="0"/>
      <w:marTop w:val="0"/>
      <w:marBottom w:val="0"/>
      <w:divBdr>
        <w:top w:val="none" w:sz="0" w:space="0" w:color="auto"/>
        <w:left w:val="none" w:sz="0" w:space="0" w:color="auto"/>
        <w:bottom w:val="none" w:sz="0" w:space="0" w:color="auto"/>
        <w:right w:val="none" w:sz="0" w:space="0" w:color="auto"/>
      </w:divBdr>
      <w:divsChild>
        <w:div w:id="1387873103">
          <w:marLeft w:val="0"/>
          <w:marRight w:val="0"/>
          <w:marTop w:val="0"/>
          <w:marBottom w:val="0"/>
          <w:divBdr>
            <w:top w:val="none" w:sz="0" w:space="0" w:color="auto"/>
            <w:left w:val="none" w:sz="0" w:space="0" w:color="auto"/>
            <w:bottom w:val="none" w:sz="0" w:space="0" w:color="auto"/>
            <w:right w:val="none" w:sz="0" w:space="0" w:color="auto"/>
          </w:divBdr>
          <w:divsChild>
            <w:div w:id="1384718844">
              <w:marLeft w:val="0"/>
              <w:marRight w:val="0"/>
              <w:marTop w:val="0"/>
              <w:marBottom w:val="0"/>
              <w:divBdr>
                <w:top w:val="none" w:sz="0" w:space="0" w:color="auto"/>
                <w:left w:val="none" w:sz="0" w:space="0" w:color="auto"/>
                <w:bottom w:val="none" w:sz="0" w:space="0" w:color="auto"/>
                <w:right w:val="none" w:sz="0" w:space="0" w:color="auto"/>
              </w:divBdr>
              <w:divsChild>
                <w:div w:id="8500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3916">
      <w:bodyDiv w:val="1"/>
      <w:marLeft w:val="0"/>
      <w:marRight w:val="0"/>
      <w:marTop w:val="0"/>
      <w:marBottom w:val="0"/>
      <w:divBdr>
        <w:top w:val="none" w:sz="0" w:space="0" w:color="auto"/>
        <w:left w:val="none" w:sz="0" w:space="0" w:color="auto"/>
        <w:bottom w:val="none" w:sz="0" w:space="0" w:color="auto"/>
        <w:right w:val="none" w:sz="0" w:space="0" w:color="auto"/>
      </w:divBdr>
      <w:divsChild>
        <w:div w:id="587886204">
          <w:marLeft w:val="0"/>
          <w:marRight w:val="0"/>
          <w:marTop w:val="0"/>
          <w:marBottom w:val="0"/>
          <w:divBdr>
            <w:top w:val="none" w:sz="0" w:space="0" w:color="auto"/>
            <w:left w:val="none" w:sz="0" w:space="0" w:color="auto"/>
            <w:bottom w:val="none" w:sz="0" w:space="0" w:color="auto"/>
            <w:right w:val="none" w:sz="0" w:space="0" w:color="auto"/>
          </w:divBdr>
          <w:divsChild>
            <w:div w:id="1474634185">
              <w:marLeft w:val="0"/>
              <w:marRight w:val="0"/>
              <w:marTop w:val="0"/>
              <w:marBottom w:val="0"/>
              <w:divBdr>
                <w:top w:val="none" w:sz="0" w:space="0" w:color="auto"/>
                <w:left w:val="none" w:sz="0" w:space="0" w:color="auto"/>
                <w:bottom w:val="none" w:sz="0" w:space="0" w:color="auto"/>
                <w:right w:val="none" w:sz="0" w:space="0" w:color="auto"/>
              </w:divBdr>
              <w:divsChild>
                <w:div w:id="11227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17666">
      <w:bodyDiv w:val="1"/>
      <w:marLeft w:val="0"/>
      <w:marRight w:val="0"/>
      <w:marTop w:val="0"/>
      <w:marBottom w:val="0"/>
      <w:divBdr>
        <w:top w:val="none" w:sz="0" w:space="0" w:color="auto"/>
        <w:left w:val="none" w:sz="0" w:space="0" w:color="auto"/>
        <w:bottom w:val="none" w:sz="0" w:space="0" w:color="auto"/>
        <w:right w:val="none" w:sz="0" w:space="0" w:color="auto"/>
      </w:divBdr>
      <w:divsChild>
        <w:div w:id="319424804">
          <w:marLeft w:val="0"/>
          <w:marRight w:val="0"/>
          <w:marTop w:val="0"/>
          <w:marBottom w:val="0"/>
          <w:divBdr>
            <w:top w:val="none" w:sz="0" w:space="0" w:color="auto"/>
            <w:left w:val="none" w:sz="0" w:space="0" w:color="auto"/>
            <w:bottom w:val="none" w:sz="0" w:space="0" w:color="auto"/>
            <w:right w:val="none" w:sz="0" w:space="0" w:color="auto"/>
          </w:divBdr>
          <w:divsChild>
            <w:div w:id="1594051863">
              <w:marLeft w:val="0"/>
              <w:marRight w:val="0"/>
              <w:marTop w:val="0"/>
              <w:marBottom w:val="0"/>
              <w:divBdr>
                <w:top w:val="none" w:sz="0" w:space="0" w:color="auto"/>
                <w:left w:val="none" w:sz="0" w:space="0" w:color="auto"/>
                <w:bottom w:val="none" w:sz="0" w:space="0" w:color="auto"/>
                <w:right w:val="none" w:sz="0" w:space="0" w:color="auto"/>
              </w:divBdr>
              <w:divsChild>
                <w:div w:id="15604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7040">
      <w:bodyDiv w:val="1"/>
      <w:marLeft w:val="0"/>
      <w:marRight w:val="0"/>
      <w:marTop w:val="0"/>
      <w:marBottom w:val="0"/>
      <w:divBdr>
        <w:top w:val="none" w:sz="0" w:space="0" w:color="auto"/>
        <w:left w:val="none" w:sz="0" w:space="0" w:color="auto"/>
        <w:bottom w:val="none" w:sz="0" w:space="0" w:color="auto"/>
        <w:right w:val="none" w:sz="0" w:space="0" w:color="auto"/>
      </w:divBdr>
      <w:divsChild>
        <w:div w:id="1325163015">
          <w:marLeft w:val="0"/>
          <w:marRight w:val="0"/>
          <w:marTop w:val="0"/>
          <w:marBottom w:val="0"/>
          <w:divBdr>
            <w:top w:val="none" w:sz="0" w:space="0" w:color="auto"/>
            <w:left w:val="none" w:sz="0" w:space="0" w:color="auto"/>
            <w:bottom w:val="none" w:sz="0" w:space="0" w:color="auto"/>
            <w:right w:val="none" w:sz="0" w:space="0" w:color="auto"/>
          </w:divBdr>
          <w:divsChild>
            <w:div w:id="1822187962">
              <w:marLeft w:val="0"/>
              <w:marRight w:val="0"/>
              <w:marTop w:val="0"/>
              <w:marBottom w:val="0"/>
              <w:divBdr>
                <w:top w:val="none" w:sz="0" w:space="0" w:color="auto"/>
                <w:left w:val="none" w:sz="0" w:space="0" w:color="auto"/>
                <w:bottom w:val="none" w:sz="0" w:space="0" w:color="auto"/>
                <w:right w:val="none" w:sz="0" w:space="0" w:color="auto"/>
              </w:divBdr>
              <w:divsChild>
                <w:div w:id="916789169">
                  <w:marLeft w:val="0"/>
                  <w:marRight w:val="0"/>
                  <w:marTop w:val="0"/>
                  <w:marBottom w:val="0"/>
                  <w:divBdr>
                    <w:top w:val="none" w:sz="0" w:space="0" w:color="auto"/>
                    <w:left w:val="none" w:sz="0" w:space="0" w:color="auto"/>
                    <w:bottom w:val="none" w:sz="0" w:space="0" w:color="auto"/>
                    <w:right w:val="none" w:sz="0" w:space="0" w:color="auto"/>
                  </w:divBdr>
                  <w:divsChild>
                    <w:div w:id="72787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799921">
      <w:bodyDiv w:val="1"/>
      <w:marLeft w:val="0"/>
      <w:marRight w:val="0"/>
      <w:marTop w:val="0"/>
      <w:marBottom w:val="0"/>
      <w:divBdr>
        <w:top w:val="none" w:sz="0" w:space="0" w:color="auto"/>
        <w:left w:val="none" w:sz="0" w:space="0" w:color="auto"/>
        <w:bottom w:val="none" w:sz="0" w:space="0" w:color="auto"/>
        <w:right w:val="none" w:sz="0" w:space="0" w:color="auto"/>
      </w:divBdr>
      <w:divsChild>
        <w:div w:id="1525051398">
          <w:marLeft w:val="0"/>
          <w:marRight w:val="0"/>
          <w:marTop w:val="0"/>
          <w:marBottom w:val="0"/>
          <w:divBdr>
            <w:top w:val="none" w:sz="0" w:space="0" w:color="auto"/>
            <w:left w:val="none" w:sz="0" w:space="0" w:color="auto"/>
            <w:bottom w:val="none" w:sz="0" w:space="0" w:color="auto"/>
            <w:right w:val="none" w:sz="0" w:space="0" w:color="auto"/>
          </w:divBdr>
          <w:divsChild>
            <w:div w:id="655032566">
              <w:marLeft w:val="0"/>
              <w:marRight w:val="0"/>
              <w:marTop w:val="0"/>
              <w:marBottom w:val="0"/>
              <w:divBdr>
                <w:top w:val="none" w:sz="0" w:space="0" w:color="auto"/>
                <w:left w:val="none" w:sz="0" w:space="0" w:color="auto"/>
                <w:bottom w:val="none" w:sz="0" w:space="0" w:color="auto"/>
                <w:right w:val="none" w:sz="0" w:space="0" w:color="auto"/>
              </w:divBdr>
              <w:divsChild>
                <w:div w:id="3283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9004">
      <w:bodyDiv w:val="1"/>
      <w:marLeft w:val="0"/>
      <w:marRight w:val="0"/>
      <w:marTop w:val="0"/>
      <w:marBottom w:val="0"/>
      <w:divBdr>
        <w:top w:val="none" w:sz="0" w:space="0" w:color="auto"/>
        <w:left w:val="none" w:sz="0" w:space="0" w:color="auto"/>
        <w:bottom w:val="none" w:sz="0" w:space="0" w:color="auto"/>
        <w:right w:val="none" w:sz="0" w:space="0" w:color="auto"/>
      </w:divBdr>
      <w:divsChild>
        <w:div w:id="463930971">
          <w:marLeft w:val="0"/>
          <w:marRight w:val="0"/>
          <w:marTop w:val="0"/>
          <w:marBottom w:val="0"/>
          <w:divBdr>
            <w:top w:val="none" w:sz="0" w:space="0" w:color="auto"/>
            <w:left w:val="none" w:sz="0" w:space="0" w:color="auto"/>
            <w:bottom w:val="none" w:sz="0" w:space="0" w:color="auto"/>
            <w:right w:val="none" w:sz="0" w:space="0" w:color="auto"/>
          </w:divBdr>
          <w:divsChild>
            <w:div w:id="1289582778">
              <w:marLeft w:val="0"/>
              <w:marRight w:val="0"/>
              <w:marTop w:val="0"/>
              <w:marBottom w:val="0"/>
              <w:divBdr>
                <w:top w:val="none" w:sz="0" w:space="0" w:color="auto"/>
                <w:left w:val="none" w:sz="0" w:space="0" w:color="auto"/>
                <w:bottom w:val="none" w:sz="0" w:space="0" w:color="auto"/>
                <w:right w:val="none" w:sz="0" w:space="0" w:color="auto"/>
              </w:divBdr>
              <w:divsChild>
                <w:div w:id="1347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2994">
      <w:bodyDiv w:val="1"/>
      <w:marLeft w:val="0"/>
      <w:marRight w:val="0"/>
      <w:marTop w:val="0"/>
      <w:marBottom w:val="0"/>
      <w:divBdr>
        <w:top w:val="none" w:sz="0" w:space="0" w:color="auto"/>
        <w:left w:val="none" w:sz="0" w:space="0" w:color="auto"/>
        <w:bottom w:val="none" w:sz="0" w:space="0" w:color="auto"/>
        <w:right w:val="none" w:sz="0" w:space="0" w:color="auto"/>
      </w:divBdr>
      <w:divsChild>
        <w:div w:id="34355533">
          <w:marLeft w:val="0"/>
          <w:marRight w:val="0"/>
          <w:marTop w:val="0"/>
          <w:marBottom w:val="0"/>
          <w:divBdr>
            <w:top w:val="none" w:sz="0" w:space="0" w:color="auto"/>
            <w:left w:val="none" w:sz="0" w:space="0" w:color="auto"/>
            <w:bottom w:val="none" w:sz="0" w:space="0" w:color="auto"/>
            <w:right w:val="none" w:sz="0" w:space="0" w:color="auto"/>
          </w:divBdr>
          <w:divsChild>
            <w:div w:id="1263681834">
              <w:marLeft w:val="0"/>
              <w:marRight w:val="0"/>
              <w:marTop w:val="0"/>
              <w:marBottom w:val="0"/>
              <w:divBdr>
                <w:top w:val="none" w:sz="0" w:space="0" w:color="auto"/>
                <w:left w:val="none" w:sz="0" w:space="0" w:color="auto"/>
                <w:bottom w:val="none" w:sz="0" w:space="0" w:color="auto"/>
                <w:right w:val="none" w:sz="0" w:space="0" w:color="auto"/>
              </w:divBdr>
              <w:divsChild>
                <w:div w:id="89164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328">
      <w:bodyDiv w:val="1"/>
      <w:marLeft w:val="0"/>
      <w:marRight w:val="0"/>
      <w:marTop w:val="0"/>
      <w:marBottom w:val="0"/>
      <w:divBdr>
        <w:top w:val="none" w:sz="0" w:space="0" w:color="auto"/>
        <w:left w:val="none" w:sz="0" w:space="0" w:color="auto"/>
        <w:bottom w:val="none" w:sz="0" w:space="0" w:color="auto"/>
        <w:right w:val="none" w:sz="0" w:space="0" w:color="auto"/>
      </w:divBdr>
      <w:divsChild>
        <w:div w:id="841579461">
          <w:marLeft w:val="0"/>
          <w:marRight w:val="0"/>
          <w:marTop w:val="0"/>
          <w:marBottom w:val="0"/>
          <w:divBdr>
            <w:top w:val="none" w:sz="0" w:space="0" w:color="auto"/>
            <w:left w:val="none" w:sz="0" w:space="0" w:color="auto"/>
            <w:bottom w:val="none" w:sz="0" w:space="0" w:color="auto"/>
            <w:right w:val="none" w:sz="0" w:space="0" w:color="auto"/>
          </w:divBdr>
          <w:divsChild>
            <w:div w:id="1325741505">
              <w:marLeft w:val="0"/>
              <w:marRight w:val="0"/>
              <w:marTop w:val="0"/>
              <w:marBottom w:val="0"/>
              <w:divBdr>
                <w:top w:val="none" w:sz="0" w:space="0" w:color="auto"/>
                <w:left w:val="none" w:sz="0" w:space="0" w:color="auto"/>
                <w:bottom w:val="none" w:sz="0" w:space="0" w:color="auto"/>
                <w:right w:val="none" w:sz="0" w:space="0" w:color="auto"/>
              </w:divBdr>
              <w:divsChild>
                <w:div w:id="419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36884">
      <w:bodyDiv w:val="1"/>
      <w:marLeft w:val="0"/>
      <w:marRight w:val="0"/>
      <w:marTop w:val="0"/>
      <w:marBottom w:val="0"/>
      <w:divBdr>
        <w:top w:val="none" w:sz="0" w:space="0" w:color="auto"/>
        <w:left w:val="none" w:sz="0" w:space="0" w:color="auto"/>
        <w:bottom w:val="none" w:sz="0" w:space="0" w:color="auto"/>
        <w:right w:val="none" w:sz="0" w:space="0" w:color="auto"/>
      </w:divBdr>
      <w:divsChild>
        <w:div w:id="860894701">
          <w:marLeft w:val="0"/>
          <w:marRight w:val="0"/>
          <w:marTop w:val="0"/>
          <w:marBottom w:val="0"/>
          <w:divBdr>
            <w:top w:val="none" w:sz="0" w:space="0" w:color="auto"/>
            <w:left w:val="none" w:sz="0" w:space="0" w:color="auto"/>
            <w:bottom w:val="none" w:sz="0" w:space="0" w:color="auto"/>
            <w:right w:val="none" w:sz="0" w:space="0" w:color="auto"/>
          </w:divBdr>
          <w:divsChild>
            <w:div w:id="83232049">
              <w:marLeft w:val="0"/>
              <w:marRight w:val="0"/>
              <w:marTop w:val="0"/>
              <w:marBottom w:val="0"/>
              <w:divBdr>
                <w:top w:val="none" w:sz="0" w:space="0" w:color="auto"/>
                <w:left w:val="none" w:sz="0" w:space="0" w:color="auto"/>
                <w:bottom w:val="none" w:sz="0" w:space="0" w:color="auto"/>
                <w:right w:val="none" w:sz="0" w:space="0" w:color="auto"/>
              </w:divBdr>
              <w:divsChild>
                <w:div w:id="19708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2854">
      <w:bodyDiv w:val="1"/>
      <w:marLeft w:val="0"/>
      <w:marRight w:val="0"/>
      <w:marTop w:val="0"/>
      <w:marBottom w:val="0"/>
      <w:divBdr>
        <w:top w:val="none" w:sz="0" w:space="0" w:color="auto"/>
        <w:left w:val="none" w:sz="0" w:space="0" w:color="auto"/>
        <w:bottom w:val="none" w:sz="0" w:space="0" w:color="auto"/>
        <w:right w:val="none" w:sz="0" w:space="0" w:color="auto"/>
      </w:divBdr>
      <w:divsChild>
        <w:div w:id="846360996">
          <w:marLeft w:val="0"/>
          <w:marRight w:val="0"/>
          <w:marTop w:val="0"/>
          <w:marBottom w:val="0"/>
          <w:divBdr>
            <w:top w:val="none" w:sz="0" w:space="0" w:color="auto"/>
            <w:left w:val="none" w:sz="0" w:space="0" w:color="auto"/>
            <w:bottom w:val="none" w:sz="0" w:space="0" w:color="auto"/>
            <w:right w:val="none" w:sz="0" w:space="0" w:color="auto"/>
          </w:divBdr>
          <w:divsChild>
            <w:div w:id="1490825794">
              <w:marLeft w:val="0"/>
              <w:marRight w:val="0"/>
              <w:marTop w:val="0"/>
              <w:marBottom w:val="0"/>
              <w:divBdr>
                <w:top w:val="none" w:sz="0" w:space="0" w:color="auto"/>
                <w:left w:val="none" w:sz="0" w:space="0" w:color="auto"/>
                <w:bottom w:val="none" w:sz="0" w:space="0" w:color="auto"/>
                <w:right w:val="none" w:sz="0" w:space="0" w:color="auto"/>
              </w:divBdr>
              <w:divsChild>
                <w:div w:id="1547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22358">
      <w:bodyDiv w:val="1"/>
      <w:marLeft w:val="0"/>
      <w:marRight w:val="0"/>
      <w:marTop w:val="0"/>
      <w:marBottom w:val="0"/>
      <w:divBdr>
        <w:top w:val="none" w:sz="0" w:space="0" w:color="auto"/>
        <w:left w:val="none" w:sz="0" w:space="0" w:color="auto"/>
        <w:bottom w:val="none" w:sz="0" w:space="0" w:color="auto"/>
        <w:right w:val="none" w:sz="0" w:space="0" w:color="auto"/>
      </w:divBdr>
      <w:divsChild>
        <w:div w:id="790395017">
          <w:marLeft w:val="0"/>
          <w:marRight w:val="0"/>
          <w:marTop w:val="0"/>
          <w:marBottom w:val="0"/>
          <w:divBdr>
            <w:top w:val="none" w:sz="0" w:space="0" w:color="auto"/>
            <w:left w:val="none" w:sz="0" w:space="0" w:color="auto"/>
            <w:bottom w:val="none" w:sz="0" w:space="0" w:color="auto"/>
            <w:right w:val="none" w:sz="0" w:space="0" w:color="auto"/>
          </w:divBdr>
          <w:divsChild>
            <w:div w:id="2133740120">
              <w:marLeft w:val="0"/>
              <w:marRight w:val="0"/>
              <w:marTop w:val="0"/>
              <w:marBottom w:val="0"/>
              <w:divBdr>
                <w:top w:val="none" w:sz="0" w:space="0" w:color="auto"/>
                <w:left w:val="none" w:sz="0" w:space="0" w:color="auto"/>
                <w:bottom w:val="none" w:sz="0" w:space="0" w:color="auto"/>
                <w:right w:val="none" w:sz="0" w:space="0" w:color="auto"/>
              </w:divBdr>
              <w:divsChild>
                <w:div w:id="16287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91043">
      <w:bodyDiv w:val="1"/>
      <w:marLeft w:val="0"/>
      <w:marRight w:val="0"/>
      <w:marTop w:val="0"/>
      <w:marBottom w:val="0"/>
      <w:divBdr>
        <w:top w:val="none" w:sz="0" w:space="0" w:color="auto"/>
        <w:left w:val="none" w:sz="0" w:space="0" w:color="auto"/>
        <w:bottom w:val="none" w:sz="0" w:space="0" w:color="auto"/>
        <w:right w:val="none" w:sz="0" w:space="0" w:color="auto"/>
      </w:divBdr>
      <w:divsChild>
        <w:div w:id="1631086131">
          <w:marLeft w:val="0"/>
          <w:marRight w:val="0"/>
          <w:marTop w:val="0"/>
          <w:marBottom w:val="0"/>
          <w:divBdr>
            <w:top w:val="none" w:sz="0" w:space="0" w:color="auto"/>
            <w:left w:val="none" w:sz="0" w:space="0" w:color="auto"/>
            <w:bottom w:val="none" w:sz="0" w:space="0" w:color="auto"/>
            <w:right w:val="none" w:sz="0" w:space="0" w:color="auto"/>
          </w:divBdr>
          <w:divsChild>
            <w:div w:id="1965309849">
              <w:marLeft w:val="0"/>
              <w:marRight w:val="0"/>
              <w:marTop w:val="0"/>
              <w:marBottom w:val="0"/>
              <w:divBdr>
                <w:top w:val="none" w:sz="0" w:space="0" w:color="auto"/>
                <w:left w:val="none" w:sz="0" w:space="0" w:color="auto"/>
                <w:bottom w:val="none" w:sz="0" w:space="0" w:color="auto"/>
                <w:right w:val="none" w:sz="0" w:space="0" w:color="auto"/>
              </w:divBdr>
              <w:divsChild>
                <w:div w:id="841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68327">
      <w:bodyDiv w:val="1"/>
      <w:marLeft w:val="0"/>
      <w:marRight w:val="0"/>
      <w:marTop w:val="0"/>
      <w:marBottom w:val="0"/>
      <w:divBdr>
        <w:top w:val="none" w:sz="0" w:space="0" w:color="auto"/>
        <w:left w:val="none" w:sz="0" w:space="0" w:color="auto"/>
        <w:bottom w:val="none" w:sz="0" w:space="0" w:color="auto"/>
        <w:right w:val="none" w:sz="0" w:space="0" w:color="auto"/>
      </w:divBdr>
      <w:divsChild>
        <w:div w:id="546570436">
          <w:marLeft w:val="0"/>
          <w:marRight w:val="0"/>
          <w:marTop w:val="0"/>
          <w:marBottom w:val="0"/>
          <w:divBdr>
            <w:top w:val="none" w:sz="0" w:space="0" w:color="auto"/>
            <w:left w:val="none" w:sz="0" w:space="0" w:color="auto"/>
            <w:bottom w:val="none" w:sz="0" w:space="0" w:color="auto"/>
            <w:right w:val="none" w:sz="0" w:space="0" w:color="auto"/>
          </w:divBdr>
          <w:divsChild>
            <w:div w:id="1535465866">
              <w:marLeft w:val="0"/>
              <w:marRight w:val="0"/>
              <w:marTop w:val="0"/>
              <w:marBottom w:val="0"/>
              <w:divBdr>
                <w:top w:val="none" w:sz="0" w:space="0" w:color="auto"/>
                <w:left w:val="none" w:sz="0" w:space="0" w:color="auto"/>
                <w:bottom w:val="none" w:sz="0" w:space="0" w:color="auto"/>
                <w:right w:val="none" w:sz="0" w:space="0" w:color="auto"/>
              </w:divBdr>
              <w:divsChild>
                <w:div w:id="17797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964841">
      <w:bodyDiv w:val="1"/>
      <w:marLeft w:val="0"/>
      <w:marRight w:val="0"/>
      <w:marTop w:val="0"/>
      <w:marBottom w:val="0"/>
      <w:divBdr>
        <w:top w:val="none" w:sz="0" w:space="0" w:color="auto"/>
        <w:left w:val="none" w:sz="0" w:space="0" w:color="auto"/>
        <w:bottom w:val="none" w:sz="0" w:space="0" w:color="auto"/>
        <w:right w:val="none" w:sz="0" w:space="0" w:color="auto"/>
      </w:divBdr>
      <w:divsChild>
        <w:div w:id="948438889">
          <w:marLeft w:val="0"/>
          <w:marRight w:val="0"/>
          <w:marTop w:val="0"/>
          <w:marBottom w:val="0"/>
          <w:divBdr>
            <w:top w:val="none" w:sz="0" w:space="0" w:color="auto"/>
            <w:left w:val="none" w:sz="0" w:space="0" w:color="auto"/>
            <w:bottom w:val="none" w:sz="0" w:space="0" w:color="auto"/>
            <w:right w:val="none" w:sz="0" w:space="0" w:color="auto"/>
          </w:divBdr>
          <w:divsChild>
            <w:div w:id="2130082129">
              <w:marLeft w:val="0"/>
              <w:marRight w:val="0"/>
              <w:marTop w:val="0"/>
              <w:marBottom w:val="0"/>
              <w:divBdr>
                <w:top w:val="none" w:sz="0" w:space="0" w:color="auto"/>
                <w:left w:val="none" w:sz="0" w:space="0" w:color="auto"/>
                <w:bottom w:val="none" w:sz="0" w:space="0" w:color="auto"/>
                <w:right w:val="none" w:sz="0" w:space="0" w:color="auto"/>
              </w:divBdr>
              <w:divsChild>
                <w:div w:id="177250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49033">
      <w:bodyDiv w:val="1"/>
      <w:marLeft w:val="0"/>
      <w:marRight w:val="0"/>
      <w:marTop w:val="0"/>
      <w:marBottom w:val="0"/>
      <w:divBdr>
        <w:top w:val="none" w:sz="0" w:space="0" w:color="auto"/>
        <w:left w:val="none" w:sz="0" w:space="0" w:color="auto"/>
        <w:bottom w:val="none" w:sz="0" w:space="0" w:color="auto"/>
        <w:right w:val="none" w:sz="0" w:space="0" w:color="auto"/>
      </w:divBdr>
      <w:divsChild>
        <w:div w:id="391584315">
          <w:marLeft w:val="0"/>
          <w:marRight w:val="0"/>
          <w:marTop w:val="0"/>
          <w:marBottom w:val="0"/>
          <w:divBdr>
            <w:top w:val="none" w:sz="0" w:space="0" w:color="auto"/>
            <w:left w:val="none" w:sz="0" w:space="0" w:color="auto"/>
            <w:bottom w:val="none" w:sz="0" w:space="0" w:color="auto"/>
            <w:right w:val="none" w:sz="0" w:space="0" w:color="auto"/>
          </w:divBdr>
          <w:divsChild>
            <w:div w:id="1590581221">
              <w:marLeft w:val="0"/>
              <w:marRight w:val="0"/>
              <w:marTop w:val="0"/>
              <w:marBottom w:val="0"/>
              <w:divBdr>
                <w:top w:val="none" w:sz="0" w:space="0" w:color="auto"/>
                <w:left w:val="none" w:sz="0" w:space="0" w:color="auto"/>
                <w:bottom w:val="none" w:sz="0" w:space="0" w:color="auto"/>
                <w:right w:val="none" w:sz="0" w:space="0" w:color="auto"/>
              </w:divBdr>
              <w:divsChild>
                <w:div w:id="11540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77534">
      <w:bodyDiv w:val="1"/>
      <w:marLeft w:val="0"/>
      <w:marRight w:val="0"/>
      <w:marTop w:val="0"/>
      <w:marBottom w:val="0"/>
      <w:divBdr>
        <w:top w:val="none" w:sz="0" w:space="0" w:color="auto"/>
        <w:left w:val="none" w:sz="0" w:space="0" w:color="auto"/>
        <w:bottom w:val="none" w:sz="0" w:space="0" w:color="auto"/>
        <w:right w:val="none" w:sz="0" w:space="0" w:color="auto"/>
      </w:divBdr>
      <w:divsChild>
        <w:div w:id="81412550">
          <w:marLeft w:val="0"/>
          <w:marRight w:val="0"/>
          <w:marTop w:val="0"/>
          <w:marBottom w:val="0"/>
          <w:divBdr>
            <w:top w:val="none" w:sz="0" w:space="0" w:color="auto"/>
            <w:left w:val="none" w:sz="0" w:space="0" w:color="auto"/>
            <w:bottom w:val="none" w:sz="0" w:space="0" w:color="auto"/>
            <w:right w:val="none" w:sz="0" w:space="0" w:color="auto"/>
          </w:divBdr>
          <w:divsChild>
            <w:div w:id="266741102">
              <w:marLeft w:val="0"/>
              <w:marRight w:val="0"/>
              <w:marTop w:val="0"/>
              <w:marBottom w:val="0"/>
              <w:divBdr>
                <w:top w:val="none" w:sz="0" w:space="0" w:color="auto"/>
                <w:left w:val="none" w:sz="0" w:space="0" w:color="auto"/>
                <w:bottom w:val="none" w:sz="0" w:space="0" w:color="auto"/>
                <w:right w:val="none" w:sz="0" w:space="0" w:color="auto"/>
              </w:divBdr>
              <w:divsChild>
                <w:div w:id="20171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87609">
      <w:bodyDiv w:val="1"/>
      <w:marLeft w:val="0"/>
      <w:marRight w:val="0"/>
      <w:marTop w:val="0"/>
      <w:marBottom w:val="0"/>
      <w:divBdr>
        <w:top w:val="none" w:sz="0" w:space="0" w:color="auto"/>
        <w:left w:val="none" w:sz="0" w:space="0" w:color="auto"/>
        <w:bottom w:val="none" w:sz="0" w:space="0" w:color="auto"/>
        <w:right w:val="none" w:sz="0" w:space="0" w:color="auto"/>
      </w:divBdr>
      <w:divsChild>
        <w:div w:id="383212209">
          <w:marLeft w:val="0"/>
          <w:marRight w:val="0"/>
          <w:marTop w:val="0"/>
          <w:marBottom w:val="0"/>
          <w:divBdr>
            <w:top w:val="none" w:sz="0" w:space="0" w:color="auto"/>
            <w:left w:val="none" w:sz="0" w:space="0" w:color="auto"/>
            <w:bottom w:val="none" w:sz="0" w:space="0" w:color="auto"/>
            <w:right w:val="none" w:sz="0" w:space="0" w:color="auto"/>
          </w:divBdr>
          <w:divsChild>
            <w:div w:id="38895582">
              <w:marLeft w:val="0"/>
              <w:marRight w:val="0"/>
              <w:marTop w:val="0"/>
              <w:marBottom w:val="0"/>
              <w:divBdr>
                <w:top w:val="none" w:sz="0" w:space="0" w:color="auto"/>
                <w:left w:val="none" w:sz="0" w:space="0" w:color="auto"/>
                <w:bottom w:val="none" w:sz="0" w:space="0" w:color="auto"/>
                <w:right w:val="none" w:sz="0" w:space="0" w:color="auto"/>
              </w:divBdr>
              <w:divsChild>
                <w:div w:id="19751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54742">
      <w:bodyDiv w:val="1"/>
      <w:marLeft w:val="0"/>
      <w:marRight w:val="0"/>
      <w:marTop w:val="0"/>
      <w:marBottom w:val="0"/>
      <w:divBdr>
        <w:top w:val="none" w:sz="0" w:space="0" w:color="auto"/>
        <w:left w:val="none" w:sz="0" w:space="0" w:color="auto"/>
        <w:bottom w:val="none" w:sz="0" w:space="0" w:color="auto"/>
        <w:right w:val="none" w:sz="0" w:space="0" w:color="auto"/>
      </w:divBdr>
      <w:divsChild>
        <w:div w:id="1948535579">
          <w:marLeft w:val="0"/>
          <w:marRight w:val="0"/>
          <w:marTop w:val="0"/>
          <w:marBottom w:val="0"/>
          <w:divBdr>
            <w:top w:val="none" w:sz="0" w:space="0" w:color="auto"/>
            <w:left w:val="none" w:sz="0" w:space="0" w:color="auto"/>
            <w:bottom w:val="none" w:sz="0" w:space="0" w:color="auto"/>
            <w:right w:val="none" w:sz="0" w:space="0" w:color="auto"/>
          </w:divBdr>
          <w:divsChild>
            <w:div w:id="236015164">
              <w:marLeft w:val="0"/>
              <w:marRight w:val="0"/>
              <w:marTop w:val="0"/>
              <w:marBottom w:val="0"/>
              <w:divBdr>
                <w:top w:val="none" w:sz="0" w:space="0" w:color="auto"/>
                <w:left w:val="none" w:sz="0" w:space="0" w:color="auto"/>
                <w:bottom w:val="none" w:sz="0" w:space="0" w:color="auto"/>
                <w:right w:val="none" w:sz="0" w:space="0" w:color="auto"/>
              </w:divBdr>
              <w:divsChild>
                <w:div w:id="16909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7075">
      <w:bodyDiv w:val="1"/>
      <w:marLeft w:val="0"/>
      <w:marRight w:val="0"/>
      <w:marTop w:val="0"/>
      <w:marBottom w:val="0"/>
      <w:divBdr>
        <w:top w:val="none" w:sz="0" w:space="0" w:color="auto"/>
        <w:left w:val="none" w:sz="0" w:space="0" w:color="auto"/>
        <w:bottom w:val="none" w:sz="0" w:space="0" w:color="auto"/>
        <w:right w:val="none" w:sz="0" w:space="0" w:color="auto"/>
      </w:divBdr>
      <w:divsChild>
        <w:div w:id="140734768">
          <w:marLeft w:val="0"/>
          <w:marRight w:val="0"/>
          <w:marTop w:val="0"/>
          <w:marBottom w:val="0"/>
          <w:divBdr>
            <w:top w:val="none" w:sz="0" w:space="0" w:color="auto"/>
            <w:left w:val="none" w:sz="0" w:space="0" w:color="auto"/>
            <w:bottom w:val="none" w:sz="0" w:space="0" w:color="auto"/>
            <w:right w:val="none" w:sz="0" w:space="0" w:color="auto"/>
          </w:divBdr>
          <w:divsChild>
            <w:div w:id="866020386">
              <w:marLeft w:val="0"/>
              <w:marRight w:val="0"/>
              <w:marTop w:val="0"/>
              <w:marBottom w:val="0"/>
              <w:divBdr>
                <w:top w:val="none" w:sz="0" w:space="0" w:color="auto"/>
                <w:left w:val="none" w:sz="0" w:space="0" w:color="auto"/>
                <w:bottom w:val="none" w:sz="0" w:space="0" w:color="auto"/>
                <w:right w:val="none" w:sz="0" w:space="0" w:color="auto"/>
              </w:divBdr>
              <w:divsChild>
                <w:div w:id="23744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49957">
      <w:bodyDiv w:val="1"/>
      <w:marLeft w:val="0"/>
      <w:marRight w:val="0"/>
      <w:marTop w:val="0"/>
      <w:marBottom w:val="0"/>
      <w:divBdr>
        <w:top w:val="none" w:sz="0" w:space="0" w:color="auto"/>
        <w:left w:val="none" w:sz="0" w:space="0" w:color="auto"/>
        <w:bottom w:val="none" w:sz="0" w:space="0" w:color="auto"/>
        <w:right w:val="none" w:sz="0" w:space="0" w:color="auto"/>
      </w:divBdr>
      <w:divsChild>
        <w:div w:id="1901556586">
          <w:marLeft w:val="0"/>
          <w:marRight w:val="0"/>
          <w:marTop w:val="0"/>
          <w:marBottom w:val="0"/>
          <w:divBdr>
            <w:top w:val="none" w:sz="0" w:space="0" w:color="auto"/>
            <w:left w:val="none" w:sz="0" w:space="0" w:color="auto"/>
            <w:bottom w:val="none" w:sz="0" w:space="0" w:color="auto"/>
            <w:right w:val="none" w:sz="0" w:space="0" w:color="auto"/>
          </w:divBdr>
          <w:divsChild>
            <w:div w:id="1682780310">
              <w:marLeft w:val="0"/>
              <w:marRight w:val="0"/>
              <w:marTop w:val="0"/>
              <w:marBottom w:val="0"/>
              <w:divBdr>
                <w:top w:val="none" w:sz="0" w:space="0" w:color="auto"/>
                <w:left w:val="none" w:sz="0" w:space="0" w:color="auto"/>
                <w:bottom w:val="none" w:sz="0" w:space="0" w:color="auto"/>
                <w:right w:val="none" w:sz="0" w:space="0" w:color="auto"/>
              </w:divBdr>
              <w:divsChild>
                <w:div w:id="17445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4148">
      <w:bodyDiv w:val="1"/>
      <w:marLeft w:val="0"/>
      <w:marRight w:val="0"/>
      <w:marTop w:val="0"/>
      <w:marBottom w:val="0"/>
      <w:divBdr>
        <w:top w:val="none" w:sz="0" w:space="0" w:color="auto"/>
        <w:left w:val="none" w:sz="0" w:space="0" w:color="auto"/>
        <w:bottom w:val="none" w:sz="0" w:space="0" w:color="auto"/>
        <w:right w:val="none" w:sz="0" w:space="0" w:color="auto"/>
      </w:divBdr>
      <w:divsChild>
        <w:div w:id="1740709816">
          <w:marLeft w:val="0"/>
          <w:marRight w:val="0"/>
          <w:marTop w:val="0"/>
          <w:marBottom w:val="0"/>
          <w:divBdr>
            <w:top w:val="none" w:sz="0" w:space="0" w:color="auto"/>
            <w:left w:val="none" w:sz="0" w:space="0" w:color="auto"/>
            <w:bottom w:val="none" w:sz="0" w:space="0" w:color="auto"/>
            <w:right w:val="none" w:sz="0" w:space="0" w:color="auto"/>
          </w:divBdr>
          <w:divsChild>
            <w:div w:id="1886912868">
              <w:marLeft w:val="0"/>
              <w:marRight w:val="0"/>
              <w:marTop w:val="0"/>
              <w:marBottom w:val="0"/>
              <w:divBdr>
                <w:top w:val="none" w:sz="0" w:space="0" w:color="auto"/>
                <w:left w:val="none" w:sz="0" w:space="0" w:color="auto"/>
                <w:bottom w:val="none" w:sz="0" w:space="0" w:color="auto"/>
                <w:right w:val="none" w:sz="0" w:space="0" w:color="auto"/>
              </w:divBdr>
              <w:divsChild>
                <w:div w:id="1825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626342">
      <w:bodyDiv w:val="1"/>
      <w:marLeft w:val="0"/>
      <w:marRight w:val="0"/>
      <w:marTop w:val="0"/>
      <w:marBottom w:val="0"/>
      <w:divBdr>
        <w:top w:val="none" w:sz="0" w:space="0" w:color="auto"/>
        <w:left w:val="none" w:sz="0" w:space="0" w:color="auto"/>
        <w:bottom w:val="none" w:sz="0" w:space="0" w:color="auto"/>
        <w:right w:val="none" w:sz="0" w:space="0" w:color="auto"/>
      </w:divBdr>
      <w:divsChild>
        <w:div w:id="48386824">
          <w:marLeft w:val="0"/>
          <w:marRight w:val="0"/>
          <w:marTop w:val="0"/>
          <w:marBottom w:val="0"/>
          <w:divBdr>
            <w:top w:val="none" w:sz="0" w:space="0" w:color="auto"/>
            <w:left w:val="none" w:sz="0" w:space="0" w:color="auto"/>
            <w:bottom w:val="none" w:sz="0" w:space="0" w:color="auto"/>
            <w:right w:val="none" w:sz="0" w:space="0" w:color="auto"/>
          </w:divBdr>
          <w:divsChild>
            <w:div w:id="1903566200">
              <w:marLeft w:val="0"/>
              <w:marRight w:val="0"/>
              <w:marTop w:val="0"/>
              <w:marBottom w:val="0"/>
              <w:divBdr>
                <w:top w:val="none" w:sz="0" w:space="0" w:color="auto"/>
                <w:left w:val="none" w:sz="0" w:space="0" w:color="auto"/>
                <w:bottom w:val="none" w:sz="0" w:space="0" w:color="auto"/>
                <w:right w:val="none" w:sz="0" w:space="0" w:color="auto"/>
              </w:divBdr>
              <w:divsChild>
                <w:div w:id="20951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340067">
      <w:bodyDiv w:val="1"/>
      <w:marLeft w:val="0"/>
      <w:marRight w:val="0"/>
      <w:marTop w:val="0"/>
      <w:marBottom w:val="0"/>
      <w:divBdr>
        <w:top w:val="none" w:sz="0" w:space="0" w:color="auto"/>
        <w:left w:val="none" w:sz="0" w:space="0" w:color="auto"/>
        <w:bottom w:val="none" w:sz="0" w:space="0" w:color="auto"/>
        <w:right w:val="none" w:sz="0" w:space="0" w:color="auto"/>
      </w:divBdr>
      <w:divsChild>
        <w:div w:id="1590851592">
          <w:marLeft w:val="0"/>
          <w:marRight w:val="0"/>
          <w:marTop w:val="0"/>
          <w:marBottom w:val="0"/>
          <w:divBdr>
            <w:top w:val="none" w:sz="0" w:space="0" w:color="auto"/>
            <w:left w:val="none" w:sz="0" w:space="0" w:color="auto"/>
            <w:bottom w:val="none" w:sz="0" w:space="0" w:color="auto"/>
            <w:right w:val="none" w:sz="0" w:space="0" w:color="auto"/>
          </w:divBdr>
          <w:divsChild>
            <w:div w:id="2129427324">
              <w:marLeft w:val="0"/>
              <w:marRight w:val="0"/>
              <w:marTop w:val="0"/>
              <w:marBottom w:val="0"/>
              <w:divBdr>
                <w:top w:val="none" w:sz="0" w:space="0" w:color="auto"/>
                <w:left w:val="none" w:sz="0" w:space="0" w:color="auto"/>
                <w:bottom w:val="none" w:sz="0" w:space="0" w:color="auto"/>
                <w:right w:val="none" w:sz="0" w:space="0" w:color="auto"/>
              </w:divBdr>
              <w:divsChild>
                <w:div w:id="9821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50730">
      <w:bodyDiv w:val="1"/>
      <w:marLeft w:val="0"/>
      <w:marRight w:val="0"/>
      <w:marTop w:val="0"/>
      <w:marBottom w:val="0"/>
      <w:divBdr>
        <w:top w:val="none" w:sz="0" w:space="0" w:color="auto"/>
        <w:left w:val="none" w:sz="0" w:space="0" w:color="auto"/>
        <w:bottom w:val="none" w:sz="0" w:space="0" w:color="auto"/>
        <w:right w:val="none" w:sz="0" w:space="0" w:color="auto"/>
      </w:divBdr>
      <w:divsChild>
        <w:div w:id="1900364090">
          <w:marLeft w:val="0"/>
          <w:marRight w:val="0"/>
          <w:marTop w:val="0"/>
          <w:marBottom w:val="0"/>
          <w:divBdr>
            <w:top w:val="none" w:sz="0" w:space="0" w:color="auto"/>
            <w:left w:val="none" w:sz="0" w:space="0" w:color="auto"/>
            <w:bottom w:val="none" w:sz="0" w:space="0" w:color="auto"/>
            <w:right w:val="none" w:sz="0" w:space="0" w:color="auto"/>
          </w:divBdr>
          <w:divsChild>
            <w:div w:id="1241283919">
              <w:marLeft w:val="0"/>
              <w:marRight w:val="0"/>
              <w:marTop w:val="0"/>
              <w:marBottom w:val="0"/>
              <w:divBdr>
                <w:top w:val="none" w:sz="0" w:space="0" w:color="auto"/>
                <w:left w:val="none" w:sz="0" w:space="0" w:color="auto"/>
                <w:bottom w:val="none" w:sz="0" w:space="0" w:color="auto"/>
                <w:right w:val="none" w:sz="0" w:space="0" w:color="auto"/>
              </w:divBdr>
              <w:divsChild>
                <w:div w:id="103411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262998">
      <w:bodyDiv w:val="1"/>
      <w:marLeft w:val="0"/>
      <w:marRight w:val="0"/>
      <w:marTop w:val="0"/>
      <w:marBottom w:val="0"/>
      <w:divBdr>
        <w:top w:val="none" w:sz="0" w:space="0" w:color="auto"/>
        <w:left w:val="none" w:sz="0" w:space="0" w:color="auto"/>
        <w:bottom w:val="none" w:sz="0" w:space="0" w:color="auto"/>
        <w:right w:val="none" w:sz="0" w:space="0" w:color="auto"/>
      </w:divBdr>
      <w:divsChild>
        <w:div w:id="518355272">
          <w:marLeft w:val="0"/>
          <w:marRight w:val="0"/>
          <w:marTop w:val="0"/>
          <w:marBottom w:val="0"/>
          <w:divBdr>
            <w:top w:val="none" w:sz="0" w:space="0" w:color="auto"/>
            <w:left w:val="none" w:sz="0" w:space="0" w:color="auto"/>
            <w:bottom w:val="none" w:sz="0" w:space="0" w:color="auto"/>
            <w:right w:val="none" w:sz="0" w:space="0" w:color="auto"/>
          </w:divBdr>
          <w:divsChild>
            <w:div w:id="1452480431">
              <w:marLeft w:val="0"/>
              <w:marRight w:val="0"/>
              <w:marTop w:val="0"/>
              <w:marBottom w:val="0"/>
              <w:divBdr>
                <w:top w:val="none" w:sz="0" w:space="0" w:color="auto"/>
                <w:left w:val="none" w:sz="0" w:space="0" w:color="auto"/>
                <w:bottom w:val="none" w:sz="0" w:space="0" w:color="auto"/>
                <w:right w:val="none" w:sz="0" w:space="0" w:color="auto"/>
              </w:divBdr>
              <w:divsChild>
                <w:div w:id="20373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0711">
      <w:bodyDiv w:val="1"/>
      <w:marLeft w:val="0"/>
      <w:marRight w:val="0"/>
      <w:marTop w:val="0"/>
      <w:marBottom w:val="0"/>
      <w:divBdr>
        <w:top w:val="none" w:sz="0" w:space="0" w:color="auto"/>
        <w:left w:val="none" w:sz="0" w:space="0" w:color="auto"/>
        <w:bottom w:val="none" w:sz="0" w:space="0" w:color="auto"/>
        <w:right w:val="none" w:sz="0" w:space="0" w:color="auto"/>
      </w:divBdr>
      <w:divsChild>
        <w:div w:id="364525898">
          <w:marLeft w:val="0"/>
          <w:marRight w:val="0"/>
          <w:marTop w:val="0"/>
          <w:marBottom w:val="0"/>
          <w:divBdr>
            <w:top w:val="none" w:sz="0" w:space="0" w:color="auto"/>
            <w:left w:val="none" w:sz="0" w:space="0" w:color="auto"/>
            <w:bottom w:val="none" w:sz="0" w:space="0" w:color="auto"/>
            <w:right w:val="none" w:sz="0" w:space="0" w:color="auto"/>
          </w:divBdr>
          <w:divsChild>
            <w:div w:id="134684988">
              <w:marLeft w:val="0"/>
              <w:marRight w:val="0"/>
              <w:marTop w:val="0"/>
              <w:marBottom w:val="0"/>
              <w:divBdr>
                <w:top w:val="none" w:sz="0" w:space="0" w:color="auto"/>
                <w:left w:val="none" w:sz="0" w:space="0" w:color="auto"/>
                <w:bottom w:val="none" w:sz="0" w:space="0" w:color="auto"/>
                <w:right w:val="none" w:sz="0" w:space="0" w:color="auto"/>
              </w:divBdr>
              <w:divsChild>
                <w:div w:id="2768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658615">
      <w:bodyDiv w:val="1"/>
      <w:marLeft w:val="0"/>
      <w:marRight w:val="0"/>
      <w:marTop w:val="0"/>
      <w:marBottom w:val="0"/>
      <w:divBdr>
        <w:top w:val="none" w:sz="0" w:space="0" w:color="auto"/>
        <w:left w:val="none" w:sz="0" w:space="0" w:color="auto"/>
        <w:bottom w:val="none" w:sz="0" w:space="0" w:color="auto"/>
        <w:right w:val="none" w:sz="0" w:space="0" w:color="auto"/>
      </w:divBdr>
      <w:divsChild>
        <w:div w:id="177669150">
          <w:marLeft w:val="0"/>
          <w:marRight w:val="0"/>
          <w:marTop w:val="0"/>
          <w:marBottom w:val="0"/>
          <w:divBdr>
            <w:top w:val="none" w:sz="0" w:space="0" w:color="auto"/>
            <w:left w:val="none" w:sz="0" w:space="0" w:color="auto"/>
            <w:bottom w:val="none" w:sz="0" w:space="0" w:color="auto"/>
            <w:right w:val="none" w:sz="0" w:space="0" w:color="auto"/>
          </w:divBdr>
          <w:divsChild>
            <w:div w:id="1529443963">
              <w:marLeft w:val="0"/>
              <w:marRight w:val="0"/>
              <w:marTop w:val="0"/>
              <w:marBottom w:val="0"/>
              <w:divBdr>
                <w:top w:val="none" w:sz="0" w:space="0" w:color="auto"/>
                <w:left w:val="none" w:sz="0" w:space="0" w:color="auto"/>
                <w:bottom w:val="none" w:sz="0" w:space="0" w:color="auto"/>
                <w:right w:val="none" w:sz="0" w:space="0" w:color="auto"/>
              </w:divBdr>
              <w:divsChild>
                <w:div w:id="130666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04874">
      <w:bodyDiv w:val="1"/>
      <w:marLeft w:val="0"/>
      <w:marRight w:val="0"/>
      <w:marTop w:val="0"/>
      <w:marBottom w:val="0"/>
      <w:divBdr>
        <w:top w:val="none" w:sz="0" w:space="0" w:color="auto"/>
        <w:left w:val="none" w:sz="0" w:space="0" w:color="auto"/>
        <w:bottom w:val="none" w:sz="0" w:space="0" w:color="auto"/>
        <w:right w:val="none" w:sz="0" w:space="0" w:color="auto"/>
      </w:divBdr>
      <w:divsChild>
        <w:div w:id="885527203">
          <w:marLeft w:val="0"/>
          <w:marRight w:val="0"/>
          <w:marTop w:val="0"/>
          <w:marBottom w:val="0"/>
          <w:divBdr>
            <w:top w:val="none" w:sz="0" w:space="0" w:color="auto"/>
            <w:left w:val="none" w:sz="0" w:space="0" w:color="auto"/>
            <w:bottom w:val="none" w:sz="0" w:space="0" w:color="auto"/>
            <w:right w:val="none" w:sz="0" w:space="0" w:color="auto"/>
          </w:divBdr>
          <w:divsChild>
            <w:div w:id="1832869706">
              <w:marLeft w:val="0"/>
              <w:marRight w:val="0"/>
              <w:marTop w:val="0"/>
              <w:marBottom w:val="0"/>
              <w:divBdr>
                <w:top w:val="none" w:sz="0" w:space="0" w:color="auto"/>
                <w:left w:val="none" w:sz="0" w:space="0" w:color="auto"/>
                <w:bottom w:val="none" w:sz="0" w:space="0" w:color="auto"/>
                <w:right w:val="none" w:sz="0" w:space="0" w:color="auto"/>
              </w:divBdr>
              <w:divsChild>
                <w:div w:id="2682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7756">
      <w:bodyDiv w:val="1"/>
      <w:marLeft w:val="0"/>
      <w:marRight w:val="0"/>
      <w:marTop w:val="0"/>
      <w:marBottom w:val="0"/>
      <w:divBdr>
        <w:top w:val="none" w:sz="0" w:space="0" w:color="auto"/>
        <w:left w:val="none" w:sz="0" w:space="0" w:color="auto"/>
        <w:bottom w:val="none" w:sz="0" w:space="0" w:color="auto"/>
        <w:right w:val="none" w:sz="0" w:space="0" w:color="auto"/>
      </w:divBdr>
      <w:divsChild>
        <w:div w:id="1410737851">
          <w:marLeft w:val="0"/>
          <w:marRight w:val="0"/>
          <w:marTop w:val="0"/>
          <w:marBottom w:val="0"/>
          <w:divBdr>
            <w:top w:val="none" w:sz="0" w:space="0" w:color="auto"/>
            <w:left w:val="none" w:sz="0" w:space="0" w:color="auto"/>
            <w:bottom w:val="none" w:sz="0" w:space="0" w:color="auto"/>
            <w:right w:val="none" w:sz="0" w:space="0" w:color="auto"/>
          </w:divBdr>
          <w:divsChild>
            <w:div w:id="1417436889">
              <w:marLeft w:val="0"/>
              <w:marRight w:val="0"/>
              <w:marTop w:val="0"/>
              <w:marBottom w:val="0"/>
              <w:divBdr>
                <w:top w:val="none" w:sz="0" w:space="0" w:color="auto"/>
                <w:left w:val="none" w:sz="0" w:space="0" w:color="auto"/>
                <w:bottom w:val="none" w:sz="0" w:space="0" w:color="auto"/>
                <w:right w:val="none" w:sz="0" w:space="0" w:color="auto"/>
              </w:divBdr>
              <w:divsChild>
                <w:div w:id="16816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30974">
      <w:bodyDiv w:val="1"/>
      <w:marLeft w:val="0"/>
      <w:marRight w:val="0"/>
      <w:marTop w:val="0"/>
      <w:marBottom w:val="0"/>
      <w:divBdr>
        <w:top w:val="none" w:sz="0" w:space="0" w:color="auto"/>
        <w:left w:val="none" w:sz="0" w:space="0" w:color="auto"/>
        <w:bottom w:val="none" w:sz="0" w:space="0" w:color="auto"/>
        <w:right w:val="none" w:sz="0" w:space="0" w:color="auto"/>
      </w:divBdr>
      <w:divsChild>
        <w:div w:id="714239394">
          <w:marLeft w:val="0"/>
          <w:marRight w:val="0"/>
          <w:marTop w:val="0"/>
          <w:marBottom w:val="0"/>
          <w:divBdr>
            <w:top w:val="none" w:sz="0" w:space="0" w:color="auto"/>
            <w:left w:val="none" w:sz="0" w:space="0" w:color="auto"/>
            <w:bottom w:val="none" w:sz="0" w:space="0" w:color="auto"/>
            <w:right w:val="none" w:sz="0" w:space="0" w:color="auto"/>
          </w:divBdr>
          <w:divsChild>
            <w:div w:id="185753701">
              <w:marLeft w:val="0"/>
              <w:marRight w:val="0"/>
              <w:marTop w:val="0"/>
              <w:marBottom w:val="0"/>
              <w:divBdr>
                <w:top w:val="none" w:sz="0" w:space="0" w:color="auto"/>
                <w:left w:val="none" w:sz="0" w:space="0" w:color="auto"/>
                <w:bottom w:val="none" w:sz="0" w:space="0" w:color="auto"/>
                <w:right w:val="none" w:sz="0" w:space="0" w:color="auto"/>
              </w:divBdr>
              <w:divsChild>
                <w:div w:id="74253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6673">
      <w:bodyDiv w:val="1"/>
      <w:marLeft w:val="0"/>
      <w:marRight w:val="0"/>
      <w:marTop w:val="0"/>
      <w:marBottom w:val="0"/>
      <w:divBdr>
        <w:top w:val="none" w:sz="0" w:space="0" w:color="auto"/>
        <w:left w:val="none" w:sz="0" w:space="0" w:color="auto"/>
        <w:bottom w:val="none" w:sz="0" w:space="0" w:color="auto"/>
        <w:right w:val="none" w:sz="0" w:space="0" w:color="auto"/>
      </w:divBdr>
      <w:divsChild>
        <w:div w:id="1537229014">
          <w:marLeft w:val="0"/>
          <w:marRight w:val="0"/>
          <w:marTop w:val="0"/>
          <w:marBottom w:val="0"/>
          <w:divBdr>
            <w:top w:val="none" w:sz="0" w:space="0" w:color="auto"/>
            <w:left w:val="none" w:sz="0" w:space="0" w:color="auto"/>
            <w:bottom w:val="none" w:sz="0" w:space="0" w:color="auto"/>
            <w:right w:val="none" w:sz="0" w:space="0" w:color="auto"/>
          </w:divBdr>
          <w:divsChild>
            <w:div w:id="502627029">
              <w:marLeft w:val="0"/>
              <w:marRight w:val="0"/>
              <w:marTop w:val="0"/>
              <w:marBottom w:val="0"/>
              <w:divBdr>
                <w:top w:val="none" w:sz="0" w:space="0" w:color="auto"/>
                <w:left w:val="none" w:sz="0" w:space="0" w:color="auto"/>
                <w:bottom w:val="none" w:sz="0" w:space="0" w:color="auto"/>
                <w:right w:val="none" w:sz="0" w:space="0" w:color="auto"/>
              </w:divBdr>
              <w:divsChild>
                <w:div w:id="875390383">
                  <w:marLeft w:val="0"/>
                  <w:marRight w:val="0"/>
                  <w:marTop w:val="0"/>
                  <w:marBottom w:val="0"/>
                  <w:divBdr>
                    <w:top w:val="none" w:sz="0" w:space="0" w:color="auto"/>
                    <w:left w:val="none" w:sz="0" w:space="0" w:color="auto"/>
                    <w:bottom w:val="none" w:sz="0" w:space="0" w:color="auto"/>
                    <w:right w:val="none" w:sz="0" w:space="0" w:color="auto"/>
                  </w:divBdr>
                  <w:divsChild>
                    <w:div w:id="2490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83140">
      <w:bodyDiv w:val="1"/>
      <w:marLeft w:val="0"/>
      <w:marRight w:val="0"/>
      <w:marTop w:val="0"/>
      <w:marBottom w:val="0"/>
      <w:divBdr>
        <w:top w:val="none" w:sz="0" w:space="0" w:color="auto"/>
        <w:left w:val="none" w:sz="0" w:space="0" w:color="auto"/>
        <w:bottom w:val="none" w:sz="0" w:space="0" w:color="auto"/>
        <w:right w:val="none" w:sz="0" w:space="0" w:color="auto"/>
      </w:divBdr>
      <w:divsChild>
        <w:div w:id="1075014160">
          <w:marLeft w:val="0"/>
          <w:marRight w:val="0"/>
          <w:marTop w:val="0"/>
          <w:marBottom w:val="0"/>
          <w:divBdr>
            <w:top w:val="none" w:sz="0" w:space="0" w:color="auto"/>
            <w:left w:val="none" w:sz="0" w:space="0" w:color="auto"/>
            <w:bottom w:val="none" w:sz="0" w:space="0" w:color="auto"/>
            <w:right w:val="none" w:sz="0" w:space="0" w:color="auto"/>
          </w:divBdr>
          <w:divsChild>
            <w:div w:id="1085229593">
              <w:marLeft w:val="0"/>
              <w:marRight w:val="0"/>
              <w:marTop w:val="0"/>
              <w:marBottom w:val="0"/>
              <w:divBdr>
                <w:top w:val="none" w:sz="0" w:space="0" w:color="auto"/>
                <w:left w:val="none" w:sz="0" w:space="0" w:color="auto"/>
                <w:bottom w:val="none" w:sz="0" w:space="0" w:color="auto"/>
                <w:right w:val="none" w:sz="0" w:space="0" w:color="auto"/>
              </w:divBdr>
              <w:divsChild>
                <w:div w:id="109027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www4.ti.ch/fileadmin/DT/temi/piano_direttore/schede/schede_file/V03.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ostral.ch/it" TargetMode="External"/><Relationship Id="rId7" Type="http://schemas.openxmlformats.org/officeDocument/2006/relationships/styles" Target="styles.xml"/><Relationship Id="rId12" Type="http://schemas.openxmlformats.org/officeDocument/2006/relationships/hyperlink" Target="https://www.aet.ch/2022-Rapporto-Annuale-fc4c0400?i=1" TargetMode="External"/><Relationship Id="rId17" Type="http://schemas.openxmlformats.org/officeDocument/2006/relationships/hyperlink" Target="http://www4.ti.ch/generale/piano-energetico-cantonale/piano-energetico-cantonale-pec/piano-energetico-cantonale-pec/piano-dazione-2013/"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oasi.ti.ch/web/esplora-dat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parlament.ch/it/ratsbetrieb/suche-curia-vista/geschaeft?AffairId=20210047"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aet.ch/Struttura-aziendale"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xgc001\AppData\Local\Temp\OneOffixx\generated\76cb3f38-06b2-426f-9d48-78672cda62b4.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2.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c7fbb08f0a33672f3bdb4c56f6819a65</ImageHash>
    </ImageSizeDefinition>
    <ImageSizeDefinition>
      <Id>1334982032</Id>
      <Width>0</Width>
      <Height>0</Height>
      <XPath>//Image[@id='Profile.Org.WappenSW']</XPath>
      <ImageHash>175a27f480afd6acc77c371c027287b9</ImageHash>
    </ImageSizeDefinition>
  </ImageDefinitions>
</OneOffixxImageDefinitionPart>
</file>

<file path=customXml/item3.xml><?xml version="1.0" encoding="utf-8"?>
<OneOffixxExtendedBindingPart xmlns:xsd="http://www.w3.org/2001/XMLSchema" xmlns:xsi="http://www.w3.org/2001/XMLSchema-instance" xmlns="http://schema.oneoffixx.com/OneOffixxExtendedBindingPart/1">
  <ExtendedBindings/>
</OneOffixxExtendedBindingPart>
</file>

<file path=customXml/item4.xml>��< ? x m l   v e r s i o n = " 1 . 0 "   e n c o d i n g = " u t f - 1 6 " ? > < O n e O f f i x x D o c u m e n t P a r t   x m l n s : x s d = " h t t p : / / w w w . w 3 . o r g / 2 0 0 1 / X M L S c h e m a "   x m l n s : x s i = " h t t p : / / w w w . w 3 . o r g / 2 0 0 1 / X M L S c h e m a - i n s t a n c e "   i d = " 0 1 9 8 1 f a d - d a 4 f - 4 9 b 2 - 9 f 7 a - b 3 b 7 0 f 0 b 0 4 d e "   t I d = " a 3 6 2 a 5 d 4 - 9 5 8 9 - 4 1 b f - a 4 e 6 - 4 f 8 7 c 4 e 4 1 2 3 9 "   i n t e r n a l T I d = " 9 0 6 4 c c 7 f - 3 1 6 d - 4 6 b 1 - a 4 a c - 7 4 8 6 0 c 3 f 8 a 5 b "   m t I d = " 2 7 5 a f 3 2 e - b c 4 0 - 4 5 c 2 - 8 5 b 7 - a f b 1 c 0 3 8 2 6 5 3 "   r e v i s i o n = " 0 "   c r e a t e d m a j o r v e r s i o n = " 0 "   c r e a t e d m i n o r v e r s i o n = " 0 "   c r e a t e d = " 2 0 2 2 - 0 2 - 2 4 T 1 3 : 4 5 : 2 1 . 5 6 1 2 1 3 Z "   m o d i f i e d m a j o r v e r s i o n = " 0 "   m o d i f i e d m i n o r v e r s i o n = " 0 "   m o d i f i e d = " 0 0 0 1 - 0 1 - 0 1 T 0 0 : 0 0 : 0 0 "   p r o f i l e = " 8 8 0 c a 6 9 9 - 0 3 5 4 - 4 c a 1 - b 3 2 5 - b d 2 0 7 9 5 1 6 b 4 8 "   m o d e = " S a v e d D o c u m e n t "   c o l o r m o d e = " C o l o r "   l c i d = " 2 0 6 4 "   x m l n s = " h t t p : / / s c h e m a . o n e o f f i x x . c o m / O n e O f f i x x D o c u m e n t P a r t / 1 " >  
     < C o n t e n t >  
         < D a t a M o d e l   x m l n s = " " >  
             < S c r i p t i n g >  
                 < T e x t   i d = " C u s t o m E l e m e n t s . S u b T e m p l a t e . L a n d s c a p e . H e a d e r . O r g I n f o s "   l a b e l = " C u s t o m E l e m e n t s . S u b T e m p l a t e . L a n d s c a p e . H e a d e r . O r g I n f o s " > < ! [ C D A T A [ R e p u b b l i c a   e   C a n t o n e   T i c i n o  
 D i p a r t i m e n t o   d e l l e   f i n a n z e   e   d e l l  e c o n o m i a ] ] > < / T e x t >  
                 < T e x t   i d = " C u s t o m E l e m e n t s . S u b T e m p l a t e . L a n d s c a p e . H e a d e r . T i t o l o "   l a b e l = " C u s t o m E l e m e n t s . S u b T e m p l a t e . L a n d s c a p e . H e a d e r . T i t o l o " > < ! [ C D A T A [ R a p p o r t o   n .   8 3 2 8   R   d e l   2 2   f e b b r a i o   2 0 2 4 ] ] > < / T e x t >  
                 < T e x t   i d = " C u s t o m E l e m e n t s . T e x t s . D r a f t "   l a b e l = " C u s t o m E l e m e n t s . T e x t s . D r a f t " > < ! [ C D A T A [ B o z z a ] ] > < / T e x t >  
                 < T e x t   i d = " C u s t o m E l e m e n t s . F i e l d s . D i p a r t i m e n t i "   l a b e l = " C u s t o m E l e m e n t s . F i e l d s . D i p a r t i m e n t i " > < ! [ C D A T A [ D i p a r t i m e n t o   d e l l e   f i n a n z e   e   d e l l  e c o n o m i a ] ] > < / T e x t >  
                 < T e x t   i d = " C u s t o m E l e m e n t s . F i e l d s . T i t o l o 1 "   l a b e l = " C u s t o m E l e m e n t s . F i e l d s . T i t o l o 1 " > < ! [ C D A T A [ R a p p o r t o ] ] > < / T e x t >  
                 < T e x t   i d = " C u s t o m E l e m e n t s . F i e l d s . T i t o l o 2 "   l a b e l = " C u s t o m E l e m e n t s . F i e l d s . T i t o l o 2 " > < ! [ C D A T A [ R a p p o r t o   n .   8 3 2 8   R   d e l   2 2   f e b b r a i o   2 0 2 4 ] ] > < / T e x t >  
                 < T e x t   i d = " C u s t o m E l e m e n t s . F i e l d s . O r g L i v e l l o 1 "   l a b e l = " C u s t o m E l e m e n t s . F i e l d s . O r g L i v e l l o 1 " > < ! [ C D A T A [ R e p u b b l i c a   e   C a n t o n e   T i c i n o ] ] > < / T e x t >  
             < / S c r i p t i n g >  
             < P r o f i l e >  
                 < T e x t   i d = " P r o f i l e . I d "   l a b e l = " P r o f i l e . I d " > < ! [ C D A T A [ 8 8 0 c a 6 9 9 - 0 3 5 4 - 4 c a 1 - b 3 2 5 - b d 2 0 7 9 5 1 6 b 4 8 ] ] > < / T e x t >  
                 < T e x t   i d = " P r o f i l e . O r g a n i z a t i o n U n i t I d "   l a b e l = " P r o f i l e . O r g a n i z a t i o n U n i t I d " > < ! [ C D A T A [ d c 7 9 3 f c 0 - 4 0 a 3 - 4 a a b - b 1 d e - 7 7 b 2 d f c 5 8 3 c 2 ] ] > < / 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S e r v i z i   d e l   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m a r i s a . m o r a n d i @ t i . c h ] ] > < / T e x t >  
                 < T e x t   i d = " P r o f i l e . U s e r . F i r s t N a m e "   l a b e l = " P r o f i l e . U s e r . F i r s t N a m e " > < ! [ C D A T A [ M a r i s a ] ] > < / T e x t >  
                 < T e x t   i d = " P r o f i l e . U s e r . F u n c t i o n "   l a b e l = " P r o f i l e . U s e r . F u n c t i o n " > < ! [ C D A T A [ S G C ] ] > < / T e x t >  
                 < T e x t   i d = " P r o f i l e . U s e r . L a s t N a m e "   l a b e l = " P r o f i l e . U s e r . L a s t N a m e " > < ! [ C D A T A [ M o r a n d i ] ] > < / T e x t >  
                 < T e x t   i d = " P r o f i l e . U s e r . M o b i l e "   l a b e l = " P r o f i l e . U s e r . M o b i l e " > < ! [ C D A T A [   ] ] > < / T e x t >  
                 < T e x t   i d = " P r o f i l e . U s e r . P h o n e "   l a b e l = " P r o f i l e . U s e r . P h o n e " > < ! [ C D A T A [ + 4 1 9 1 8 1 4 4 3 2 7 ] ] > < / 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m a r i s a . m o r a n d i @ t i . c h ] ] > < / T e x t >  
                 < T e x t   i d = " A u t h o r . U s e r . F i r s t N a m e "   l a b e l = " A u t h o r . U s e r . F i r s t N a m e " > < ! [ C D A T A [ M a r i s a ] ] > < / T e x t >  
                 < T e x t   i d = " A u t h o r . U s e r . F u n c t i o n "   l a b e l = " A u t h o r . U s e r . F u n c t i o n " > < ! [ C D A T A [ S G C ] ] > < / T e x t >  
                 < T e x t   i d = " A u t h o r . U s e r . L a s t N a m e "   l a b e l = " A u t h o r . U s e r . L a s t N a m e " > < ! [ C D A T A [ M o r a n d i ] ] > < / T e x t >  
                 < T e x t   i d = " A u t h o r . U s e r . M o b i l e "   l a b e l = " A u t h o r . U s e r . M o b i l e " > < ! [ C D A T A [   ] ] > < / T e x t >  
                 < T e x t   i d = " A u t h o r . U s e r . P h o n e "   l a b e l = " A u t h o r . U s e r . P h o n e " > < ! [ C D A T A [ + 4 1 9 1 8 1 4 4 3 2 7 ] ] > < / T e x t >  
                 < T e x t   i d = " A u t h o r . U s e r . S a l u t a t i o n "   l a b e l = " A u t h o r . U s e r . S a l u t a t i o n " > < ! [ C D A T A [   ] ] > < / T e x t >  
                 < T e x t   i d = " A u t h o r . U s e r . T i t l e "   l a b e l = " A u t h o r . U s e r . T i t l e " > < ! [ C D A T A [   ] ] > < / T e x t >  
             < / A u t h o r >  
             < S i g n e r _ 0 >  
                 < T e x t   i d = " S i g n e r _ 0 . I d "   l a b e l = " S i g n e r _ 0 . I d " > < ! [ C D A T A [ 0 0 0 0 0 0 0 0 - 0 0 0 0 - 0 0 0 0 - 0 0 0 0 - 0 0 0 0 0 0 0 0 0 0 0 0 ] ] > < / T e x t >  
                 < T e x t   i d = " S i g n e r _ 0 . O r g a n i z a t i o n U n i t I d "   l a b e l = " S i g n e r _ 0 . O r g a n i z a t i o n U n i t I d " > < ! [ C D A T A [   ] ] > < / T e x t >  
                 < T e x t   i d = " S i g n e r _ 0 . O r g . E m a i l "   l a b e l = " S i g n e r _ 0 . O r g . E m a i l " > < ! [ C D A T A [   ] ] > < / T e x t >  
                 < T e x t   i d = " S i g n e r _ 0 . O r g . F a x "   l a b e l = " S i g n e r _ 0 . O r g . F a x " > < ! [ C D A T A [   ] ] > < / T e x t >  
                 < T e x t   i d = " S i g n e r _ 0 . O r g . I n f o . S u p p 1 "   l a b e l = " S i g n e r _ 0 . O r g . I n f o . S u p p 1 " > < ! [ C D A T A [   ] ] > < / T e x t >  
                 < T e x t   i d = " S i g n e r _ 0 . O r g . I n f o . S u p p 2 "   l a b e l = " S i g n e r _ 0 . O r g . I n f o . S u p p 2 " > < ! [ C D A T A [   ] ] > < / T e x t >  
                 < T e x t   i d = " S i g n e r _ 0 . O r g . L e v e l 1 "   l a b e l = " S i g n e r _ 0 . O r g . L e v e l 1 " > < ! [ C D A T A [   ] ] > < / 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  ] ] > < / T e x t >  
                 < T e x t   i d = " S i g n e r _ 0 . O r g . P h o n e "   l a b e l = " S i g n e r _ 0 . O r g . P h o n e " > < ! [ C D A T A [   ] ] > < / T e x t >  
                 < T e x t   i d = " S i g n e r _ 0 . O r g . P o s t a l . C i t y "   l a b e l = " S i g n e r _ 0 . O r g . P o s t a l . C i t y " > < ! [ C D A T A [   ] ] > < / 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  ] ] > < / T e x t >  
                 < T e x t   i d = " S i g n e r _ 0 . O r g . P o s t a l . Z i p "   l a b e l = " S i g n e r _ 0 . O r g . P o s t a l . Z i p " > < ! [ C D A T A [   ] ] > < / T e x t >  
                 < T e x t   i d = " S i g n e r _ 0 . O r g . W e b "   l a b e l = " S i g n e r _ 0 . O r g . W e b " > < ! [ C D A T A [   ] ] > < / T e x t >  
                 < T e x t   i d = " S i g n e r _ 0 . U s e r . A l i a s "   l a b e l = " S i g n e r _ 0 . U s e r . A l i a s " > < ! [ C D A T A [   ] ] > < / T e x t >  
                 < T e x t   i d = " S i g n e r _ 0 . U s e r . E m a i l "   l a b e l = " S i g n e r _ 0 . U s e r . E m a i l " > < ! [ C D A T A [   ] ] > < / T e x t >  
                 < T e x t   i d = " S i g n e r _ 0 . U s e r . F i r s t N a m e "   l a b e l = " S i g n e r _ 0 . U s e r . F i r s t N a m e " > < ! [ C D A T A [   ] ] > < / T e x t >  
                 < T e x t   i d = " S i g n e r _ 0 . U s e r . F u n c t i o n "   l a b e l = " S i g n e r _ 0 . U s e r . F u n c t i o n " > < ! [ C D A T A [   ] ] > < / T e x t >  
                 < T e x t   i d = " S i g n e r _ 0 . U s e r . L a s t N a m e "   l a b e l = " S i g n e r _ 0 . U s e r . L a s t N a m e " > < ! [ C D A T A [   ] ] > < / T e x t >  
                 < T e x t   i d = " S i g n e r _ 0 . U s e r . M o b i l e "   l a b e l = " S i g n e r _ 0 . U s e r . M o b i l e " > < ! [ C D A T A [   ] ] > < / T e x t >  
                 < T e x t   i d = " S i g n e r _ 0 . U s e r . P h o n e "   l a b e l = " S i g n e r _ 0 . U s e r . P h o n e " > < ! [ C D A T A [   ] ] > < / 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 2 0 2 4 - 0 2 - 2 2 T 0 0 : 0 0 : 0 0 Z < / D a t e T i m e >  
                 < T e x t   i d = " D o c P a r a m . N u m b e r " > < ! [ C D A T A [ 8 3 2 8   R ] ] > < / T e x t >  
                 < T e x t   i d = " D o c P a r a m . D o c u m e n t o " > < ! [ C D A T A [ R a p p o r t o ] ] > < / T e x t >  
                 < T e x t   i d = " D o c P a r a m . A g g i u n t a D o c "   t o o l t i p = " ( e s .   b i s ,   a g g i u n t i v o ,   a g g i u n t i v o   b i s ,   1 ,   2   e c c . ) " > < ! [ C D A T A [   ] ] > < / T e x t >  
                 < T e x t   i d = " D o c P a r a m . D i p a r t i m e n t i " > < ! [ C D A T A [ D i p a r t i m e n t o   d e l l e   f i n a n z e   e   d e l l  e c o n o m i a ] ] > < / T e x t >  
                 < T e x t   i d = " D o c P a r a m . A l t r i D i p a r t i m e n t i " > < ! [ C D A T A [   ] ] > < / T e x t >  
             < / P a r a m e t e r > 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CFFDD-E58C-4FE2-9BE7-C0B6F2C48AB7}">
  <ds:schemaRefs>
    <ds:schemaRef ds:uri="http://www.w3.org/2001/XMLSchema"/>
    <ds:schemaRef ds:uri="http://schema.oneoffixx.com/OneOffixxFormattingPart/1"/>
    <ds:schemaRef ds:uri=""/>
  </ds:schemaRefs>
</ds:datastoreItem>
</file>

<file path=customXml/itemProps2.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3.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4.xml><?xml version="1.0" encoding="utf-8"?>
<ds:datastoreItem xmlns:ds="http://schemas.openxmlformats.org/officeDocument/2006/customXml" ds:itemID="{30F030EE-EC98-4A1E-92DB-4B14147379DC}">
  <ds:schemaRefs>
    <ds:schemaRef ds:uri="http://www.w3.org/2001/XMLSchema"/>
    <ds:schemaRef ds:uri="http://schema.oneoffixx.com/OneOffixxDocumentPart/1"/>
    <ds:schemaRef ds:uri=""/>
  </ds:schemaRefs>
</ds:datastoreItem>
</file>

<file path=customXml/itemProps5.xml><?xml version="1.0" encoding="utf-8"?>
<ds:datastoreItem xmlns:ds="http://schemas.openxmlformats.org/officeDocument/2006/customXml" ds:itemID="{1EA9F59E-9F32-46B7-9D06-4B781A0A0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76cb3f38-06b2-426f-9d48-78672cda62b4.dotx</Template>
  <TotalTime>5</TotalTime>
  <Pages>21</Pages>
  <Words>9382</Words>
  <Characters>46910</Characters>
  <Application>Microsoft Office Word</Application>
  <DocSecurity>0</DocSecurity>
  <Lines>23455</Lines>
  <Paragraphs>9381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Navari Raffaella</dc:creator>
  <cp:lastModifiedBy>Venturi Luca</cp:lastModifiedBy>
  <cp:revision>9</cp:revision>
  <cp:lastPrinted>2024-02-23T10:55:00Z</cp:lastPrinted>
  <dcterms:created xsi:type="dcterms:W3CDTF">2024-02-23T10:49:00Z</dcterms:created>
  <dcterms:modified xsi:type="dcterms:W3CDTF">2024-02-23T10:56:00Z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