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9F" w:rsidRPr="00150B9F" w:rsidRDefault="00150B9F" w:rsidP="00150B9F">
      <w:pPr>
        <w:pStyle w:val="StandardRisoluzionedelConsigliodiStato"/>
        <w:ind w:right="-1"/>
        <w:rPr>
          <w:b/>
          <w:sz w:val="28"/>
          <w:szCs w:val="28"/>
          <w:lang w:val="it-IT"/>
        </w:rPr>
      </w:pPr>
      <w:bookmarkStart w:id="0" w:name="_GoBack"/>
      <w:bookmarkEnd w:id="0"/>
      <w:r w:rsidRPr="00150B9F">
        <w:rPr>
          <w:b/>
          <w:sz w:val="28"/>
          <w:szCs w:val="28"/>
          <w:lang w:val="it-IT"/>
        </w:rPr>
        <w:t>della Commissione ambiente, territorio ed energia</w:t>
      </w:r>
    </w:p>
    <w:p w:rsidR="00150B9F" w:rsidRPr="00150B9F" w:rsidRDefault="00150B9F" w:rsidP="00150B9F">
      <w:pPr>
        <w:pStyle w:val="StandardRisoluzionedelConsigliodiStato"/>
        <w:ind w:right="-1"/>
        <w:rPr>
          <w:b/>
          <w:sz w:val="28"/>
          <w:szCs w:val="28"/>
        </w:rPr>
      </w:pPr>
      <w:r w:rsidRPr="00150B9F">
        <w:rPr>
          <w:b/>
          <w:sz w:val="28"/>
          <w:szCs w:val="28"/>
          <w:lang w:val="it-IT"/>
        </w:rPr>
        <w:t>sul messaggio 20 dicembre 2023 inerente alla</w:t>
      </w:r>
      <w:r w:rsidRPr="00150B9F">
        <w:rPr>
          <w:b/>
          <w:sz w:val="28"/>
          <w:szCs w:val="28"/>
        </w:rPr>
        <w:t xml:space="preserve"> richiesta di un credito di 790'877 franchi per il sussidio della realizzazione di un nuovo muro di sostegno necessario all’ampliamento e all’ammodernamento dell’impianto di depurazione di </w:t>
      </w:r>
      <w:proofErr w:type="spellStart"/>
      <w:r w:rsidRPr="00150B9F">
        <w:rPr>
          <w:b/>
          <w:sz w:val="28"/>
          <w:szCs w:val="28"/>
        </w:rPr>
        <w:t>Vacallo</w:t>
      </w:r>
      <w:proofErr w:type="spellEnd"/>
      <w:r w:rsidRPr="00150B9F">
        <w:rPr>
          <w:b/>
          <w:sz w:val="28"/>
          <w:szCs w:val="28"/>
        </w:rPr>
        <w:t xml:space="preserve"> del Consorzio Depurazione Acque Chiasso e Dintorni (CDACD)</w:t>
      </w:r>
    </w:p>
    <w:p w:rsidR="00150B9F" w:rsidRPr="00150B9F" w:rsidRDefault="00150B9F" w:rsidP="00150B9F">
      <w:pPr>
        <w:pStyle w:val="StandardRisoluzionedelConsigliodiStato"/>
        <w:ind w:right="-1"/>
        <w:rPr>
          <w:lang w:val="it-IT"/>
        </w:rPr>
      </w:pPr>
    </w:p>
    <w:p w:rsidR="00150B9F" w:rsidRDefault="00150B9F" w:rsidP="00150B9F">
      <w:pPr>
        <w:pStyle w:val="StandardRisoluzionedelConsigliodiStato"/>
        <w:ind w:right="-1"/>
        <w:rPr>
          <w:lang w:val="it-IT"/>
        </w:rPr>
      </w:pPr>
    </w:p>
    <w:p w:rsidR="00150B9F" w:rsidRPr="00150B9F" w:rsidRDefault="00150B9F" w:rsidP="00150B9F">
      <w:pPr>
        <w:pStyle w:val="StandardRisoluzionedelConsigliodiStato"/>
        <w:ind w:right="-1"/>
        <w:rPr>
          <w:lang w:val="it-IT"/>
        </w:rPr>
      </w:pPr>
    </w:p>
    <w:p w:rsidR="00150B9F" w:rsidRPr="00150B9F" w:rsidRDefault="00150B9F" w:rsidP="00150B9F">
      <w:pPr>
        <w:pStyle w:val="StandardRisoluzionedelConsigliodiStato"/>
        <w:numPr>
          <w:ilvl w:val="0"/>
          <w:numId w:val="18"/>
        </w:numPr>
        <w:spacing w:after="120"/>
        <w:ind w:left="426" w:hanging="426"/>
        <w:rPr>
          <w:b/>
          <w:bCs/>
          <w:lang w:val="it-IT"/>
        </w:rPr>
      </w:pPr>
      <w:r w:rsidRPr="00150B9F">
        <w:rPr>
          <w:b/>
          <w:bCs/>
          <w:lang w:val="it-IT"/>
        </w:rPr>
        <w:t xml:space="preserve">IL MESSAGGIO </w:t>
      </w:r>
      <w:r w:rsidR="006E7573">
        <w:rPr>
          <w:b/>
          <w:bCs/>
          <w:lang w:val="it-IT"/>
        </w:rPr>
        <w:t>N</w:t>
      </w:r>
      <w:r w:rsidRPr="00150B9F">
        <w:rPr>
          <w:b/>
          <w:bCs/>
          <w:lang w:val="it-IT"/>
        </w:rPr>
        <w:t>. 8384</w:t>
      </w:r>
    </w:p>
    <w:p w:rsidR="00150B9F" w:rsidRPr="00150B9F" w:rsidRDefault="00150B9F" w:rsidP="00150B9F">
      <w:pPr>
        <w:pStyle w:val="StandardRisoluzionedelConsigliodiStato"/>
        <w:ind w:right="-1"/>
        <w:rPr>
          <w:lang w:val="it-IT"/>
        </w:rPr>
      </w:pPr>
      <w:r w:rsidRPr="00150B9F">
        <w:rPr>
          <w:lang w:val="it-IT"/>
        </w:rPr>
        <w:t xml:space="preserve">Il messaggio riguarda il Decreto legislativo concernente il finanziamento di un sussidio per la creazione di un nuovo muro di sostegno che serve all’ampliamento e all’ammodernamento dell’impianto di depurazione delle acque (IDA) di </w:t>
      </w:r>
      <w:proofErr w:type="spellStart"/>
      <w:r w:rsidRPr="00150B9F">
        <w:rPr>
          <w:lang w:val="it-IT"/>
        </w:rPr>
        <w:t>Vacallo</w:t>
      </w:r>
      <w:proofErr w:type="spellEnd"/>
      <w:r w:rsidRPr="00150B9F">
        <w:rPr>
          <w:lang w:val="it-IT"/>
        </w:rPr>
        <w:t xml:space="preserve"> di proprietà del Consorzio Depurazione Acque Chiasso e Dintorni (CDACD).</w:t>
      </w:r>
    </w:p>
    <w:p w:rsidR="00150B9F" w:rsidRPr="00150B9F" w:rsidRDefault="00150B9F" w:rsidP="00150B9F">
      <w:pPr>
        <w:pStyle w:val="StandardRisoluzionedelConsigliodiStato"/>
        <w:ind w:right="-1"/>
        <w:rPr>
          <w:lang w:val="it-IT"/>
        </w:rPr>
      </w:pPr>
      <w:r w:rsidRPr="00150B9F">
        <w:t xml:space="preserve">I crediti relativi al progetto sono stati approvati dal Consiglio consortile con i messaggi n. 4 </w:t>
      </w:r>
      <w:r w:rsidRPr="00150B9F">
        <w:rPr>
          <w:lang w:val="it-IT"/>
        </w:rPr>
        <w:t>del 22 aprile 2016 e n. 1 del 16 marzo 2022.</w:t>
      </w:r>
    </w:p>
    <w:p w:rsidR="00150B9F" w:rsidRPr="00150B9F" w:rsidRDefault="00150B9F" w:rsidP="00150B9F">
      <w:pPr>
        <w:pStyle w:val="StandardRisoluzionedelConsigliodiStato"/>
        <w:ind w:right="-1"/>
        <w:rPr>
          <w:lang w:val="it-IT"/>
        </w:rPr>
      </w:pPr>
      <w:r w:rsidRPr="00150B9F">
        <w:rPr>
          <w:lang w:val="it-IT"/>
        </w:rPr>
        <w:t xml:space="preserve">Il programma lavori prevede l’apertura del cantiere a inizio 2024 per una durata di </w:t>
      </w:r>
      <w:proofErr w:type="spellStart"/>
      <w:r w:rsidRPr="00150B9F">
        <w:rPr>
          <w:lang w:val="it-IT"/>
        </w:rPr>
        <w:t>ca</w:t>
      </w:r>
      <w:proofErr w:type="spellEnd"/>
      <w:r w:rsidRPr="00150B9F">
        <w:rPr>
          <w:lang w:val="it-IT"/>
        </w:rPr>
        <w:t xml:space="preserve">. un anno. L’importo sussidiabile totale è di 4'550'764 franchi e corrisponde al 100% dei costi di preventivo, mentre invece il credito da stanziare, oggetto del presente rapporto, a favore del consorzio </w:t>
      </w:r>
      <w:r w:rsidRPr="00150B9F">
        <w:rPr>
          <w:b/>
          <w:lang w:val="it-IT"/>
        </w:rPr>
        <w:t>è di 790'877 franchi, corrispondente a una percentuale totale del 17,38%.</w:t>
      </w:r>
    </w:p>
    <w:p w:rsidR="00150B9F" w:rsidRPr="00150B9F" w:rsidRDefault="00150B9F" w:rsidP="00B108A1">
      <w:pPr>
        <w:pStyle w:val="StandardRisoluzionedelConsigliodiStato"/>
        <w:spacing w:line="360" w:lineRule="auto"/>
        <w:ind w:right="-1"/>
        <w:rPr>
          <w:lang w:val="it-IT"/>
        </w:rPr>
      </w:pPr>
    </w:p>
    <w:p w:rsidR="00150B9F" w:rsidRPr="00150B9F" w:rsidRDefault="00150B9F" w:rsidP="00B108A1">
      <w:pPr>
        <w:pStyle w:val="StandardRisoluzionedelConsigliodiStato"/>
        <w:spacing w:after="120"/>
        <w:rPr>
          <w:b/>
          <w:lang w:val="it-IT"/>
        </w:rPr>
      </w:pPr>
      <w:r w:rsidRPr="00150B9F">
        <w:rPr>
          <w:b/>
          <w:lang w:val="it-IT"/>
        </w:rPr>
        <w:t>Situazione attuale</w:t>
      </w:r>
    </w:p>
    <w:p w:rsidR="00150B9F" w:rsidRPr="00150B9F" w:rsidRDefault="00150B9F" w:rsidP="00150B9F">
      <w:pPr>
        <w:pStyle w:val="StandardRisoluzionedelConsigliodiStato"/>
        <w:ind w:right="-1"/>
      </w:pPr>
      <w:r w:rsidRPr="00150B9F">
        <w:t>Su una superficie di circa 6’500 m</w:t>
      </w:r>
      <w:r w:rsidRPr="00150B9F">
        <w:rPr>
          <w:vertAlign w:val="superscript"/>
        </w:rPr>
        <w:t>2</w:t>
      </w:r>
      <w:r w:rsidRPr="00150B9F">
        <w:t xml:space="preserve">, l’IDA di </w:t>
      </w:r>
      <w:proofErr w:type="spellStart"/>
      <w:r w:rsidRPr="00150B9F">
        <w:t>Vacallo</w:t>
      </w:r>
      <w:proofErr w:type="spellEnd"/>
      <w:r w:rsidRPr="00150B9F">
        <w:t xml:space="preserve"> raccoglie e depura le acque luride del Basso Mendrisiotto, nello specifico dei comuni di Balerna, </w:t>
      </w:r>
      <w:proofErr w:type="spellStart"/>
      <w:r w:rsidRPr="00150B9F">
        <w:t>Breggia</w:t>
      </w:r>
      <w:proofErr w:type="spellEnd"/>
      <w:r w:rsidRPr="00150B9F">
        <w:t xml:space="preserve">, Castel San Pietro, Chiasso, Coldrerio, Morbio Inferiore, </w:t>
      </w:r>
      <w:proofErr w:type="spellStart"/>
      <w:r w:rsidRPr="00150B9F">
        <w:t>Novazzano</w:t>
      </w:r>
      <w:proofErr w:type="spellEnd"/>
      <w:r w:rsidRPr="00150B9F">
        <w:t xml:space="preserve"> e </w:t>
      </w:r>
      <w:proofErr w:type="spellStart"/>
      <w:r w:rsidRPr="00150B9F">
        <w:t>Vacallo</w:t>
      </w:r>
      <w:proofErr w:type="spellEnd"/>
      <w:r w:rsidRPr="00150B9F">
        <w:t>.</w:t>
      </w:r>
    </w:p>
    <w:p w:rsidR="00150B9F" w:rsidRPr="00150B9F" w:rsidRDefault="00150B9F" w:rsidP="00150B9F">
      <w:pPr>
        <w:pStyle w:val="StandardRisoluzionedelConsigliodiStato"/>
        <w:ind w:right="-1"/>
      </w:pPr>
      <w:r w:rsidRPr="00150B9F">
        <w:t xml:space="preserve">L’impianto è interamente ubicato sul mappale 207 RFD di </w:t>
      </w:r>
      <w:proofErr w:type="spellStart"/>
      <w:r w:rsidRPr="00150B9F">
        <w:t>Vacallo</w:t>
      </w:r>
      <w:proofErr w:type="spellEnd"/>
      <w:r w:rsidRPr="00150B9F">
        <w:t xml:space="preserve">, tuttavia la superficie utile è insufficiente alla realizzazione delle nuove biologie e si rende necessario un allargamento sul confinante mappale 78 RFD di </w:t>
      </w:r>
      <w:proofErr w:type="spellStart"/>
      <w:r w:rsidRPr="00150B9F">
        <w:t>Vacallo</w:t>
      </w:r>
      <w:proofErr w:type="spellEnd"/>
      <w:r w:rsidRPr="00150B9F">
        <w:t>.</w:t>
      </w:r>
    </w:p>
    <w:p w:rsidR="00150B9F" w:rsidRPr="00150B9F" w:rsidRDefault="00150B9F" w:rsidP="00B108A1">
      <w:pPr>
        <w:pStyle w:val="StandardRisoluzionedelConsigliodiStato"/>
        <w:spacing w:line="360" w:lineRule="auto"/>
        <w:ind w:right="-1"/>
        <w:rPr>
          <w:lang w:val="it-IT"/>
        </w:rPr>
      </w:pPr>
    </w:p>
    <w:p w:rsidR="00150B9F" w:rsidRPr="00150B9F" w:rsidRDefault="00150B9F" w:rsidP="00B108A1">
      <w:pPr>
        <w:pStyle w:val="StandardRisoluzionedelConsigliodiStato"/>
        <w:spacing w:after="120"/>
        <w:rPr>
          <w:b/>
          <w:lang w:val="it-IT"/>
        </w:rPr>
      </w:pPr>
      <w:r w:rsidRPr="00150B9F">
        <w:rPr>
          <w:b/>
          <w:lang w:val="it-IT"/>
        </w:rPr>
        <w:t>Lavori svolti finora</w:t>
      </w:r>
    </w:p>
    <w:p w:rsidR="00150B9F" w:rsidRPr="00150B9F" w:rsidRDefault="00150B9F" w:rsidP="00150B9F">
      <w:pPr>
        <w:pStyle w:val="StandardRisoluzionedelConsigliodiStato"/>
        <w:ind w:right="-1"/>
      </w:pPr>
      <w:r w:rsidRPr="00150B9F">
        <w:t xml:space="preserve">L’IDA è entrato in servizio nel 1978 e negli anni 2008-2014 ha avuto importanti lavori di potenziamento e di ammodernamento. Sono state infatti realizzate le prime due fasi di intervento, che comprendevano il rinnovo dell’adduzione all’IDA, del trattamento meccanico e della linea di trattamento dei fanghi. Sono stati inoltre posati dei </w:t>
      </w:r>
      <w:proofErr w:type="spellStart"/>
      <w:r w:rsidRPr="00150B9F">
        <w:t>biofiltri</w:t>
      </w:r>
      <w:proofErr w:type="spellEnd"/>
      <w:r w:rsidRPr="00150B9F">
        <w:t xml:space="preserve"> per la riduzione degli odori.</w:t>
      </w:r>
    </w:p>
    <w:p w:rsidR="00150B9F" w:rsidRPr="00150B9F" w:rsidRDefault="00150B9F" w:rsidP="00B108A1">
      <w:pPr>
        <w:pStyle w:val="StandardRisoluzionedelConsigliodiStato"/>
        <w:spacing w:line="360" w:lineRule="auto"/>
        <w:ind w:right="-1"/>
      </w:pPr>
    </w:p>
    <w:p w:rsidR="00B108A1" w:rsidRDefault="00B108A1" w:rsidP="00B108A1">
      <w:pPr>
        <w:pStyle w:val="StandardRisoluzionedelConsigliodiStato"/>
        <w:spacing w:after="120"/>
        <w:rPr>
          <w:b/>
        </w:rPr>
      </w:pPr>
      <w:r>
        <w:rPr>
          <w:b/>
        </w:rPr>
        <w:br w:type="page"/>
      </w:r>
    </w:p>
    <w:p w:rsidR="00150B9F" w:rsidRPr="00150B9F" w:rsidRDefault="00150B9F" w:rsidP="00B108A1">
      <w:pPr>
        <w:pStyle w:val="StandardRisoluzionedelConsigliodiStato"/>
        <w:spacing w:after="120"/>
        <w:rPr>
          <w:b/>
        </w:rPr>
      </w:pPr>
      <w:r w:rsidRPr="00150B9F">
        <w:rPr>
          <w:b/>
        </w:rPr>
        <w:lastRenderedPageBreak/>
        <w:t>Interventi previsti dal progetto</w:t>
      </w:r>
    </w:p>
    <w:p w:rsidR="00150B9F" w:rsidRPr="00150B9F" w:rsidRDefault="00150B9F" w:rsidP="00150B9F">
      <w:pPr>
        <w:pStyle w:val="StandardRisoluzionedelConsigliodiStato"/>
        <w:ind w:right="-1"/>
      </w:pPr>
      <w:r w:rsidRPr="00150B9F">
        <w:t>La prossima fase di intervento riguarda il rinnovo e il potenziamento della linea acque, indispensabile per poter garantire anche in futuro una depurazione delle acque allo stato della tecnica (incluso il modulo per l’abbattimento dei microinquinanti), tenendo conto dello sviluppo demografico, artigianale e industriale previsto per il comprensorio del consorzio, nonché per mantenere il valore dell’impianto nel tempo.</w:t>
      </w:r>
    </w:p>
    <w:p w:rsidR="00150B9F" w:rsidRPr="00150B9F" w:rsidRDefault="00150B9F" w:rsidP="00150B9F">
      <w:pPr>
        <w:pStyle w:val="StandardRisoluzionedelConsigliodiStato"/>
        <w:ind w:right="-1"/>
      </w:pPr>
      <w:r w:rsidRPr="00150B9F">
        <w:t xml:space="preserve">Per realizzare questi interventi garantendo l’attuale capacità di trattamento durante tutta la fase di cantiere, </w:t>
      </w:r>
      <w:r w:rsidRPr="00150B9F">
        <w:rPr>
          <w:b/>
          <w:bCs/>
        </w:rPr>
        <w:t>si rendono necessari degli spazi supplementari dove installare il nuovo impianto di trattamento biologico</w:t>
      </w:r>
      <w:r w:rsidRPr="00150B9F">
        <w:t xml:space="preserve">. Tale ampliamento si svilupperà sul mappale 78 RFD di </w:t>
      </w:r>
      <w:proofErr w:type="spellStart"/>
      <w:r w:rsidRPr="00150B9F">
        <w:t>Vacallo</w:t>
      </w:r>
      <w:proofErr w:type="spellEnd"/>
      <w:r w:rsidRPr="00150B9F">
        <w:t>, che sarà occupato in modo permanente su una superficie di circa 1'100 m</w:t>
      </w:r>
      <w:r w:rsidRPr="00150B9F">
        <w:rPr>
          <w:vertAlign w:val="superscript"/>
        </w:rPr>
        <w:t>2</w:t>
      </w:r>
      <w:r w:rsidRPr="00150B9F">
        <w:t>. Questa nuova superficie è stata acquistata dal CDACD e nel 2021 è stata conclusa la necessaria modifica del Piano regolatore per poter svolgere i lavori.</w:t>
      </w:r>
    </w:p>
    <w:p w:rsidR="00150B9F" w:rsidRPr="00150B9F" w:rsidRDefault="00150B9F" w:rsidP="00B108A1">
      <w:pPr>
        <w:pStyle w:val="StandardRisoluzionedelConsigliodiStato"/>
        <w:spacing w:line="360" w:lineRule="auto"/>
        <w:ind w:right="-1"/>
      </w:pPr>
    </w:p>
    <w:p w:rsidR="00150B9F" w:rsidRPr="00150B9F" w:rsidRDefault="00150B9F" w:rsidP="00B108A1">
      <w:pPr>
        <w:pStyle w:val="StandardRisoluzionedelConsigliodiStato"/>
        <w:spacing w:after="120"/>
        <w:rPr>
          <w:b/>
        </w:rPr>
      </w:pPr>
      <w:r w:rsidRPr="00150B9F">
        <w:rPr>
          <w:b/>
        </w:rPr>
        <w:t>Il muro di sostegno previsto</w:t>
      </w:r>
    </w:p>
    <w:p w:rsidR="00150B9F" w:rsidRPr="00150B9F" w:rsidRDefault="00150B9F" w:rsidP="00150B9F">
      <w:pPr>
        <w:pStyle w:val="StandardRisoluzionedelConsigliodiStato"/>
        <w:ind w:right="-1"/>
      </w:pPr>
      <w:r w:rsidRPr="00150B9F">
        <w:t xml:space="preserve">La superficie supplementare verrà ricavata realizzando un’opera di sostegno, che si sviluppa su una lunghezza di </w:t>
      </w:r>
      <w:proofErr w:type="spellStart"/>
      <w:r w:rsidRPr="00150B9F">
        <w:t>ca</w:t>
      </w:r>
      <w:proofErr w:type="spellEnd"/>
      <w:r w:rsidRPr="00150B9F">
        <w:t xml:space="preserve">. 68 m, con un fronte di scavo di un’altezza massima di </w:t>
      </w:r>
      <w:proofErr w:type="spellStart"/>
      <w:r w:rsidRPr="00150B9F">
        <w:t>ca</w:t>
      </w:r>
      <w:proofErr w:type="spellEnd"/>
      <w:r w:rsidRPr="00150B9F">
        <w:t>. 25 m. L’opera si compone di una berlinese di micropali retro-ancorata, con tiranti attivi temporanei, sovrastata da una parete chiodata permanente, che si sviluppa su un’altezza variabile da 13 m a 17 m circa. Per tale opera verranno sbancati complessivamente circa 13'000 m</w:t>
      </w:r>
      <w:r w:rsidRPr="00150B9F">
        <w:rPr>
          <w:vertAlign w:val="superscript"/>
        </w:rPr>
        <w:t>3</w:t>
      </w:r>
      <w:r w:rsidRPr="00150B9F">
        <w:t xml:space="preserve"> di materiale.</w:t>
      </w:r>
      <w:r w:rsidRPr="00150B9F">
        <w:rPr>
          <w:bCs/>
        </w:rPr>
        <w:t xml:space="preserve"> </w:t>
      </w:r>
    </w:p>
    <w:p w:rsidR="00150B9F" w:rsidRPr="00150B9F" w:rsidRDefault="00150B9F" w:rsidP="00150B9F">
      <w:pPr>
        <w:pStyle w:val="StandardRisoluzionedelConsigliodiStato"/>
        <w:ind w:right="-1"/>
        <w:rPr>
          <w:lang w:val="it-IT"/>
        </w:rPr>
      </w:pPr>
      <w:r w:rsidRPr="00150B9F">
        <w:rPr>
          <w:lang w:val="it-IT"/>
        </w:rPr>
        <w:t xml:space="preserve">L’ente esecutore </w:t>
      </w:r>
      <w:r w:rsidRPr="00150B9F">
        <w:t>CDACD</w:t>
      </w:r>
      <w:r w:rsidRPr="00150B9F">
        <w:rPr>
          <w:lang w:val="it-IT"/>
        </w:rPr>
        <w:t xml:space="preserve"> assicurerà la gestione del progetto sotto la supervisione del Dipartimento del territorio e ha già avviato tutte le pratiche preparatorie burocratiche in vista dell’esecuzione vera e propria dell’opera.</w:t>
      </w:r>
    </w:p>
    <w:p w:rsidR="00150B9F" w:rsidRPr="00150B9F" w:rsidRDefault="00150B9F" w:rsidP="00B108A1">
      <w:pPr>
        <w:pStyle w:val="StandardRisoluzionedelConsigliodiStato"/>
        <w:spacing w:line="360" w:lineRule="auto"/>
        <w:ind w:right="-1"/>
        <w:rPr>
          <w:lang w:val="it-IT"/>
        </w:rPr>
      </w:pPr>
    </w:p>
    <w:p w:rsidR="00150B9F" w:rsidRPr="00B108A1" w:rsidRDefault="00150B9F" w:rsidP="00B108A1">
      <w:pPr>
        <w:pStyle w:val="StandardRisoluzionedelConsigliodiStato"/>
        <w:spacing w:after="120"/>
        <w:rPr>
          <w:b/>
          <w:bCs/>
          <w:iCs/>
          <w:lang w:val="it-IT"/>
        </w:rPr>
      </w:pPr>
      <w:r w:rsidRPr="00B108A1">
        <w:rPr>
          <w:b/>
          <w:bCs/>
          <w:iCs/>
          <w:lang w:val="it-IT"/>
        </w:rPr>
        <w:t>Relazione con il programma di legislatura e il piano finanziario</w:t>
      </w:r>
    </w:p>
    <w:p w:rsidR="00150B9F" w:rsidRDefault="00150B9F" w:rsidP="00150B9F">
      <w:pPr>
        <w:pStyle w:val="StandardRisoluzionedelConsigliodiStato"/>
        <w:ind w:right="-1"/>
      </w:pPr>
      <w:r w:rsidRPr="00150B9F">
        <w:t>Il presente credito è previsto nel piano finanziario degli investimenti (PFI) per il periodo 2020-2023 e successivi, al settore 52 "Ambiente e energia", posizione 522 Consorzi, WBS 731 52 1249.</w:t>
      </w:r>
    </w:p>
    <w:p w:rsidR="00150B9F" w:rsidRDefault="00150B9F" w:rsidP="00150B9F">
      <w:pPr>
        <w:pStyle w:val="StandardRisoluzionedelConsigliodiStato"/>
        <w:ind w:right="-1"/>
      </w:pPr>
    </w:p>
    <w:p w:rsidR="00B108A1" w:rsidRPr="00150B9F" w:rsidRDefault="00B108A1" w:rsidP="00150B9F">
      <w:pPr>
        <w:pStyle w:val="StandardRisoluzionedelConsigliodiStato"/>
        <w:ind w:right="-1"/>
      </w:pPr>
    </w:p>
    <w:p w:rsidR="00150B9F" w:rsidRPr="00150B9F" w:rsidRDefault="00150B9F" w:rsidP="00150B9F">
      <w:pPr>
        <w:pStyle w:val="StandardRisoluzionedelConsigliodiStato"/>
        <w:ind w:right="-1"/>
        <w:rPr>
          <w:lang w:val="it-IT"/>
        </w:rPr>
      </w:pPr>
    </w:p>
    <w:p w:rsidR="00150B9F" w:rsidRPr="00150B9F" w:rsidRDefault="00150B9F" w:rsidP="00150B9F">
      <w:pPr>
        <w:pStyle w:val="StandardRisoluzionedelConsigliodiStato"/>
        <w:numPr>
          <w:ilvl w:val="0"/>
          <w:numId w:val="18"/>
        </w:numPr>
        <w:spacing w:after="120"/>
        <w:ind w:left="425" w:hanging="425"/>
        <w:rPr>
          <w:b/>
          <w:bCs/>
          <w:lang w:val="it-IT"/>
        </w:rPr>
      </w:pPr>
      <w:r w:rsidRPr="00150B9F">
        <w:rPr>
          <w:b/>
          <w:bCs/>
          <w:lang w:val="it-IT"/>
        </w:rPr>
        <w:t>LAVORI E CONSIDERAZIONI COMMISSIONALI</w:t>
      </w:r>
    </w:p>
    <w:p w:rsidR="00150B9F" w:rsidRPr="00150B9F" w:rsidRDefault="00150B9F" w:rsidP="00150B9F">
      <w:pPr>
        <w:pStyle w:val="StandardRisoluzionedelConsigliodiStato"/>
        <w:ind w:right="-1"/>
        <w:rPr>
          <w:lang w:val="it-IT"/>
        </w:rPr>
      </w:pPr>
      <w:r w:rsidRPr="00150B9F">
        <w:rPr>
          <w:lang w:val="it-IT"/>
        </w:rPr>
        <w:t xml:space="preserve">In data 24.01.2024 il relatore ha sentito il Caposezione della </w:t>
      </w:r>
      <w:r w:rsidRPr="00150B9F">
        <w:t>Sezione della protezione dell’aria, dell’acqua e del suolo (SPAAS)</w:t>
      </w:r>
      <w:r w:rsidRPr="00150B9F">
        <w:rPr>
          <w:lang w:val="it-IT"/>
        </w:rPr>
        <w:t xml:space="preserve">, signor Nicola </w:t>
      </w:r>
      <w:proofErr w:type="spellStart"/>
      <w:r w:rsidRPr="00150B9F">
        <w:rPr>
          <w:lang w:val="it-IT"/>
        </w:rPr>
        <w:t>Solcà</w:t>
      </w:r>
      <w:proofErr w:type="spellEnd"/>
      <w:r w:rsidRPr="00150B9F">
        <w:rPr>
          <w:lang w:val="it-IT"/>
        </w:rPr>
        <w:t xml:space="preserve">, e il direttore del CDACD, signor Stefano </w:t>
      </w:r>
      <w:proofErr w:type="spellStart"/>
      <w:r w:rsidRPr="00150B9F">
        <w:rPr>
          <w:lang w:val="it-IT"/>
        </w:rPr>
        <w:t>Airaghi</w:t>
      </w:r>
      <w:proofErr w:type="spellEnd"/>
      <w:r w:rsidRPr="00150B9F">
        <w:rPr>
          <w:lang w:val="it-IT"/>
        </w:rPr>
        <w:t xml:space="preserve">, ricevendo tutta la documentazione aggiuntiva necessaria e le risposte </w:t>
      </w:r>
      <w:proofErr w:type="spellStart"/>
      <w:r w:rsidRPr="00150B9F">
        <w:rPr>
          <w:lang w:val="it-IT"/>
        </w:rPr>
        <w:t>chiarificatorie</w:t>
      </w:r>
      <w:proofErr w:type="spellEnd"/>
      <w:r w:rsidRPr="00150B9F">
        <w:rPr>
          <w:lang w:val="it-IT"/>
        </w:rPr>
        <w:t xml:space="preserve"> alle poche domande ancora aperte sul progetto. Per questo motivo e alla luce della chiarezza del messaggio, si è rinunciato a svolgere un sopralluogo direttamente sul posto.</w:t>
      </w:r>
    </w:p>
    <w:p w:rsidR="00150B9F" w:rsidRPr="00150B9F" w:rsidRDefault="00150B9F" w:rsidP="00150B9F">
      <w:pPr>
        <w:pStyle w:val="StandardRisoluzionedelConsigliodiStato"/>
        <w:ind w:right="-1"/>
        <w:rPr>
          <w:lang w:val="it-IT"/>
        </w:rPr>
      </w:pPr>
      <w:r w:rsidRPr="00150B9F">
        <w:rPr>
          <w:lang w:val="it-IT"/>
        </w:rPr>
        <w:t>Il progetto proposto è ben strutturato e chiaro e la Commissione non ha rilevato particolari problemi in merito. Si nota un’elevata necessità d’intervento e l’ampliamento previsto è inevitabile per permettere all’IDA di avere gli spazi sufficienti per poter restare al passo coi tempi e avere una struttura performante sotto tutti i punti di vista, con effetti positivi strutturali oltre che ambientali ed economici.</w:t>
      </w:r>
    </w:p>
    <w:p w:rsidR="00B108A1" w:rsidRDefault="00150B9F" w:rsidP="00150B9F">
      <w:pPr>
        <w:pStyle w:val="StandardRisoluzionedelConsigliodiStato"/>
        <w:ind w:right="-1"/>
      </w:pPr>
      <w:r w:rsidRPr="00150B9F">
        <w:rPr>
          <w:lang w:val="it-IT"/>
        </w:rPr>
        <w:t xml:space="preserve">Anche dal lato finanziario, il messaggio n. 8384 riporta le informazioni necessarie per l’opera prevista e non ci sono particolari quesiti in merito. Di seguito viene riportato il </w:t>
      </w:r>
      <w:r w:rsidRPr="00150B9F">
        <w:rPr>
          <w:lang w:val="it-IT"/>
        </w:rPr>
        <w:lastRenderedPageBreak/>
        <w:t xml:space="preserve">preventivo di dettaglio dei costi, con una spesa totale preventivata che ammonta </w:t>
      </w:r>
      <w:r w:rsidRPr="00150B9F">
        <w:rPr>
          <w:b/>
          <w:lang w:val="it-IT"/>
        </w:rPr>
        <w:t xml:space="preserve">a </w:t>
      </w:r>
      <w:r w:rsidRPr="00150B9F">
        <w:rPr>
          <w:b/>
        </w:rPr>
        <w:t>4'550'764</w:t>
      </w:r>
      <w:r w:rsidRPr="00150B9F">
        <w:t xml:space="preserve"> </w:t>
      </w:r>
      <w:r w:rsidRPr="00150B9F">
        <w:rPr>
          <w:b/>
          <w:lang w:val="it-IT"/>
        </w:rPr>
        <w:t>franchi</w:t>
      </w:r>
      <w:r w:rsidRPr="00150B9F">
        <w:rPr>
          <w:lang w:val="it-IT"/>
        </w:rPr>
        <w:t xml:space="preserve">, </w:t>
      </w:r>
      <w:r w:rsidRPr="00150B9F">
        <w:t xml:space="preserve">che corrisponde </w:t>
      </w:r>
      <w:r w:rsidRPr="00150B9F">
        <w:rPr>
          <w:b/>
          <w:bCs/>
        </w:rPr>
        <w:t xml:space="preserve">al 100% </w:t>
      </w:r>
      <w:r w:rsidRPr="00150B9F">
        <w:rPr>
          <w:b/>
          <w:bCs/>
          <w:lang w:val="it-IT"/>
        </w:rPr>
        <w:t>dell’</w:t>
      </w:r>
      <w:r w:rsidRPr="00150B9F">
        <w:rPr>
          <w:b/>
          <w:bCs/>
        </w:rPr>
        <w:t>importo sussidiabile</w:t>
      </w:r>
      <w:r w:rsidRPr="00150B9F">
        <w:t>.</w:t>
      </w:r>
    </w:p>
    <w:p w:rsidR="00B108A1" w:rsidRDefault="00B108A1" w:rsidP="00150B9F">
      <w:pPr>
        <w:pStyle w:val="StandardRisoluzionedelConsigliodiStato"/>
        <w:ind w:right="-1"/>
      </w:pPr>
    </w:p>
    <w:tbl>
      <w:tblPr>
        <w:tblW w:w="8071" w:type="dxa"/>
        <w:jc w:val="center"/>
        <w:tblCellMar>
          <w:left w:w="70" w:type="dxa"/>
          <w:right w:w="70" w:type="dxa"/>
        </w:tblCellMar>
        <w:tblLook w:val="04A0" w:firstRow="1" w:lastRow="0" w:firstColumn="1" w:lastColumn="0" w:noHBand="0" w:noVBand="1"/>
      </w:tblPr>
      <w:tblGrid>
        <w:gridCol w:w="5315"/>
        <w:gridCol w:w="2756"/>
      </w:tblGrid>
      <w:tr w:rsidR="00150B9F" w:rsidRPr="00150B9F" w:rsidTr="00E43DD0">
        <w:trPr>
          <w:trHeight w:val="510"/>
          <w:jc w:val="center"/>
        </w:trPr>
        <w:tc>
          <w:tcPr>
            <w:tcW w:w="5315" w:type="dxa"/>
            <w:tcBorders>
              <w:top w:val="single" w:sz="4" w:space="0" w:color="auto"/>
              <w:left w:val="single" w:sz="4" w:space="0" w:color="auto"/>
              <w:bottom w:val="nil"/>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b/>
                <w:bCs/>
                <w:lang w:val="it-IT"/>
              </w:rPr>
            </w:pPr>
            <w:r w:rsidRPr="00150B9F">
              <w:rPr>
                <w:b/>
                <w:bCs/>
                <w:lang w:val="it-IT"/>
              </w:rPr>
              <w:t>Opera</w:t>
            </w:r>
          </w:p>
        </w:tc>
        <w:tc>
          <w:tcPr>
            <w:tcW w:w="2756" w:type="dxa"/>
            <w:tcBorders>
              <w:top w:val="single" w:sz="4" w:space="0" w:color="auto"/>
              <w:left w:val="nil"/>
              <w:bottom w:val="nil"/>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b/>
                <w:bCs/>
                <w:lang w:val="it-IT"/>
              </w:rPr>
            </w:pPr>
            <w:r w:rsidRPr="00150B9F">
              <w:rPr>
                <w:b/>
                <w:bCs/>
                <w:lang w:val="it-IT"/>
              </w:rPr>
              <w:t>Preventivo [franchi]</w:t>
            </w:r>
          </w:p>
        </w:tc>
      </w:tr>
      <w:tr w:rsidR="00150B9F" w:rsidRPr="00150B9F" w:rsidTr="00E43DD0">
        <w:trPr>
          <w:trHeight w:val="300"/>
          <w:jc w:val="center"/>
        </w:trPr>
        <w:tc>
          <w:tcPr>
            <w:tcW w:w="53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bCs/>
              </w:rPr>
              <w:t>Pianificazione e acquisto terreni</w:t>
            </w:r>
          </w:p>
        </w:tc>
        <w:tc>
          <w:tcPr>
            <w:tcW w:w="2756" w:type="dxa"/>
            <w:tcBorders>
              <w:top w:val="single" w:sz="4" w:space="0" w:color="auto"/>
              <w:left w:val="nil"/>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lang w:val="it-IT"/>
              </w:rPr>
              <w:t>107’000</w:t>
            </w:r>
          </w:p>
        </w:tc>
      </w:tr>
      <w:tr w:rsidR="00150B9F" w:rsidRPr="00150B9F" w:rsidTr="00E43DD0">
        <w:trPr>
          <w:trHeight w:val="300"/>
          <w:jc w:val="center"/>
        </w:trPr>
        <w:tc>
          <w:tcPr>
            <w:tcW w:w="53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bCs/>
              </w:rPr>
              <w:t>Opere a misura (berlinese, parete chiodata, scavi e movimenti di terra)</w:t>
            </w:r>
          </w:p>
        </w:tc>
        <w:tc>
          <w:tcPr>
            <w:tcW w:w="2756" w:type="dxa"/>
            <w:tcBorders>
              <w:top w:val="single" w:sz="4" w:space="0" w:color="auto"/>
              <w:left w:val="nil"/>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bCs/>
              </w:rPr>
              <w:t>3'200'638</w:t>
            </w:r>
          </w:p>
        </w:tc>
      </w:tr>
      <w:tr w:rsidR="00150B9F" w:rsidRPr="00150B9F" w:rsidTr="00E43DD0">
        <w:trPr>
          <w:trHeight w:val="300"/>
          <w:jc w:val="center"/>
        </w:trPr>
        <w:tc>
          <w:tcPr>
            <w:tcW w:w="53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bCs/>
              </w:rPr>
              <w:t>Cantiere</w:t>
            </w:r>
          </w:p>
        </w:tc>
        <w:tc>
          <w:tcPr>
            <w:tcW w:w="2756" w:type="dxa"/>
            <w:tcBorders>
              <w:top w:val="single" w:sz="4" w:space="0" w:color="auto"/>
              <w:left w:val="nil"/>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bCs/>
              </w:rPr>
              <w:t>672'134</w:t>
            </w:r>
          </w:p>
        </w:tc>
      </w:tr>
      <w:tr w:rsidR="00150B9F" w:rsidRPr="00150B9F" w:rsidTr="00E43DD0">
        <w:trPr>
          <w:trHeight w:val="300"/>
          <w:jc w:val="center"/>
        </w:trPr>
        <w:tc>
          <w:tcPr>
            <w:tcW w:w="53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bCs/>
              </w:rPr>
              <w:t>Onorari</w:t>
            </w:r>
          </w:p>
        </w:tc>
        <w:tc>
          <w:tcPr>
            <w:tcW w:w="2756" w:type="dxa"/>
            <w:tcBorders>
              <w:top w:val="single" w:sz="4" w:space="0" w:color="auto"/>
              <w:left w:val="nil"/>
              <w:bottom w:val="single" w:sz="4" w:space="0" w:color="auto"/>
              <w:right w:val="single" w:sz="4" w:space="0" w:color="auto"/>
            </w:tcBorders>
            <w:shd w:val="clear" w:color="000000" w:fill="F2F2F2"/>
            <w:noWrap/>
            <w:vAlign w:val="center"/>
            <w:hideMark/>
          </w:tcPr>
          <w:p w:rsidR="00150B9F" w:rsidRPr="00150B9F" w:rsidRDefault="00150B9F" w:rsidP="00150B9F">
            <w:pPr>
              <w:pStyle w:val="StandardRisoluzionedelConsigliodiStato"/>
              <w:ind w:right="-1"/>
              <w:rPr>
                <w:lang w:val="it-IT"/>
              </w:rPr>
            </w:pPr>
            <w:r w:rsidRPr="00150B9F">
              <w:rPr>
                <w:bCs/>
              </w:rPr>
              <w:t>230'000</w:t>
            </w:r>
          </w:p>
        </w:tc>
      </w:tr>
      <w:tr w:rsidR="00150B9F" w:rsidRPr="00150B9F" w:rsidTr="00E43DD0">
        <w:trPr>
          <w:trHeight w:val="300"/>
          <w:jc w:val="center"/>
        </w:trPr>
        <w:tc>
          <w:tcPr>
            <w:tcW w:w="531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50B9F" w:rsidRPr="00150B9F" w:rsidRDefault="00150B9F" w:rsidP="00150B9F">
            <w:pPr>
              <w:pStyle w:val="StandardRisoluzionedelConsigliodiStato"/>
              <w:ind w:right="-1"/>
              <w:rPr>
                <w:bCs/>
              </w:rPr>
            </w:pPr>
            <w:r w:rsidRPr="00150B9F">
              <w:rPr>
                <w:bCs/>
              </w:rPr>
              <w:t>Totale opere (IVA esclusa)</w:t>
            </w:r>
          </w:p>
        </w:tc>
        <w:tc>
          <w:tcPr>
            <w:tcW w:w="2756" w:type="dxa"/>
            <w:tcBorders>
              <w:top w:val="single" w:sz="4" w:space="0" w:color="auto"/>
              <w:left w:val="nil"/>
              <w:bottom w:val="single" w:sz="4" w:space="0" w:color="auto"/>
              <w:right w:val="single" w:sz="4" w:space="0" w:color="auto"/>
            </w:tcBorders>
            <w:shd w:val="clear" w:color="000000" w:fill="F2F2F2"/>
            <w:noWrap/>
            <w:vAlign w:val="center"/>
          </w:tcPr>
          <w:p w:rsidR="00150B9F" w:rsidRPr="00150B9F" w:rsidRDefault="00150B9F" w:rsidP="00150B9F">
            <w:pPr>
              <w:pStyle w:val="StandardRisoluzionedelConsigliodiStato"/>
              <w:ind w:right="-1"/>
              <w:rPr>
                <w:bCs/>
              </w:rPr>
            </w:pPr>
            <w:r w:rsidRPr="00150B9F">
              <w:rPr>
                <w:bCs/>
              </w:rPr>
              <w:t>4'209'772</w:t>
            </w:r>
          </w:p>
        </w:tc>
      </w:tr>
      <w:tr w:rsidR="00150B9F" w:rsidRPr="00150B9F" w:rsidTr="00E43DD0">
        <w:trPr>
          <w:trHeight w:val="300"/>
          <w:jc w:val="center"/>
        </w:trPr>
        <w:tc>
          <w:tcPr>
            <w:tcW w:w="5315"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50B9F" w:rsidRPr="00150B9F" w:rsidRDefault="00150B9F" w:rsidP="00150B9F">
            <w:pPr>
              <w:pStyle w:val="StandardRisoluzionedelConsigliodiStato"/>
              <w:ind w:right="-1"/>
              <w:rPr>
                <w:b/>
              </w:rPr>
            </w:pPr>
            <w:r w:rsidRPr="00150B9F">
              <w:t>IVA 8.1% e arrotondamenti</w:t>
            </w:r>
          </w:p>
        </w:tc>
        <w:tc>
          <w:tcPr>
            <w:tcW w:w="2756" w:type="dxa"/>
            <w:tcBorders>
              <w:top w:val="single" w:sz="4" w:space="0" w:color="auto"/>
              <w:left w:val="nil"/>
              <w:bottom w:val="single" w:sz="4" w:space="0" w:color="auto"/>
              <w:right w:val="single" w:sz="4" w:space="0" w:color="auto"/>
            </w:tcBorders>
            <w:shd w:val="clear" w:color="000000" w:fill="F2F2F2"/>
            <w:noWrap/>
            <w:vAlign w:val="center"/>
          </w:tcPr>
          <w:p w:rsidR="00150B9F" w:rsidRPr="00150B9F" w:rsidRDefault="00150B9F" w:rsidP="00150B9F">
            <w:pPr>
              <w:pStyle w:val="StandardRisoluzionedelConsigliodiStato"/>
              <w:ind w:right="-1"/>
              <w:rPr>
                <w:bCs/>
              </w:rPr>
            </w:pPr>
            <w:r w:rsidRPr="00150B9F">
              <w:rPr>
                <w:bCs/>
              </w:rPr>
              <w:t>340'992</w:t>
            </w:r>
          </w:p>
        </w:tc>
      </w:tr>
      <w:tr w:rsidR="00150B9F" w:rsidRPr="00150B9F" w:rsidTr="00E43DD0">
        <w:trPr>
          <w:trHeight w:val="300"/>
          <w:jc w:val="center"/>
        </w:trPr>
        <w:tc>
          <w:tcPr>
            <w:tcW w:w="5315" w:type="dxa"/>
            <w:tcBorders>
              <w:top w:val="nil"/>
              <w:left w:val="single" w:sz="4" w:space="0" w:color="auto"/>
              <w:bottom w:val="single" w:sz="4" w:space="0" w:color="auto"/>
              <w:right w:val="single" w:sz="4" w:space="0" w:color="auto"/>
            </w:tcBorders>
            <w:shd w:val="clear" w:color="000000" w:fill="D9D9D9"/>
            <w:noWrap/>
            <w:vAlign w:val="center"/>
            <w:hideMark/>
          </w:tcPr>
          <w:p w:rsidR="00150B9F" w:rsidRPr="00150B9F" w:rsidRDefault="00150B9F" w:rsidP="00150B9F">
            <w:pPr>
              <w:pStyle w:val="StandardRisoluzionedelConsigliodiStato"/>
              <w:ind w:right="-1"/>
              <w:rPr>
                <w:b/>
                <w:bCs/>
                <w:lang w:val="it-IT"/>
              </w:rPr>
            </w:pPr>
            <w:r w:rsidRPr="00150B9F">
              <w:rPr>
                <w:b/>
                <w:bCs/>
                <w:lang w:val="it-IT"/>
              </w:rPr>
              <w:t>Totale (IVA inclusa)</w:t>
            </w:r>
          </w:p>
        </w:tc>
        <w:tc>
          <w:tcPr>
            <w:tcW w:w="2756" w:type="dxa"/>
            <w:tcBorders>
              <w:top w:val="nil"/>
              <w:left w:val="nil"/>
              <w:bottom w:val="single" w:sz="4" w:space="0" w:color="auto"/>
              <w:right w:val="single" w:sz="4" w:space="0" w:color="auto"/>
            </w:tcBorders>
            <w:shd w:val="clear" w:color="000000" w:fill="D9D9D9"/>
            <w:noWrap/>
            <w:vAlign w:val="center"/>
            <w:hideMark/>
          </w:tcPr>
          <w:p w:rsidR="00150B9F" w:rsidRPr="00150B9F" w:rsidRDefault="00150B9F" w:rsidP="00150B9F">
            <w:pPr>
              <w:pStyle w:val="StandardRisoluzionedelConsigliodiStato"/>
              <w:ind w:right="-1"/>
              <w:rPr>
                <w:b/>
                <w:bCs/>
                <w:lang w:val="it-IT"/>
              </w:rPr>
            </w:pPr>
            <w:r w:rsidRPr="00150B9F">
              <w:rPr>
                <w:b/>
                <w:bCs/>
              </w:rPr>
              <w:t>4'550'764</w:t>
            </w:r>
          </w:p>
        </w:tc>
      </w:tr>
    </w:tbl>
    <w:p w:rsidR="00150B9F" w:rsidRPr="00150B9F" w:rsidRDefault="00150B9F" w:rsidP="00150B9F">
      <w:pPr>
        <w:pStyle w:val="StandardRisoluzionedelConsigliodiStato"/>
        <w:ind w:right="-1"/>
      </w:pPr>
    </w:p>
    <w:p w:rsidR="00150B9F" w:rsidRPr="00150B9F" w:rsidRDefault="00150B9F" w:rsidP="00150B9F">
      <w:pPr>
        <w:pStyle w:val="StandardRisoluzionedelConsigliodiStato"/>
        <w:ind w:right="-1"/>
      </w:pPr>
      <w:r w:rsidRPr="00150B9F">
        <w:t xml:space="preserve">Per la suddivisione dei costi delle opere del presente messaggio, il calcolo dei sussidi cantonali totali si basa da una parte sulla </w:t>
      </w:r>
      <w:r w:rsidRPr="00150B9F">
        <w:rPr>
          <w:b/>
          <w:bCs/>
        </w:rPr>
        <w:t>chiave di riparto della spesa comunicata dal CDACD</w:t>
      </w:r>
      <w:r w:rsidRPr="00150B9F">
        <w:t xml:space="preserve"> per i diversi </w:t>
      </w:r>
      <w:r w:rsidR="00B108A1">
        <w:t>C</w:t>
      </w:r>
      <w:r w:rsidRPr="00150B9F">
        <w:t xml:space="preserve">omuni, mentre dall’altra </w:t>
      </w:r>
      <w:r w:rsidRPr="00150B9F">
        <w:rPr>
          <w:b/>
          <w:bCs/>
        </w:rPr>
        <w:t>le percentuali sono definite dall’art. 116 della LALIA</w:t>
      </w:r>
      <w:r w:rsidRPr="00150B9F">
        <w:t xml:space="preserve"> e fissate in base alla graduatoria degli indici di capacità finanziaria dei Comuni ticinesi. Per le opere previste, approvate dal servizio cantonale competente a dicembre 2023, faranno stato i valori in vigore al momento della ratifica del presente decreto legislativo da parte del Gran Consiglio, tuttavia non ci dovrebbero essere modifiche. Nella seguente tabella viene riportata la ripartizione al momento del messaggio da parte del </w:t>
      </w:r>
      <w:r w:rsidR="00B108A1">
        <w:t xml:space="preserve">Consiglio di Stato </w:t>
      </w:r>
      <w:r w:rsidRPr="00150B9F">
        <w:t xml:space="preserve">che appunto non dovrebbero discostarsi da quella finale. </w:t>
      </w:r>
    </w:p>
    <w:p w:rsidR="00150B9F" w:rsidRPr="00150B9F" w:rsidRDefault="00150B9F" w:rsidP="00150B9F">
      <w:pPr>
        <w:pStyle w:val="StandardRisoluzionedelConsigliodiStato"/>
        <w:ind w:right="-1"/>
      </w:pPr>
    </w:p>
    <w:tbl>
      <w:tblPr>
        <w:tblW w:w="6220" w:type="dxa"/>
        <w:jc w:val="center"/>
        <w:tblCellMar>
          <w:left w:w="70" w:type="dxa"/>
          <w:right w:w="70" w:type="dxa"/>
        </w:tblCellMar>
        <w:tblLook w:val="04A0" w:firstRow="1" w:lastRow="0" w:firstColumn="1" w:lastColumn="0" w:noHBand="0" w:noVBand="1"/>
      </w:tblPr>
      <w:tblGrid>
        <w:gridCol w:w="2015"/>
        <w:gridCol w:w="1526"/>
        <w:gridCol w:w="1478"/>
        <w:gridCol w:w="1201"/>
      </w:tblGrid>
      <w:tr w:rsidR="00150B9F" w:rsidRPr="00150B9F" w:rsidTr="00E43DD0">
        <w:trPr>
          <w:trHeight w:val="720"/>
          <w:jc w:val="center"/>
        </w:trPr>
        <w:tc>
          <w:tcPr>
            <w:tcW w:w="2015" w:type="dxa"/>
            <w:tcBorders>
              <w:top w:val="single" w:sz="4" w:space="0" w:color="auto"/>
              <w:left w:val="nil"/>
              <w:bottom w:val="single" w:sz="4" w:space="0" w:color="auto"/>
              <w:right w:val="nil"/>
            </w:tcBorders>
            <w:shd w:val="clear" w:color="auto" w:fill="auto"/>
            <w:vAlign w:val="center"/>
            <w:hideMark/>
          </w:tcPr>
          <w:p w:rsidR="00150B9F" w:rsidRPr="00150B9F" w:rsidRDefault="00150B9F" w:rsidP="00150B9F">
            <w:pPr>
              <w:pStyle w:val="StandardRisoluzionedelConsigliodiStato"/>
              <w:ind w:right="-1"/>
              <w:rPr>
                <w:b/>
                <w:bCs/>
              </w:rPr>
            </w:pPr>
            <w:r w:rsidRPr="00150B9F">
              <w:rPr>
                <w:b/>
                <w:bCs/>
              </w:rPr>
              <w:t>Comuni</w:t>
            </w:r>
          </w:p>
        </w:tc>
        <w:tc>
          <w:tcPr>
            <w:tcW w:w="1526" w:type="dxa"/>
            <w:tcBorders>
              <w:top w:val="single" w:sz="4" w:space="0" w:color="auto"/>
              <w:left w:val="nil"/>
              <w:bottom w:val="single" w:sz="4" w:space="0" w:color="auto"/>
              <w:right w:val="nil"/>
            </w:tcBorders>
            <w:shd w:val="clear" w:color="auto" w:fill="auto"/>
            <w:vAlign w:val="center"/>
            <w:hideMark/>
          </w:tcPr>
          <w:p w:rsidR="00150B9F" w:rsidRPr="00150B9F" w:rsidRDefault="00150B9F" w:rsidP="00150B9F">
            <w:pPr>
              <w:pStyle w:val="StandardRisoluzionedelConsigliodiStato"/>
              <w:ind w:right="-1"/>
              <w:rPr>
                <w:b/>
                <w:bCs/>
              </w:rPr>
            </w:pPr>
            <w:r w:rsidRPr="00150B9F">
              <w:rPr>
                <w:b/>
                <w:bCs/>
              </w:rPr>
              <w:t>Riparto spesa in % (da CDACD)</w:t>
            </w:r>
          </w:p>
        </w:tc>
        <w:tc>
          <w:tcPr>
            <w:tcW w:w="1478" w:type="dxa"/>
            <w:tcBorders>
              <w:top w:val="single" w:sz="4" w:space="0" w:color="auto"/>
              <w:left w:val="nil"/>
              <w:bottom w:val="single" w:sz="4" w:space="0" w:color="auto"/>
              <w:right w:val="nil"/>
            </w:tcBorders>
            <w:shd w:val="clear" w:color="auto" w:fill="auto"/>
            <w:vAlign w:val="center"/>
            <w:hideMark/>
          </w:tcPr>
          <w:p w:rsidR="00150B9F" w:rsidRPr="00150B9F" w:rsidRDefault="00150B9F" w:rsidP="00150B9F">
            <w:pPr>
              <w:pStyle w:val="StandardRisoluzionedelConsigliodiStato"/>
              <w:ind w:right="-1"/>
              <w:rPr>
                <w:b/>
                <w:bCs/>
              </w:rPr>
            </w:pPr>
            <w:r w:rsidRPr="00150B9F">
              <w:rPr>
                <w:b/>
                <w:bCs/>
              </w:rPr>
              <w:t>Chiave di riparto cantonale in %</w:t>
            </w:r>
          </w:p>
        </w:tc>
        <w:tc>
          <w:tcPr>
            <w:tcW w:w="1201" w:type="dxa"/>
            <w:tcBorders>
              <w:top w:val="single" w:sz="4" w:space="0" w:color="auto"/>
              <w:left w:val="nil"/>
              <w:bottom w:val="single" w:sz="4" w:space="0" w:color="auto"/>
              <w:right w:val="nil"/>
            </w:tcBorders>
            <w:shd w:val="clear" w:color="auto" w:fill="auto"/>
            <w:vAlign w:val="center"/>
            <w:hideMark/>
          </w:tcPr>
          <w:p w:rsidR="00150B9F" w:rsidRPr="00150B9F" w:rsidRDefault="00150B9F" w:rsidP="00150B9F">
            <w:pPr>
              <w:pStyle w:val="StandardRisoluzionedelConsigliodiStato"/>
              <w:ind w:right="-1"/>
              <w:rPr>
                <w:b/>
                <w:bCs/>
              </w:rPr>
            </w:pPr>
            <w:r w:rsidRPr="00150B9F">
              <w:rPr>
                <w:b/>
                <w:bCs/>
              </w:rPr>
              <w:t>Totale in %</w:t>
            </w:r>
          </w:p>
        </w:tc>
      </w:tr>
      <w:tr w:rsidR="00150B9F" w:rsidRPr="00150B9F" w:rsidTr="00E43DD0">
        <w:trPr>
          <w:trHeight w:val="255"/>
          <w:jc w:val="center"/>
        </w:trPr>
        <w:tc>
          <w:tcPr>
            <w:tcW w:w="2015" w:type="dxa"/>
            <w:tcBorders>
              <w:top w:val="single" w:sz="4" w:space="0" w:color="auto"/>
              <w:left w:val="nil"/>
              <w:bottom w:val="nil"/>
              <w:right w:val="nil"/>
            </w:tcBorders>
            <w:shd w:val="clear" w:color="D9D9D9" w:fill="D9D9D9"/>
            <w:vAlign w:val="center"/>
          </w:tcPr>
          <w:p w:rsidR="00150B9F" w:rsidRPr="00150B9F" w:rsidRDefault="00150B9F" w:rsidP="00150B9F">
            <w:pPr>
              <w:pStyle w:val="StandardRisoluzionedelConsigliodiStato"/>
              <w:ind w:right="-1"/>
            </w:pPr>
            <w:r w:rsidRPr="00150B9F">
              <w:t>Chiasso</w:t>
            </w:r>
          </w:p>
        </w:tc>
        <w:tc>
          <w:tcPr>
            <w:tcW w:w="1526" w:type="dxa"/>
            <w:tcBorders>
              <w:top w:val="nil"/>
              <w:left w:val="nil"/>
              <w:bottom w:val="nil"/>
              <w:right w:val="nil"/>
            </w:tcBorders>
            <w:shd w:val="clear" w:color="D9D9D9" w:fill="D9D9D9"/>
            <w:noWrap/>
            <w:vAlign w:val="center"/>
          </w:tcPr>
          <w:p w:rsidR="00150B9F" w:rsidRPr="00150B9F" w:rsidRDefault="00150B9F" w:rsidP="00150B9F">
            <w:pPr>
              <w:pStyle w:val="StandardRisoluzionedelConsigliodiStato"/>
              <w:ind w:right="-1"/>
              <w:rPr>
                <w:b/>
                <w:bCs/>
              </w:rPr>
            </w:pPr>
            <w:r w:rsidRPr="00150B9F">
              <w:t>32,68</w:t>
            </w:r>
          </w:p>
        </w:tc>
        <w:tc>
          <w:tcPr>
            <w:tcW w:w="1478"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10</w:t>
            </w:r>
          </w:p>
        </w:tc>
        <w:tc>
          <w:tcPr>
            <w:tcW w:w="1201"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3,268</w:t>
            </w:r>
          </w:p>
        </w:tc>
      </w:tr>
      <w:tr w:rsidR="00150B9F" w:rsidRPr="00150B9F" w:rsidTr="00E43DD0">
        <w:trPr>
          <w:trHeight w:val="255"/>
          <w:jc w:val="center"/>
        </w:trPr>
        <w:tc>
          <w:tcPr>
            <w:tcW w:w="2015" w:type="dxa"/>
            <w:tcBorders>
              <w:top w:val="nil"/>
              <w:left w:val="nil"/>
              <w:bottom w:val="nil"/>
              <w:right w:val="nil"/>
            </w:tcBorders>
            <w:shd w:val="clear" w:color="auto" w:fill="auto"/>
            <w:noWrap/>
            <w:vAlign w:val="center"/>
          </w:tcPr>
          <w:p w:rsidR="00150B9F" w:rsidRPr="00150B9F" w:rsidRDefault="00150B9F" w:rsidP="00150B9F">
            <w:pPr>
              <w:pStyle w:val="StandardRisoluzionedelConsigliodiStato"/>
              <w:ind w:right="-1"/>
            </w:pPr>
            <w:r w:rsidRPr="00150B9F">
              <w:t>Balerna</w:t>
            </w:r>
          </w:p>
        </w:tc>
        <w:tc>
          <w:tcPr>
            <w:tcW w:w="1526" w:type="dxa"/>
            <w:tcBorders>
              <w:top w:val="nil"/>
              <w:left w:val="nil"/>
              <w:bottom w:val="nil"/>
              <w:right w:val="nil"/>
            </w:tcBorders>
            <w:shd w:val="clear" w:color="auto" w:fill="auto"/>
            <w:noWrap/>
            <w:vAlign w:val="center"/>
          </w:tcPr>
          <w:p w:rsidR="00150B9F" w:rsidRPr="00150B9F" w:rsidRDefault="00150B9F" w:rsidP="00150B9F">
            <w:pPr>
              <w:pStyle w:val="StandardRisoluzionedelConsigliodiStato"/>
              <w:ind w:right="-1"/>
              <w:rPr>
                <w:b/>
                <w:bCs/>
              </w:rPr>
            </w:pPr>
            <w:r w:rsidRPr="00150B9F">
              <w:t>14,16</w:t>
            </w:r>
          </w:p>
        </w:tc>
        <w:tc>
          <w:tcPr>
            <w:tcW w:w="1478" w:type="dxa"/>
            <w:tcBorders>
              <w:top w:val="nil"/>
              <w:left w:val="nil"/>
              <w:bottom w:val="nil"/>
              <w:right w:val="nil"/>
            </w:tcBorders>
            <w:shd w:val="clear" w:color="auto" w:fill="auto"/>
            <w:noWrap/>
            <w:vAlign w:val="bottom"/>
          </w:tcPr>
          <w:p w:rsidR="00150B9F" w:rsidRPr="00150B9F" w:rsidRDefault="00150B9F" w:rsidP="00150B9F">
            <w:pPr>
              <w:pStyle w:val="StandardRisoluzionedelConsigliodiStato"/>
              <w:ind w:right="-1"/>
            </w:pPr>
            <w:r w:rsidRPr="00150B9F">
              <w:t>10</w:t>
            </w:r>
          </w:p>
        </w:tc>
        <w:tc>
          <w:tcPr>
            <w:tcW w:w="1201" w:type="dxa"/>
            <w:tcBorders>
              <w:top w:val="nil"/>
              <w:left w:val="nil"/>
              <w:bottom w:val="nil"/>
              <w:right w:val="nil"/>
            </w:tcBorders>
            <w:shd w:val="clear" w:color="auto" w:fill="auto"/>
            <w:noWrap/>
            <w:vAlign w:val="bottom"/>
          </w:tcPr>
          <w:p w:rsidR="00150B9F" w:rsidRPr="00150B9F" w:rsidRDefault="00150B9F" w:rsidP="00150B9F">
            <w:pPr>
              <w:pStyle w:val="StandardRisoluzionedelConsigliodiStato"/>
              <w:ind w:right="-1"/>
            </w:pPr>
            <w:r w:rsidRPr="00150B9F">
              <w:t>1,416</w:t>
            </w:r>
          </w:p>
        </w:tc>
      </w:tr>
      <w:tr w:rsidR="00150B9F" w:rsidRPr="00150B9F" w:rsidTr="00E43DD0">
        <w:trPr>
          <w:trHeight w:val="255"/>
          <w:jc w:val="center"/>
        </w:trPr>
        <w:tc>
          <w:tcPr>
            <w:tcW w:w="2015" w:type="dxa"/>
            <w:tcBorders>
              <w:top w:val="nil"/>
              <w:left w:val="nil"/>
              <w:bottom w:val="nil"/>
              <w:right w:val="nil"/>
            </w:tcBorders>
            <w:shd w:val="clear" w:color="D9D9D9" w:fill="D9D9D9"/>
            <w:noWrap/>
            <w:vAlign w:val="center"/>
          </w:tcPr>
          <w:p w:rsidR="00150B9F" w:rsidRPr="00150B9F" w:rsidRDefault="00150B9F" w:rsidP="00150B9F">
            <w:pPr>
              <w:pStyle w:val="StandardRisoluzionedelConsigliodiStato"/>
              <w:ind w:right="-1"/>
            </w:pPr>
            <w:r w:rsidRPr="00150B9F">
              <w:t>Morbio Inferiore</w:t>
            </w:r>
          </w:p>
        </w:tc>
        <w:tc>
          <w:tcPr>
            <w:tcW w:w="1526" w:type="dxa"/>
            <w:tcBorders>
              <w:top w:val="nil"/>
              <w:left w:val="nil"/>
              <w:bottom w:val="nil"/>
              <w:right w:val="nil"/>
            </w:tcBorders>
            <w:shd w:val="clear" w:color="D9D9D9" w:fill="D9D9D9"/>
            <w:noWrap/>
            <w:vAlign w:val="center"/>
          </w:tcPr>
          <w:p w:rsidR="00150B9F" w:rsidRPr="00150B9F" w:rsidRDefault="00150B9F" w:rsidP="00150B9F">
            <w:pPr>
              <w:pStyle w:val="StandardRisoluzionedelConsigliodiStato"/>
              <w:ind w:right="-1"/>
              <w:rPr>
                <w:b/>
                <w:bCs/>
              </w:rPr>
            </w:pPr>
            <w:r w:rsidRPr="00150B9F">
              <w:t>13,89</w:t>
            </w:r>
          </w:p>
        </w:tc>
        <w:tc>
          <w:tcPr>
            <w:tcW w:w="1478"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30</w:t>
            </w:r>
          </w:p>
        </w:tc>
        <w:tc>
          <w:tcPr>
            <w:tcW w:w="1201"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4,167</w:t>
            </w:r>
          </w:p>
        </w:tc>
      </w:tr>
      <w:tr w:rsidR="00150B9F" w:rsidRPr="00150B9F" w:rsidTr="00E43DD0">
        <w:trPr>
          <w:trHeight w:val="255"/>
          <w:jc w:val="center"/>
        </w:trPr>
        <w:tc>
          <w:tcPr>
            <w:tcW w:w="2015" w:type="dxa"/>
            <w:tcBorders>
              <w:top w:val="nil"/>
              <w:left w:val="nil"/>
              <w:bottom w:val="nil"/>
              <w:right w:val="nil"/>
            </w:tcBorders>
            <w:shd w:val="clear" w:color="auto" w:fill="auto"/>
            <w:noWrap/>
            <w:vAlign w:val="center"/>
          </w:tcPr>
          <w:p w:rsidR="00150B9F" w:rsidRPr="00150B9F" w:rsidRDefault="00150B9F" w:rsidP="00150B9F">
            <w:pPr>
              <w:pStyle w:val="StandardRisoluzionedelConsigliodiStato"/>
              <w:ind w:right="-1"/>
            </w:pPr>
            <w:proofErr w:type="spellStart"/>
            <w:r w:rsidRPr="00150B9F">
              <w:t>Vacallo</w:t>
            </w:r>
            <w:proofErr w:type="spellEnd"/>
          </w:p>
        </w:tc>
        <w:tc>
          <w:tcPr>
            <w:tcW w:w="1526" w:type="dxa"/>
            <w:tcBorders>
              <w:top w:val="nil"/>
              <w:left w:val="nil"/>
              <w:bottom w:val="nil"/>
              <w:right w:val="nil"/>
            </w:tcBorders>
            <w:shd w:val="clear" w:color="auto" w:fill="auto"/>
            <w:noWrap/>
            <w:vAlign w:val="center"/>
          </w:tcPr>
          <w:p w:rsidR="00150B9F" w:rsidRPr="00150B9F" w:rsidRDefault="00150B9F" w:rsidP="00150B9F">
            <w:pPr>
              <w:pStyle w:val="StandardRisoluzionedelConsigliodiStato"/>
              <w:ind w:right="-1"/>
              <w:rPr>
                <w:b/>
                <w:bCs/>
              </w:rPr>
            </w:pPr>
            <w:r w:rsidRPr="00150B9F">
              <w:t>10,57</w:t>
            </w:r>
          </w:p>
        </w:tc>
        <w:tc>
          <w:tcPr>
            <w:tcW w:w="1478" w:type="dxa"/>
            <w:tcBorders>
              <w:top w:val="nil"/>
              <w:left w:val="nil"/>
              <w:bottom w:val="nil"/>
              <w:right w:val="nil"/>
            </w:tcBorders>
            <w:shd w:val="clear" w:color="auto" w:fill="auto"/>
            <w:noWrap/>
            <w:vAlign w:val="bottom"/>
          </w:tcPr>
          <w:p w:rsidR="00150B9F" w:rsidRPr="00150B9F" w:rsidRDefault="00150B9F" w:rsidP="00150B9F">
            <w:pPr>
              <w:pStyle w:val="StandardRisoluzionedelConsigliodiStato"/>
              <w:ind w:right="-1"/>
            </w:pPr>
            <w:r w:rsidRPr="00150B9F">
              <w:t>20</w:t>
            </w:r>
          </w:p>
        </w:tc>
        <w:tc>
          <w:tcPr>
            <w:tcW w:w="1201" w:type="dxa"/>
            <w:tcBorders>
              <w:top w:val="nil"/>
              <w:left w:val="nil"/>
              <w:bottom w:val="nil"/>
              <w:right w:val="nil"/>
            </w:tcBorders>
            <w:shd w:val="clear" w:color="auto" w:fill="auto"/>
            <w:noWrap/>
            <w:vAlign w:val="bottom"/>
          </w:tcPr>
          <w:p w:rsidR="00150B9F" w:rsidRPr="00150B9F" w:rsidRDefault="00150B9F" w:rsidP="00150B9F">
            <w:pPr>
              <w:pStyle w:val="StandardRisoluzionedelConsigliodiStato"/>
              <w:ind w:right="-1"/>
            </w:pPr>
            <w:r w:rsidRPr="00150B9F">
              <w:t>2,114</w:t>
            </w:r>
          </w:p>
        </w:tc>
      </w:tr>
      <w:tr w:rsidR="00150B9F" w:rsidRPr="00150B9F" w:rsidTr="00E43DD0">
        <w:trPr>
          <w:trHeight w:val="255"/>
          <w:jc w:val="center"/>
        </w:trPr>
        <w:tc>
          <w:tcPr>
            <w:tcW w:w="2015" w:type="dxa"/>
            <w:tcBorders>
              <w:top w:val="nil"/>
              <w:left w:val="nil"/>
              <w:bottom w:val="nil"/>
              <w:right w:val="nil"/>
            </w:tcBorders>
            <w:shd w:val="clear" w:color="D9D9D9" w:fill="D9D9D9"/>
            <w:noWrap/>
            <w:vAlign w:val="center"/>
          </w:tcPr>
          <w:p w:rsidR="00150B9F" w:rsidRPr="00150B9F" w:rsidRDefault="00150B9F" w:rsidP="00150B9F">
            <w:pPr>
              <w:pStyle w:val="StandardRisoluzionedelConsigliodiStato"/>
              <w:ind w:right="-1"/>
            </w:pPr>
            <w:r w:rsidRPr="00150B9F">
              <w:t>Coldrerio</w:t>
            </w:r>
          </w:p>
        </w:tc>
        <w:tc>
          <w:tcPr>
            <w:tcW w:w="1526" w:type="dxa"/>
            <w:tcBorders>
              <w:top w:val="nil"/>
              <w:left w:val="nil"/>
              <w:bottom w:val="nil"/>
              <w:right w:val="nil"/>
            </w:tcBorders>
            <w:shd w:val="clear" w:color="D9D9D9" w:fill="D9D9D9"/>
            <w:noWrap/>
            <w:vAlign w:val="center"/>
          </w:tcPr>
          <w:p w:rsidR="00150B9F" w:rsidRPr="00150B9F" w:rsidRDefault="00150B9F" w:rsidP="00150B9F">
            <w:pPr>
              <w:pStyle w:val="StandardRisoluzionedelConsigliodiStato"/>
              <w:ind w:right="-1"/>
              <w:rPr>
                <w:b/>
                <w:bCs/>
              </w:rPr>
            </w:pPr>
            <w:r w:rsidRPr="00150B9F">
              <w:t>9,26</w:t>
            </w:r>
          </w:p>
        </w:tc>
        <w:tc>
          <w:tcPr>
            <w:tcW w:w="1478"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30</w:t>
            </w:r>
          </w:p>
        </w:tc>
        <w:tc>
          <w:tcPr>
            <w:tcW w:w="1201"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2,778</w:t>
            </w:r>
          </w:p>
        </w:tc>
      </w:tr>
      <w:tr w:rsidR="00150B9F" w:rsidRPr="00150B9F" w:rsidTr="00E43DD0">
        <w:trPr>
          <w:trHeight w:val="255"/>
          <w:jc w:val="center"/>
        </w:trPr>
        <w:tc>
          <w:tcPr>
            <w:tcW w:w="2015" w:type="dxa"/>
            <w:tcBorders>
              <w:top w:val="nil"/>
              <w:left w:val="nil"/>
              <w:bottom w:val="nil"/>
              <w:right w:val="nil"/>
            </w:tcBorders>
            <w:shd w:val="clear" w:color="auto" w:fill="auto"/>
            <w:noWrap/>
            <w:vAlign w:val="center"/>
          </w:tcPr>
          <w:p w:rsidR="00150B9F" w:rsidRPr="00150B9F" w:rsidRDefault="00150B9F" w:rsidP="00150B9F">
            <w:pPr>
              <w:pStyle w:val="StandardRisoluzionedelConsigliodiStato"/>
              <w:ind w:right="-1"/>
            </w:pPr>
            <w:proofErr w:type="spellStart"/>
            <w:r w:rsidRPr="00150B9F">
              <w:t>Novazzano</w:t>
            </w:r>
            <w:proofErr w:type="spellEnd"/>
          </w:p>
        </w:tc>
        <w:tc>
          <w:tcPr>
            <w:tcW w:w="1526" w:type="dxa"/>
            <w:tcBorders>
              <w:top w:val="nil"/>
              <w:left w:val="nil"/>
              <w:bottom w:val="nil"/>
              <w:right w:val="nil"/>
            </w:tcBorders>
            <w:shd w:val="clear" w:color="auto" w:fill="auto"/>
            <w:noWrap/>
            <w:vAlign w:val="center"/>
          </w:tcPr>
          <w:p w:rsidR="00150B9F" w:rsidRPr="00150B9F" w:rsidRDefault="00150B9F" w:rsidP="00150B9F">
            <w:pPr>
              <w:pStyle w:val="StandardRisoluzionedelConsigliodiStato"/>
              <w:ind w:right="-1"/>
              <w:rPr>
                <w:b/>
                <w:bCs/>
              </w:rPr>
            </w:pPr>
            <w:r w:rsidRPr="00150B9F">
              <w:t>6,86</w:t>
            </w:r>
          </w:p>
        </w:tc>
        <w:tc>
          <w:tcPr>
            <w:tcW w:w="1478" w:type="dxa"/>
            <w:tcBorders>
              <w:top w:val="nil"/>
              <w:left w:val="nil"/>
              <w:bottom w:val="nil"/>
              <w:right w:val="nil"/>
            </w:tcBorders>
            <w:shd w:val="clear" w:color="auto" w:fill="auto"/>
            <w:noWrap/>
            <w:vAlign w:val="bottom"/>
          </w:tcPr>
          <w:p w:rsidR="00150B9F" w:rsidRPr="00150B9F" w:rsidRDefault="00150B9F" w:rsidP="00150B9F">
            <w:pPr>
              <w:pStyle w:val="StandardRisoluzionedelConsigliodiStato"/>
              <w:ind w:right="-1"/>
            </w:pPr>
            <w:r w:rsidRPr="00150B9F">
              <w:t>10</w:t>
            </w:r>
          </w:p>
        </w:tc>
        <w:tc>
          <w:tcPr>
            <w:tcW w:w="1201" w:type="dxa"/>
            <w:tcBorders>
              <w:top w:val="nil"/>
              <w:left w:val="nil"/>
              <w:bottom w:val="nil"/>
              <w:right w:val="nil"/>
            </w:tcBorders>
            <w:shd w:val="clear" w:color="auto" w:fill="auto"/>
            <w:noWrap/>
            <w:vAlign w:val="bottom"/>
          </w:tcPr>
          <w:p w:rsidR="00150B9F" w:rsidRPr="00150B9F" w:rsidRDefault="00150B9F" w:rsidP="00150B9F">
            <w:pPr>
              <w:pStyle w:val="StandardRisoluzionedelConsigliodiStato"/>
              <w:ind w:right="-1"/>
            </w:pPr>
            <w:r w:rsidRPr="00150B9F">
              <w:t>0,686</w:t>
            </w:r>
          </w:p>
        </w:tc>
      </w:tr>
      <w:tr w:rsidR="00150B9F" w:rsidRPr="00150B9F" w:rsidTr="00E43DD0">
        <w:trPr>
          <w:trHeight w:val="255"/>
          <w:jc w:val="center"/>
        </w:trPr>
        <w:tc>
          <w:tcPr>
            <w:tcW w:w="2015" w:type="dxa"/>
            <w:tcBorders>
              <w:top w:val="nil"/>
              <w:left w:val="nil"/>
              <w:bottom w:val="nil"/>
              <w:right w:val="nil"/>
            </w:tcBorders>
            <w:shd w:val="clear" w:color="D9D9D9" w:fill="D9D9D9"/>
            <w:noWrap/>
            <w:vAlign w:val="center"/>
          </w:tcPr>
          <w:p w:rsidR="00150B9F" w:rsidRPr="00150B9F" w:rsidRDefault="00150B9F" w:rsidP="00150B9F">
            <w:pPr>
              <w:pStyle w:val="StandardRisoluzionedelConsigliodiStato"/>
              <w:ind w:right="-1"/>
            </w:pPr>
            <w:r w:rsidRPr="00150B9F">
              <w:t>Castel S. Pietro</w:t>
            </w:r>
          </w:p>
        </w:tc>
        <w:tc>
          <w:tcPr>
            <w:tcW w:w="1526" w:type="dxa"/>
            <w:tcBorders>
              <w:top w:val="nil"/>
              <w:left w:val="nil"/>
              <w:bottom w:val="nil"/>
              <w:right w:val="nil"/>
            </w:tcBorders>
            <w:shd w:val="clear" w:color="D9D9D9" w:fill="D9D9D9"/>
            <w:noWrap/>
            <w:vAlign w:val="center"/>
          </w:tcPr>
          <w:p w:rsidR="00150B9F" w:rsidRPr="00150B9F" w:rsidRDefault="00150B9F" w:rsidP="00150B9F">
            <w:pPr>
              <w:pStyle w:val="StandardRisoluzionedelConsigliodiStato"/>
              <w:ind w:right="-1"/>
              <w:rPr>
                <w:b/>
                <w:bCs/>
              </w:rPr>
            </w:pPr>
            <w:r w:rsidRPr="00150B9F">
              <w:t>6,94</w:t>
            </w:r>
          </w:p>
        </w:tc>
        <w:tc>
          <w:tcPr>
            <w:tcW w:w="1478"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10</w:t>
            </w:r>
          </w:p>
        </w:tc>
        <w:tc>
          <w:tcPr>
            <w:tcW w:w="1201" w:type="dxa"/>
            <w:tcBorders>
              <w:top w:val="nil"/>
              <w:left w:val="nil"/>
              <w:bottom w:val="nil"/>
              <w:right w:val="nil"/>
            </w:tcBorders>
            <w:shd w:val="clear" w:color="D9D9D9" w:fill="D9D9D9"/>
            <w:noWrap/>
            <w:vAlign w:val="bottom"/>
          </w:tcPr>
          <w:p w:rsidR="00150B9F" w:rsidRPr="00150B9F" w:rsidRDefault="00150B9F" w:rsidP="00150B9F">
            <w:pPr>
              <w:pStyle w:val="StandardRisoluzionedelConsigliodiStato"/>
              <w:ind w:right="-1"/>
            </w:pPr>
            <w:r w:rsidRPr="00150B9F">
              <w:t>0,694</w:t>
            </w:r>
          </w:p>
        </w:tc>
      </w:tr>
      <w:tr w:rsidR="00150B9F" w:rsidRPr="00150B9F" w:rsidTr="00E43DD0">
        <w:trPr>
          <w:trHeight w:val="270"/>
          <w:jc w:val="center"/>
        </w:trPr>
        <w:tc>
          <w:tcPr>
            <w:tcW w:w="2015" w:type="dxa"/>
            <w:tcBorders>
              <w:top w:val="nil"/>
              <w:left w:val="nil"/>
              <w:bottom w:val="single" w:sz="8" w:space="0" w:color="auto"/>
              <w:right w:val="nil"/>
            </w:tcBorders>
            <w:shd w:val="clear" w:color="auto" w:fill="auto"/>
            <w:noWrap/>
            <w:vAlign w:val="center"/>
          </w:tcPr>
          <w:p w:rsidR="00150B9F" w:rsidRPr="00150B9F" w:rsidRDefault="00150B9F" w:rsidP="00150B9F">
            <w:pPr>
              <w:pStyle w:val="StandardRisoluzionedelConsigliodiStato"/>
              <w:ind w:right="-1"/>
            </w:pPr>
            <w:r w:rsidRPr="00150B9F">
              <w:t xml:space="preserve">Comune di </w:t>
            </w:r>
            <w:proofErr w:type="spellStart"/>
            <w:r w:rsidRPr="00150B9F">
              <w:t>Breggia</w:t>
            </w:r>
            <w:proofErr w:type="spellEnd"/>
          </w:p>
        </w:tc>
        <w:tc>
          <w:tcPr>
            <w:tcW w:w="1526" w:type="dxa"/>
            <w:tcBorders>
              <w:top w:val="nil"/>
              <w:left w:val="nil"/>
              <w:bottom w:val="single" w:sz="8" w:space="0" w:color="auto"/>
              <w:right w:val="nil"/>
            </w:tcBorders>
            <w:shd w:val="clear" w:color="auto" w:fill="auto"/>
            <w:noWrap/>
            <w:vAlign w:val="center"/>
          </w:tcPr>
          <w:p w:rsidR="00150B9F" w:rsidRPr="00150B9F" w:rsidRDefault="00150B9F" w:rsidP="00150B9F">
            <w:pPr>
              <w:pStyle w:val="StandardRisoluzionedelConsigliodiStato"/>
              <w:ind w:right="-1"/>
              <w:rPr>
                <w:b/>
                <w:bCs/>
              </w:rPr>
            </w:pPr>
            <w:r w:rsidRPr="00150B9F">
              <w:t>5,64</w:t>
            </w:r>
          </w:p>
        </w:tc>
        <w:tc>
          <w:tcPr>
            <w:tcW w:w="1478" w:type="dxa"/>
            <w:tcBorders>
              <w:top w:val="nil"/>
              <w:left w:val="nil"/>
              <w:bottom w:val="single" w:sz="8" w:space="0" w:color="auto"/>
              <w:right w:val="nil"/>
            </w:tcBorders>
            <w:shd w:val="clear" w:color="auto" w:fill="auto"/>
            <w:noWrap/>
            <w:vAlign w:val="bottom"/>
          </w:tcPr>
          <w:p w:rsidR="00150B9F" w:rsidRPr="00150B9F" w:rsidRDefault="00150B9F" w:rsidP="00150B9F">
            <w:pPr>
              <w:pStyle w:val="StandardRisoluzionedelConsigliodiStato"/>
              <w:ind w:right="-1"/>
            </w:pPr>
            <w:r w:rsidRPr="00150B9F">
              <w:t>40</w:t>
            </w:r>
          </w:p>
        </w:tc>
        <w:tc>
          <w:tcPr>
            <w:tcW w:w="1201" w:type="dxa"/>
            <w:tcBorders>
              <w:top w:val="nil"/>
              <w:left w:val="nil"/>
              <w:bottom w:val="single" w:sz="8" w:space="0" w:color="auto"/>
              <w:right w:val="nil"/>
            </w:tcBorders>
            <w:shd w:val="clear" w:color="auto" w:fill="auto"/>
            <w:noWrap/>
            <w:vAlign w:val="bottom"/>
          </w:tcPr>
          <w:p w:rsidR="00150B9F" w:rsidRPr="00150B9F" w:rsidRDefault="00150B9F" w:rsidP="00150B9F">
            <w:pPr>
              <w:pStyle w:val="StandardRisoluzionedelConsigliodiStato"/>
              <w:ind w:right="-1"/>
            </w:pPr>
            <w:r w:rsidRPr="00150B9F">
              <w:t>2,256</w:t>
            </w:r>
          </w:p>
        </w:tc>
      </w:tr>
      <w:tr w:rsidR="00150B9F" w:rsidRPr="00150B9F" w:rsidTr="00E43DD0">
        <w:trPr>
          <w:trHeight w:val="255"/>
          <w:jc w:val="center"/>
        </w:trPr>
        <w:tc>
          <w:tcPr>
            <w:tcW w:w="2015" w:type="dxa"/>
            <w:tcBorders>
              <w:top w:val="nil"/>
              <w:left w:val="nil"/>
              <w:bottom w:val="single" w:sz="4" w:space="0" w:color="auto"/>
              <w:right w:val="nil"/>
            </w:tcBorders>
            <w:shd w:val="clear" w:color="auto" w:fill="auto"/>
            <w:noWrap/>
            <w:vAlign w:val="center"/>
          </w:tcPr>
          <w:p w:rsidR="00150B9F" w:rsidRPr="00150B9F" w:rsidRDefault="00150B9F" w:rsidP="00150B9F">
            <w:pPr>
              <w:pStyle w:val="StandardRisoluzionedelConsigliodiStato"/>
              <w:ind w:right="-1"/>
              <w:rPr>
                <w:b/>
                <w:bCs/>
              </w:rPr>
            </w:pPr>
          </w:p>
        </w:tc>
        <w:tc>
          <w:tcPr>
            <w:tcW w:w="1526" w:type="dxa"/>
            <w:tcBorders>
              <w:top w:val="nil"/>
              <w:left w:val="nil"/>
              <w:bottom w:val="single" w:sz="4" w:space="0" w:color="auto"/>
              <w:right w:val="nil"/>
            </w:tcBorders>
            <w:shd w:val="clear" w:color="auto" w:fill="auto"/>
            <w:noWrap/>
            <w:vAlign w:val="bottom"/>
          </w:tcPr>
          <w:p w:rsidR="00150B9F" w:rsidRPr="00150B9F" w:rsidRDefault="00150B9F" w:rsidP="00150B9F">
            <w:pPr>
              <w:pStyle w:val="StandardRisoluzionedelConsigliodiStato"/>
              <w:ind w:right="-1"/>
              <w:rPr>
                <w:b/>
                <w:bCs/>
              </w:rPr>
            </w:pPr>
            <w:r w:rsidRPr="00150B9F">
              <w:rPr>
                <w:b/>
                <w:bCs/>
              </w:rPr>
              <w:t>100</w:t>
            </w:r>
          </w:p>
        </w:tc>
        <w:tc>
          <w:tcPr>
            <w:tcW w:w="1478" w:type="dxa"/>
            <w:tcBorders>
              <w:top w:val="nil"/>
              <w:left w:val="nil"/>
              <w:bottom w:val="single" w:sz="4" w:space="0" w:color="auto"/>
              <w:right w:val="nil"/>
            </w:tcBorders>
            <w:shd w:val="clear" w:color="auto" w:fill="auto"/>
            <w:noWrap/>
            <w:vAlign w:val="bottom"/>
          </w:tcPr>
          <w:p w:rsidR="00150B9F" w:rsidRPr="00150B9F" w:rsidRDefault="00150B9F" w:rsidP="00150B9F">
            <w:pPr>
              <w:pStyle w:val="StandardRisoluzionedelConsigliodiStato"/>
              <w:ind w:right="-1"/>
              <w:rPr>
                <w:b/>
                <w:bCs/>
              </w:rPr>
            </w:pPr>
          </w:p>
        </w:tc>
        <w:tc>
          <w:tcPr>
            <w:tcW w:w="1201" w:type="dxa"/>
            <w:tcBorders>
              <w:top w:val="nil"/>
              <w:left w:val="nil"/>
              <w:bottom w:val="single" w:sz="4" w:space="0" w:color="auto"/>
              <w:right w:val="nil"/>
            </w:tcBorders>
            <w:shd w:val="clear" w:color="auto" w:fill="auto"/>
            <w:noWrap/>
            <w:vAlign w:val="bottom"/>
          </w:tcPr>
          <w:p w:rsidR="00150B9F" w:rsidRPr="00150B9F" w:rsidRDefault="00150B9F" w:rsidP="00150B9F">
            <w:pPr>
              <w:pStyle w:val="StandardRisoluzionedelConsigliodiStato"/>
              <w:ind w:right="-1"/>
              <w:rPr>
                <w:b/>
                <w:bCs/>
              </w:rPr>
            </w:pPr>
            <w:r w:rsidRPr="00150B9F">
              <w:rPr>
                <w:b/>
                <w:bCs/>
              </w:rPr>
              <w:t>17,379</w:t>
            </w:r>
          </w:p>
        </w:tc>
      </w:tr>
    </w:tbl>
    <w:p w:rsidR="00150B9F" w:rsidRPr="00150B9F" w:rsidRDefault="00150B9F" w:rsidP="00150B9F">
      <w:pPr>
        <w:pStyle w:val="StandardRisoluzionedelConsigliodiStato"/>
        <w:ind w:right="-1"/>
      </w:pPr>
    </w:p>
    <w:p w:rsidR="00150B9F" w:rsidRPr="00150B9F" w:rsidRDefault="00150B9F" w:rsidP="00150B9F">
      <w:pPr>
        <w:pStyle w:val="StandardRisoluzionedelConsigliodiStato"/>
        <w:ind w:right="-1"/>
      </w:pPr>
      <w:r w:rsidRPr="00150B9F">
        <w:t xml:space="preserve">Il credito totale da stanziare a favore del consorzio </w:t>
      </w:r>
      <w:r w:rsidRPr="00150B9F">
        <w:rPr>
          <w:b/>
          <w:bCs/>
        </w:rPr>
        <w:t>è di 790'877 franchi, corrispondente a una percentuale complessiva del 17,38%</w:t>
      </w:r>
      <w:r w:rsidRPr="00150B9F">
        <w:t>. Anche per queste cifre la Commissione non ha particolari osservazioni da formulare.</w:t>
      </w:r>
    </w:p>
    <w:p w:rsidR="00150B9F" w:rsidRDefault="00150B9F" w:rsidP="00150B9F">
      <w:pPr>
        <w:pStyle w:val="StandardRisoluzionedelConsigliodiStato"/>
        <w:ind w:right="-1"/>
        <w:rPr>
          <w:lang w:val="it-IT"/>
        </w:rPr>
      </w:pPr>
    </w:p>
    <w:p w:rsidR="00B108A1" w:rsidRDefault="00B108A1" w:rsidP="00150B9F">
      <w:pPr>
        <w:pStyle w:val="StandardRisoluzionedelConsigliodiStato"/>
        <w:ind w:right="-1"/>
        <w:rPr>
          <w:lang w:val="it-IT"/>
        </w:rPr>
      </w:pPr>
    </w:p>
    <w:p w:rsidR="00150B9F" w:rsidRPr="00150B9F" w:rsidRDefault="00150B9F" w:rsidP="00150B9F">
      <w:pPr>
        <w:pStyle w:val="StandardRisoluzionedelConsigliodiStato"/>
        <w:ind w:right="-1"/>
        <w:rPr>
          <w:lang w:val="it-IT"/>
        </w:rPr>
      </w:pPr>
    </w:p>
    <w:p w:rsidR="00150B9F" w:rsidRPr="00150B9F" w:rsidRDefault="00150B9F" w:rsidP="00150B9F">
      <w:pPr>
        <w:pStyle w:val="StandardRisoluzionedelConsigliodiStato"/>
        <w:numPr>
          <w:ilvl w:val="0"/>
          <w:numId w:val="18"/>
        </w:numPr>
        <w:spacing w:after="120"/>
        <w:ind w:left="425" w:hanging="425"/>
        <w:rPr>
          <w:b/>
          <w:bCs/>
          <w:lang w:val="it-IT"/>
        </w:rPr>
      </w:pPr>
      <w:r w:rsidRPr="00150B9F">
        <w:rPr>
          <w:b/>
          <w:bCs/>
          <w:lang w:val="it-IT"/>
        </w:rPr>
        <w:t>CONCLUSIONI</w:t>
      </w:r>
    </w:p>
    <w:p w:rsidR="00150B9F" w:rsidRPr="00150B9F" w:rsidRDefault="00150B9F" w:rsidP="00150B9F">
      <w:pPr>
        <w:pStyle w:val="StandardRisoluzionedelConsigliodiStato"/>
        <w:ind w:right="-1"/>
        <w:rPr>
          <w:lang w:val="it-IT"/>
        </w:rPr>
      </w:pPr>
      <w:r w:rsidRPr="00150B9F">
        <w:rPr>
          <w:lang w:val="it-IT"/>
        </w:rPr>
        <w:t xml:space="preserve">La Commissione ambiente territorio ed energia raccomanda al Parlamento di accogliere il messaggio n. 8384 e il relativo disegno di decreto legislativo comprendente 5 articoli, volto </w:t>
      </w:r>
      <w:r w:rsidRPr="00150B9F">
        <w:rPr>
          <w:lang w:val="it-IT"/>
        </w:rPr>
        <w:lastRenderedPageBreak/>
        <w:t xml:space="preserve">a concedere lo stanziamento di un credito totale massimo di </w:t>
      </w:r>
      <w:r w:rsidRPr="00150B9F">
        <w:rPr>
          <w:b/>
          <w:lang w:val="it-IT"/>
        </w:rPr>
        <w:t>790'877 franchi</w:t>
      </w:r>
      <w:r w:rsidRPr="00150B9F">
        <w:rPr>
          <w:lang w:val="it-IT"/>
        </w:rPr>
        <w:t xml:space="preserve">, a favore del Consorzio depurazione acque Chiasso e dintorni (CDACD), per il sussidio della realizzazione di un nuovo muro di sostegno necessario all’ampliamento e all’ammodernamento dell’impianto di depurazione delle acque a </w:t>
      </w:r>
      <w:proofErr w:type="spellStart"/>
      <w:r w:rsidRPr="00150B9F">
        <w:rPr>
          <w:lang w:val="it-IT"/>
        </w:rPr>
        <w:t>Vacallo</w:t>
      </w:r>
      <w:proofErr w:type="spellEnd"/>
      <w:r w:rsidRPr="00150B9F">
        <w:rPr>
          <w:lang w:val="it-IT"/>
        </w:rPr>
        <w:t>.</w:t>
      </w:r>
    </w:p>
    <w:p w:rsidR="00150B9F" w:rsidRDefault="00150B9F" w:rsidP="00150B9F">
      <w:pPr>
        <w:pStyle w:val="StandardRisoluzionedelConsigliodiStato"/>
        <w:ind w:right="-1"/>
        <w:rPr>
          <w:lang w:val="it-IT"/>
        </w:rPr>
      </w:pPr>
    </w:p>
    <w:p w:rsidR="00150B9F" w:rsidRDefault="00150B9F" w:rsidP="00150B9F">
      <w:pPr>
        <w:pStyle w:val="StandardRisoluzionedelConsigliodiStato"/>
        <w:ind w:right="-1"/>
        <w:rPr>
          <w:lang w:val="it-IT"/>
        </w:rPr>
      </w:pPr>
    </w:p>
    <w:p w:rsidR="00E4187E" w:rsidRPr="00150B9F" w:rsidRDefault="00E4187E" w:rsidP="00150B9F">
      <w:pPr>
        <w:pStyle w:val="StandardRisoluzionedelConsigliodiStato"/>
        <w:ind w:right="-1"/>
        <w:rPr>
          <w:lang w:val="it-IT"/>
        </w:rPr>
      </w:pPr>
    </w:p>
    <w:p w:rsidR="00150B9F" w:rsidRPr="00150B9F" w:rsidRDefault="00150B9F" w:rsidP="00150B9F">
      <w:pPr>
        <w:widowControl w:val="0"/>
        <w:suppressAutoHyphens/>
        <w:autoSpaceDE w:val="0"/>
        <w:autoSpaceDN w:val="0"/>
        <w:adjustRightInd w:val="0"/>
        <w:spacing w:after="120"/>
        <w:rPr>
          <w:rFonts w:eastAsiaTheme="minorEastAsia" w:cs="Arial"/>
          <w:color w:val="000000" w:themeColor="text1"/>
          <w:sz w:val="24"/>
          <w:szCs w:val="24"/>
          <w:lang w:val="it-IT" w:eastAsia="it-IT"/>
        </w:rPr>
      </w:pPr>
      <w:r w:rsidRPr="00150B9F">
        <w:rPr>
          <w:rFonts w:eastAsiaTheme="minorEastAsia" w:cs="Arial"/>
          <w:color w:val="000000" w:themeColor="text1"/>
          <w:sz w:val="24"/>
          <w:szCs w:val="24"/>
          <w:lang w:val="it-IT" w:eastAsia="it-IT"/>
        </w:rPr>
        <w:t>Per la Commissione ambiente, territorio ed energia:</w:t>
      </w:r>
    </w:p>
    <w:p w:rsidR="00D649A8" w:rsidRDefault="00150B9F" w:rsidP="00150B9F">
      <w:pPr>
        <w:widowControl w:val="0"/>
        <w:suppressAutoHyphens/>
        <w:autoSpaceDE w:val="0"/>
        <w:autoSpaceDN w:val="0"/>
        <w:adjustRightInd w:val="0"/>
        <w:rPr>
          <w:rFonts w:eastAsiaTheme="minorEastAsia" w:cs="Arial"/>
          <w:color w:val="000000" w:themeColor="text1"/>
          <w:sz w:val="24"/>
          <w:szCs w:val="24"/>
          <w:lang w:val="it-IT" w:eastAsia="it-IT"/>
        </w:rPr>
      </w:pPr>
      <w:r w:rsidRPr="00150B9F">
        <w:rPr>
          <w:rFonts w:eastAsiaTheme="minorEastAsia" w:cs="Arial"/>
          <w:color w:val="000000" w:themeColor="text1"/>
          <w:sz w:val="24"/>
          <w:szCs w:val="24"/>
          <w:lang w:val="it-IT" w:eastAsia="it-IT"/>
        </w:rPr>
        <w:t>Sem Genini, relatore</w:t>
      </w:r>
    </w:p>
    <w:p w:rsidR="00D649A8" w:rsidRDefault="00E4187E" w:rsidP="00D33940">
      <w:pPr>
        <w:pStyle w:val="StandardRisoluzionedelConsigliodiStato"/>
        <w:ind w:right="-1"/>
        <w:rPr>
          <w:rFonts w:eastAsiaTheme="minorEastAsia" w:cs="Arial"/>
          <w:color w:val="000000" w:themeColor="text1"/>
          <w:szCs w:val="24"/>
          <w:lang w:val="it-IT" w:eastAsia="it-IT"/>
        </w:rPr>
      </w:pPr>
      <w:r w:rsidRPr="00E4187E">
        <w:rPr>
          <w:rFonts w:eastAsiaTheme="minorEastAsia" w:cs="Arial"/>
          <w:color w:val="000000" w:themeColor="text1"/>
          <w:szCs w:val="24"/>
          <w:lang w:val="it-IT" w:eastAsia="it-IT"/>
        </w:rPr>
        <w:t xml:space="preserve">Berardi </w:t>
      </w:r>
      <w:r>
        <w:rPr>
          <w:rFonts w:eastAsiaTheme="minorEastAsia" w:cs="Arial"/>
          <w:color w:val="000000" w:themeColor="text1"/>
          <w:szCs w:val="24"/>
          <w:lang w:val="it-IT" w:eastAsia="it-IT"/>
        </w:rPr>
        <w:t xml:space="preserve">- Bühler - Buzzi - Cedraschi - David - </w:t>
      </w:r>
    </w:p>
    <w:p w:rsidR="00E4187E" w:rsidRDefault="00E4187E" w:rsidP="00D33940">
      <w:pPr>
        <w:pStyle w:val="StandardRisoluzionedelConsigliodiStato"/>
        <w:ind w:right="-1"/>
        <w:rPr>
          <w:rFonts w:eastAsiaTheme="minorEastAsia" w:cs="Arial"/>
          <w:color w:val="000000" w:themeColor="text1"/>
          <w:szCs w:val="24"/>
          <w:lang w:val="it-IT" w:eastAsia="it-IT"/>
        </w:rPr>
      </w:pPr>
      <w:r>
        <w:rPr>
          <w:rFonts w:eastAsiaTheme="minorEastAsia" w:cs="Arial"/>
          <w:color w:val="000000" w:themeColor="text1"/>
          <w:szCs w:val="24"/>
          <w:lang w:val="it-IT" w:eastAsia="it-IT"/>
        </w:rPr>
        <w:t xml:space="preserve">Ermotti-Lepori - Mobiglia - Padlina - Pasi - </w:t>
      </w:r>
    </w:p>
    <w:p w:rsidR="00E4187E" w:rsidRDefault="00E4187E" w:rsidP="00D33940">
      <w:pPr>
        <w:pStyle w:val="StandardRisoluzionedelConsigliodiStato"/>
        <w:ind w:right="-1"/>
        <w:rPr>
          <w:rFonts w:eastAsiaTheme="minorEastAsia" w:cs="Arial"/>
          <w:color w:val="000000" w:themeColor="text1"/>
          <w:szCs w:val="24"/>
          <w:lang w:val="it-IT" w:eastAsia="it-IT"/>
        </w:rPr>
      </w:pPr>
      <w:r>
        <w:rPr>
          <w:rFonts w:eastAsiaTheme="minorEastAsia" w:cs="Arial"/>
          <w:color w:val="000000" w:themeColor="text1"/>
          <w:szCs w:val="24"/>
          <w:lang w:val="it-IT" w:eastAsia="it-IT"/>
        </w:rPr>
        <w:t xml:space="preserve">Piccaluga - Renzetti - Rigamonti - Schnellmann - </w:t>
      </w:r>
    </w:p>
    <w:p w:rsidR="00E4187E" w:rsidRPr="00E4187E" w:rsidRDefault="00E4187E" w:rsidP="00D33940">
      <w:pPr>
        <w:pStyle w:val="StandardRisoluzionedelConsigliodiStato"/>
        <w:ind w:right="-1"/>
        <w:rPr>
          <w:rFonts w:eastAsiaTheme="minorEastAsia" w:cs="Arial"/>
          <w:color w:val="000000" w:themeColor="text1"/>
          <w:szCs w:val="24"/>
          <w:lang w:val="it-IT" w:eastAsia="it-IT"/>
        </w:rPr>
      </w:pPr>
      <w:r>
        <w:rPr>
          <w:rFonts w:eastAsiaTheme="minorEastAsia" w:cs="Arial"/>
          <w:color w:val="000000" w:themeColor="text1"/>
          <w:szCs w:val="24"/>
          <w:lang w:val="it-IT" w:eastAsia="it-IT"/>
        </w:rPr>
        <w:t xml:space="preserve">Terraneo - Tonini - </w:t>
      </w:r>
      <w:r w:rsidRPr="008B343A">
        <w:rPr>
          <w:rFonts w:eastAsiaTheme="minorEastAsia" w:cs="Arial"/>
          <w:color w:val="000000" w:themeColor="text1"/>
          <w:szCs w:val="24"/>
          <w:lang w:val="it-IT" w:eastAsia="it-IT"/>
        </w:rPr>
        <w:t>Tricarico - Zanini Barzaghi</w:t>
      </w:r>
      <w:r>
        <w:rPr>
          <w:rFonts w:eastAsiaTheme="minorEastAsia" w:cs="Arial"/>
          <w:color w:val="000000" w:themeColor="text1"/>
          <w:szCs w:val="24"/>
          <w:lang w:val="it-IT" w:eastAsia="it-IT"/>
        </w:rPr>
        <w:t xml:space="preserve"> </w:t>
      </w:r>
    </w:p>
    <w:sectPr w:rsidR="00E4187E" w:rsidRPr="00E4187E"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9F" w:rsidRDefault="00150B9F" w:rsidP="00F657BF">
      <w:r>
        <w:separator/>
      </w:r>
    </w:p>
  </w:endnote>
  <w:endnote w:type="continuationSeparator" w:id="0">
    <w:p w:rsidR="00150B9F" w:rsidRDefault="00150B9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8E" w:rsidRDefault="0011298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62119" w:rsidP="00912E34">
          <w:pPr>
            <w:tabs>
              <w:tab w:val="center" w:pos="2382"/>
            </w:tabs>
          </w:pPr>
        </w:p>
      </w:tc>
      <w:tc>
        <w:tcPr>
          <w:tcW w:w="721" w:type="dxa"/>
        </w:tcPr>
        <w:p w:rsidR="00912E34" w:rsidRPr="003D1008" w:rsidRDefault="00BC7CD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C7CD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6211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6211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9F" w:rsidRDefault="00150B9F" w:rsidP="00F657BF">
      <w:r>
        <w:separator/>
      </w:r>
    </w:p>
  </w:footnote>
  <w:footnote w:type="continuationSeparator" w:id="0">
    <w:p w:rsidR="00150B9F" w:rsidRDefault="00150B9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8E" w:rsidRDefault="001129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062119"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F32EF0D-0CB5-45DC-8888-59126CF797D8}"/>
              <w:text w:multiLine="1"/>
            </w:sdtPr>
            <w:sdtEndPr/>
            <w:sdtContent>
              <w:r w:rsidR="00BC7CDE">
                <w:rPr>
                  <w:rFonts w:ascii="Gill Alt One MT Light" w:hAnsi="Gill Alt One MT Light"/>
                  <w:sz w:val="16"/>
                  <w:szCs w:val="16"/>
                </w:rPr>
                <w:t>Repubblica e Cantone Ticino</w:t>
              </w:r>
            </w:sdtContent>
          </w:sdt>
        </w:p>
        <w:p w:rsidR="005012EC" w:rsidRPr="00E8185F" w:rsidRDefault="00062119"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F32EF0D-0CB5-45DC-8888-59126CF797D8}"/>
              <w:text w:multiLine="1"/>
            </w:sdtPr>
            <w:sdtEndPr/>
            <w:sdtContent>
              <w:r w:rsidR="007B1A5E">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BC7CD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45C93">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45C93">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F32EF0D-0CB5-45DC-8888-59126CF797D8}"/>
          <w:text w:multiLine="1"/>
        </w:sdtPr>
        <w:sdtEndPr/>
        <w:sdtContent>
          <w:tc>
            <w:tcPr>
              <w:tcW w:w="8383" w:type="dxa"/>
              <w:tcBorders>
                <w:left w:val="single" w:sz="4" w:space="0" w:color="auto"/>
              </w:tcBorders>
              <w:tcMar>
                <w:top w:w="0" w:type="dxa"/>
                <w:left w:w="142" w:type="dxa"/>
              </w:tcMar>
            </w:tcPr>
            <w:p w:rsidR="005012EC" w:rsidRPr="007E593A" w:rsidRDefault="0011298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8384 R del 1 febbraio 2024</w:t>
              </w:r>
            </w:p>
          </w:tc>
        </w:sdtContent>
      </w:sdt>
      <w:tc>
        <w:tcPr>
          <w:tcW w:w="1710" w:type="dxa"/>
          <w:tcBorders>
            <w:top w:val="single" w:sz="4" w:space="0" w:color="auto"/>
          </w:tcBorders>
        </w:tcPr>
        <w:p w:rsidR="005012EC" w:rsidRPr="007E593A" w:rsidRDefault="00062119" w:rsidP="00662409">
          <w:pPr>
            <w:pStyle w:val="InvisibleLine"/>
            <w:rPr>
              <w:lang w:val="it-CH"/>
            </w:rPr>
          </w:pPr>
        </w:p>
      </w:tc>
    </w:tr>
  </w:tbl>
  <w:p w:rsidR="00F657BF" w:rsidRPr="00980362" w:rsidRDefault="00BC7CD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F32EF0D-0CB5-45DC-8888-59126CF797D8}"/>
                            <w:text w:multiLine="1"/>
                          </w:sdtPr>
                          <w:sdtEndPr/>
                          <w:sdtContent>
                            <w:p w:rsidR="008065E8" w:rsidRPr="00411371" w:rsidRDefault="00BC7CD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77A941D-2D53-46C6-AE37-8DE99C8AE40C}"/>
                      <w:text w:multiLine="1"/>
                    </w:sdtPr>
                    <w:sdtEndPr/>
                    <w:sdtContent>
                      <w:p w:rsidR="008065E8" w:rsidRPr="00411371" w:rsidRDefault="00BC7CD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062119" w:rsidP="00932E26">
          <w:pPr>
            <w:pStyle w:val="InvisibleLine"/>
            <w:spacing w:line="240" w:lineRule="auto"/>
            <w:ind w:left="15"/>
            <w:rPr>
              <w:rFonts w:ascii="Gill Alt One MT Light" w:hAnsi="Gill Alt One MT Light"/>
              <w:sz w:val="16"/>
              <w:lang w:val="it-CH"/>
            </w:rPr>
          </w:pPr>
        </w:p>
        <w:p w:rsidR="00CD5F73" w:rsidRDefault="00BC7CDE"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062119"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062119" w:rsidP="00D07D6E">
          <w:pPr>
            <w:pStyle w:val="Level"/>
            <w:ind w:left="150"/>
            <w:rPr>
              <w:sz w:val="16"/>
            </w:rPr>
          </w:pPr>
        </w:p>
      </w:tc>
      <w:tc>
        <w:tcPr>
          <w:tcW w:w="209" w:type="pct"/>
          <w:tcBorders>
            <w:top w:val="nil"/>
            <w:bottom w:val="single" w:sz="4" w:space="0" w:color="auto"/>
          </w:tcBorders>
        </w:tcPr>
        <w:p w:rsidR="00662409" w:rsidRDefault="00BC7CD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1248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BC7CD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45C9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45C93">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F32EF0D-0CB5-45DC-8888-59126CF797D8}"/>
          <w:text w:multiLine="1"/>
        </w:sdtPr>
        <w:sdtEndPr/>
        <w:sdtContent>
          <w:tc>
            <w:tcPr>
              <w:tcW w:w="5000" w:type="pct"/>
              <w:gridSpan w:val="6"/>
              <w:tcBorders>
                <w:left w:val="nil"/>
                <w:right w:val="nil"/>
              </w:tcBorders>
              <w:noWrap/>
              <w:tcMar>
                <w:top w:w="0" w:type="dxa"/>
              </w:tcMar>
              <w:vAlign w:val="bottom"/>
            </w:tcPr>
            <w:p w:rsidR="00662409" w:rsidRPr="008C03B5" w:rsidRDefault="0011298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C7CD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6211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C7CD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6211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C7CD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6211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6211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F32EF0D-0CB5-45DC-8888-59126CF797D8}"/>
              <w:text w:multiLine="1"/>
            </w:sdtPr>
            <w:sdtEndPr/>
            <w:sdtContent>
              <w:r w:rsidR="0011298E">
                <w:rPr>
                  <w:rFonts w:cstheme="minorHAnsi"/>
                  <w:b/>
                  <w:sz w:val="24"/>
                  <w:szCs w:val="24"/>
                </w:rPr>
                <w:t>8384 R</w:t>
              </w:r>
            </w:sdtContent>
          </w:sdt>
        </w:p>
      </w:tc>
      <w:sdt>
        <w:sdtPr>
          <w:rPr>
            <w:sz w:val="24"/>
          </w:rPr>
          <w:alias w:val="DocParam.Date"/>
          <w:id w:val="-464426178"/>
          <w:dataBinding w:xpath="//DateTime[@id='DocParam.Date']" w:storeItemID="{EF32EF0D-0CB5-45DC-8888-59126CF797D8}"/>
          <w:date w:fullDate="2024-02-0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1298E" w:rsidP="00A532F6">
              <w:pPr>
                <w:pStyle w:val="Data"/>
              </w:pPr>
              <w:r>
                <w:rPr>
                  <w:sz w:val="24"/>
                </w:rPr>
                <w:t>1 febbraio 2024</w:t>
              </w:r>
            </w:p>
          </w:tc>
        </w:sdtContent>
      </w:sdt>
      <w:tc>
        <w:tcPr>
          <w:tcW w:w="3218" w:type="pct"/>
          <w:gridSpan w:val="4"/>
          <w:tcBorders>
            <w:top w:val="nil"/>
            <w:left w:val="nil"/>
            <w:bottom w:val="nil"/>
            <w:right w:val="nil"/>
          </w:tcBorders>
        </w:tcPr>
        <w:p w:rsidR="008C03B5" w:rsidRPr="00BE22A2" w:rsidRDefault="0006211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F32EF0D-0CB5-45DC-8888-59126CF797D8}"/>
              <w:text w:multiLine="1"/>
            </w:sdtPr>
            <w:sdtEndPr/>
            <w:sdtContent>
              <w:r w:rsidR="007B1A5E">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62119" w:rsidP="00D07D6E">
          <w:pPr>
            <w:pStyle w:val="Level"/>
            <w:ind w:left="150"/>
            <w:rPr>
              <w:rFonts w:ascii="Gill Alt One MT Light" w:hAnsi="Gill Alt One MT Light"/>
              <w:sz w:val="16"/>
              <w:szCs w:val="16"/>
            </w:rPr>
          </w:pPr>
        </w:p>
      </w:tc>
    </w:tr>
  </w:tbl>
  <w:p w:rsidR="00F657BF" w:rsidRPr="00DA2879" w:rsidRDefault="00BC7CD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72803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F32EF0D-0CB5-45DC-8888-59126CF797D8}"/>
                            <w:text w:multiLine="1"/>
                          </w:sdtPr>
                          <w:sdtEndPr/>
                          <w:sdtContent>
                            <w:p w:rsidR="00E93620" w:rsidRPr="00411371" w:rsidRDefault="00BC7CD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77A941D-2D53-46C6-AE37-8DE99C8AE40C}"/>
                      <w:text w:multiLine="1"/>
                    </w:sdtPr>
                    <w:sdtEndPr/>
                    <w:sdtContent>
                      <w:p w:rsidR="00E93620" w:rsidRPr="00411371" w:rsidRDefault="00BC7CD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B3406"/>
    <w:multiLevelType w:val="hybridMultilevel"/>
    <w:tmpl w:val="B310190A"/>
    <w:lvl w:ilvl="0" w:tplc="0810000F">
      <w:start w:val="1"/>
      <w:numFmt w:val="decimal"/>
      <w:lvlText w:val="%1."/>
      <w:lvlJc w:val="left"/>
      <w:pPr>
        <w:ind w:left="928"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9F"/>
    <w:rsid w:val="00062119"/>
    <w:rsid w:val="000E391E"/>
    <w:rsid w:val="0011298E"/>
    <w:rsid w:val="00150B9F"/>
    <w:rsid w:val="00205D35"/>
    <w:rsid w:val="002B5D9F"/>
    <w:rsid w:val="002C06BB"/>
    <w:rsid w:val="003B756D"/>
    <w:rsid w:val="003F53A0"/>
    <w:rsid w:val="00403ADB"/>
    <w:rsid w:val="00572FD3"/>
    <w:rsid w:val="005B3979"/>
    <w:rsid w:val="006749EA"/>
    <w:rsid w:val="006D463C"/>
    <w:rsid w:val="006E3957"/>
    <w:rsid w:val="006E7573"/>
    <w:rsid w:val="00791DA6"/>
    <w:rsid w:val="007B1A5E"/>
    <w:rsid w:val="007E593A"/>
    <w:rsid w:val="008720C4"/>
    <w:rsid w:val="0089397D"/>
    <w:rsid w:val="008B343A"/>
    <w:rsid w:val="008F52AF"/>
    <w:rsid w:val="009C5E5A"/>
    <w:rsid w:val="00A07DBC"/>
    <w:rsid w:val="00AE5BF0"/>
    <w:rsid w:val="00AF0268"/>
    <w:rsid w:val="00B108A1"/>
    <w:rsid w:val="00B7543C"/>
    <w:rsid w:val="00BC7CDE"/>
    <w:rsid w:val="00BF0A1F"/>
    <w:rsid w:val="00C271F9"/>
    <w:rsid w:val="00CB424B"/>
    <w:rsid w:val="00D33940"/>
    <w:rsid w:val="00D45C93"/>
    <w:rsid w:val="00D600FD"/>
    <w:rsid w:val="00D649A8"/>
    <w:rsid w:val="00E4187E"/>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641A682-2547-45ED-B78A-285C528F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45C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C9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87ec3c9d-d469-4ffd-affb-81cee98edeeb.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1412482725</Id>
      <Width>0</Width>
      <Height>0</Height>
      <XPath>//Image[@id='Profile.Org.WappenSW']</XPath>
      <ImageHash>02f1c0cdac6aeac316213b2e7cb733a0</ImageHash>
    </ImageSizeDefinition>
    <ImageSizeDefinition>
      <Id>1728030323</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6 2 e 4 e 4 6 - c d 5 8 - 4 2 4 7 - 9 f 2 d - 3 d 6 9 b 1 3 3 b b b d "   t I d = " a 3 6 2 a 5 d 4 - 9 5 8 9 - 4 1 b f - a 4 e 6 - 4 f 8 7 c 4 e 4 1 2 3 9 "   i n t e r n a l T I d = " 9 0 6 4 c c 7 f - 3 1 6 d - 4 6 b 1 - a 4 a c - 7 4 8 6 0 c 3 f 8 a 5 b "   m t I d = " 2 7 5 a f 3 2 e - b c 4 0 - 4 5 c 2 - 8 5 b 7 - a f b 1 c 0 3 8 2 6 5 3 "   r e v i s i o n = " 0 "   c r e a t e d m a j o r v e r s i o n = " 0 "   c r e a t e d m i n o r v e r s i o n = " 0 "   c r e a t e d = " 2 0 2 4 - 0 1 - 2 4 T 0 9 : 3 0 : 5 4 . 1 7 9 7 9 0 2 Z "   m o d i f i e d m a j o r v e r s i o n = " 0 "   m o d i f i e d m i n o r v e r s i o n = " 0 "   m o d i f i e d = " 0 0 0 1 - 0 1 - 0 1 T 0 0 : 0 0 : 0 0 "   p r o f i l e = " b 9 3 2 e 3 1 b - 6 f 9 a - 4 2 4 e - 9 a f a - 0 5 4 7 0 f a 1 e 2 2 7 " 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8 4   R   d e l   0 1   f e b b r 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8 4   R   d e l   1   f e b b r a i o   2 0 2 4 ] ] > < / T e x t >  
                 < T e x t   i d = " C u s t o m E l e m e n t s . F i e l d s . O r g L i v e l l o 1 "   l a b e l = " C u s t o m E l e m e n t s . F i e l d s . O r g L i v e l l o 1 " > < ! [ C D A T A [ R e p u b b l i c a   e   C a n t o n e   T i c i n o ] ] > < / T e x t >  
             < / S c r i p t i n g > 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 2 0 2 4 - 0 2 - 0 1 T 0 0 : 0 0 : 0 0 Z < / D a t e T i m e >  
                 < T e x t   i d = " D o c P a r a m . N u m b e r " > < ! [ C D A T A [ 8 3 8 4 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C9A59C06-6503-4828-90EB-6AE4CB63FE49}">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F32EF0D-0CB5-45DC-8888-59126CF797D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87ec3c9d-d469-4ffd-affb-81cee98edeeb.dotx</Template>
  <TotalTime>8</TotalTime>
  <Pages>4</Pages>
  <Words>1147</Words>
  <Characters>6538</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Navari Raffaella / kxgc012</dc:creator>
  <cp:lastModifiedBy>Venturi Luca</cp:lastModifiedBy>
  <cp:revision>23</cp:revision>
  <cp:lastPrinted>2024-02-20T11:12:00Z</cp:lastPrinted>
  <dcterms:created xsi:type="dcterms:W3CDTF">2024-02-05T09:27:00Z</dcterms:created>
  <dcterms:modified xsi:type="dcterms:W3CDTF">2024-02-20T11:13:00Z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