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AAF3" w14:textId="77777777" w:rsidR="00056EF6" w:rsidRDefault="00056EF6" w:rsidP="00056EF6">
      <w:pPr>
        <w:tabs>
          <w:tab w:val="left" w:pos="4962"/>
        </w:tabs>
        <w:rPr>
          <w:b/>
          <w:sz w:val="28"/>
        </w:rPr>
      </w:pPr>
      <w:r>
        <w:rPr>
          <w:b/>
          <w:sz w:val="28"/>
        </w:rPr>
        <w:t>della Commissione ambiente, territorio ed energia</w:t>
      </w:r>
    </w:p>
    <w:p w14:paraId="0EEC39F8" w14:textId="77777777" w:rsidR="00056EF6" w:rsidRPr="009104FA" w:rsidRDefault="00056EF6" w:rsidP="00056EF6">
      <w:pPr>
        <w:pStyle w:val="Default"/>
        <w:jc w:val="both"/>
        <w:rPr>
          <w:b/>
          <w:sz w:val="28"/>
        </w:rPr>
      </w:pPr>
      <w:r>
        <w:rPr>
          <w:b/>
          <w:sz w:val="28"/>
        </w:rPr>
        <w:t xml:space="preserve">sul messaggio 8 novembre 2023 concernente la </w:t>
      </w:r>
      <w:bookmarkStart w:id="0" w:name="_GoBack"/>
      <w:r>
        <w:rPr>
          <w:b/>
          <w:sz w:val="28"/>
        </w:rPr>
        <w:t>r</w:t>
      </w:r>
      <w:r w:rsidRPr="009104FA">
        <w:rPr>
          <w:b/>
          <w:sz w:val="28"/>
        </w:rPr>
        <w:t xml:space="preserve">ichiesta di un credito </w:t>
      </w:r>
      <w:r w:rsidRPr="003A4BC4">
        <w:rPr>
          <w:b/>
          <w:bCs/>
          <w:sz w:val="28"/>
          <w:szCs w:val="28"/>
        </w:rPr>
        <w:t>quadro di 2'000'000 di franchi e dell’autorizzazione alla spesa di 2'800'000 franchi per l’attuazione del piano d’azione della Strategia Biodiversità Svizzera nel settore della protezione della natura per l’anno 2024</w:t>
      </w:r>
    </w:p>
    <w:bookmarkEnd w:id="0"/>
    <w:p w14:paraId="1778A528" w14:textId="77777777" w:rsidR="00056EF6" w:rsidRPr="00D41AA7" w:rsidRDefault="00056EF6" w:rsidP="00056EF6">
      <w:pPr>
        <w:rPr>
          <w:sz w:val="22"/>
        </w:rPr>
      </w:pPr>
    </w:p>
    <w:p w14:paraId="0A649CA4" w14:textId="77777777" w:rsidR="00056EF6" w:rsidRPr="00D41AA7" w:rsidRDefault="00056EF6" w:rsidP="00056EF6">
      <w:pPr>
        <w:rPr>
          <w:sz w:val="22"/>
        </w:rPr>
      </w:pPr>
    </w:p>
    <w:p w14:paraId="50DA0064" w14:textId="77777777" w:rsidR="00056EF6" w:rsidRPr="00D41AA7" w:rsidRDefault="00056EF6" w:rsidP="00056EF6">
      <w:pPr>
        <w:rPr>
          <w:sz w:val="22"/>
        </w:rPr>
      </w:pPr>
    </w:p>
    <w:p w14:paraId="564DDABD" w14:textId="77777777" w:rsidR="00056EF6" w:rsidRPr="008A679E" w:rsidRDefault="00056EF6" w:rsidP="008A679E">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Premessa</w:t>
      </w:r>
    </w:p>
    <w:p w14:paraId="544F53BA" w14:textId="77777777" w:rsidR="00D00D15" w:rsidRPr="00D00D15" w:rsidRDefault="00D00D15" w:rsidP="00D00D15">
      <w:pPr>
        <w:rPr>
          <w:szCs w:val="24"/>
        </w:rPr>
      </w:pPr>
      <w:r w:rsidRPr="00D00D15">
        <w:rPr>
          <w:szCs w:val="24"/>
        </w:rPr>
        <w:t>Il messaggio n. 8349 sottopone la richiesta di un credito quadro per l’attuazione del piano d’azione della Strategia Biodiversità Svizzera nel settore della protezione della natura per il 2024. Esso è in pratica il proseguimento delle attività svolte da anni, da ultimo col credito cantonale disponibile, stanziato sulla base del messaggio n. 7804 del 18 marzo 2020, limitato al periodo 2020 - 2023.</w:t>
      </w:r>
    </w:p>
    <w:p w14:paraId="024BE309" w14:textId="77777777" w:rsidR="00D00D15" w:rsidRPr="00D00D15" w:rsidRDefault="00D00D15" w:rsidP="00D00D15">
      <w:pPr>
        <w:rPr>
          <w:rFonts w:cs="Arial"/>
          <w:szCs w:val="24"/>
        </w:rPr>
      </w:pPr>
      <w:r w:rsidRPr="00D00D15">
        <w:rPr>
          <w:szCs w:val="24"/>
        </w:rPr>
        <w:t>Il messaggio richiede un credito “ponte” per il 2024, per riallineare la programmazione cantonale a quella federale. Nel corso del</w:t>
      </w:r>
      <w:r>
        <w:t xml:space="preserve"> 2024, sarà presentato il messaggio </w:t>
      </w:r>
      <w:r w:rsidRPr="00621479">
        <w:t xml:space="preserve">concernente lo stanziamento di un credito quadro per l’attuazione del piano d’azione della Strategia Biodiversità Svizzera nel settore della protezione della natura </w:t>
      </w:r>
      <w:r>
        <w:t>per il periodo 2025 - 2028.</w:t>
      </w:r>
    </w:p>
    <w:p w14:paraId="3D8D5BEB" w14:textId="77777777" w:rsidR="00D00D15" w:rsidRDefault="00D00D15" w:rsidP="00056EF6">
      <w:pPr>
        <w:rPr>
          <w:szCs w:val="24"/>
        </w:rPr>
      </w:pPr>
    </w:p>
    <w:p w14:paraId="77EBAEF7" w14:textId="730C10EC" w:rsidR="00056EF6" w:rsidRPr="00880B0A" w:rsidRDefault="00B611D5" w:rsidP="00056EF6">
      <w:pPr>
        <w:rPr>
          <w:szCs w:val="24"/>
        </w:rPr>
      </w:pPr>
      <w:r>
        <w:rPr>
          <w:szCs w:val="24"/>
        </w:rPr>
        <w:t>È assai noto</w:t>
      </w:r>
      <w:r w:rsidR="00056EF6" w:rsidRPr="00880B0A">
        <w:rPr>
          <w:szCs w:val="24"/>
        </w:rPr>
        <w:t xml:space="preserve"> che i cambiamenti climatici minacciano il cacao, il caffè e il luppolo, ma </w:t>
      </w:r>
      <w:r>
        <w:rPr>
          <w:szCs w:val="24"/>
        </w:rPr>
        <w:t>non tanto</w:t>
      </w:r>
      <w:r w:rsidR="00056EF6" w:rsidRPr="00880B0A">
        <w:rPr>
          <w:szCs w:val="24"/>
        </w:rPr>
        <w:t xml:space="preserve"> che l’impressionante perdita di specie minaccia le fondamenta della nostra prosperità</w:t>
      </w:r>
      <w:r>
        <w:rPr>
          <w:szCs w:val="24"/>
        </w:rPr>
        <w:t xml:space="preserve">. </w:t>
      </w:r>
      <w:r w:rsidR="00BE6727">
        <w:rPr>
          <w:szCs w:val="24"/>
        </w:rPr>
        <w:t>Infatti,</w:t>
      </w:r>
      <w:r>
        <w:rPr>
          <w:szCs w:val="24"/>
        </w:rPr>
        <w:t xml:space="preserve"> p</w:t>
      </w:r>
      <w:r w:rsidR="00056EF6" w:rsidRPr="00880B0A">
        <w:rPr>
          <w:szCs w:val="24"/>
        </w:rPr>
        <w:t>iù della metà del prodotto interno lordo mondiale, circa 44.000 miliardi di dollari, dipende proprio da una natura intatta.</w:t>
      </w:r>
    </w:p>
    <w:p w14:paraId="27A41ED0" w14:textId="519E9465" w:rsidR="00056EF6" w:rsidRDefault="00056EF6" w:rsidP="00056EF6">
      <w:pPr>
        <w:rPr>
          <w:szCs w:val="24"/>
        </w:rPr>
      </w:pPr>
      <w:r w:rsidRPr="00880B0A">
        <w:rPr>
          <w:szCs w:val="24"/>
        </w:rPr>
        <w:t>L’economia è sempre più cosciente di questo e sta agendo</w:t>
      </w:r>
      <w:r w:rsidR="003B5039">
        <w:rPr>
          <w:szCs w:val="24"/>
        </w:rPr>
        <w:t xml:space="preserve"> ed</w:t>
      </w:r>
      <w:r w:rsidRPr="00880B0A">
        <w:rPr>
          <w:szCs w:val="24"/>
        </w:rPr>
        <w:t xml:space="preserve"> </w:t>
      </w:r>
      <w:r w:rsidR="003B5039">
        <w:rPr>
          <w:szCs w:val="24"/>
        </w:rPr>
        <w:t>a</w:t>
      </w:r>
      <w:r w:rsidRPr="00880B0A">
        <w:rPr>
          <w:szCs w:val="24"/>
        </w:rPr>
        <w:t xml:space="preserve">nche la politica </w:t>
      </w:r>
      <w:r w:rsidR="0073476E">
        <w:rPr>
          <w:szCs w:val="24"/>
        </w:rPr>
        <w:t>ha dimostrato la sensibilità al tema</w:t>
      </w:r>
      <w:r w:rsidRPr="00880B0A">
        <w:rPr>
          <w:szCs w:val="24"/>
        </w:rPr>
        <w:t xml:space="preserve"> della salvaguardia della biodiversità per il nostro benessere.</w:t>
      </w:r>
    </w:p>
    <w:p w14:paraId="5E3EC663" w14:textId="77777777" w:rsidR="00056EF6" w:rsidRPr="00880B0A" w:rsidRDefault="00056EF6" w:rsidP="00056EF6">
      <w:pPr>
        <w:rPr>
          <w:szCs w:val="24"/>
        </w:rPr>
      </w:pPr>
    </w:p>
    <w:p w14:paraId="294D9FFA" w14:textId="7F07B97B" w:rsidR="00056EF6" w:rsidRPr="00880B0A" w:rsidRDefault="002B320B" w:rsidP="00056EF6">
      <w:pPr>
        <w:rPr>
          <w:szCs w:val="24"/>
        </w:rPr>
      </w:pPr>
      <w:r>
        <w:rPr>
          <w:szCs w:val="24"/>
        </w:rPr>
        <w:t>È s</w:t>
      </w:r>
      <w:r w:rsidR="00056EF6">
        <w:rPr>
          <w:szCs w:val="24"/>
        </w:rPr>
        <w:t>ignificativo segnalare</w:t>
      </w:r>
      <w:r w:rsidR="00056EF6" w:rsidRPr="00880B0A">
        <w:rPr>
          <w:szCs w:val="24"/>
        </w:rPr>
        <w:t xml:space="preserve"> lo studio ‘</w:t>
      </w:r>
      <w:hyperlink r:id="rId11" w:history="1">
        <w:r w:rsidR="00056EF6" w:rsidRPr="00880B0A">
          <w:rPr>
            <w:rStyle w:val="Collegamentoipertestuale"/>
            <w:szCs w:val="24"/>
          </w:rPr>
          <w:t>Biodiversità: è tempo di agire – rischi e opportunità per le imprese svizzere</w:t>
        </w:r>
      </w:hyperlink>
      <w:r w:rsidR="00056EF6" w:rsidRPr="00880B0A">
        <w:rPr>
          <w:szCs w:val="24"/>
        </w:rPr>
        <w:t>’. Lo studio purtroppo è disponibile solo in lingua inglese.</w:t>
      </w:r>
    </w:p>
    <w:p w14:paraId="21FF15C2" w14:textId="2753FC8F" w:rsidR="00056EF6" w:rsidRDefault="00056EF6" w:rsidP="00056EF6">
      <w:r w:rsidRPr="005954EF">
        <w:t>Questo studio ha esaminato per la prima volta l’impatto globale sulla biodiversità di 21 aziende svizzere, che insieme generano un fatturato di 350 miliardi di franchi e impiegano circa 700</w:t>
      </w:r>
      <w:r w:rsidR="002B320B">
        <w:t>'</w:t>
      </w:r>
      <w:r w:rsidRPr="005954EF">
        <w:t>000 persone.</w:t>
      </w:r>
    </w:p>
    <w:p w14:paraId="51F28872" w14:textId="77777777" w:rsidR="00056EF6" w:rsidRPr="005954EF" w:rsidRDefault="00056EF6" w:rsidP="00056EF6">
      <w:pPr>
        <w:rPr>
          <w:szCs w:val="24"/>
        </w:rPr>
      </w:pPr>
      <w:r w:rsidRPr="005954EF">
        <w:t>Lo studio illustra quali sono i rischi economici a cui le aziende sono esposte a causa della perdita di biodiversità, come esse proteggono la biodiversità oggi, come possono rendere sistematico il loro impegno e quali opportunità ne derivano.</w:t>
      </w:r>
    </w:p>
    <w:p w14:paraId="60695681" w14:textId="77777777" w:rsidR="00056EF6" w:rsidRDefault="00056EF6" w:rsidP="00056EF6">
      <w:pPr>
        <w:rPr>
          <w:szCs w:val="24"/>
        </w:rPr>
      </w:pPr>
    </w:p>
    <w:p w14:paraId="44286B94" w14:textId="260C8C22" w:rsidR="00056EF6" w:rsidRDefault="00056EF6" w:rsidP="00056EF6">
      <w:pPr>
        <w:rPr>
          <w:szCs w:val="24"/>
        </w:rPr>
      </w:pPr>
      <w:r>
        <w:rPr>
          <w:szCs w:val="24"/>
        </w:rPr>
        <w:t xml:space="preserve">Un secondo studio, </w:t>
      </w:r>
      <w:r w:rsidR="002B320B">
        <w:rPr>
          <w:szCs w:val="24"/>
        </w:rPr>
        <w:t>il</w:t>
      </w:r>
      <w:r>
        <w:rPr>
          <w:szCs w:val="24"/>
        </w:rPr>
        <w:t xml:space="preserve"> “</w:t>
      </w:r>
      <w:hyperlink r:id="rId12" w:history="1">
        <w:r w:rsidRPr="005954EF">
          <w:rPr>
            <w:rStyle w:val="Collegamentoipertestuale"/>
            <w:szCs w:val="24"/>
          </w:rPr>
          <w:t>Living Planet Report 2022</w:t>
        </w:r>
      </w:hyperlink>
      <w:r>
        <w:rPr>
          <w:szCs w:val="24"/>
        </w:rPr>
        <w:t>”, mette pure l’accento sui rischi per l’economia globale.</w:t>
      </w:r>
    </w:p>
    <w:p w14:paraId="5DB3E900" w14:textId="2778918E" w:rsidR="00056EF6" w:rsidRDefault="00056EF6" w:rsidP="00056EF6">
      <w:pPr>
        <w:rPr>
          <w:szCs w:val="24"/>
        </w:rPr>
      </w:pPr>
      <w:r>
        <w:t xml:space="preserve">La conservazione della biodiversità va trattata dall’economia con la stessa attenzione che si ha per il raggiungimento degli obiettivi climatici: a livello mondiale, il numero di specie analizzate nel Living Planet Report è diminuito in media del 69% dal 1970. Oggi circa un </w:t>
      </w:r>
      <w:r>
        <w:lastRenderedPageBreak/>
        <w:t>milione di specie è minacciato di estinzione; in Svizzera, il 35% è considerato in pericolo. L’impressionante perdita di specie minaccia le fondamenta della nostra prosperità, perché più della metà del prodotto interno lordo globale, circa 44</w:t>
      </w:r>
      <w:r w:rsidR="002B320B">
        <w:t>'</w:t>
      </w:r>
      <w:r>
        <w:t xml:space="preserve">000 miliardi di dollari, dipende proprio da una natura intatta. Crisi climatica e perdita di biodiversità sono interconnesse in molti modi: il cambiamento del clima minaccia moltissime specie e la perdita di biodiversità – soprattutto la deforestazione – accelera il riscaldamento globale. Secondo il World </w:t>
      </w:r>
      <w:proofErr w:type="spellStart"/>
      <w:r>
        <w:t>Economic</w:t>
      </w:r>
      <w:proofErr w:type="spellEnd"/>
      <w:r>
        <w:t xml:space="preserve"> Forum, la perdita di biodiversità, e quindi il collasso di interi ecosistemi, è uno dei dieci maggiori rischi per l’economia globale.</w:t>
      </w:r>
    </w:p>
    <w:p w14:paraId="59FE95D7" w14:textId="002A5848" w:rsidR="00056EF6" w:rsidRDefault="00056EF6" w:rsidP="00056EF6">
      <w:pPr>
        <w:rPr>
          <w:szCs w:val="24"/>
        </w:rPr>
      </w:pPr>
    </w:p>
    <w:p w14:paraId="738967FE" w14:textId="77777777" w:rsidR="00C40F81" w:rsidRDefault="00C40F81" w:rsidP="00056EF6">
      <w:pPr>
        <w:rPr>
          <w:szCs w:val="24"/>
        </w:rPr>
      </w:pPr>
    </w:p>
    <w:p w14:paraId="16C74814" w14:textId="77777777" w:rsidR="00056EF6" w:rsidRPr="008A679E" w:rsidRDefault="00056EF6" w:rsidP="00056EF6">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Credito</w:t>
      </w:r>
    </w:p>
    <w:p w14:paraId="4C9F6A9A" w14:textId="7C9294AB" w:rsidR="002C19F8" w:rsidRPr="00891B64" w:rsidRDefault="002C19F8" w:rsidP="002C19F8">
      <w:pPr>
        <w:rPr>
          <w:szCs w:val="24"/>
        </w:rPr>
      </w:pPr>
      <w:r w:rsidRPr="00891B64">
        <w:rPr>
          <w:szCs w:val="24"/>
        </w:rPr>
        <w:t xml:space="preserve">Il cappello introduttivo al punto 3 del messaggio è presente già nel messaggio precedente (7804 del 18.3.20) e </w:t>
      </w:r>
      <w:r w:rsidR="002B320B">
        <w:rPr>
          <w:szCs w:val="24"/>
        </w:rPr>
        <w:t>n</w:t>
      </w:r>
      <w:r w:rsidRPr="00891B64">
        <w:rPr>
          <w:szCs w:val="24"/>
        </w:rPr>
        <w:t>el relativo rapporto: “</w:t>
      </w:r>
      <w:r w:rsidRPr="00891B64">
        <w:rPr>
          <w:i/>
          <w:iCs/>
          <w:szCs w:val="24"/>
        </w:rPr>
        <w:t>Nonostante le misure intraprese negli ultimi decenni e gli effetti positivi che hanno generato, la qualità complessiva delle componenti naturali continua a diminuire, sia a livello globale che regionale. La biodiversità in Svizzera e in Ticino è in continuo declino e per questo il Consiglio Federale ha approvato la strategia Biodiversità Svizzera.</w:t>
      </w:r>
      <w:r w:rsidRPr="00891B64">
        <w:rPr>
          <w:szCs w:val="24"/>
        </w:rPr>
        <w:t>”</w:t>
      </w:r>
    </w:p>
    <w:p w14:paraId="1AC96FDD" w14:textId="77777777" w:rsidR="002C19F8" w:rsidRPr="00891B64" w:rsidRDefault="002C19F8" w:rsidP="002C19F8">
      <w:pPr>
        <w:rPr>
          <w:szCs w:val="24"/>
        </w:rPr>
      </w:pPr>
    </w:p>
    <w:p w14:paraId="3CD52390" w14:textId="77777777" w:rsidR="002C19F8" w:rsidRPr="00891B64" w:rsidRDefault="002C19F8" w:rsidP="002C19F8">
      <w:pPr>
        <w:rPr>
          <w:szCs w:val="24"/>
        </w:rPr>
      </w:pPr>
      <w:r w:rsidRPr="00891B64">
        <w:rPr>
          <w:szCs w:val="24"/>
        </w:rPr>
        <w:t xml:space="preserve">La richiesta di credito prevede ancora la modalità di finanziamento che dà allo Stato la possibilità di stanziare contributi specifici per progetti e misure promossi da enti pubblici e associazioni per attività di tutela e promozione della biodiversità. </w:t>
      </w:r>
      <w:r>
        <w:rPr>
          <w:szCs w:val="24"/>
        </w:rPr>
        <w:t xml:space="preserve">Tra queste vi sono anche le collaborazioni col settore agricolo, come evidenziato anche dal presente rapporto. </w:t>
      </w:r>
      <w:r w:rsidRPr="00891B64">
        <w:rPr>
          <w:szCs w:val="24"/>
        </w:rPr>
        <w:t>Sono poi elencati tutti i riferimenti legali e i documenti necessari.</w:t>
      </w:r>
    </w:p>
    <w:p w14:paraId="2EA383D9" w14:textId="77777777" w:rsidR="002C19F8" w:rsidRDefault="002C19F8" w:rsidP="00B611D5">
      <w:pPr>
        <w:rPr>
          <w:szCs w:val="24"/>
        </w:rPr>
      </w:pPr>
    </w:p>
    <w:p w14:paraId="7DCC25B9" w14:textId="3933DEC2" w:rsidR="00B611D5" w:rsidRDefault="002C19F8" w:rsidP="00B611D5">
      <w:pPr>
        <w:rPr>
          <w:szCs w:val="24"/>
        </w:rPr>
      </w:pPr>
      <w:r>
        <w:rPr>
          <w:szCs w:val="24"/>
        </w:rPr>
        <w:t>È</w:t>
      </w:r>
      <w:r w:rsidR="00B611D5">
        <w:rPr>
          <w:szCs w:val="24"/>
        </w:rPr>
        <w:t xml:space="preserve"> utile ricordare che il presente credito quadro si iscrive </w:t>
      </w:r>
      <w:r w:rsidR="002B320B">
        <w:rPr>
          <w:szCs w:val="24"/>
        </w:rPr>
        <w:t>i</w:t>
      </w:r>
      <w:r w:rsidR="00B611D5">
        <w:rPr>
          <w:szCs w:val="24"/>
        </w:rPr>
        <w:t xml:space="preserve">n una pianificazione a livello svizzero sulla </w:t>
      </w:r>
      <w:r w:rsidR="002B320B">
        <w:rPr>
          <w:szCs w:val="24"/>
        </w:rPr>
        <w:t>b</w:t>
      </w:r>
      <w:r w:rsidR="00B611D5">
        <w:rPr>
          <w:szCs w:val="24"/>
        </w:rPr>
        <w:t>iodiversità</w:t>
      </w:r>
      <w:r w:rsidR="006B1CA2">
        <w:rPr>
          <w:szCs w:val="24"/>
        </w:rPr>
        <w:t xml:space="preserve"> e </w:t>
      </w:r>
      <w:r w:rsidR="00B611D5">
        <w:rPr>
          <w:szCs w:val="24"/>
        </w:rPr>
        <w:t>che i contributi vanno a favore di ambienti di vita protetti</w:t>
      </w:r>
      <w:r w:rsidR="002B320B">
        <w:rPr>
          <w:szCs w:val="24"/>
        </w:rPr>
        <w:t>,</w:t>
      </w:r>
      <w:r w:rsidR="00B611D5">
        <w:rPr>
          <w:szCs w:val="24"/>
        </w:rPr>
        <w:t xml:space="preserve"> ovvero i biotopi iscritti nel corrispondente catalogo</w:t>
      </w:r>
      <w:r w:rsidR="006B1CA2">
        <w:rPr>
          <w:szCs w:val="24"/>
        </w:rPr>
        <w:t>.</w:t>
      </w:r>
      <w:r w:rsidR="00FE45C8">
        <w:rPr>
          <w:szCs w:val="24"/>
        </w:rPr>
        <w:t xml:space="preserve"> Nella redazione di ogni credito quadro, è essenziale l’allineamento con gli uffici competenti della </w:t>
      </w:r>
      <w:r w:rsidR="002B320B">
        <w:rPr>
          <w:szCs w:val="24"/>
        </w:rPr>
        <w:t>C</w:t>
      </w:r>
      <w:r w:rsidR="00FE45C8">
        <w:rPr>
          <w:szCs w:val="24"/>
        </w:rPr>
        <w:t>onfederazione. Ad esempio, il contenuto del prossimo credito quadro 2025-2028 sarà stabilito in concordanza.</w:t>
      </w:r>
    </w:p>
    <w:p w14:paraId="389C2FC2" w14:textId="197AD94A" w:rsidR="00224CB5" w:rsidRDefault="00224CB5" w:rsidP="00B611D5">
      <w:pPr>
        <w:rPr>
          <w:szCs w:val="24"/>
        </w:rPr>
      </w:pPr>
      <w:r>
        <w:rPr>
          <w:szCs w:val="24"/>
        </w:rPr>
        <w:t>La cartina alla pagina seguente mostra la posizione dei biotopi in Ticino</w:t>
      </w:r>
      <w:r w:rsidR="002B320B">
        <w:rPr>
          <w:szCs w:val="24"/>
        </w:rPr>
        <w:t>,</w:t>
      </w:r>
      <w:r>
        <w:rPr>
          <w:szCs w:val="24"/>
        </w:rPr>
        <w:t xml:space="preserve"> che sono posizionati principalmente sui fondivalle.</w:t>
      </w:r>
      <w:r w:rsidR="002C19F8">
        <w:rPr>
          <w:szCs w:val="24"/>
        </w:rPr>
        <w:t xml:space="preserve"> Tra questi vi sono molte superfici di golene d’importanza nazionale.</w:t>
      </w:r>
    </w:p>
    <w:p w14:paraId="6FDDF0AE" w14:textId="0868E5F9" w:rsidR="00191D93" w:rsidRDefault="00191D93" w:rsidP="00B611D5">
      <w:pPr>
        <w:rPr>
          <w:szCs w:val="24"/>
        </w:rPr>
      </w:pPr>
      <w:r>
        <w:rPr>
          <w:szCs w:val="24"/>
        </w:rPr>
        <w:t xml:space="preserve">Tutti gli interventi sono focalizzati sull’habitat e sulle popolazioni di specie prioritarie, siano esse flora o fauna. Spesso gli interventi sono per tenere sotto controllo la flora. </w:t>
      </w:r>
      <w:r w:rsidR="00244D65">
        <w:rPr>
          <w:szCs w:val="24"/>
        </w:rPr>
        <w:t>Infatti,</w:t>
      </w:r>
      <w:r>
        <w:rPr>
          <w:szCs w:val="24"/>
        </w:rPr>
        <w:t xml:space="preserve"> una buona parte del credito quadro ha come scopo la lotta alle specie invasive, come lo è il poligono del Giappone</w:t>
      </w:r>
      <w:r w:rsidR="00244D65">
        <w:rPr>
          <w:szCs w:val="24"/>
        </w:rPr>
        <w:t>, ma vi sono anche singole azioni specifiche pure per la fauna.</w:t>
      </w:r>
    </w:p>
    <w:p w14:paraId="6A8C1CB4" w14:textId="696C9BCD" w:rsidR="00BE6727" w:rsidRDefault="002B320B" w:rsidP="00B611D5">
      <w:pPr>
        <w:rPr>
          <w:szCs w:val="24"/>
        </w:rPr>
      </w:pPr>
      <w:r>
        <w:rPr>
          <w:szCs w:val="24"/>
        </w:rPr>
        <w:t xml:space="preserve">Va notato </w:t>
      </w:r>
      <w:r w:rsidR="00BE6727">
        <w:rPr>
          <w:szCs w:val="24"/>
        </w:rPr>
        <w:t>che l’87.443 % del credito è per misure di valorizzazione (cfr. tabella a pag. 5)</w:t>
      </w:r>
      <w:r>
        <w:rPr>
          <w:szCs w:val="24"/>
        </w:rPr>
        <w:t>.</w:t>
      </w:r>
    </w:p>
    <w:p w14:paraId="0219A7B6" w14:textId="77777777" w:rsidR="00191D93" w:rsidRDefault="00191D93" w:rsidP="00B611D5">
      <w:pPr>
        <w:rPr>
          <w:szCs w:val="24"/>
        </w:rPr>
      </w:pPr>
    </w:p>
    <w:p w14:paraId="100322D7" w14:textId="19D94632" w:rsidR="00871FD5" w:rsidRDefault="00191D93" w:rsidP="00B611D5">
      <w:pPr>
        <w:rPr>
          <w:szCs w:val="24"/>
        </w:rPr>
      </w:pPr>
      <w:r>
        <w:rPr>
          <w:szCs w:val="24"/>
        </w:rPr>
        <w:t>L</w:t>
      </w:r>
      <w:r w:rsidR="00871FD5">
        <w:rPr>
          <w:szCs w:val="24"/>
        </w:rPr>
        <w:t xml:space="preserve">e attività promosse tramite il credito quadro sulla biodiversità sono </w:t>
      </w:r>
      <w:r w:rsidR="002C19F8">
        <w:rPr>
          <w:szCs w:val="24"/>
        </w:rPr>
        <w:t xml:space="preserve">in aggiunta alle attività coperte coi pagamenti diretti della </w:t>
      </w:r>
      <w:r w:rsidR="0089722D">
        <w:rPr>
          <w:szCs w:val="24"/>
        </w:rPr>
        <w:t>S</w:t>
      </w:r>
      <w:r w:rsidR="002C19F8">
        <w:rPr>
          <w:szCs w:val="24"/>
        </w:rPr>
        <w:t xml:space="preserve">ezione </w:t>
      </w:r>
      <w:r w:rsidR="0089722D">
        <w:rPr>
          <w:szCs w:val="24"/>
        </w:rPr>
        <w:t>dell'</w:t>
      </w:r>
      <w:r w:rsidR="002C19F8">
        <w:rPr>
          <w:szCs w:val="24"/>
        </w:rPr>
        <w:t>agricoltura, in quanto i primi riguardano le superfici protette mentre i secondi riguardano le superfici agricole. Ad esempio, se si parla di interconnessione, le aziende agricole possono gestire sia le interconnessioni tra biotopi, attività coperte tramite la Strategia Biodiversità, sia le interconnessioni al di fuori dei biotopi, attività coperte dai pagamenti diretti.</w:t>
      </w:r>
    </w:p>
    <w:p w14:paraId="452A3F35" w14:textId="44B9E773" w:rsidR="00FE45C8" w:rsidRPr="00891B64" w:rsidRDefault="00244D65" w:rsidP="00244D65">
      <w:pPr>
        <w:tabs>
          <w:tab w:val="left" w:pos="426"/>
          <w:tab w:val="left" w:pos="4962"/>
        </w:tabs>
        <w:rPr>
          <w:szCs w:val="24"/>
        </w:rPr>
      </w:pPr>
      <w:r>
        <w:rPr>
          <w:rFonts w:asciiTheme="minorHAnsi" w:hAnsiTheme="minorHAnsi" w:cstheme="minorHAnsi"/>
          <w:szCs w:val="24"/>
        </w:rPr>
        <w:t xml:space="preserve">In quest’ultimo ambito si ricorda che il </w:t>
      </w:r>
      <w:r w:rsidRPr="00244D65">
        <w:rPr>
          <w:rFonts w:asciiTheme="minorHAnsi" w:hAnsiTheme="minorHAnsi" w:cstheme="minorHAnsi"/>
          <w:szCs w:val="24"/>
        </w:rPr>
        <w:t>Cantone negli anni scorsi ha già sviluppato diversi strumenti utili per lo scopo fissato dalla Confederazione relativo per esempio all’Infrastruttura ecologica. In questo senso vanno considerati il concetto biodiversità in bosco, la politica di valorizzazione delle acque e i progetti agricoli per la promozione della biodiversità</w:t>
      </w:r>
      <w:r>
        <w:rPr>
          <w:rFonts w:asciiTheme="minorHAnsi" w:hAnsiTheme="minorHAnsi" w:cstheme="minorHAnsi"/>
          <w:szCs w:val="24"/>
        </w:rPr>
        <w:t>.</w:t>
      </w:r>
    </w:p>
    <w:p w14:paraId="4B8BEBDC" w14:textId="1BDDFAB3" w:rsidR="006B1CA2" w:rsidRDefault="006B1CA2" w:rsidP="00B611D5">
      <w:pPr>
        <w:rPr>
          <w:szCs w:val="24"/>
        </w:rPr>
      </w:pPr>
      <w:r>
        <w:rPr>
          <w:noProof/>
          <w:lang w:eastAsia="it-CH"/>
        </w:rPr>
        <w:drawing>
          <wp:inline distT="0" distB="0" distL="0" distR="0" wp14:anchorId="16B634FA" wp14:editId="2D6D72DB">
            <wp:extent cx="5762846" cy="8666348"/>
            <wp:effectExtent l="0" t="0" r="0" b="1905"/>
            <wp:docPr id="1252938626" name="Immagine 1" descr="Immagine che contiene mappa, atlant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38626" name="Immagine 1" descr="Immagine che contiene mappa, atlante, testo&#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5762846" cy="8666348"/>
                    </a:xfrm>
                    <a:prstGeom prst="rect">
                      <a:avLst/>
                    </a:prstGeom>
                  </pic:spPr>
                </pic:pic>
              </a:graphicData>
            </a:graphic>
          </wp:inline>
        </w:drawing>
      </w:r>
    </w:p>
    <w:p w14:paraId="30986FDD" w14:textId="77777777" w:rsidR="00191D93" w:rsidRPr="00891B64" w:rsidRDefault="00191D93" w:rsidP="00191D93">
      <w:pPr>
        <w:rPr>
          <w:szCs w:val="24"/>
        </w:rPr>
      </w:pPr>
      <w:r w:rsidRPr="00891B64">
        <w:rPr>
          <w:szCs w:val="24"/>
        </w:rPr>
        <w:t xml:space="preserve">Similmente al </w:t>
      </w:r>
      <w:r>
        <w:rPr>
          <w:szCs w:val="24"/>
        </w:rPr>
        <w:t>m</w:t>
      </w:r>
      <w:r w:rsidRPr="00891B64">
        <w:rPr>
          <w:szCs w:val="24"/>
        </w:rPr>
        <w:t>essaggio precedente, la strategia propone una serie di misure a favore della biodiversità e focalizza 4 campi di azione.</w:t>
      </w:r>
    </w:p>
    <w:p w14:paraId="630850F7" w14:textId="77777777" w:rsidR="00191D93" w:rsidRPr="00891B64" w:rsidRDefault="00191D93" w:rsidP="00191D93">
      <w:pPr>
        <w:rPr>
          <w:szCs w:val="24"/>
        </w:rPr>
      </w:pPr>
    </w:p>
    <w:p w14:paraId="51171235" w14:textId="77777777" w:rsidR="00191D93" w:rsidRPr="00891B64" w:rsidRDefault="00191D93" w:rsidP="00191D93">
      <w:pPr>
        <w:rPr>
          <w:b/>
          <w:szCs w:val="24"/>
        </w:rPr>
      </w:pPr>
      <w:r w:rsidRPr="00891B64">
        <w:rPr>
          <w:b/>
          <w:szCs w:val="24"/>
        </w:rPr>
        <w:t>L’infrastruttura ecologica:</w:t>
      </w:r>
    </w:p>
    <w:p w14:paraId="7D226C78" w14:textId="77777777" w:rsidR="00191D93" w:rsidRPr="00891B64" w:rsidRDefault="00191D93" w:rsidP="00191D93">
      <w:pPr>
        <w:rPr>
          <w:szCs w:val="24"/>
        </w:rPr>
      </w:pPr>
      <w:r w:rsidRPr="00891B64">
        <w:rPr>
          <w:szCs w:val="24"/>
        </w:rPr>
        <w:t>la base per un paesaggio ecologicamente equilibrato e per preservare a lungo termine una biodiversità ricca, in grado di reagire ai cambiamenti climatici e territoriali.</w:t>
      </w:r>
    </w:p>
    <w:p w14:paraId="2CA8230B" w14:textId="77777777" w:rsidR="00191D93" w:rsidRPr="00891B64" w:rsidRDefault="00191D93" w:rsidP="00191D93">
      <w:pPr>
        <w:rPr>
          <w:szCs w:val="24"/>
        </w:rPr>
      </w:pPr>
    </w:p>
    <w:p w14:paraId="0B44CFD4" w14:textId="4EC1B8BB" w:rsidR="002C19F8" w:rsidRPr="00891B64" w:rsidRDefault="002C19F8" w:rsidP="002C19F8">
      <w:pPr>
        <w:rPr>
          <w:b/>
          <w:szCs w:val="24"/>
        </w:rPr>
      </w:pPr>
      <w:r w:rsidRPr="00891B64">
        <w:rPr>
          <w:b/>
          <w:szCs w:val="24"/>
        </w:rPr>
        <w:t>Valorizzazione e conservazione:</w:t>
      </w:r>
    </w:p>
    <w:p w14:paraId="69E5B441" w14:textId="77777777" w:rsidR="002C19F8" w:rsidRDefault="002C19F8" w:rsidP="002C19F8">
      <w:pPr>
        <w:rPr>
          <w:szCs w:val="24"/>
        </w:rPr>
      </w:pPr>
      <w:r w:rsidRPr="00891B64">
        <w:rPr>
          <w:szCs w:val="24"/>
        </w:rPr>
        <w:t xml:space="preserve">la priorità va al consolidamento degli investimenti eseguiti (cure di avviamento) e alle situazioni più urgenti come continuazione di ciò che </w:t>
      </w:r>
      <w:r>
        <w:rPr>
          <w:szCs w:val="24"/>
        </w:rPr>
        <w:t xml:space="preserve">è </w:t>
      </w:r>
      <w:r w:rsidRPr="00891B64">
        <w:rPr>
          <w:szCs w:val="24"/>
        </w:rPr>
        <w:t>stato realizzato col messaggio precedente.</w:t>
      </w:r>
    </w:p>
    <w:p w14:paraId="2C412351" w14:textId="77777777" w:rsidR="002C19F8" w:rsidRDefault="002C19F8" w:rsidP="002C19F8">
      <w:pPr>
        <w:rPr>
          <w:szCs w:val="24"/>
        </w:rPr>
      </w:pPr>
      <w:r>
        <w:rPr>
          <w:szCs w:val="24"/>
        </w:rPr>
        <w:t>In questo settore le collaborazioni col settore primario sono importanti. Infatti, sono circa 350 i biotopi che sono affidati a circa 300 aziende agricole con un “accordo di gestione di superfici soggette ai vincoli della LPN”.</w:t>
      </w:r>
    </w:p>
    <w:p w14:paraId="59F49E03" w14:textId="1858EF43" w:rsidR="002C19F8" w:rsidRDefault="002C19F8" w:rsidP="002C19F8">
      <w:pPr>
        <w:rPr>
          <w:szCs w:val="24"/>
        </w:rPr>
      </w:pPr>
      <w:r>
        <w:rPr>
          <w:szCs w:val="24"/>
        </w:rPr>
        <w:t>La cartina nella pagina precedente mostra la posizione dei biotopi come aree evidenziate in verde, principalmente sui fondivalle.</w:t>
      </w:r>
    </w:p>
    <w:p w14:paraId="5FA8318B" w14:textId="77777777" w:rsidR="00056EF6" w:rsidRPr="00891B64" w:rsidRDefault="00056EF6" w:rsidP="00056EF6">
      <w:pPr>
        <w:rPr>
          <w:szCs w:val="24"/>
        </w:rPr>
      </w:pPr>
    </w:p>
    <w:p w14:paraId="52817A5C" w14:textId="77777777" w:rsidR="00056EF6" w:rsidRPr="00891B64" w:rsidRDefault="00056EF6" w:rsidP="00056EF6">
      <w:pPr>
        <w:rPr>
          <w:b/>
          <w:szCs w:val="24"/>
        </w:rPr>
      </w:pPr>
      <w:r w:rsidRPr="00891B64">
        <w:rPr>
          <w:b/>
          <w:szCs w:val="24"/>
        </w:rPr>
        <w:t>Controlli:</w:t>
      </w:r>
    </w:p>
    <w:p w14:paraId="703D8D60" w14:textId="1E785066" w:rsidR="00B611D5" w:rsidRDefault="00056EF6" w:rsidP="00056EF6">
      <w:pPr>
        <w:rPr>
          <w:szCs w:val="24"/>
        </w:rPr>
      </w:pPr>
      <w:r>
        <w:rPr>
          <w:szCs w:val="24"/>
        </w:rPr>
        <w:t>a</w:t>
      </w:r>
      <w:r w:rsidRPr="00891B64">
        <w:rPr>
          <w:szCs w:val="24"/>
        </w:rPr>
        <w:t>ccanto ai controlli dell’efficacia delle misure</w:t>
      </w:r>
      <w:r w:rsidR="00F4170D">
        <w:rPr>
          <w:szCs w:val="24"/>
        </w:rPr>
        <w:t xml:space="preserve"> che verificano l’esito degli interventi</w:t>
      </w:r>
      <w:r w:rsidRPr="00891B64">
        <w:rPr>
          <w:szCs w:val="24"/>
        </w:rPr>
        <w:t>, integrati di regola nei progetti di valorizzazione e conservazione, i programmi di monitoraggio della qualità dei biotopi permettono di calibrare e definire le misure di protezione</w:t>
      </w:r>
      <w:r w:rsidR="00113B57">
        <w:rPr>
          <w:szCs w:val="24"/>
        </w:rPr>
        <w:t>, verificarne l’evoluzione e lo stato.</w:t>
      </w:r>
    </w:p>
    <w:p w14:paraId="4C400598" w14:textId="54B153EF" w:rsidR="00056EF6" w:rsidRDefault="00B611D5" w:rsidP="00056EF6">
      <w:pPr>
        <w:rPr>
          <w:szCs w:val="24"/>
        </w:rPr>
      </w:pPr>
      <w:r>
        <w:rPr>
          <w:szCs w:val="24"/>
        </w:rPr>
        <w:t xml:space="preserve">In base alle indicazioni della Confederazione gli importi di controllo/monitoraggio sono tra il 5-10% del totale. In questo credito quadro </w:t>
      </w:r>
      <w:r w:rsidR="0089722D">
        <w:rPr>
          <w:szCs w:val="24"/>
        </w:rPr>
        <w:t>sono</w:t>
      </w:r>
      <w:r>
        <w:rPr>
          <w:szCs w:val="24"/>
        </w:rPr>
        <w:t xml:space="preserve"> </w:t>
      </w:r>
      <w:r w:rsidR="00224CB5">
        <w:rPr>
          <w:szCs w:val="24"/>
        </w:rPr>
        <w:t>del 3.76</w:t>
      </w:r>
      <w:r>
        <w:rPr>
          <w:szCs w:val="24"/>
        </w:rPr>
        <w:t>%.</w:t>
      </w:r>
    </w:p>
    <w:p w14:paraId="49AE2E74" w14:textId="4A3DBD8E" w:rsidR="00B611D5" w:rsidRPr="00891B64" w:rsidRDefault="00B611D5" w:rsidP="00056EF6">
      <w:pPr>
        <w:rPr>
          <w:szCs w:val="24"/>
        </w:rPr>
      </w:pPr>
      <w:r>
        <w:rPr>
          <w:szCs w:val="24"/>
        </w:rPr>
        <w:t>Il monitoraggio d</w:t>
      </w:r>
      <w:r w:rsidR="0089722D">
        <w:rPr>
          <w:szCs w:val="24"/>
        </w:rPr>
        <w:t>à</w:t>
      </w:r>
      <w:r>
        <w:rPr>
          <w:szCs w:val="24"/>
        </w:rPr>
        <w:t xml:space="preserve"> </w:t>
      </w:r>
      <w:r w:rsidR="00224CB5">
        <w:rPr>
          <w:szCs w:val="24"/>
        </w:rPr>
        <w:t>indicazioni</w:t>
      </w:r>
      <w:r>
        <w:rPr>
          <w:szCs w:val="24"/>
        </w:rPr>
        <w:t xml:space="preserve"> concrete </w:t>
      </w:r>
      <w:r w:rsidR="00224CB5">
        <w:rPr>
          <w:szCs w:val="24"/>
        </w:rPr>
        <w:t>sullo stato di salute dei biotopi e conseguentemente sulle priorità d’intervento.</w:t>
      </w:r>
    </w:p>
    <w:p w14:paraId="4F2380D1" w14:textId="77777777" w:rsidR="00056EF6" w:rsidRPr="00891B64" w:rsidRDefault="00056EF6" w:rsidP="00056EF6">
      <w:pPr>
        <w:rPr>
          <w:szCs w:val="24"/>
        </w:rPr>
      </w:pPr>
    </w:p>
    <w:p w14:paraId="2011C1A5" w14:textId="77777777" w:rsidR="00056EF6" w:rsidRPr="00891B64" w:rsidRDefault="00056EF6" w:rsidP="00056EF6">
      <w:pPr>
        <w:rPr>
          <w:b/>
          <w:bCs/>
          <w:szCs w:val="24"/>
        </w:rPr>
      </w:pPr>
      <w:r w:rsidRPr="00891B64">
        <w:rPr>
          <w:b/>
          <w:bCs/>
          <w:szCs w:val="24"/>
        </w:rPr>
        <w:t>Informazione:</w:t>
      </w:r>
    </w:p>
    <w:p w14:paraId="643EAA1C" w14:textId="5ED32023" w:rsidR="00056EF6" w:rsidRPr="00891B64" w:rsidRDefault="00056EF6" w:rsidP="00056EF6">
      <w:pPr>
        <w:rPr>
          <w:szCs w:val="24"/>
        </w:rPr>
      </w:pPr>
      <w:r w:rsidRPr="00891B64">
        <w:rPr>
          <w:szCs w:val="24"/>
        </w:rPr>
        <w:t xml:space="preserve">parte del credito è volto a promuovere e sostenere un programma di formazione e informazione costituito da eventi, pubblicazioni, corsi di formazione e attività in collaborazione con la scuola pubblica, </w:t>
      </w:r>
      <w:r w:rsidR="0089722D">
        <w:rPr>
          <w:szCs w:val="24"/>
        </w:rPr>
        <w:t>E</w:t>
      </w:r>
      <w:r w:rsidRPr="00891B64">
        <w:rPr>
          <w:szCs w:val="24"/>
        </w:rPr>
        <w:t xml:space="preserve">nti locali, associazioni ambientalistiche </w:t>
      </w:r>
      <w:r w:rsidR="0094557D">
        <w:rPr>
          <w:szCs w:val="24"/>
        </w:rPr>
        <w:t xml:space="preserve">e agricole </w:t>
      </w:r>
      <w:r w:rsidRPr="00891B64">
        <w:rPr>
          <w:szCs w:val="24"/>
        </w:rPr>
        <w:t>e professionisti riconosciuti.</w:t>
      </w:r>
    </w:p>
    <w:p w14:paraId="2DA02A05" w14:textId="427F2ADC" w:rsidR="00224CB5" w:rsidRDefault="00224CB5" w:rsidP="00224CB5">
      <w:pPr>
        <w:rPr>
          <w:szCs w:val="24"/>
        </w:rPr>
      </w:pPr>
      <w:r>
        <w:rPr>
          <w:szCs w:val="24"/>
        </w:rPr>
        <w:t>In base alle indicazioni della Confederazione gli importi di informazione sono tra il 5-10% del to</w:t>
      </w:r>
      <w:r w:rsidR="0089722D">
        <w:rPr>
          <w:szCs w:val="24"/>
        </w:rPr>
        <w:t>tale. In questo credito quadro sono</w:t>
      </w:r>
      <w:r>
        <w:rPr>
          <w:szCs w:val="24"/>
        </w:rPr>
        <w:t xml:space="preserve"> del 3.64%.</w:t>
      </w:r>
    </w:p>
    <w:p w14:paraId="7D7AC750" w14:textId="63DEE854" w:rsidR="00224CB5" w:rsidRDefault="00224CB5" w:rsidP="00224CB5">
      <w:pPr>
        <w:rPr>
          <w:szCs w:val="24"/>
        </w:rPr>
      </w:pPr>
      <w:r>
        <w:rPr>
          <w:szCs w:val="24"/>
        </w:rPr>
        <w:t>Durante le discussioni commissionali è scaturita l’osservazione che</w:t>
      </w:r>
      <w:r w:rsidRPr="00224CB5">
        <w:rPr>
          <w:szCs w:val="24"/>
        </w:rPr>
        <w:t xml:space="preserve"> si auspica che oltre agli uffici cantonali anche le associazioni ufficiali e riconosciute</w:t>
      </w:r>
      <w:r w:rsidR="00C959D1">
        <w:rPr>
          <w:szCs w:val="24"/>
        </w:rPr>
        <w:t xml:space="preserve"> </w:t>
      </w:r>
      <w:r w:rsidR="00C959D1" w:rsidRPr="00C959D1">
        <w:rPr>
          <w:szCs w:val="24"/>
        </w:rPr>
        <w:t>(v. cap. 4. Campi e settori d’intervento),</w:t>
      </w:r>
      <w:r w:rsidRPr="00224CB5">
        <w:rPr>
          <w:szCs w:val="24"/>
        </w:rPr>
        <w:t xml:space="preserve"> interessate dai singoli progetti, </w:t>
      </w:r>
      <w:r>
        <w:rPr>
          <w:szCs w:val="24"/>
        </w:rPr>
        <w:t>siano</w:t>
      </w:r>
      <w:r w:rsidRPr="00224CB5">
        <w:rPr>
          <w:szCs w:val="24"/>
        </w:rPr>
        <w:t xml:space="preserve"> integrate e consultate in maniera attiva e costruttiva</w:t>
      </w:r>
      <w:r w:rsidR="0089722D">
        <w:rPr>
          <w:szCs w:val="24"/>
        </w:rPr>
        <w:t>.</w:t>
      </w:r>
    </w:p>
    <w:p w14:paraId="5310E5D6" w14:textId="77777777" w:rsidR="00056EF6" w:rsidRPr="00891B64" w:rsidRDefault="00056EF6" w:rsidP="00056EF6">
      <w:pPr>
        <w:rPr>
          <w:szCs w:val="24"/>
        </w:rPr>
      </w:pPr>
    </w:p>
    <w:p w14:paraId="4A4E31A3" w14:textId="763A087B" w:rsidR="00056EF6" w:rsidRPr="00891B64" w:rsidRDefault="00056EF6" w:rsidP="00056EF6">
      <w:pPr>
        <w:rPr>
          <w:szCs w:val="24"/>
        </w:rPr>
      </w:pPr>
      <w:r w:rsidRPr="00891B64">
        <w:rPr>
          <w:szCs w:val="24"/>
        </w:rPr>
        <w:t xml:space="preserve">Il costo complessivo per l’attuazione del piano d’azione durante il periodo 2024 è preventivato a </w:t>
      </w:r>
      <w:proofErr w:type="spellStart"/>
      <w:r w:rsidRPr="00891B64">
        <w:rPr>
          <w:szCs w:val="24"/>
        </w:rPr>
        <w:t>fr</w:t>
      </w:r>
      <w:proofErr w:type="spellEnd"/>
      <w:r w:rsidRPr="00891B64">
        <w:rPr>
          <w:szCs w:val="24"/>
        </w:rPr>
        <w:t xml:space="preserve">. 4'255'000.-. I costi sono suddivisi tra Cantone, Confederazione e partecipazione di terzi (Comuni, Patriziati, associazioni, </w:t>
      </w:r>
      <w:r w:rsidR="0089722D">
        <w:rPr>
          <w:szCs w:val="24"/>
        </w:rPr>
        <w:t>E</w:t>
      </w:r>
      <w:r w:rsidRPr="00891B64">
        <w:rPr>
          <w:szCs w:val="24"/>
        </w:rPr>
        <w:t xml:space="preserve">nti locali, privati), per un importo netto a carico del Cantone di </w:t>
      </w:r>
      <w:proofErr w:type="spellStart"/>
      <w:r w:rsidRPr="00891B64">
        <w:rPr>
          <w:szCs w:val="24"/>
        </w:rPr>
        <w:t>fr</w:t>
      </w:r>
      <w:proofErr w:type="spellEnd"/>
      <w:r w:rsidRPr="00891B64">
        <w:rPr>
          <w:szCs w:val="24"/>
        </w:rPr>
        <w:t>. 2'000'000.-.</w:t>
      </w:r>
    </w:p>
    <w:p w14:paraId="799B3B7C" w14:textId="77777777" w:rsidR="00056EF6" w:rsidRDefault="00056EF6" w:rsidP="00056EF6">
      <w:pPr>
        <w:rPr>
          <w:szCs w:val="24"/>
        </w:rPr>
      </w:pPr>
    </w:p>
    <w:p w14:paraId="1C7A6A8D" w14:textId="1E7D70FC" w:rsidR="003311A6" w:rsidRDefault="003311A6" w:rsidP="00056EF6">
      <w:pPr>
        <w:rPr>
          <w:szCs w:val="24"/>
        </w:rPr>
      </w:pPr>
    </w:p>
    <w:p w14:paraId="4D642B25" w14:textId="77777777" w:rsidR="00C40F81" w:rsidRDefault="00C40F81" w:rsidP="00056EF6">
      <w:pPr>
        <w:rPr>
          <w:szCs w:val="24"/>
        </w:rPr>
      </w:pPr>
    </w:p>
    <w:p w14:paraId="4F29241D" w14:textId="77777777" w:rsidR="003311A6" w:rsidRDefault="003311A6" w:rsidP="00056EF6">
      <w:pPr>
        <w:rPr>
          <w:szCs w:val="24"/>
        </w:rPr>
      </w:pPr>
    </w:p>
    <w:p w14:paraId="45533837" w14:textId="1F565C8C" w:rsidR="003914D1" w:rsidRDefault="003914D1" w:rsidP="00056EF6">
      <w:pPr>
        <w:rPr>
          <w:szCs w:val="24"/>
        </w:rPr>
      </w:pPr>
      <w:r>
        <w:rPr>
          <w:szCs w:val="24"/>
        </w:rPr>
        <w:t xml:space="preserve">In merito </w:t>
      </w:r>
      <w:r w:rsidR="009453B4">
        <w:rPr>
          <w:szCs w:val="24"/>
        </w:rPr>
        <w:t xml:space="preserve">alla </w:t>
      </w:r>
      <w:r w:rsidR="009E3ED9">
        <w:rPr>
          <w:szCs w:val="24"/>
        </w:rPr>
        <w:t>discussa divisione</w:t>
      </w:r>
      <w:r w:rsidR="001D4D19">
        <w:rPr>
          <w:szCs w:val="24"/>
        </w:rPr>
        <w:t xml:space="preserve"> tra </w:t>
      </w:r>
      <w:r w:rsidR="009453B4">
        <w:rPr>
          <w:szCs w:val="24"/>
        </w:rPr>
        <w:t xml:space="preserve">interventi che passano sotto la politica </w:t>
      </w:r>
      <w:r w:rsidR="009E3ED9">
        <w:rPr>
          <w:szCs w:val="24"/>
        </w:rPr>
        <w:t>agricola</w:t>
      </w:r>
      <w:r w:rsidR="009453B4">
        <w:rPr>
          <w:szCs w:val="24"/>
        </w:rPr>
        <w:t xml:space="preserve"> (Pagamenti diretti) e quelli che passano sotto la </w:t>
      </w:r>
      <w:r w:rsidR="009E3ED9">
        <w:rPr>
          <w:szCs w:val="24"/>
        </w:rPr>
        <w:t>strategia</w:t>
      </w:r>
      <w:r w:rsidR="009453B4">
        <w:rPr>
          <w:szCs w:val="24"/>
        </w:rPr>
        <w:t xml:space="preserve"> biodiversità</w:t>
      </w:r>
      <w:r w:rsidR="001D4D19">
        <w:rPr>
          <w:szCs w:val="24"/>
        </w:rPr>
        <w:t>, nel corso di un colloquio col capo ufficio UNP sono state fatte le seguenti annotazioni:</w:t>
      </w:r>
    </w:p>
    <w:p w14:paraId="2EAA6DE9" w14:textId="77777777" w:rsidR="001D4D19" w:rsidRDefault="001D4D19" w:rsidP="00056EF6">
      <w:pPr>
        <w:rPr>
          <w:szCs w:val="24"/>
        </w:rPr>
      </w:pPr>
    </w:p>
    <w:p w14:paraId="1F6D7CAD" w14:textId="42BAC206" w:rsidR="009E3ED9" w:rsidRPr="009E3ED9" w:rsidRDefault="009E3ED9" w:rsidP="009E3ED9">
      <w:pPr>
        <w:rPr>
          <w:i/>
          <w:iCs/>
          <w:szCs w:val="24"/>
        </w:rPr>
      </w:pPr>
      <w:r w:rsidRPr="009E3ED9">
        <w:rPr>
          <w:i/>
          <w:iCs/>
          <w:szCs w:val="24"/>
        </w:rPr>
        <w:t>in base alla legislazione in materia di protezione della natura, la manutenzione dei biotopi va possibilmente assicurat</w:t>
      </w:r>
      <w:r w:rsidR="00B9117E">
        <w:rPr>
          <w:i/>
          <w:iCs/>
          <w:szCs w:val="24"/>
        </w:rPr>
        <w:t>a</w:t>
      </w:r>
      <w:r w:rsidRPr="009E3ED9">
        <w:rPr>
          <w:i/>
          <w:iCs/>
          <w:szCs w:val="24"/>
        </w:rPr>
        <w:t xml:space="preserve"> mediante un’adeguata utilizzazione agricola, secondo accordi conclusi con i gestori. Ad oggi tali accordi garantiscono la tutela di 884 ha di biotopi e habitat per specie prioritarie e permettono l’assegnazione di contributi di gestione per un importo di circa CHF 380'</w:t>
      </w:r>
      <w:proofErr w:type="gramStart"/>
      <w:r w:rsidRPr="009E3ED9">
        <w:rPr>
          <w:i/>
          <w:iCs/>
          <w:szCs w:val="24"/>
        </w:rPr>
        <w:t>000.-</w:t>
      </w:r>
      <w:proofErr w:type="gramEnd"/>
      <w:r w:rsidRPr="009E3ED9">
        <w:rPr>
          <w:i/>
          <w:iCs/>
          <w:szCs w:val="24"/>
        </w:rPr>
        <w:t xml:space="preserve"> all’anno a beneficio delle aziende agricole (231) che hanno sottoscritto l’accordo con l’UNP.</w:t>
      </w:r>
    </w:p>
    <w:p w14:paraId="4654ABB9" w14:textId="07DF5292" w:rsidR="009E3ED9" w:rsidRPr="00C40F81" w:rsidRDefault="009E3ED9" w:rsidP="009E3ED9">
      <w:pPr>
        <w:rPr>
          <w:iCs/>
          <w:szCs w:val="24"/>
        </w:rPr>
      </w:pPr>
    </w:p>
    <w:p w14:paraId="394CBEDC" w14:textId="2F6C796E" w:rsidR="009E3ED9" w:rsidRPr="009E3ED9" w:rsidRDefault="009E3ED9" w:rsidP="009E3ED9">
      <w:pPr>
        <w:rPr>
          <w:i/>
          <w:iCs/>
          <w:szCs w:val="24"/>
        </w:rPr>
      </w:pPr>
      <w:r w:rsidRPr="009E3ED9">
        <w:rPr>
          <w:i/>
          <w:iCs/>
          <w:szCs w:val="24"/>
        </w:rPr>
        <w:t>Grazie a questi accordi i gestori beneficiano anche dello stanziamento da parte della Sezione dell’agricoltura di sussidi federali in base all’Ordinanza sui pagamenti diretti per un importo di circa CHF 940'</w:t>
      </w:r>
      <w:proofErr w:type="gramStart"/>
      <w:r w:rsidRPr="009E3ED9">
        <w:rPr>
          <w:i/>
          <w:iCs/>
          <w:szCs w:val="24"/>
        </w:rPr>
        <w:t>000.-</w:t>
      </w:r>
      <w:proofErr w:type="gramEnd"/>
      <w:r w:rsidRPr="009E3ED9">
        <w:rPr>
          <w:i/>
          <w:iCs/>
          <w:szCs w:val="24"/>
        </w:rPr>
        <w:t xml:space="preserve"> all’anno (l’accordo con l’UNP è una condizione sancita dall’OPD per i biotopi soggetti alla LPN)</w:t>
      </w:r>
      <w:r w:rsidR="00C40F81">
        <w:rPr>
          <w:i/>
          <w:iCs/>
          <w:szCs w:val="24"/>
        </w:rPr>
        <w:t>.</w:t>
      </w:r>
    </w:p>
    <w:p w14:paraId="5042D1EA" w14:textId="33EA4FCD" w:rsidR="009E3ED9" w:rsidRPr="00C40F81" w:rsidRDefault="009E3ED9" w:rsidP="009E3ED9">
      <w:pPr>
        <w:rPr>
          <w:iCs/>
          <w:szCs w:val="24"/>
        </w:rPr>
      </w:pPr>
    </w:p>
    <w:p w14:paraId="2E7BEF9A" w14:textId="77777777" w:rsidR="009E3ED9" w:rsidRPr="009E3ED9" w:rsidRDefault="009E3ED9" w:rsidP="009E3ED9">
      <w:pPr>
        <w:rPr>
          <w:i/>
          <w:iCs/>
          <w:szCs w:val="24"/>
        </w:rPr>
      </w:pPr>
      <w:r w:rsidRPr="009E3ED9">
        <w:rPr>
          <w:i/>
          <w:iCs/>
          <w:szCs w:val="24"/>
        </w:rPr>
        <w:t>Tutti questi contributi sono gestiti a gestione corrente (sia dall’UNP che dalla Sezione agricoltura) e non sono quindi oggetto del credito d’investimento richiesto al Parlamento con il messaggio 8349.</w:t>
      </w:r>
    </w:p>
    <w:p w14:paraId="63A3A881" w14:textId="07B3FAC9" w:rsidR="009E3ED9" w:rsidRPr="00C40F81" w:rsidRDefault="009E3ED9" w:rsidP="009E3ED9">
      <w:pPr>
        <w:rPr>
          <w:iCs/>
          <w:szCs w:val="24"/>
        </w:rPr>
      </w:pPr>
    </w:p>
    <w:p w14:paraId="18845A98" w14:textId="77777777" w:rsidR="009E3ED9" w:rsidRPr="009E3ED9" w:rsidRDefault="009E3ED9" w:rsidP="009E3ED9">
      <w:pPr>
        <w:rPr>
          <w:i/>
          <w:iCs/>
          <w:szCs w:val="24"/>
        </w:rPr>
      </w:pPr>
      <w:r w:rsidRPr="009E3ED9">
        <w:rPr>
          <w:i/>
          <w:iCs/>
          <w:szCs w:val="24"/>
        </w:rPr>
        <w:t>Per contro grazie al credito richiesto sono previsti degli interventi di valorizzazione dei biotopi che possono avere un interesse agricolo in quanto la loro conservazione sarà di principio regolata con una azienda agricola.</w:t>
      </w:r>
    </w:p>
    <w:p w14:paraId="28944B1E" w14:textId="78D8355D" w:rsidR="009E3ED9" w:rsidRPr="009E3ED9" w:rsidRDefault="009E3ED9" w:rsidP="009E3ED9">
      <w:pPr>
        <w:rPr>
          <w:i/>
          <w:iCs/>
          <w:szCs w:val="24"/>
        </w:rPr>
      </w:pPr>
      <w:r w:rsidRPr="009E3ED9">
        <w:rPr>
          <w:i/>
          <w:iCs/>
          <w:szCs w:val="24"/>
        </w:rPr>
        <w:t xml:space="preserve">Va anche ricordato che i costi d’investimento, che sono stati necessari alla creazione dei progetti agricoli per l’interconnessione sul territorio cantonale sono stati sostenuti (per l’80%) da UNP e UFAM. Di questo beneficiano ancora oggi numerose aziende agricole tramite ulteriori contributi elargiti dalla Sezione dell’agricoltura (OPD). </w:t>
      </w:r>
    </w:p>
    <w:p w14:paraId="6928367F" w14:textId="77777777" w:rsidR="009E3ED9" w:rsidRPr="00891B64" w:rsidRDefault="009E3ED9" w:rsidP="00056EF6">
      <w:pPr>
        <w:rPr>
          <w:szCs w:val="24"/>
        </w:rPr>
      </w:pPr>
    </w:p>
    <w:p w14:paraId="5345FE07" w14:textId="77777777" w:rsidR="00056EF6" w:rsidRPr="00891B64" w:rsidRDefault="00056EF6" w:rsidP="00056EF6">
      <w:pPr>
        <w:rPr>
          <w:szCs w:val="24"/>
        </w:rPr>
      </w:pPr>
    </w:p>
    <w:p w14:paraId="3F2F47A8" w14:textId="77777777" w:rsidR="00056EF6" w:rsidRPr="008A679E" w:rsidRDefault="00056EF6" w:rsidP="00056EF6">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Impostazione dell’utilizzo dei crediti e basi legali</w:t>
      </w:r>
    </w:p>
    <w:p w14:paraId="13DCCE34" w14:textId="0A9DE671" w:rsidR="00056EF6" w:rsidRPr="009104FA" w:rsidRDefault="00056EF6" w:rsidP="00056EF6">
      <w:r>
        <w:rPr>
          <w:rFonts w:cs="Arial"/>
        </w:rPr>
        <w:t xml:space="preserve">Nel messaggio il Consiglio di Stato segnala che </w:t>
      </w:r>
      <w:r w:rsidRPr="009104FA">
        <w:t>dal primo messaggio sugli interventi di cura del patrimonio naturalistico del 2003 lo Stato ha assunto e mantenuto principalmente un ruolo di promozione e conduzione. Con il nuovo credito d’investimento 202</w:t>
      </w:r>
      <w:r>
        <w:t>4</w:t>
      </w:r>
      <w:r w:rsidRPr="009104FA">
        <w:t xml:space="preserve"> si intende sostenere</w:t>
      </w:r>
      <w:r>
        <w:t>, come avvenuto col credito precedente,</w:t>
      </w:r>
      <w:r w:rsidRPr="009104FA">
        <w:t xml:space="preserve"> in modo appropriato anche le iniziative degli </w:t>
      </w:r>
      <w:r w:rsidR="0089722D">
        <w:t>E</w:t>
      </w:r>
      <w:r w:rsidRPr="009104FA">
        <w:t>nti locali, dei Patriziati e delle associazioni private che sempre più manifestano interesse e disponibilità verso la valorizzazione del patrimonio naturalistico e paesaggistico del territorio.</w:t>
      </w:r>
    </w:p>
    <w:p w14:paraId="18DF5006" w14:textId="77777777" w:rsidR="00056EF6" w:rsidRDefault="00056EF6" w:rsidP="00056EF6">
      <w:pPr>
        <w:rPr>
          <w:rFonts w:cs="Arial"/>
          <w:bCs/>
          <w:color w:val="1C1C1C"/>
        </w:rPr>
      </w:pPr>
      <w:r>
        <w:t>La richiesta di credito 2024, pur essendo per un unico anno civile, è superiore ai precedenti quattro crediti. Ciò è dovuto alla necessità di attuare con urgenza la strategia federale e i relativi compiti che spettano al Cantone, al ruolo prioritario assunto dal tema nonché alla sua funzione nel settore naturalistico-paesaggistico, sociale ed economico.</w:t>
      </w:r>
    </w:p>
    <w:p w14:paraId="4A0DB352" w14:textId="77777777" w:rsidR="00056EF6" w:rsidRPr="00056EF6" w:rsidRDefault="00056EF6" w:rsidP="00056EF6">
      <w:pPr>
        <w:rPr>
          <w:rFonts w:cs="Arial"/>
          <w:bCs/>
          <w:color w:val="1C1C1C"/>
          <w:szCs w:val="24"/>
        </w:rPr>
      </w:pPr>
    </w:p>
    <w:p w14:paraId="0AA53306" w14:textId="77777777" w:rsidR="00056EF6" w:rsidRPr="00056EF6" w:rsidRDefault="00056EF6" w:rsidP="00056EF6">
      <w:pPr>
        <w:rPr>
          <w:rFonts w:cs="Arial"/>
          <w:bCs/>
          <w:color w:val="1C1C1C"/>
          <w:szCs w:val="24"/>
        </w:rPr>
      </w:pPr>
    </w:p>
    <w:p w14:paraId="5E47A447" w14:textId="77777777" w:rsidR="003311A6" w:rsidRDefault="003311A6">
      <w:pPr>
        <w:rPr>
          <w:b/>
        </w:rPr>
      </w:pPr>
      <w:r>
        <w:br w:type="page"/>
      </w:r>
    </w:p>
    <w:p w14:paraId="7EA325AC" w14:textId="52D55C6D" w:rsidR="00056EF6" w:rsidRPr="008A679E" w:rsidRDefault="00056EF6" w:rsidP="00056EF6">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Campi e settori d’intervento</w:t>
      </w:r>
    </w:p>
    <w:p w14:paraId="53E9360A" w14:textId="77777777" w:rsidR="00056EF6" w:rsidRDefault="00056EF6" w:rsidP="00056EF6">
      <w:pPr>
        <w:spacing w:after="120"/>
      </w:pPr>
      <w:r>
        <w:t>Il messaggio propone una serie di misure a favore della biodiversità e focalizza 4 campi d’azione visibili nella tabella sottostante:</w:t>
      </w:r>
    </w:p>
    <w:tbl>
      <w:tblPr>
        <w:tblW w:w="9594" w:type="dxa"/>
        <w:tblInd w:w="8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69"/>
        <w:gridCol w:w="1441"/>
        <w:gridCol w:w="1355"/>
        <w:gridCol w:w="1412"/>
        <w:gridCol w:w="1417"/>
      </w:tblGrid>
      <w:tr w:rsidR="00056EF6" w:rsidRPr="00FE353F" w14:paraId="2089C679" w14:textId="77777777" w:rsidTr="00C7365D">
        <w:trPr>
          <w:trHeight w:val="103"/>
        </w:trPr>
        <w:tc>
          <w:tcPr>
            <w:tcW w:w="3969" w:type="dxa"/>
            <w:tcBorders>
              <w:top w:val="none" w:sz="6" w:space="0" w:color="auto"/>
              <w:left w:val="none" w:sz="6" w:space="0" w:color="auto"/>
              <w:bottom w:val="none" w:sz="6" w:space="0" w:color="auto"/>
              <w:right w:val="none" w:sz="6" w:space="0" w:color="auto"/>
            </w:tcBorders>
            <w:shd w:val="clear" w:color="auto" w:fill="FBD4B4" w:themeFill="accent6" w:themeFillTint="66"/>
          </w:tcPr>
          <w:p w14:paraId="34CAEF88"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 </w:t>
            </w:r>
          </w:p>
        </w:tc>
        <w:tc>
          <w:tcPr>
            <w:tcW w:w="1441" w:type="dxa"/>
            <w:tcBorders>
              <w:top w:val="none" w:sz="6" w:space="0" w:color="auto"/>
              <w:left w:val="none" w:sz="6" w:space="0" w:color="auto"/>
              <w:bottom w:val="none" w:sz="6" w:space="0" w:color="auto"/>
              <w:right w:val="none" w:sz="6" w:space="0" w:color="auto"/>
            </w:tcBorders>
            <w:shd w:val="clear" w:color="auto" w:fill="FBD4B4" w:themeFill="accent6" w:themeFillTint="66"/>
          </w:tcPr>
          <w:p w14:paraId="6853FC56"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Costo complessivo CHF</w:t>
            </w:r>
          </w:p>
        </w:tc>
        <w:tc>
          <w:tcPr>
            <w:tcW w:w="1355" w:type="dxa"/>
            <w:tcBorders>
              <w:top w:val="none" w:sz="6" w:space="0" w:color="auto"/>
              <w:left w:val="none" w:sz="6" w:space="0" w:color="auto"/>
              <w:bottom w:val="none" w:sz="6" w:space="0" w:color="auto"/>
              <w:right w:val="none" w:sz="6" w:space="0" w:color="auto"/>
            </w:tcBorders>
            <w:shd w:val="clear" w:color="auto" w:fill="FBD4B4" w:themeFill="accent6" w:themeFillTint="66"/>
          </w:tcPr>
          <w:p w14:paraId="79045777"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 xml:space="preserve">Contributi federali </w:t>
            </w:r>
          </w:p>
          <w:p w14:paraId="369C6379"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CHF</w:t>
            </w:r>
          </w:p>
        </w:tc>
        <w:tc>
          <w:tcPr>
            <w:tcW w:w="1412" w:type="dxa"/>
            <w:tcBorders>
              <w:top w:val="none" w:sz="6" w:space="0" w:color="auto"/>
              <w:left w:val="none" w:sz="6" w:space="0" w:color="auto"/>
              <w:bottom w:val="none" w:sz="6" w:space="0" w:color="auto"/>
              <w:right w:val="none" w:sz="6" w:space="0" w:color="auto"/>
            </w:tcBorders>
            <w:shd w:val="clear" w:color="auto" w:fill="FBD4B4" w:themeFill="accent6" w:themeFillTint="66"/>
          </w:tcPr>
          <w:p w14:paraId="28A0DA85"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Costo a carico del Cantone CHF</w:t>
            </w:r>
          </w:p>
        </w:tc>
        <w:tc>
          <w:tcPr>
            <w:tcW w:w="1417" w:type="dxa"/>
            <w:tcBorders>
              <w:top w:val="none" w:sz="6" w:space="0" w:color="auto"/>
              <w:left w:val="none" w:sz="6" w:space="0" w:color="auto"/>
              <w:bottom w:val="none" w:sz="6" w:space="0" w:color="auto"/>
              <w:right w:val="none" w:sz="6" w:space="0" w:color="auto"/>
            </w:tcBorders>
            <w:shd w:val="clear" w:color="auto" w:fill="FBD4B4" w:themeFill="accent6" w:themeFillTint="66"/>
          </w:tcPr>
          <w:p w14:paraId="3DEBF7AF" w14:textId="77777777" w:rsidR="00056EF6" w:rsidRPr="00FE353F" w:rsidRDefault="00056EF6" w:rsidP="00C7365D">
            <w:pPr>
              <w:autoSpaceDE w:val="0"/>
              <w:autoSpaceDN w:val="0"/>
              <w:adjustRightInd w:val="0"/>
              <w:jc w:val="left"/>
              <w:rPr>
                <w:rFonts w:cs="Arial"/>
                <w:color w:val="000000"/>
                <w:sz w:val="18"/>
                <w:szCs w:val="18"/>
              </w:rPr>
            </w:pPr>
            <w:r w:rsidRPr="00FE353F">
              <w:rPr>
                <w:rFonts w:cs="Arial"/>
                <w:color w:val="000000"/>
                <w:sz w:val="18"/>
                <w:szCs w:val="18"/>
              </w:rPr>
              <w:t>Costi assunti da terzi CHF</w:t>
            </w:r>
          </w:p>
        </w:tc>
      </w:tr>
      <w:tr w:rsidR="00056EF6" w:rsidRPr="00FE353F" w14:paraId="0F78C03A" w14:textId="77777777" w:rsidTr="00C7365D">
        <w:trPr>
          <w:trHeight w:val="103"/>
        </w:trPr>
        <w:tc>
          <w:tcPr>
            <w:tcW w:w="3969" w:type="dxa"/>
            <w:tcBorders>
              <w:top w:val="none" w:sz="6" w:space="0" w:color="auto"/>
              <w:bottom w:val="none" w:sz="6" w:space="0" w:color="auto"/>
              <w:right w:val="none" w:sz="6" w:space="0" w:color="auto"/>
            </w:tcBorders>
          </w:tcPr>
          <w:p w14:paraId="608FD7E3"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 Infrastruttura ecologica (IE) </w:t>
            </w:r>
          </w:p>
        </w:tc>
        <w:tc>
          <w:tcPr>
            <w:tcW w:w="1441" w:type="dxa"/>
            <w:tcBorders>
              <w:top w:val="none" w:sz="6" w:space="0" w:color="auto"/>
              <w:left w:val="none" w:sz="6" w:space="0" w:color="auto"/>
              <w:bottom w:val="none" w:sz="6" w:space="0" w:color="auto"/>
              <w:right w:val="none" w:sz="6" w:space="0" w:color="auto"/>
            </w:tcBorders>
          </w:tcPr>
          <w:p w14:paraId="095A07B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220'000.- </w:t>
            </w:r>
          </w:p>
        </w:tc>
        <w:tc>
          <w:tcPr>
            <w:tcW w:w="1355" w:type="dxa"/>
            <w:tcBorders>
              <w:top w:val="none" w:sz="6" w:space="0" w:color="auto"/>
              <w:left w:val="none" w:sz="6" w:space="0" w:color="auto"/>
              <w:bottom w:val="none" w:sz="6" w:space="0" w:color="auto"/>
              <w:right w:val="none" w:sz="6" w:space="0" w:color="auto"/>
            </w:tcBorders>
          </w:tcPr>
          <w:p w14:paraId="5DE5DE2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75'000.- </w:t>
            </w:r>
          </w:p>
        </w:tc>
        <w:tc>
          <w:tcPr>
            <w:tcW w:w="1412" w:type="dxa"/>
            <w:tcBorders>
              <w:top w:val="none" w:sz="6" w:space="0" w:color="auto"/>
              <w:left w:val="none" w:sz="6" w:space="0" w:color="auto"/>
              <w:bottom w:val="none" w:sz="6" w:space="0" w:color="auto"/>
              <w:right w:val="none" w:sz="6" w:space="0" w:color="auto"/>
            </w:tcBorders>
          </w:tcPr>
          <w:p w14:paraId="56894C1F"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135'000.- </w:t>
            </w:r>
          </w:p>
        </w:tc>
        <w:tc>
          <w:tcPr>
            <w:tcW w:w="1417" w:type="dxa"/>
            <w:tcBorders>
              <w:top w:val="none" w:sz="6" w:space="0" w:color="auto"/>
              <w:left w:val="none" w:sz="6" w:space="0" w:color="auto"/>
              <w:bottom w:val="none" w:sz="6" w:space="0" w:color="auto"/>
            </w:tcBorders>
          </w:tcPr>
          <w:p w14:paraId="6C3A310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10'000.- </w:t>
            </w:r>
          </w:p>
        </w:tc>
      </w:tr>
      <w:tr w:rsidR="00056EF6" w:rsidRPr="00FE353F" w14:paraId="116899EB" w14:textId="77777777" w:rsidTr="00C7365D">
        <w:trPr>
          <w:trHeight w:val="356"/>
        </w:trPr>
        <w:tc>
          <w:tcPr>
            <w:tcW w:w="3969" w:type="dxa"/>
            <w:tcBorders>
              <w:top w:val="none" w:sz="6" w:space="0" w:color="auto"/>
              <w:bottom w:val="none" w:sz="6" w:space="0" w:color="auto"/>
              <w:right w:val="none" w:sz="6" w:space="0" w:color="auto"/>
            </w:tcBorders>
          </w:tcPr>
          <w:p w14:paraId="2673385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Studi per l'interconnessione di biotopi, habitat e popolazioni di specie prioritarie </w:t>
            </w:r>
          </w:p>
        </w:tc>
        <w:tc>
          <w:tcPr>
            <w:tcW w:w="1441" w:type="dxa"/>
            <w:tcBorders>
              <w:top w:val="none" w:sz="6" w:space="0" w:color="auto"/>
              <w:left w:val="none" w:sz="6" w:space="0" w:color="auto"/>
              <w:bottom w:val="none" w:sz="6" w:space="0" w:color="auto"/>
              <w:right w:val="none" w:sz="6" w:space="0" w:color="auto"/>
            </w:tcBorders>
          </w:tcPr>
          <w:p w14:paraId="2D44BE6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140'000.- </w:t>
            </w:r>
          </w:p>
        </w:tc>
        <w:tc>
          <w:tcPr>
            <w:tcW w:w="1355" w:type="dxa"/>
            <w:tcBorders>
              <w:top w:val="none" w:sz="6" w:space="0" w:color="auto"/>
              <w:left w:val="none" w:sz="6" w:space="0" w:color="auto"/>
              <w:bottom w:val="none" w:sz="6" w:space="0" w:color="auto"/>
              <w:right w:val="none" w:sz="6" w:space="0" w:color="auto"/>
            </w:tcBorders>
          </w:tcPr>
          <w:p w14:paraId="4148CDE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45'000.- </w:t>
            </w:r>
          </w:p>
        </w:tc>
        <w:tc>
          <w:tcPr>
            <w:tcW w:w="1412" w:type="dxa"/>
            <w:tcBorders>
              <w:top w:val="none" w:sz="6" w:space="0" w:color="auto"/>
              <w:left w:val="none" w:sz="6" w:space="0" w:color="auto"/>
              <w:bottom w:val="none" w:sz="6" w:space="0" w:color="auto"/>
              <w:right w:val="none" w:sz="6" w:space="0" w:color="auto"/>
            </w:tcBorders>
          </w:tcPr>
          <w:p w14:paraId="211107D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85'000.- </w:t>
            </w:r>
          </w:p>
        </w:tc>
        <w:tc>
          <w:tcPr>
            <w:tcW w:w="1417" w:type="dxa"/>
            <w:tcBorders>
              <w:top w:val="none" w:sz="6" w:space="0" w:color="auto"/>
              <w:left w:val="none" w:sz="6" w:space="0" w:color="auto"/>
              <w:bottom w:val="none" w:sz="6" w:space="0" w:color="auto"/>
            </w:tcBorders>
          </w:tcPr>
          <w:p w14:paraId="2567926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10'000.- </w:t>
            </w:r>
          </w:p>
        </w:tc>
      </w:tr>
      <w:tr w:rsidR="00056EF6" w:rsidRPr="00FE353F" w14:paraId="5D629B6B" w14:textId="77777777" w:rsidTr="00C7365D">
        <w:trPr>
          <w:trHeight w:val="229"/>
        </w:trPr>
        <w:tc>
          <w:tcPr>
            <w:tcW w:w="3969" w:type="dxa"/>
            <w:tcBorders>
              <w:top w:val="none" w:sz="6" w:space="0" w:color="auto"/>
              <w:bottom w:val="none" w:sz="6" w:space="0" w:color="auto"/>
              <w:right w:val="none" w:sz="6" w:space="0" w:color="auto"/>
            </w:tcBorders>
          </w:tcPr>
          <w:p w14:paraId="74E582B1"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Allestimento e messa in vigore decreti di protezione </w:t>
            </w:r>
          </w:p>
        </w:tc>
        <w:tc>
          <w:tcPr>
            <w:tcW w:w="1441" w:type="dxa"/>
            <w:tcBorders>
              <w:top w:val="none" w:sz="6" w:space="0" w:color="auto"/>
              <w:left w:val="none" w:sz="6" w:space="0" w:color="auto"/>
              <w:bottom w:val="none" w:sz="6" w:space="0" w:color="auto"/>
              <w:right w:val="none" w:sz="6" w:space="0" w:color="auto"/>
            </w:tcBorders>
          </w:tcPr>
          <w:p w14:paraId="23D3B497"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355" w:type="dxa"/>
            <w:tcBorders>
              <w:top w:val="none" w:sz="6" w:space="0" w:color="auto"/>
              <w:left w:val="none" w:sz="6" w:space="0" w:color="auto"/>
              <w:bottom w:val="none" w:sz="6" w:space="0" w:color="auto"/>
              <w:right w:val="none" w:sz="6" w:space="0" w:color="auto"/>
            </w:tcBorders>
          </w:tcPr>
          <w:p w14:paraId="0BC3DB1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412" w:type="dxa"/>
            <w:tcBorders>
              <w:top w:val="none" w:sz="6" w:space="0" w:color="auto"/>
              <w:left w:val="none" w:sz="6" w:space="0" w:color="auto"/>
              <w:bottom w:val="none" w:sz="6" w:space="0" w:color="auto"/>
              <w:right w:val="none" w:sz="6" w:space="0" w:color="auto"/>
            </w:tcBorders>
          </w:tcPr>
          <w:p w14:paraId="73B92A8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417" w:type="dxa"/>
            <w:tcBorders>
              <w:top w:val="none" w:sz="6" w:space="0" w:color="auto"/>
              <w:left w:val="none" w:sz="6" w:space="0" w:color="auto"/>
              <w:bottom w:val="none" w:sz="6" w:space="0" w:color="auto"/>
            </w:tcBorders>
          </w:tcPr>
          <w:p w14:paraId="21A1F5E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3772A339" w14:textId="77777777" w:rsidTr="00C7365D">
        <w:trPr>
          <w:trHeight w:val="356"/>
        </w:trPr>
        <w:tc>
          <w:tcPr>
            <w:tcW w:w="3969" w:type="dxa"/>
            <w:tcBorders>
              <w:top w:val="none" w:sz="6" w:space="0" w:color="auto"/>
              <w:bottom w:val="none" w:sz="6" w:space="0" w:color="auto"/>
              <w:right w:val="none" w:sz="6" w:space="0" w:color="auto"/>
            </w:tcBorders>
          </w:tcPr>
          <w:p w14:paraId="2AF13A2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Strategie per la promozione e la protezione di specie prioritarie </w:t>
            </w:r>
          </w:p>
        </w:tc>
        <w:tc>
          <w:tcPr>
            <w:tcW w:w="1441" w:type="dxa"/>
            <w:tcBorders>
              <w:top w:val="none" w:sz="6" w:space="0" w:color="auto"/>
              <w:left w:val="none" w:sz="6" w:space="0" w:color="auto"/>
              <w:bottom w:val="none" w:sz="6" w:space="0" w:color="auto"/>
              <w:right w:val="none" w:sz="6" w:space="0" w:color="auto"/>
            </w:tcBorders>
          </w:tcPr>
          <w:p w14:paraId="0351B62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50'000.- </w:t>
            </w:r>
          </w:p>
        </w:tc>
        <w:tc>
          <w:tcPr>
            <w:tcW w:w="1355" w:type="dxa"/>
            <w:tcBorders>
              <w:top w:val="none" w:sz="6" w:space="0" w:color="auto"/>
              <w:left w:val="none" w:sz="6" w:space="0" w:color="auto"/>
              <w:bottom w:val="none" w:sz="6" w:space="0" w:color="auto"/>
              <w:right w:val="none" w:sz="6" w:space="0" w:color="auto"/>
            </w:tcBorders>
          </w:tcPr>
          <w:p w14:paraId="70C6B06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 </w:t>
            </w:r>
          </w:p>
        </w:tc>
        <w:tc>
          <w:tcPr>
            <w:tcW w:w="1412" w:type="dxa"/>
            <w:tcBorders>
              <w:top w:val="none" w:sz="6" w:space="0" w:color="auto"/>
              <w:left w:val="none" w:sz="6" w:space="0" w:color="auto"/>
              <w:bottom w:val="none" w:sz="6" w:space="0" w:color="auto"/>
              <w:right w:val="none" w:sz="6" w:space="0" w:color="auto"/>
            </w:tcBorders>
          </w:tcPr>
          <w:p w14:paraId="116ACB13"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35'000.- </w:t>
            </w:r>
          </w:p>
        </w:tc>
        <w:tc>
          <w:tcPr>
            <w:tcW w:w="1417" w:type="dxa"/>
            <w:tcBorders>
              <w:top w:val="none" w:sz="6" w:space="0" w:color="auto"/>
              <w:left w:val="none" w:sz="6" w:space="0" w:color="auto"/>
              <w:bottom w:val="none" w:sz="6" w:space="0" w:color="auto"/>
            </w:tcBorders>
          </w:tcPr>
          <w:p w14:paraId="48FD45F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1E1768B8" w14:textId="77777777" w:rsidTr="00C7365D">
        <w:trPr>
          <w:trHeight w:val="103"/>
        </w:trPr>
        <w:tc>
          <w:tcPr>
            <w:tcW w:w="3969" w:type="dxa"/>
            <w:tcBorders>
              <w:top w:val="none" w:sz="6" w:space="0" w:color="auto"/>
              <w:bottom w:val="none" w:sz="6" w:space="0" w:color="auto"/>
              <w:right w:val="none" w:sz="6" w:space="0" w:color="auto"/>
            </w:tcBorders>
          </w:tcPr>
          <w:p w14:paraId="43EC90E8"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Piani d'azione specifici </w:t>
            </w:r>
          </w:p>
        </w:tc>
        <w:tc>
          <w:tcPr>
            <w:tcW w:w="1441" w:type="dxa"/>
            <w:tcBorders>
              <w:top w:val="none" w:sz="6" w:space="0" w:color="auto"/>
              <w:left w:val="none" w:sz="6" w:space="0" w:color="auto"/>
              <w:bottom w:val="none" w:sz="6" w:space="0" w:color="auto"/>
              <w:right w:val="none" w:sz="6" w:space="0" w:color="auto"/>
            </w:tcBorders>
          </w:tcPr>
          <w:p w14:paraId="657FEDE5"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30'000.- </w:t>
            </w:r>
          </w:p>
        </w:tc>
        <w:tc>
          <w:tcPr>
            <w:tcW w:w="1355" w:type="dxa"/>
            <w:tcBorders>
              <w:top w:val="none" w:sz="6" w:space="0" w:color="auto"/>
              <w:left w:val="none" w:sz="6" w:space="0" w:color="auto"/>
              <w:bottom w:val="none" w:sz="6" w:space="0" w:color="auto"/>
              <w:right w:val="none" w:sz="6" w:space="0" w:color="auto"/>
            </w:tcBorders>
          </w:tcPr>
          <w:p w14:paraId="77D64D5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 </w:t>
            </w:r>
          </w:p>
        </w:tc>
        <w:tc>
          <w:tcPr>
            <w:tcW w:w="1412" w:type="dxa"/>
            <w:tcBorders>
              <w:top w:val="none" w:sz="6" w:space="0" w:color="auto"/>
              <w:left w:val="none" w:sz="6" w:space="0" w:color="auto"/>
              <w:bottom w:val="none" w:sz="6" w:space="0" w:color="auto"/>
              <w:right w:val="none" w:sz="6" w:space="0" w:color="auto"/>
            </w:tcBorders>
          </w:tcPr>
          <w:p w14:paraId="7361288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 </w:t>
            </w:r>
          </w:p>
        </w:tc>
        <w:tc>
          <w:tcPr>
            <w:tcW w:w="1417" w:type="dxa"/>
            <w:tcBorders>
              <w:top w:val="none" w:sz="6" w:space="0" w:color="auto"/>
              <w:left w:val="none" w:sz="6" w:space="0" w:color="auto"/>
              <w:bottom w:val="none" w:sz="6" w:space="0" w:color="auto"/>
            </w:tcBorders>
          </w:tcPr>
          <w:p w14:paraId="715D29BF"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1AFCB0E0" w14:textId="77777777" w:rsidTr="00C7365D">
        <w:trPr>
          <w:trHeight w:val="483"/>
        </w:trPr>
        <w:tc>
          <w:tcPr>
            <w:tcW w:w="3969" w:type="dxa"/>
            <w:tcBorders>
              <w:top w:val="none" w:sz="6" w:space="0" w:color="auto"/>
              <w:bottom w:val="none" w:sz="6" w:space="0" w:color="auto"/>
              <w:right w:val="none" w:sz="6" w:space="0" w:color="auto"/>
            </w:tcBorders>
          </w:tcPr>
          <w:p w14:paraId="031916B7"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Piano cantonale per la promozione di specie e habitat e pianificazione dell’interconnessione </w:t>
            </w:r>
          </w:p>
        </w:tc>
        <w:tc>
          <w:tcPr>
            <w:tcW w:w="1441" w:type="dxa"/>
            <w:tcBorders>
              <w:top w:val="none" w:sz="6" w:space="0" w:color="auto"/>
              <w:left w:val="none" w:sz="6" w:space="0" w:color="auto"/>
              <w:bottom w:val="none" w:sz="6" w:space="0" w:color="auto"/>
              <w:right w:val="none" w:sz="6" w:space="0" w:color="auto"/>
            </w:tcBorders>
          </w:tcPr>
          <w:p w14:paraId="748922F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150'000.- </w:t>
            </w:r>
          </w:p>
        </w:tc>
        <w:tc>
          <w:tcPr>
            <w:tcW w:w="1355" w:type="dxa"/>
            <w:tcBorders>
              <w:top w:val="none" w:sz="6" w:space="0" w:color="auto"/>
              <w:left w:val="none" w:sz="6" w:space="0" w:color="auto"/>
              <w:bottom w:val="none" w:sz="6" w:space="0" w:color="auto"/>
              <w:right w:val="none" w:sz="6" w:space="0" w:color="auto"/>
            </w:tcBorders>
          </w:tcPr>
          <w:p w14:paraId="4C0FA903"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90'000.- </w:t>
            </w:r>
          </w:p>
        </w:tc>
        <w:tc>
          <w:tcPr>
            <w:tcW w:w="1412" w:type="dxa"/>
            <w:tcBorders>
              <w:top w:val="none" w:sz="6" w:space="0" w:color="auto"/>
              <w:left w:val="none" w:sz="6" w:space="0" w:color="auto"/>
              <w:bottom w:val="none" w:sz="6" w:space="0" w:color="auto"/>
              <w:right w:val="none" w:sz="6" w:space="0" w:color="auto"/>
            </w:tcBorders>
          </w:tcPr>
          <w:p w14:paraId="0FD3C0EB"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60'000.- </w:t>
            </w:r>
          </w:p>
        </w:tc>
        <w:tc>
          <w:tcPr>
            <w:tcW w:w="1417" w:type="dxa"/>
            <w:tcBorders>
              <w:top w:val="none" w:sz="6" w:space="0" w:color="auto"/>
              <w:left w:val="none" w:sz="6" w:space="0" w:color="auto"/>
              <w:bottom w:val="none" w:sz="6" w:space="0" w:color="auto"/>
            </w:tcBorders>
          </w:tcPr>
          <w:p w14:paraId="499CAF4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2832BCEA" w14:textId="77777777" w:rsidTr="00C7365D">
        <w:trPr>
          <w:trHeight w:val="230"/>
        </w:trPr>
        <w:tc>
          <w:tcPr>
            <w:tcW w:w="3969" w:type="dxa"/>
            <w:tcBorders>
              <w:top w:val="none" w:sz="6" w:space="0" w:color="auto"/>
              <w:bottom w:val="none" w:sz="6" w:space="0" w:color="auto"/>
              <w:right w:val="none" w:sz="6" w:space="0" w:color="auto"/>
            </w:tcBorders>
          </w:tcPr>
          <w:p w14:paraId="6B1A4DC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2) Valorizzazione e conservazione </w:t>
            </w:r>
          </w:p>
        </w:tc>
        <w:tc>
          <w:tcPr>
            <w:tcW w:w="1441" w:type="dxa"/>
            <w:tcBorders>
              <w:top w:val="none" w:sz="6" w:space="0" w:color="auto"/>
              <w:left w:val="none" w:sz="6" w:space="0" w:color="auto"/>
              <w:bottom w:val="none" w:sz="6" w:space="0" w:color="auto"/>
              <w:right w:val="none" w:sz="6" w:space="0" w:color="auto"/>
            </w:tcBorders>
          </w:tcPr>
          <w:p w14:paraId="6B2795C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3'720'000.- </w:t>
            </w:r>
          </w:p>
        </w:tc>
        <w:tc>
          <w:tcPr>
            <w:tcW w:w="1355" w:type="dxa"/>
            <w:tcBorders>
              <w:top w:val="none" w:sz="6" w:space="0" w:color="auto"/>
              <w:left w:val="none" w:sz="6" w:space="0" w:color="auto"/>
              <w:bottom w:val="none" w:sz="6" w:space="0" w:color="auto"/>
              <w:right w:val="none" w:sz="6" w:space="0" w:color="auto"/>
            </w:tcBorders>
          </w:tcPr>
          <w:p w14:paraId="68AABBB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1'610'000.- </w:t>
            </w:r>
          </w:p>
        </w:tc>
        <w:tc>
          <w:tcPr>
            <w:tcW w:w="1412" w:type="dxa"/>
            <w:tcBorders>
              <w:top w:val="none" w:sz="6" w:space="0" w:color="auto"/>
              <w:left w:val="none" w:sz="6" w:space="0" w:color="auto"/>
              <w:bottom w:val="none" w:sz="6" w:space="0" w:color="auto"/>
              <w:right w:val="none" w:sz="6" w:space="0" w:color="auto"/>
            </w:tcBorders>
          </w:tcPr>
          <w:p w14:paraId="78EFC75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1'690'000.- </w:t>
            </w:r>
          </w:p>
        </w:tc>
        <w:tc>
          <w:tcPr>
            <w:tcW w:w="1417" w:type="dxa"/>
            <w:tcBorders>
              <w:top w:val="none" w:sz="6" w:space="0" w:color="auto"/>
              <w:left w:val="none" w:sz="6" w:space="0" w:color="auto"/>
              <w:bottom w:val="none" w:sz="6" w:space="0" w:color="auto"/>
            </w:tcBorders>
          </w:tcPr>
          <w:p w14:paraId="21BE9A50"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420'000.- </w:t>
            </w:r>
          </w:p>
        </w:tc>
      </w:tr>
      <w:tr w:rsidR="00056EF6" w:rsidRPr="00FE353F" w14:paraId="630F3E3D" w14:textId="77777777" w:rsidTr="00C7365D">
        <w:trPr>
          <w:trHeight w:val="230"/>
        </w:trPr>
        <w:tc>
          <w:tcPr>
            <w:tcW w:w="3969" w:type="dxa"/>
            <w:tcBorders>
              <w:top w:val="none" w:sz="6" w:space="0" w:color="auto"/>
              <w:bottom w:val="none" w:sz="6" w:space="0" w:color="auto"/>
              <w:right w:val="none" w:sz="6" w:space="0" w:color="auto"/>
            </w:tcBorders>
          </w:tcPr>
          <w:p w14:paraId="3D862C48"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Misure di risanamento e valorizzazione biotopi </w:t>
            </w:r>
          </w:p>
        </w:tc>
        <w:tc>
          <w:tcPr>
            <w:tcW w:w="1441" w:type="dxa"/>
            <w:tcBorders>
              <w:top w:val="none" w:sz="6" w:space="0" w:color="auto"/>
              <w:left w:val="none" w:sz="6" w:space="0" w:color="auto"/>
              <w:bottom w:val="none" w:sz="6" w:space="0" w:color="auto"/>
              <w:right w:val="none" w:sz="6" w:space="0" w:color="auto"/>
            </w:tcBorders>
          </w:tcPr>
          <w:p w14:paraId="5F5DA6B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1’500'000.- </w:t>
            </w:r>
          </w:p>
        </w:tc>
        <w:tc>
          <w:tcPr>
            <w:tcW w:w="1355" w:type="dxa"/>
            <w:tcBorders>
              <w:top w:val="none" w:sz="6" w:space="0" w:color="auto"/>
              <w:left w:val="none" w:sz="6" w:space="0" w:color="auto"/>
              <w:bottom w:val="none" w:sz="6" w:space="0" w:color="auto"/>
              <w:right w:val="none" w:sz="6" w:space="0" w:color="auto"/>
            </w:tcBorders>
          </w:tcPr>
          <w:p w14:paraId="26D27FA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680'000.- </w:t>
            </w:r>
          </w:p>
        </w:tc>
        <w:tc>
          <w:tcPr>
            <w:tcW w:w="1412" w:type="dxa"/>
            <w:tcBorders>
              <w:top w:val="none" w:sz="6" w:space="0" w:color="auto"/>
              <w:left w:val="none" w:sz="6" w:space="0" w:color="auto"/>
              <w:bottom w:val="none" w:sz="6" w:space="0" w:color="auto"/>
              <w:right w:val="none" w:sz="6" w:space="0" w:color="auto"/>
            </w:tcBorders>
          </w:tcPr>
          <w:p w14:paraId="7478A93F"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720'000.- </w:t>
            </w:r>
          </w:p>
        </w:tc>
        <w:tc>
          <w:tcPr>
            <w:tcW w:w="1417" w:type="dxa"/>
            <w:tcBorders>
              <w:top w:val="none" w:sz="6" w:space="0" w:color="auto"/>
              <w:left w:val="none" w:sz="6" w:space="0" w:color="auto"/>
              <w:bottom w:val="none" w:sz="6" w:space="0" w:color="auto"/>
            </w:tcBorders>
          </w:tcPr>
          <w:p w14:paraId="5401C5D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100'000.- </w:t>
            </w:r>
          </w:p>
        </w:tc>
      </w:tr>
      <w:tr w:rsidR="00056EF6" w:rsidRPr="00FE353F" w14:paraId="62FA3A95" w14:textId="77777777" w:rsidTr="00C7365D">
        <w:trPr>
          <w:trHeight w:val="356"/>
        </w:trPr>
        <w:tc>
          <w:tcPr>
            <w:tcW w:w="3969" w:type="dxa"/>
            <w:tcBorders>
              <w:top w:val="none" w:sz="6" w:space="0" w:color="auto"/>
              <w:bottom w:val="none" w:sz="6" w:space="0" w:color="auto"/>
              <w:right w:val="none" w:sz="6" w:space="0" w:color="auto"/>
            </w:tcBorders>
          </w:tcPr>
          <w:p w14:paraId="5AD39D6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Misure di risanamento e valorizzazione specie prioritarie e loro habitat </w:t>
            </w:r>
          </w:p>
        </w:tc>
        <w:tc>
          <w:tcPr>
            <w:tcW w:w="1441" w:type="dxa"/>
            <w:tcBorders>
              <w:top w:val="none" w:sz="6" w:space="0" w:color="auto"/>
              <w:left w:val="none" w:sz="6" w:space="0" w:color="auto"/>
              <w:bottom w:val="none" w:sz="6" w:space="0" w:color="auto"/>
              <w:right w:val="none" w:sz="6" w:space="0" w:color="auto"/>
            </w:tcBorders>
          </w:tcPr>
          <w:p w14:paraId="034A39D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720'000.- </w:t>
            </w:r>
          </w:p>
        </w:tc>
        <w:tc>
          <w:tcPr>
            <w:tcW w:w="1355" w:type="dxa"/>
            <w:tcBorders>
              <w:top w:val="none" w:sz="6" w:space="0" w:color="auto"/>
              <w:left w:val="none" w:sz="6" w:space="0" w:color="auto"/>
              <w:bottom w:val="none" w:sz="6" w:space="0" w:color="auto"/>
              <w:right w:val="none" w:sz="6" w:space="0" w:color="auto"/>
            </w:tcBorders>
          </w:tcPr>
          <w:p w14:paraId="519969CF"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230'000.- </w:t>
            </w:r>
          </w:p>
        </w:tc>
        <w:tc>
          <w:tcPr>
            <w:tcW w:w="1412" w:type="dxa"/>
            <w:tcBorders>
              <w:top w:val="none" w:sz="6" w:space="0" w:color="auto"/>
              <w:left w:val="none" w:sz="6" w:space="0" w:color="auto"/>
              <w:bottom w:val="none" w:sz="6" w:space="0" w:color="auto"/>
              <w:right w:val="none" w:sz="6" w:space="0" w:color="auto"/>
            </w:tcBorders>
          </w:tcPr>
          <w:p w14:paraId="057D0458"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270'000.- </w:t>
            </w:r>
          </w:p>
        </w:tc>
        <w:tc>
          <w:tcPr>
            <w:tcW w:w="1417" w:type="dxa"/>
            <w:tcBorders>
              <w:top w:val="none" w:sz="6" w:space="0" w:color="auto"/>
              <w:left w:val="none" w:sz="6" w:space="0" w:color="auto"/>
              <w:bottom w:val="none" w:sz="6" w:space="0" w:color="auto"/>
            </w:tcBorders>
          </w:tcPr>
          <w:p w14:paraId="281C5BCB"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220'000.- </w:t>
            </w:r>
          </w:p>
        </w:tc>
      </w:tr>
      <w:tr w:rsidR="00056EF6" w:rsidRPr="00FE353F" w14:paraId="4E131F30" w14:textId="77777777" w:rsidTr="00C7365D">
        <w:trPr>
          <w:trHeight w:val="355"/>
        </w:trPr>
        <w:tc>
          <w:tcPr>
            <w:tcW w:w="3969" w:type="dxa"/>
            <w:tcBorders>
              <w:top w:val="none" w:sz="6" w:space="0" w:color="auto"/>
              <w:bottom w:val="none" w:sz="6" w:space="0" w:color="auto"/>
              <w:right w:val="none" w:sz="6" w:space="0" w:color="auto"/>
            </w:tcBorders>
          </w:tcPr>
          <w:p w14:paraId="34A65D0B"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Misure di lotta specifica contro specie alloctone invasive in biotopi </w:t>
            </w:r>
          </w:p>
        </w:tc>
        <w:tc>
          <w:tcPr>
            <w:tcW w:w="1441" w:type="dxa"/>
            <w:tcBorders>
              <w:top w:val="none" w:sz="6" w:space="0" w:color="auto"/>
              <w:left w:val="none" w:sz="6" w:space="0" w:color="auto"/>
              <w:bottom w:val="none" w:sz="6" w:space="0" w:color="auto"/>
              <w:right w:val="none" w:sz="6" w:space="0" w:color="auto"/>
            </w:tcBorders>
          </w:tcPr>
          <w:p w14:paraId="6D4C2C9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1'500'000.- </w:t>
            </w:r>
          </w:p>
        </w:tc>
        <w:tc>
          <w:tcPr>
            <w:tcW w:w="1355" w:type="dxa"/>
            <w:tcBorders>
              <w:top w:val="none" w:sz="6" w:space="0" w:color="auto"/>
              <w:left w:val="none" w:sz="6" w:space="0" w:color="auto"/>
              <w:bottom w:val="none" w:sz="6" w:space="0" w:color="auto"/>
              <w:right w:val="none" w:sz="6" w:space="0" w:color="auto"/>
            </w:tcBorders>
          </w:tcPr>
          <w:p w14:paraId="1E575C2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700'000.- </w:t>
            </w:r>
          </w:p>
        </w:tc>
        <w:tc>
          <w:tcPr>
            <w:tcW w:w="1412" w:type="dxa"/>
            <w:tcBorders>
              <w:top w:val="none" w:sz="6" w:space="0" w:color="auto"/>
              <w:left w:val="none" w:sz="6" w:space="0" w:color="auto"/>
              <w:bottom w:val="none" w:sz="6" w:space="0" w:color="auto"/>
              <w:right w:val="none" w:sz="6" w:space="0" w:color="auto"/>
            </w:tcBorders>
          </w:tcPr>
          <w:p w14:paraId="1877CA3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700'000.- </w:t>
            </w:r>
          </w:p>
        </w:tc>
        <w:tc>
          <w:tcPr>
            <w:tcW w:w="1417" w:type="dxa"/>
            <w:tcBorders>
              <w:top w:val="none" w:sz="6" w:space="0" w:color="auto"/>
              <w:left w:val="none" w:sz="6" w:space="0" w:color="auto"/>
              <w:bottom w:val="none" w:sz="6" w:space="0" w:color="auto"/>
            </w:tcBorders>
          </w:tcPr>
          <w:p w14:paraId="46949B35"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100'000.- </w:t>
            </w:r>
          </w:p>
        </w:tc>
      </w:tr>
      <w:tr w:rsidR="00056EF6" w:rsidRPr="00FE353F" w14:paraId="30DF1F18" w14:textId="77777777" w:rsidTr="00C7365D">
        <w:trPr>
          <w:trHeight w:val="103"/>
        </w:trPr>
        <w:tc>
          <w:tcPr>
            <w:tcW w:w="3969" w:type="dxa"/>
            <w:tcBorders>
              <w:top w:val="none" w:sz="6" w:space="0" w:color="auto"/>
              <w:bottom w:val="none" w:sz="6" w:space="0" w:color="auto"/>
              <w:right w:val="none" w:sz="6" w:space="0" w:color="auto"/>
            </w:tcBorders>
          </w:tcPr>
          <w:p w14:paraId="4EA0539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3) Controllo </w:t>
            </w:r>
          </w:p>
        </w:tc>
        <w:tc>
          <w:tcPr>
            <w:tcW w:w="1441" w:type="dxa"/>
            <w:tcBorders>
              <w:top w:val="none" w:sz="6" w:space="0" w:color="auto"/>
              <w:left w:val="none" w:sz="6" w:space="0" w:color="auto"/>
              <w:bottom w:val="none" w:sz="6" w:space="0" w:color="auto"/>
              <w:right w:val="none" w:sz="6" w:space="0" w:color="auto"/>
            </w:tcBorders>
          </w:tcPr>
          <w:p w14:paraId="77B3E248"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160'000.- </w:t>
            </w:r>
          </w:p>
        </w:tc>
        <w:tc>
          <w:tcPr>
            <w:tcW w:w="1355" w:type="dxa"/>
            <w:tcBorders>
              <w:top w:val="none" w:sz="6" w:space="0" w:color="auto"/>
              <w:left w:val="none" w:sz="6" w:space="0" w:color="auto"/>
              <w:bottom w:val="none" w:sz="6" w:space="0" w:color="auto"/>
              <w:right w:val="none" w:sz="6" w:space="0" w:color="auto"/>
            </w:tcBorders>
          </w:tcPr>
          <w:p w14:paraId="4AFCCBDB"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50'000.- </w:t>
            </w:r>
          </w:p>
        </w:tc>
        <w:tc>
          <w:tcPr>
            <w:tcW w:w="1412" w:type="dxa"/>
            <w:tcBorders>
              <w:top w:val="none" w:sz="6" w:space="0" w:color="auto"/>
              <w:left w:val="none" w:sz="6" w:space="0" w:color="auto"/>
              <w:bottom w:val="none" w:sz="6" w:space="0" w:color="auto"/>
              <w:right w:val="none" w:sz="6" w:space="0" w:color="auto"/>
            </w:tcBorders>
          </w:tcPr>
          <w:p w14:paraId="5F25796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110'000.- </w:t>
            </w:r>
          </w:p>
        </w:tc>
        <w:tc>
          <w:tcPr>
            <w:tcW w:w="1417" w:type="dxa"/>
            <w:tcBorders>
              <w:top w:val="none" w:sz="6" w:space="0" w:color="auto"/>
              <w:left w:val="none" w:sz="6" w:space="0" w:color="auto"/>
              <w:bottom w:val="none" w:sz="6" w:space="0" w:color="auto"/>
            </w:tcBorders>
          </w:tcPr>
          <w:p w14:paraId="3BAE82D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 </w:t>
            </w:r>
          </w:p>
        </w:tc>
      </w:tr>
      <w:tr w:rsidR="00056EF6" w:rsidRPr="00FE353F" w14:paraId="39AE9658" w14:textId="77777777" w:rsidTr="00C7365D">
        <w:trPr>
          <w:trHeight w:val="230"/>
        </w:trPr>
        <w:tc>
          <w:tcPr>
            <w:tcW w:w="3969" w:type="dxa"/>
            <w:tcBorders>
              <w:top w:val="none" w:sz="6" w:space="0" w:color="auto"/>
              <w:bottom w:val="none" w:sz="6" w:space="0" w:color="auto"/>
              <w:right w:val="none" w:sz="6" w:space="0" w:color="auto"/>
            </w:tcBorders>
          </w:tcPr>
          <w:p w14:paraId="7AB8A824"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Aggiornamento inventari cantonali </w:t>
            </w:r>
          </w:p>
        </w:tc>
        <w:tc>
          <w:tcPr>
            <w:tcW w:w="1441" w:type="dxa"/>
            <w:tcBorders>
              <w:top w:val="none" w:sz="6" w:space="0" w:color="auto"/>
              <w:left w:val="none" w:sz="6" w:space="0" w:color="auto"/>
              <w:bottom w:val="none" w:sz="6" w:space="0" w:color="auto"/>
              <w:right w:val="none" w:sz="6" w:space="0" w:color="auto"/>
            </w:tcBorders>
          </w:tcPr>
          <w:p w14:paraId="191777C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355" w:type="dxa"/>
            <w:tcBorders>
              <w:top w:val="none" w:sz="6" w:space="0" w:color="auto"/>
              <w:left w:val="none" w:sz="6" w:space="0" w:color="auto"/>
              <w:bottom w:val="none" w:sz="6" w:space="0" w:color="auto"/>
              <w:right w:val="none" w:sz="6" w:space="0" w:color="auto"/>
            </w:tcBorders>
          </w:tcPr>
          <w:p w14:paraId="345AA2C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412" w:type="dxa"/>
            <w:tcBorders>
              <w:top w:val="none" w:sz="6" w:space="0" w:color="auto"/>
              <w:left w:val="none" w:sz="6" w:space="0" w:color="auto"/>
              <w:bottom w:val="none" w:sz="6" w:space="0" w:color="auto"/>
              <w:right w:val="none" w:sz="6" w:space="0" w:color="auto"/>
            </w:tcBorders>
          </w:tcPr>
          <w:p w14:paraId="14244AF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c>
          <w:tcPr>
            <w:tcW w:w="1417" w:type="dxa"/>
            <w:tcBorders>
              <w:top w:val="none" w:sz="6" w:space="0" w:color="auto"/>
              <w:left w:val="none" w:sz="6" w:space="0" w:color="auto"/>
              <w:bottom w:val="none" w:sz="6" w:space="0" w:color="auto"/>
            </w:tcBorders>
          </w:tcPr>
          <w:p w14:paraId="4F5CE44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59438F1B" w14:textId="77777777" w:rsidTr="00C7365D">
        <w:trPr>
          <w:trHeight w:val="103"/>
        </w:trPr>
        <w:tc>
          <w:tcPr>
            <w:tcW w:w="3969" w:type="dxa"/>
            <w:tcBorders>
              <w:top w:val="none" w:sz="6" w:space="0" w:color="auto"/>
              <w:bottom w:val="none" w:sz="6" w:space="0" w:color="auto"/>
              <w:right w:val="none" w:sz="6" w:space="0" w:color="auto"/>
            </w:tcBorders>
          </w:tcPr>
          <w:p w14:paraId="79CA6EE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Monitoraggio </w:t>
            </w:r>
          </w:p>
        </w:tc>
        <w:tc>
          <w:tcPr>
            <w:tcW w:w="1441" w:type="dxa"/>
            <w:tcBorders>
              <w:top w:val="none" w:sz="6" w:space="0" w:color="auto"/>
              <w:left w:val="none" w:sz="6" w:space="0" w:color="auto"/>
              <w:bottom w:val="none" w:sz="6" w:space="0" w:color="auto"/>
              <w:right w:val="none" w:sz="6" w:space="0" w:color="auto"/>
            </w:tcBorders>
          </w:tcPr>
          <w:p w14:paraId="660E8CCE"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160'000.- </w:t>
            </w:r>
          </w:p>
        </w:tc>
        <w:tc>
          <w:tcPr>
            <w:tcW w:w="1355" w:type="dxa"/>
            <w:tcBorders>
              <w:top w:val="none" w:sz="6" w:space="0" w:color="auto"/>
              <w:left w:val="none" w:sz="6" w:space="0" w:color="auto"/>
              <w:bottom w:val="none" w:sz="6" w:space="0" w:color="auto"/>
              <w:right w:val="none" w:sz="6" w:space="0" w:color="auto"/>
            </w:tcBorders>
          </w:tcPr>
          <w:p w14:paraId="573CADD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50'000.- </w:t>
            </w:r>
          </w:p>
        </w:tc>
        <w:tc>
          <w:tcPr>
            <w:tcW w:w="1412" w:type="dxa"/>
            <w:tcBorders>
              <w:top w:val="none" w:sz="6" w:space="0" w:color="auto"/>
              <w:left w:val="none" w:sz="6" w:space="0" w:color="auto"/>
              <w:bottom w:val="none" w:sz="6" w:space="0" w:color="auto"/>
              <w:right w:val="none" w:sz="6" w:space="0" w:color="auto"/>
            </w:tcBorders>
          </w:tcPr>
          <w:p w14:paraId="4DE65711"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110'000.- </w:t>
            </w:r>
          </w:p>
        </w:tc>
        <w:tc>
          <w:tcPr>
            <w:tcW w:w="1417" w:type="dxa"/>
            <w:tcBorders>
              <w:top w:val="none" w:sz="6" w:space="0" w:color="auto"/>
              <w:left w:val="none" w:sz="6" w:space="0" w:color="auto"/>
              <w:bottom w:val="none" w:sz="6" w:space="0" w:color="auto"/>
            </w:tcBorders>
          </w:tcPr>
          <w:p w14:paraId="18A6FCF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 </w:t>
            </w:r>
          </w:p>
        </w:tc>
      </w:tr>
      <w:tr w:rsidR="00056EF6" w:rsidRPr="00FE353F" w14:paraId="39A504E3" w14:textId="77777777" w:rsidTr="00C7365D">
        <w:trPr>
          <w:trHeight w:val="103"/>
        </w:trPr>
        <w:tc>
          <w:tcPr>
            <w:tcW w:w="3969" w:type="dxa"/>
            <w:tcBorders>
              <w:top w:val="none" w:sz="6" w:space="0" w:color="auto"/>
              <w:bottom w:val="none" w:sz="6" w:space="0" w:color="auto"/>
              <w:right w:val="none" w:sz="6" w:space="0" w:color="auto"/>
            </w:tcBorders>
          </w:tcPr>
          <w:p w14:paraId="0FD5F6E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4) Informazione </w:t>
            </w:r>
          </w:p>
        </w:tc>
        <w:tc>
          <w:tcPr>
            <w:tcW w:w="1441" w:type="dxa"/>
            <w:tcBorders>
              <w:top w:val="none" w:sz="6" w:space="0" w:color="auto"/>
              <w:left w:val="none" w:sz="6" w:space="0" w:color="auto"/>
              <w:bottom w:val="none" w:sz="6" w:space="0" w:color="auto"/>
              <w:right w:val="none" w:sz="6" w:space="0" w:color="auto"/>
            </w:tcBorders>
          </w:tcPr>
          <w:p w14:paraId="1E6E75BB"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155'000.- </w:t>
            </w:r>
          </w:p>
        </w:tc>
        <w:tc>
          <w:tcPr>
            <w:tcW w:w="1355" w:type="dxa"/>
            <w:tcBorders>
              <w:top w:val="none" w:sz="6" w:space="0" w:color="auto"/>
              <w:left w:val="none" w:sz="6" w:space="0" w:color="auto"/>
              <w:bottom w:val="none" w:sz="6" w:space="0" w:color="auto"/>
              <w:right w:val="none" w:sz="6" w:space="0" w:color="auto"/>
            </w:tcBorders>
          </w:tcPr>
          <w:p w14:paraId="0EA7510A"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65'000.- </w:t>
            </w:r>
          </w:p>
        </w:tc>
        <w:tc>
          <w:tcPr>
            <w:tcW w:w="1412" w:type="dxa"/>
            <w:tcBorders>
              <w:top w:val="none" w:sz="6" w:space="0" w:color="auto"/>
              <w:left w:val="none" w:sz="6" w:space="0" w:color="auto"/>
              <w:bottom w:val="none" w:sz="6" w:space="0" w:color="auto"/>
              <w:right w:val="none" w:sz="6" w:space="0" w:color="auto"/>
            </w:tcBorders>
          </w:tcPr>
          <w:p w14:paraId="43DCB8C3"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65'000.- </w:t>
            </w:r>
          </w:p>
        </w:tc>
        <w:tc>
          <w:tcPr>
            <w:tcW w:w="1417" w:type="dxa"/>
            <w:tcBorders>
              <w:top w:val="none" w:sz="6" w:space="0" w:color="auto"/>
              <w:left w:val="none" w:sz="6" w:space="0" w:color="auto"/>
              <w:bottom w:val="none" w:sz="6" w:space="0" w:color="auto"/>
            </w:tcBorders>
          </w:tcPr>
          <w:p w14:paraId="05A8D94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25'000.- </w:t>
            </w:r>
          </w:p>
        </w:tc>
      </w:tr>
      <w:tr w:rsidR="00056EF6" w:rsidRPr="00FE353F" w14:paraId="2374E1D1" w14:textId="77777777" w:rsidTr="00C7365D">
        <w:trPr>
          <w:trHeight w:val="230"/>
        </w:trPr>
        <w:tc>
          <w:tcPr>
            <w:tcW w:w="3969" w:type="dxa"/>
            <w:tcBorders>
              <w:top w:val="none" w:sz="6" w:space="0" w:color="auto"/>
              <w:bottom w:val="none" w:sz="6" w:space="0" w:color="auto"/>
              <w:right w:val="none" w:sz="6" w:space="0" w:color="auto"/>
            </w:tcBorders>
          </w:tcPr>
          <w:p w14:paraId="0AB94ED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Sorveglianza, divulgazione e sensibilizzazione </w:t>
            </w:r>
          </w:p>
        </w:tc>
        <w:tc>
          <w:tcPr>
            <w:tcW w:w="1441" w:type="dxa"/>
            <w:tcBorders>
              <w:top w:val="none" w:sz="6" w:space="0" w:color="auto"/>
              <w:left w:val="none" w:sz="6" w:space="0" w:color="auto"/>
              <w:bottom w:val="none" w:sz="6" w:space="0" w:color="auto"/>
              <w:right w:val="none" w:sz="6" w:space="0" w:color="auto"/>
            </w:tcBorders>
          </w:tcPr>
          <w:p w14:paraId="021311F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140'000.- </w:t>
            </w:r>
          </w:p>
        </w:tc>
        <w:tc>
          <w:tcPr>
            <w:tcW w:w="1355" w:type="dxa"/>
            <w:tcBorders>
              <w:top w:val="none" w:sz="6" w:space="0" w:color="auto"/>
              <w:left w:val="none" w:sz="6" w:space="0" w:color="auto"/>
              <w:bottom w:val="none" w:sz="6" w:space="0" w:color="auto"/>
              <w:right w:val="none" w:sz="6" w:space="0" w:color="auto"/>
            </w:tcBorders>
          </w:tcPr>
          <w:p w14:paraId="30A4BB26"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60'000.- </w:t>
            </w:r>
          </w:p>
        </w:tc>
        <w:tc>
          <w:tcPr>
            <w:tcW w:w="1412" w:type="dxa"/>
            <w:tcBorders>
              <w:top w:val="none" w:sz="6" w:space="0" w:color="auto"/>
              <w:left w:val="none" w:sz="6" w:space="0" w:color="auto"/>
              <w:bottom w:val="none" w:sz="6" w:space="0" w:color="auto"/>
              <w:right w:val="none" w:sz="6" w:space="0" w:color="auto"/>
            </w:tcBorders>
          </w:tcPr>
          <w:p w14:paraId="3AAC5DCD"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60'000.- </w:t>
            </w:r>
          </w:p>
        </w:tc>
        <w:tc>
          <w:tcPr>
            <w:tcW w:w="1417" w:type="dxa"/>
            <w:tcBorders>
              <w:top w:val="none" w:sz="6" w:space="0" w:color="auto"/>
              <w:left w:val="none" w:sz="6" w:space="0" w:color="auto"/>
              <w:bottom w:val="none" w:sz="6" w:space="0" w:color="auto"/>
            </w:tcBorders>
          </w:tcPr>
          <w:p w14:paraId="0197466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20'000.- </w:t>
            </w:r>
          </w:p>
        </w:tc>
      </w:tr>
      <w:tr w:rsidR="00056EF6" w:rsidRPr="00FE353F" w14:paraId="158A30AB" w14:textId="77777777" w:rsidTr="00C7365D">
        <w:trPr>
          <w:trHeight w:val="103"/>
        </w:trPr>
        <w:tc>
          <w:tcPr>
            <w:tcW w:w="3969" w:type="dxa"/>
            <w:tcBorders>
              <w:top w:val="none" w:sz="6" w:space="0" w:color="auto"/>
              <w:bottom w:val="none" w:sz="6" w:space="0" w:color="auto"/>
              <w:right w:val="none" w:sz="6" w:space="0" w:color="auto"/>
            </w:tcBorders>
          </w:tcPr>
          <w:p w14:paraId="5607E731"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Educazione ambientale </w:t>
            </w:r>
          </w:p>
        </w:tc>
        <w:tc>
          <w:tcPr>
            <w:tcW w:w="1441" w:type="dxa"/>
            <w:tcBorders>
              <w:top w:val="none" w:sz="6" w:space="0" w:color="auto"/>
              <w:left w:val="none" w:sz="6" w:space="0" w:color="auto"/>
              <w:bottom w:val="none" w:sz="6" w:space="0" w:color="auto"/>
              <w:right w:val="none" w:sz="6" w:space="0" w:color="auto"/>
            </w:tcBorders>
          </w:tcPr>
          <w:p w14:paraId="083D271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15'000.- </w:t>
            </w:r>
          </w:p>
        </w:tc>
        <w:tc>
          <w:tcPr>
            <w:tcW w:w="1355" w:type="dxa"/>
            <w:tcBorders>
              <w:top w:val="none" w:sz="6" w:space="0" w:color="auto"/>
              <w:left w:val="none" w:sz="6" w:space="0" w:color="auto"/>
              <w:bottom w:val="none" w:sz="6" w:space="0" w:color="auto"/>
              <w:right w:val="none" w:sz="6" w:space="0" w:color="auto"/>
            </w:tcBorders>
          </w:tcPr>
          <w:p w14:paraId="2D118F3F"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5'000.- </w:t>
            </w:r>
          </w:p>
        </w:tc>
        <w:tc>
          <w:tcPr>
            <w:tcW w:w="1412" w:type="dxa"/>
            <w:tcBorders>
              <w:top w:val="none" w:sz="6" w:space="0" w:color="auto"/>
              <w:left w:val="none" w:sz="6" w:space="0" w:color="auto"/>
              <w:bottom w:val="none" w:sz="6" w:space="0" w:color="auto"/>
              <w:right w:val="none" w:sz="6" w:space="0" w:color="auto"/>
            </w:tcBorders>
          </w:tcPr>
          <w:p w14:paraId="15B14153"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5'000.- </w:t>
            </w:r>
          </w:p>
        </w:tc>
        <w:tc>
          <w:tcPr>
            <w:tcW w:w="1417" w:type="dxa"/>
            <w:tcBorders>
              <w:top w:val="none" w:sz="6" w:space="0" w:color="auto"/>
              <w:left w:val="none" w:sz="6" w:space="0" w:color="auto"/>
              <w:bottom w:val="none" w:sz="6" w:space="0" w:color="auto"/>
            </w:tcBorders>
          </w:tcPr>
          <w:p w14:paraId="4C23D409"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color w:val="000000"/>
                <w:sz w:val="20"/>
                <w:szCs w:val="20"/>
              </w:rPr>
              <w:t xml:space="preserve">5'000.- </w:t>
            </w:r>
          </w:p>
        </w:tc>
      </w:tr>
      <w:tr w:rsidR="00056EF6" w:rsidRPr="00FE353F" w14:paraId="2EF8ECE7" w14:textId="77777777" w:rsidTr="00C7365D">
        <w:trPr>
          <w:trHeight w:val="103"/>
        </w:trPr>
        <w:tc>
          <w:tcPr>
            <w:tcW w:w="3969" w:type="dxa"/>
            <w:tcBorders>
              <w:top w:val="none" w:sz="6" w:space="0" w:color="auto"/>
              <w:bottom w:val="none" w:sz="6" w:space="0" w:color="auto"/>
              <w:right w:val="none" w:sz="6" w:space="0" w:color="auto"/>
            </w:tcBorders>
          </w:tcPr>
          <w:p w14:paraId="7179C9F7"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Totale complessivo </w:t>
            </w:r>
          </w:p>
        </w:tc>
        <w:tc>
          <w:tcPr>
            <w:tcW w:w="1441" w:type="dxa"/>
            <w:tcBorders>
              <w:top w:val="none" w:sz="6" w:space="0" w:color="auto"/>
              <w:left w:val="none" w:sz="6" w:space="0" w:color="auto"/>
              <w:bottom w:val="none" w:sz="6" w:space="0" w:color="auto"/>
              <w:right w:val="none" w:sz="6" w:space="0" w:color="auto"/>
            </w:tcBorders>
          </w:tcPr>
          <w:p w14:paraId="6845EB4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4'255'000.- </w:t>
            </w:r>
          </w:p>
        </w:tc>
        <w:tc>
          <w:tcPr>
            <w:tcW w:w="1355" w:type="dxa"/>
            <w:tcBorders>
              <w:top w:val="none" w:sz="6" w:space="0" w:color="auto"/>
              <w:left w:val="none" w:sz="6" w:space="0" w:color="auto"/>
              <w:bottom w:val="none" w:sz="6" w:space="0" w:color="auto"/>
              <w:right w:val="none" w:sz="6" w:space="0" w:color="auto"/>
            </w:tcBorders>
          </w:tcPr>
          <w:p w14:paraId="5D5F3DC8"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1'800'000.- </w:t>
            </w:r>
          </w:p>
        </w:tc>
        <w:tc>
          <w:tcPr>
            <w:tcW w:w="1412" w:type="dxa"/>
            <w:tcBorders>
              <w:top w:val="none" w:sz="6" w:space="0" w:color="auto"/>
              <w:left w:val="none" w:sz="6" w:space="0" w:color="auto"/>
              <w:bottom w:val="none" w:sz="6" w:space="0" w:color="auto"/>
              <w:right w:val="none" w:sz="6" w:space="0" w:color="auto"/>
            </w:tcBorders>
          </w:tcPr>
          <w:p w14:paraId="29D216B2"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2'000'000.- </w:t>
            </w:r>
          </w:p>
        </w:tc>
        <w:tc>
          <w:tcPr>
            <w:tcW w:w="1417" w:type="dxa"/>
            <w:tcBorders>
              <w:top w:val="none" w:sz="6" w:space="0" w:color="auto"/>
              <w:left w:val="none" w:sz="6" w:space="0" w:color="auto"/>
              <w:bottom w:val="none" w:sz="6" w:space="0" w:color="auto"/>
            </w:tcBorders>
          </w:tcPr>
          <w:p w14:paraId="7BBD79DC" w14:textId="77777777" w:rsidR="00056EF6" w:rsidRPr="00FE353F" w:rsidRDefault="00056EF6" w:rsidP="00C7365D">
            <w:pPr>
              <w:autoSpaceDE w:val="0"/>
              <w:autoSpaceDN w:val="0"/>
              <w:adjustRightInd w:val="0"/>
              <w:jc w:val="left"/>
              <w:rPr>
                <w:rFonts w:cs="Arial"/>
                <w:color w:val="000000"/>
                <w:sz w:val="20"/>
                <w:szCs w:val="20"/>
              </w:rPr>
            </w:pPr>
            <w:r w:rsidRPr="00FE353F">
              <w:rPr>
                <w:rFonts w:cs="Arial"/>
                <w:b/>
                <w:bCs/>
                <w:color w:val="000000"/>
                <w:sz w:val="20"/>
                <w:szCs w:val="20"/>
              </w:rPr>
              <w:t xml:space="preserve">455'000.- </w:t>
            </w:r>
          </w:p>
        </w:tc>
      </w:tr>
    </w:tbl>
    <w:p w14:paraId="1EA516B0" w14:textId="1865A1A2" w:rsidR="00056EF6" w:rsidRDefault="00056EF6" w:rsidP="00056EF6">
      <w:pPr>
        <w:rPr>
          <w:rFonts w:cs="Arial"/>
          <w:bCs/>
          <w:color w:val="1C1C1C"/>
        </w:rPr>
      </w:pPr>
    </w:p>
    <w:p w14:paraId="0DF69215" w14:textId="77777777" w:rsidR="0089722D" w:rsidRDefault="0089722D" w:rsidP="00056EF6">
      <w:pPr>
        <w:rPr>
          <w:rFonts w:cs="Arial"/>
          <w:bCs/>
          <w:color w:val="1C1C1C"/>
        </w:rPr>
      </w:pPr>
    </w:p>
    <w:p w14:paraId="3E641D54" w14:textId="77777777" w:rsidR="00056EF6" w:rsidRPr="008A679E" w:rsidRDefault="00056EF6" w:rsidP="00056EF6">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Finanziamento, relazione con il PD e le linee finanziarie</w:t>
      </w:r>
    </w:p>
    <w:p w14:paraId="21C5EC9E" w14:textId="77777777" w:rsidR="00056EF6" w:rsidRPr="00891B64" w:rsidRDefault="00056EF6" w:rsidP="00056EF6">
      <w:pPr>
        <w:rPr>
          <w:szCs w:val="24"/>
        </w:rPr>
      </w:pPr>
      <w:r w:rsidRPr="00891B64">
        <w:rPr>
          <w:szCs w:val="24"/>
        </w:rPr>
        <w:t>La tabella del messaggio è stata suddivisa e presentata nel precedente capitolo.</w:t>
      </w:r>
    </w:p>
    <w:p w14:paraId="41133FB7" w14:textId="77777777" w:rsidR="00056EF6" w:rsidRPr="00891B64" w:rsidRDefault="00056EF6" w:rsidP="00056EF6">
      <w:pPr>
        <w:tabs>
          <w:tab w:val="left" w:pos="426"/>
          <w:tab w:val="left" w:pos="4962"/>
        </w:tabs>
        <w:rPr>
          <w:szCs w:val="24"/>
        </w:rPr>
      </w:pPr>
      <w:r w:rsidRPr="00891B64">
        <w:rPr>
          <w:szCs w:val="24"/>
        </w:rPr>
        <w:t xml:space="preserve">Il costo complessivo per l’attuazione del piano d’azione per l’anno 2024 è preventivato a </w:t>
      </w:r>
      <w:proofErr w:type="spellStart"/>
      <w:r>
        <w:rPr>
          <w:szCs w:val="24"/>
        </w:rPr>
        <w:t>fr</w:t>
      </w:r>
      <w:proofErr w:type="spellEnd"/>
      <w:r>
        <w:rPr>
          <w:szCs w:val="24"/>
        </w:rPr>
        <w:t>.</w:t>
      </w:r>
      <w:r w:rsidRPr="00891B64">
        <w:rPr>
          <w:szCs w:val="24"/>
        </w:rPr>
        <w:t xml:space="preserve"> 4’225'000.-.</w:t>
      </w:r>
    </w:p>
    <w:p w14:paraId="1A8032EA" w14:textId="77777777" w:rsidR="00056EF6" w:rsidRPr="00891B64" w:rsidRDefault="00056EF6" w:rsidP="00056EF6">
      <w:pPr>
        <w:tabs>
          <w:tab w:val="left" w:pos="426"/>
          <w:tab w:val="left" w:pos="4962"/>
        </w:tabs>
        <w:rPr>
          <w:szCs w:val="24"/>
        </w:rPr>
      </w:pPr>
      <w:r w:rsidRPr="00891B64">
        <w:rPr>
          <w:szCs w:val="24"/>
        </w:rPr>
        <w:t xml:space="preserve">I costi sono suddivisi tra Cantone, Confederazione e partecipazione di terzi (Comuni, Patriziati, associazioni, </w:t>
      </w:r>
      <w:r>
        <w:rPr>
          <w:szCs w:val="24"/>
        </w:rPr>
        <w:t>E</w:t>
      </w:r>
      <w:r w:rsidRPr="00891B64">
        <w:rPr>
          <w:szCs w:val="24"/>
        </w:rPr>
        <w:t xml:space="preserve">nti locali, privati), per un importo netto a carico del Cantone di </w:t>
      </w:r>
      <w:proofErr w:type="spellStart"/>
      <w:r>
        <w:rPr>
          <w:szCs w:val="24"/>
        </w:rPr>
        <w:t>fr</w:t>
      </w:r>
      <w:proofErr w:type="spellEnd"/>
      <w:r>
        <w:rPr>
          <w:szCs w:val="24"/>
        </w:rPr>
        <w:t>.</w:t>
      </w:r>
      <w:r w:rsidRPr="00891B64">
        <w:rPr>
          <w:szCs w:val="24"/>
        </w:rPr>
        <w:t xml:space="preserve"> 2’000’000</w:t>
      </w:r>
      <w:r>
        <w:rPr>
          <w:szCs w:val="24"/>
        </w:rPr>
        <w:t>.-</w:t>
      </w:r>
      <w:r w:rsidRPr="00891B64">
        <w:rPr>
          <w:szCs w:val="24"/>
        </w:rPr>
        <w:t>.</w:t>
      </w:r>
    </w:p>
    <w:p w14:paraId="54597A43" w14:textId="77777777" w:rsidR="00056EF6" w:rsidRPr="00891B64" w:rsidRDefault="00056EF6" w:rsidP="00056EF6">
      <w:pPr>
        <w:tabs>
          <w:tab w:val="left" w:pos="426"/>
          <w:tab w:val="left" w:pos="4962"/>
        </w:tabs>
        <w:rPr>
          <w:szCs w:val="24"/>
        </w:rPr>
      </w:pPr>
      <w:r w:rsidRPr="00891B64">
        <w:rPr>
          <w:szCs w:val="24"/>
        </w:rPr>
        <w:t xml:space="preserve">I contributi federali, definiti tramite l’Accordo programmatico Protezione della natura 2020 - 2024, pari ad un importo complessivo di </w:t>
      </w:r>
      <w:proofErr w:type="spellStart"/>
      <w:r w:rsidRPr="00891B64">
        <w:rPr>
          <w:szCs w:val="24"/>
        </w:rPr>
        <w:t>fr</w:t>
      </w:r>
      <w:proofErr w:type="spellEnd"/>
      <w:r w:rsidRPr="00891B64">
        <w:rPr>
          <w:szCs w:val="24"/>
        </w:rPr>
        <w:t>. 1'800'</w:t>
      </w:r>
      <w:proofErr w:type="gramStart"/>
      <w:r w:rsidRPr="00891B64">
        <w:rPr>
          <w:szCs w:val="24"/>
        </w:rPr>
        <w:t>000.-</w:t>
      </w:r>
      <w:proofErr w:type="gramEnd"/>
      <w:r w:rsidRPr="00891B64">
        <w:rPr>
          <w:szCs w:val="24"/>
        </w:rPr>
        <w:t>, verranno incassati e contabilizzati dal Cantone e riversati a terzi e mandatari.</w:t>
      </w:r>
    </w:p>
    <w:p w14:paraId="07B43429" w14:textId="77777777" w:rsidR="00056EF6" w:rsidRPr="00891B64" w:rsidRDefault="00056EF6" w:rsidP="00056EF6">
      <w:pPr>
        <w:tabs>
          <w:tab w:val="left" w:pos="426"/>
          <w:tab w:val="left" w:pos="4962"/>
        </w:tabs>
        <w:rPr>
          <w:szCs w:val="24"/>
        </w:rPr>
      </w:pPr>
    </w:p>
    <w:p w14:paraId="2741B7E0" w14:textId="77777777" w:rsidR="00056EF6" w:rsidRPr="00891B64" w:rsidRDefault="00056EF6" w:rsidP="00056EF6">
      <w:pPr>
        <w:rPr>
          <w:szCs w:val="24"/>
        </w:rPr>
      </w:pPr>
      <w:r w:rsidRPr="00891B64">
        <w:rPr>
          <w:szCs w:val="24"/>
        </w:rPr>
        <w:t>La spesa prevista serve al conseguimento degli obiettivi prescritti dalle citate leggi federali e cantonali ed è coerente con il Programma di legislatura 2019 - 2023, in particolare con l’obiettivo 10, Riqualificare il territorio, valorizzare il paesaggio, conservare il patrimonio, favorire la biodiversità (azione 10.4).</w:t>
      </w:r>
    </w:p>
    <w:p w14:paraId="1F37E1F2" w14:textId="77777777" w:rsidR="00056EF6" w:rsidRPr="00891B64" w:rsidRDefault="00056EF6" w:rsidP="00056EF6">
      <w:pPr>
        <w:rPr>
          <w:rFonts w:cs="Arial"/>
          <w:szCs w:val="24"/>
        </w:rPr>
      </w:pPr>
    </w:p>
    <w:p w14:paraId="3DE3C506" w14:textId="6481C7A6" w:rsidR="00C40F81" w:rsidRDefault="00056EF6" w:rsidP="00056EF6">
      <w:pPr>
        <w:tabs>
          <w:tab w:val="left" w:pos="426"/>
          <w:tab w:val="left" w:pos="4962"/>
        </w:tabs>
        <w:rPr>
          <w:szCs w:val="24"/>
        </w:rPr>
      </w:pPr>
      <w:r w:rsidRPr="00891B64">
        <w:rPr>
          <w:szCs w:val="24"/>
        </w:rPr>
        <w:t>La valorizzazione della biodiversità e del patrimonio naturale è in sintonia con il Piano direttore cantonale, in particolare con gli obiettivi e con le schede P1 (Paesaggio) e P4 (Componenti naturali).</w:t>
      </w:r>
      <w:r w:rsidR="00C40F81">
        <w:rPr>
          <w:szCs w:val="24"/>
        </w:rPr>
        <w:br w:type="page"/>
      </w:r>
    </w:p>
    <w:p w14:paraId="7E98206F" w14:textId="77777777" w:rsidR="000029A0" w:rsidRDefault="000029A0" w:rsidP="000029A0">
      <w:r>
        <w:t>Lo stanziamento del credito richiede l’approvazione da parte della maggioranza assoluta dei membri del Gran Consiglio (cfr. art. 5 cpv. 3 LGF).</w:t>
      </w:r>
    </w:p>
    <w:p w14:paraId="1378EE4E" w14:textId="77777777" w:rsidR="000029A0" w:rsidRDefault="000029A0" w:rsidP="00056EF6">
      <w:pPr>
        <w:tabs>
          <w:tab w:val="left" w:pos="426"/>
          <w:tab w:val="left" w:pos="4962"/>
        </w:tabs>
      </w:pPr>
    </w:p>
    <w:p w14:paraId="2B9BD247" w14:textId="77777777" w:rsidR="002B320B" w:rsidRDefault="002B320B" w:rsidP="00056EF6">
      <w:pPr>
        <w:tabs>
          <w:tab w:val="left" w:pos="426"/>
          <w:tab w:val="left" w:pos="4962"/>
        </w:tabs>
      </w:pPr>
    </w:p>
    <w:p w14:paraId="2B276E92" w14:textId="77777777" w:rsidR="00056EF6" w:rsidRPr="008A679E" w:rsidRDefault="00056EF6" w:rsidP="00056EF6">
      <w:pPr>
        <w:pStyle w:val="Titolo1"/>
        <w:numPr>
          <w:ilvl w:val="0"/>
          <w:numId w:val="18"/>
        </w:numPr>
        <w:tabs>
          <w:tab w:val="left" w:pos="567"/>
        </w:tabs>
        <w:spacing w:before="0"/>
        <w:ind w:left="567" w:hanging="567"/>
        <w:jc w:val="both"/>
        <w:rPr>
          <w:rFonts w:eastAsia="Calibri" w:cs="Times New Roman"/>
          <w:caps/>
          <w:szCs w:val="24"/>
          <w:lang w:val="it-IT" w:eastAsia="it-IT"/>
        </w:rPr>
      </w:pPr>
      <w:r w:rsidRPr="008A679E">
        <w:rPr>
          <w:rFonts w:eastAsia="Calibri" w:cs="Times New Roman"/>
          <w:caps/>
          <w:szCs w:val="24"/>
          <w:lang w:val="it-IT" w:eastAsia="it-IT"/>
        </w:rPr>
        <w:t>Conclusione</w:t>
      </w:r>
    </w:p>
    <w:p w14:paraId="22C99442" w14:textId="47E29BF4" w:rsidR="00056EF6" w:rsidRDefault="00056EF6" w:rsidP="00056EF6">
      <w:pPr>
        <w:pStyle w:val="Intestazione"/>
        <w:rPr>
          <w:rFonts w:cstheme="minorHAnsi"/>
          <w:sz w:val="24"/>
          <w:szCs w:val="24"/>
          <w:lang w:val="it-CH"/>
        </w:rPr>
      </w:pPr>
      <w:r w:rsidRPr="00056EF6">
        <w:rPr>
          <w:rFonts w:cstheme="minorHAnsi"/>
          <w:sz w:val="24"/>
          <w:szCs w:val="24"/>
          <w:lang w:val="it-CH"/>
        </w:rPr>
        <w:t>Nonostante le attività affrontate in precedenza e l’aumentata attenzione verso il patrimonio naturale del Cantone negli ultimi decenni, la biodiversità in Ticino</w:t>
      </w:r>
      <w:r w:rsidR="00BE6727">
        <w:rPr>
          <w:rFonts w:cstheme="minorHAnsi"/>
          <w:sz w:val="24"/>
          <w:szCs w:val="24"/>
          <w:lang w:val="it-CH"/>
        </w:rPr>
        <w:t>, come nel resto della Svizzera</w:t>
      </w:r>
      <w:r w:rsidR="0089722D">
        <w:rPr>
          <w:rFonts w:cstheme="minorHAnsi"/>
          <w:sz w:val="24"/>
          <w:szCs w:val="24"/>
          <w:lang w:val="it-CH"/>
        </w:rPr>
        <w:t>,</w:t>
      </w:r>
      <w:r w:rsidRPr="00056EF6">
        <w:rPr>
          <w:rFonts w:cstheme="minorHAnsi"/>
          <w:sz w:val="24"/>
          <w:szCs w:val="24"/>
          <w:lang w:val="it-CH"/>
        </w:rPr>
        <w:t xml:space="preserve"> è sempre fortemente sotto pressione</w:t>
      </w:r>
      <w:r w:rsidR="00BE6727">
        <w:rPr>
          <w:rFonts w:cstheme="minorHAnsi"/>
          <w:sz w:val="24"/>
          <w:szCs w:val="24"/>
          <w:lang w:val="it-CH"/>
        </w:rPr>
        <w:t xml:space="preserve"> e necessita di un continuo impegno.</w:t>
      </w:r>
    </w:p>
    <w:p w14:paraId="369B152E" w14:textId="61C3562A" w:rsidR="00224CB5" w:rsidRPr="00224CB5" w:rsidRDefault="00224CB5" w:rsidP="00224CB5">
      <w:pPr>
        <w:tabs>
          <w:tab w:val="left" w:pos="426"/>
          <w:tab w:val="left" w:pos="4962"/>
        </w:tabs>
        <w:rPr>
          <w:rFonts w:asciiTheme="minorHAnsi" w:hAnsiTheme="minorHAnsi" w:cstheme="minorHAnsi"/>
          <w:szCs w:val="24"/>
        </w:rPr>
      </w:pPr>
      <w:r>
        <w:rPr>
          <w:rFonts w:asciiTheme="minorHAnsi" w:hAnsiTheme="minorHAnsi" w:cstheme="minorHAnsi"/>
          <w:szCs w:val="24"/>
        </w:rPr>
        <w:t xml:space="preserve">Un’assunzione che la </w:t>
      </w:r>
      <w:r w:rsidR="0089722D">
        <w:rPr>
          <w:rFonts w:asciiTheme="minorHAnsi" w:hAnsiTheme="minorHAnsi" w:cstheme="minorHAnsi"/>
          <w:szCs w:val="24"/>
        </w:rPr>
        <w:t>C</w:t>
      </w:r>
      <w:r>
        <w:rPr>
          <w:rFonts w:asciiTheme="minorHAnsi" w:hAnsiTheme="minorHAnsi" w:cstheme="minorHAnsi"/>
          <w:szCs w:val="24"/>
        </w:rPr>
        <w:t xml:space="preserve">ommissione ha apprezzato è che </w:t>
      </w:r>
      <w:r w:rsidRPr="00224CB5">
        <w:rPr>
          <w:rFonts w:asciiTheme="minorHAnsi" w:hAnsiTheme="minorHAnsi" w:cstheme="minorHAnsi"/>
          <w:szCs w:val="24"/>
        </w:rPr>
        <w:t>“</w:t>
      </w:r>
      <w:r w:rsidR="0089722D">
        <w:rPr>
          <w:rFonts w:asciiTheme="minorHAnsi" w:hAnsiTheme="minorHAnsi" w:cstheme="minorHAnsi"/>
          <w:i/>
          <w:szCs w:val="24"/>
        </w:rPr>
        <w:t>i</w:t>
      </w:r>
      <w:r w:rsidRPr="0089722D">
        <w:rPr>
          <w:rFonts w:asciiTheme="minorHAnsi" w:hAnsiTheme="minorHAnsi" w:cstheme="minorHAnsi"/>
          <w:i/>
          <w:szCs w:val="24"/>
        </w:rPr>
        <w:t>l credito proposto è inoltre un sostegno all'economia delle regioni periferiche e al settore primario</w:t>
      </w:r>
      <w:r w:rsidRPr="00224CB5">
        <w:rPr>
          <w:rFonts w:asciiTheme="minorHAnsi" w:hAnsiTheme="minorHAnsi" w:cstheme="minorHAnsi"/>
          <w:szCs w:val="24"/>
        </w:rPr>
        <w:t>”.</w:t>
      </w:r>
    </w:p>
    <w:p w14:paraId="6A008A8D" w14:textId="77777777" w:rsidR="00224CB5" w:rsidRPr="00224CB5" w:rsidRDefault="00224CB5" w:rsidP="00224CB5">
      <w:pPr>
        <w:tabs>
          <w:tab w:val="left" w:pos="426"/>
          <w:tab w:val="left" w:pos="4962"/>
        </w:tabs>
        <w:rPr>
          <w:rFonts w:asciiTheme="minorHAnsi" w:hAnsiTheme="minorHAnsi" w:cstheme="minorHAnsi"/>
          <w:szCs w:val="24"/>
        </w:rPr>
      </w:pPr>
    </w:p>
    <w:p w14:paraId="5D93884D" w14:textId="4A67E359" w:rsidR="00056EF6" w:rsidRDefault="00056EF6" w:rsidP="00056EF6">
      <w:pPr>
        <w:tabs>
          <w:tab w:val="left" w:pos="426"/>
          <w:tab w:val="left" w:pos="4962"/>
        </w:tabs>
        <w:rPr>
          <w:rFonts w:asciiTheme="minorHAnsi" w:hAnsiTheme="minorHAnsi" w:cstheme="minorHAnsi"/>
          <w:szCs w:val="24"/>
        </w:rPr>
      </w:pPr>
      <w:r w:rsidRPr="00056EF6">
        <w:rPr>
          <w:rFonts w:asciiTheme="minorHAnsi" w:hAnsiTheme="minorHAnsi" w:cstheme="minorHAnsi"/>
          <w:szCs w:val="24"/>
        </w:rPr>
        <w:t>La presente richiesta di credito s’inserisce nel novero delle attività promosse dallo Stato a favore del conseguimento degli obiettivi di conservazione della biodiversità, di tutela degli ambienti naturali e di promozione dei contenuti paesaggistici che caratterizzano il nostro territorio in sintonia con il Programma di legislatura e gli obiettivi dell’Agenda 2030.</w:t>
      </w:r>
      <w:r w:rsidR="00BE6727">
        <w:rPr>
          <w:rFonts w:asciiTheme="minorHAnsi" w:hAnsiTheme="minorHAnsi" w:cstheme="minorHAnsi"/>
          <w:szCs w:val="24"/>
        </w:rPr>
        <w:t xml:space="preserve"> Senza dimenticare temi come l</w:t>
      </w:r>
      <w:r w:rsidR="0089722D">
        <w:rPr>
          <w:rFonts w:asciiTheme="minorHAnsi" w:hAnsiTheme="minorHAnsi" w:cstheme="minorHAnsi"/>
          <w:szCs w:val="24"/>
        </w:rPr>
        <w:t>'</w:t>
      </w:r>
      <w:proofErr w:type="spellStart"/>
      <w:r w:rsidR="00BE6727">
        <w:rPr>
          <w:rFonts w:asciiTheme="minorHAnsi" w:hAnsiTheme="minorHAnsi" w:cstheme="minorHAnsi"/>
          <w:szCs w:val="24"/>
        </w:rPr>
        <w:t>agroecologia</w:t>
      </w:r>
      <w:proofErr w:type="spellEnd"/>
      <w:r w:rsidR="00BE6727">
        <w:rPr>
          <w:rFonts w:asciiTheme="minorHAnsi" w:hAnsiTheme="minorHAnsi" w:cstheme="minorHAnsi"/>
          <w:szCs w:val="24"/>
        </w:rPr>
        <w:t xml:space="preserve"> e la responsabilità sociale delle aziende agricole.</w:t>
      </w:r>
    </w:p>
    <w:p w14:paraId="21D00FCB" w14:textId="530557F6" w:rsidR="00244D65" w:rsidRDefault="00244D65" w:rsidP="00056EF6">
      <w:pPr>
        <w:tabs>
          <w:tab w:val="left" w:pos="426"/>
          <w:tab w:val="left" w:pos="4962"/>
        </w:tabs>
        <w:rPr>
          <w:rFonts w:asciiTheme="minorHAnsi" w:hAnsiTheme="minorHAnsi" w:cstheme="minorHAnsi"/>
          <w:szCs w:val="24"/>
        </w:rPr>
      </w:pPr>
    </w:p>
    <w:p w14:paraId="0F0C6C36" w14:textId="77777777" w:rsidR="0089722D" w:rsidRPr="00056EF6" w:rsidRDefault="0089722D" w:rsidP="00056EF6">
      <w:pPr>
        <w:tabs>
          <w:tab w:val="left" w:pos="426"/>
          <w:tab w:val="left" w:pos="4962"/>
        </w:tabs>
        <w:rPr>
          <w:rFonts w:asciiTheme="minorHAnsi" w:hAnsiTheme="minorHAnsi" w:cstheme="minorHAnsi"/>
          <w:szCs w:val="24"/>
        </w:rPr>
      </w:pPr>
    </w:p>
    <w:p w14:paraId="7FE0CA89" w14:textId="0D62C848" w:rsidR="00056EF6" w:rsidRDefault="00056EF6" w:rsidP="00056EF6">
      <w:pPr>
        <w:rPr>
          <w:rFonts w:cs="Arial"/>
          <w:szCs w:val="24"/>
        </w:rPr>
      </w:pPr>
      <w:r w:rsidRPr="00056EF6">
        <w:rPr>
          <w:rFonts w:asciiTheme="minorHAnsi" w:hAnsiTheme="minorHAnsi" w:cstheme="minorHAnsi"/>
          <w:szCs w:val="24"/>
        </w:rPr>
        <w:t xml:space="preserve">Sulla base delle considerazioni esposte nel </w:t>
      </w:r>
      <w:r>
        <w:rPr>
          <w:rFonts w:asciiTheme="minorHAnsi" w:hAnsiTheme="minorHAnsi" w:cstheme="minorHAnsi"/>
          <w:szCs w:val="24"/>
        </w:rPr>
        <w:t>m</w:t>
      </w:r>
      <w:r w:rsidRPr="00056EF6">
        <w:rPr>
          <w:rFonts w:asciiTheme="minorHAnsi" w:hAnsiTheme="minorHAnsi" w:cstheme="minorHAnsi"/>
          <w:szCs w:val="24"/>
        </w:rPr>
        <w:t>essaggio</w:t>
      </w:r>
      <w:r>
        <w:rPr>
          <w:rFonts w:asciiTheme="minorHAnsi" w:hAnsiTheme="minorHAnsi" w:cstheme="minorHAnsi"/>
          <w:szCs w:val="24"/>
        </w:rPr>
        <w:t xml:space="preserve"> n. 8349</w:t>
      </w:r>
      <w:r w:rsidR="0089722D">
        <w:rPr>
          <w:rFonts w:asciiTheme="minorHAnsi" w:hAnsiTheme="minorHAnsi" w:cstheme="minorHAnsi"/>
          <w:szCs w:val="24"/>
        </w:rPr>
        <w:t xml:space="preserve"> e nel presente rapporto</w:t>
      </w:r>
      <w:r w:rsidRPr="00056EF6">
        <w:rPr>
          <w:rFonts w:asciiTheme="minorHAnsi" w:hAnsiTheme="minorHAnsi" w:cstheme="minorHAnsi"/>
          <w:szCs w:val="24"/>
        </w:rPr>
        <w:t>, vi invitiamo ad accettare</w:t>
      </w:r>
      <w:r>
        <w:rPr>
          <w:rFonts w:cs="Arial"/>
          <w:szCs w:val="24"/>
        </w:rPr>
        <w:t xml:space="preserve"> il disegno di </w:t>
      </w:r>
      <w:r w:rsidR="0089722D">
        <w:rPr>
          <w:rFonts w:cs="Arial"/>
          <w:szCs w:val="24"/>
        </w:rPr>
        <w:t>decreto legislativo</w:t>
      </w:r>
      <w:r>
        <w:rPr>
          <w:rFonts w:cs="Arial"/>
          <w:szCs w:val="24"/>
        </w:rPr>
        <w:t xml:space="preserve"> allegato</w:t>
      </w:r>
      <w:r w:rsidR="0089722D">
        <w:rPr>
          <w:rFonts w:cs="Arial"/>
          <w:szCs w:val="24"/>
        </w:rPr>
        <w:t xml:space="preserve"> al messaggio governativo</w:t>
      </w:r>
      <w:r>
        <w:rPr>
          <w:rFonts w:cs="Arial"/>
          <w:szCs w:val="24"/>
        </w:rPr>
        <w:t xml:space="preserve">, volto a concedere un credito quadro di </w:t>
      </w:r>
      <w:proofErr w:type="spellStart"/>
      <w:r>
        <w:rPr>
          <w:rFonts w:cs="Arial"/>
          <w:szCs w:val="24"/>
        </w:rPr>
        <w:t>fr</w:t>
      </w:r>
      <w:proofErr w:type="spellEnd"/>
      <w:r>
        <w:rPr>
          <w:rFonts w:cs="Arial"/>
          <w:szCs w:val="24"/>
        </w:rPr>
        <w:t>. 2'000’</w:t>
      </w:r>
      <w:proofErr w:type="gramStart"/>
      <w:r>
        <w:rPr>
          <w:rFonts w:cs="Arial"/>
          <w:szCs w:val="24"/>
        </w:rPr>
        <w:t>000.-</w:t>
      </w:r>
      <w:proofErr w:type="gramEnd"/>
      <w:r>
        <w:rPr>
          <w:rFonts w:cs="Arial"/>
          <w:szCs w:val="24"/>
        </w:rPr>
        <w:t xml:space="preserve"> per l’attuazione del piano d’azione della Strategia Biodiversità Svizzera nel settore della protezione della natura per il 2024.</w:t>
      </w:r>
    </w:p>
    <w:p w14:paraId="792D4328" w14:textId="67EDDE90" w:rsidR="00056EF6" w:rsidRDefault="00056EF6" w:rsidP="00056EF6"/>
    <w:p w14:paraId="2B803A24" w14:textId="77777777" w:rsidR="0089722D" w:rsidRDefault="0089722D" w:rsidP="00056EF6"/>
    <w:p w14:paraId="0F8D3EB2" w14:textId="77777777" w:rsidR="0089722D" w:rsidRDefault="0089722D" w:rsidP="00056EF6">
      <w:pPr>
        <w:autoSpaceDE w:val="0"/>
        <w:autoSpaceDN w:val="0"/>
        <w:adjustRightInd w:val="0"/>
        <w:rPr>
          <w:rFonts w:cs="Arial"/>
          <w:szCs w:val="24"/>
        </w:rPr>
      </w:pPr>
    </w:p>
    <w:p w14:paraId="179E6737" w14:textId="77777777" w:rsidR="00056EF6" w:rsidRDefault="00056EF6" w:rsidP="00056EF6">
      <w:pPr>
        <w:spacing w:after="120"/>
        <w:rPr>
          <w:rFonts w:cs="Arial"/>
          <w:szCs w:val="24"/>
        </w:rPr>
      </w:pPr>
      <w:r>
        <w:rPr>
          <w:rFonts w:cs="Arial"/>
          <w:szCs w:val="24"/>
        </w:rPr>
        <w:t>Per la Commissione ambiente territorio energia:</w:t>
      </w:r>
    </w:p>
    <w:p w14:paraId="32EA71F6" w14:textId="2545B57C" w:rsidR="00056EF6" w:rsidRDefault="00056EF6" w:rsidP="00056EF6">
      <w:pPr>
        <w:rPr>
          <w:rFonts w:cs="Arial"/>
          <w:szCs w:val="24"/>
        </w:rPr>
      </w:pPr>
      <w:r>
        <w:rPr>
          <w:rFonts w:cs="Arial"/>
          <w:szCs w:val="24"/>
        </w:rPr>
        <w:t>Massimo Mobiglia, relatore</w:t>
      </w:r>
    </w:p>
    <w:p w14:paraId="044E0AFE" w14:textId="7353A77F" w:rsidR="008A679E" w:rsidRDefault="008A679E" w:rsidP="00056EF6">
      <w:pPr>
        <w:rPr>
          <w:rFonts w:cs="Arial"/>
          <w:szCs w:val="24"/>
        </w:rPr>
      </w:pPr>
      <w:r>
        <w:rPr>
          <w:rFonts w:cs="Arial"/>
          <w:szCs w:val="24"/>
        </w:rPr>
        <w:t xml:space="preserve">Berardi - Buzzi - Cedraschi - David - Ermotti-Lepori - </w:t>
      </w:r>
    </w:p>
    <w:p w14:paraId="31856971" w14:textId="77777777" w:rsidR="008A679E" w:rsidRDefault="008A679E" w:rsidP="00056EF6">
      <w:pPr>
        <w:rPr>
          <w:rFonts w:cs="Arial"/>
          <w:szCs w:val="24"/>
        </w:rPr>
      </w:pPr>
      <w:r>
        <w:rPr>
          <w:rFonts w:cs="Arial"/>
          <w:szCs w:val="24"/>
        </w:rPr>
        <w:t xml:space="preserve">Genini Sem (con riserva) - Padlina (con riserva) - </w:t>
      </w:r>
    </w:p>
    <w:p w14:paraId="69C12613" w14:textId="77777777" w:rsidR="008A679E" w:rsidRDefault="008A679E" w:rsidP="00056EF6">
      <w:pPr>
        <w:rPr>
          <w:rFonts w:cs="Arial"/>
          <w:szCs w:val="24"/>
        </w:rPr>
      </w:pPr>
      <w:r>
        <w:rPr>
          <w:rFonts w:cs="Arial"/>
          <w:szCs w:val="24"/>
        </w:rPr>
        <w:t>Piccaluga - Renzetti - Rigamonti - Schnellmann (con riserva) -</w:t>
      </w:r>
    </w:p>
    <w:p w14:paraId="257496BD" w14:textId="1A06634B" w:rsidR="008A679E" w:rsidRDefault="008A679E" w:rsidP="00056EF6">
      <w:pPr>
        <w:rPr>
          <w:rFonts w:cs="Arial"/>
          <w:szCs w:val="24"/>
        </w:rPr>
      </w:pPr>
      <w:r>
        <w:rPr>
          <w:rFonts w:cs="Arial"/>
          <w:szCs w:val="24"/>
        </w:rPr>
        <w:t xml:space="preserve">Terraneo - Tonini - Tricarico - Zanini Barzaghi </w:t>
      </w:r>
    </w:p>
    <w:sectPr w:rsidR="008A679E" w:rsidSect="008A0C08">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35659" w14:textId="77777777" w:rsidR="008A0C08" w:rsidRDefault="008A0C08" w:rsidP="00F657BF">
      <w:r>
        <w:separator/>
      </w:r>
    </w:p>
  </w:endnote>
  <w:endnote w:type="continuationSeparator" w:id="0">
    <w:p w14:paraId="12338958" w14:textId="77777777" w:rsidR="008A0C08" w:rsidRDefault="008A0C0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08D2C52E" w14:textId="77777777" w:rsidTr="007A3D11">
      <w:trPr>
        <w:trHeight w:hRule="exact" w:val="737"/>
      </w:trPr>
      <w:tc>
        <w:tcPr>
          <w:tcW w:w="4695" w:type="dxa"/>
        </w:tcPr>
        <w:p w14:paraId="752DA42D" w14:textId="77777777" w:rsidR="001433AC" w:rsidRPr="003D1008" w:rsidRDefault="001433AC" w:rsidP="00912E34">
          <w:pPr>
            <w:tabs>
              <w:tab w:val="center" w:pos="2382"/>
            </w:tabs>
          </w:pPr>
        </w:p>
      </w:tc>
      <w:tc>
        <w:tcPr>
          <w:tcW w:w="721" w:type="dxa"/>
        </w:tcPr>
        <w:p w14:paraId="73003912" w14:textId="77777777" w:rsidR="001433AC" w:rsidRPr="003D1008" w:rsidRDefault="00072FEC" w:rsidP="00912E34">
          <w:pPr>
            <w:jc w:val="center"/>
          </w:pPr>
          <w:r w:rsidRPr="003D1008">
            <w:rPr>
              <w:noProof/>
              <w:lang w:eastAsia="it-CH"/>
            </w:rPr>
            <w:drawing>
              <wp:anchor distT="0" distB="0" distL="114300" distR="114300" simplePos="0" relativeHeight="251669504" behindDoc="0" locked="1" layoutInCell="1" allowOverlap="1" wp14:anchorId="2D75BFE3"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A9A68F0" w14:textId="77777777" w:rsidR="001433AC" w:rsidRPr="003D1008" w:rsidRDefault="00072FEC" w:rsidP="00912E34">
          <w:pPr>
            <w:jc w:val="center"/>
          </w:pPr>
          <w:r w:rsidRPr="003D1008">
            <w:rPr>
              <w:noProof/>
              <w:lang w:eastAsia="it-CH"/>
            </w:rPr>
            <w:drawing>
              <wp:anchor distT="0" distB="0" distL="114300" distR="114300" simplePos="0" relativeHeight="251670528" behindDoc="0" locked="1" layoutInCell="1" allowOverlap="1" wp14:anchorId="194F2C7A"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0B8B3B4" w14:textId="77777777" w:rsidR="001433AC" w:rsidRPr="003D1008" w:rsidRDefault="001433AC" w:rsidP="00912E34"/>
      </w:tc>
    </w:tr>
  </w:tbl>
  <w:p w14:paraId="18E31F73" w14:textId="77777777"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B984" w14:textId="77777777" w:rsidR="001433AC" w:rsidRDefault="001433AC">
    <w:pPr>
      <w:pStyle w:val="Pidipagina"/>
      <w:jc w:val="center"/>
    </w:pPr>
  </w:p>
  <w:p w14:paraId="3117BFF1"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D0039" w14:textId="77777777" w:rsidR="008A0C08" w:rsidRDefault="008A0C08" w:rsidP="00F657BF">
      <w:r>
        <w:separator/>
      </w:r>
    </w:p>
  </w:footnote>
  <w:footnote w:type="continuationSeparator" w:id="0">
    <w:p w14:paraId="69477260" w14:textId="77777777" w:rsidR="008A0C08" w:rsidRDefault="008A0C0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291AD2F4" w14:textId="77777777" w:rsidTr="006B682A">
      <w:trPr>
        <w:trHeight w:val="562"/>
      </w:trPr>
      <w:tc>
        <w:tcPr>
          <w:tcW w:w="8383" w:type="dxa"/>
          <w:tcBorders>
            <w:left w:val="single" w:sz="4" w:space="0" w:color="auto"/>
            <w:bottom w:val="single" w:sz="4" w:space="0" w:color="auto"/>
          </w:tcBorders>
          <w:tcMar>
            <w:left w:w="142" w:type="dxa"/>
          </w:tcMar>
          <w:vAlign w:val="bottom"/>
        </w:tcPr>
        <w:p w14:paraId="69C41333" w14:textId="77777777" w:rsidR="001433AC" w:rsidRDefault="00EA4AC1"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87F757C-7F38-4C94-A00F-653AFFCC8D60}"/>
              <w:text w:multiLine="1"/>
            </w:sdtPr>
            <w:sdtEndPr/>
            <w:sdtContent>
              <w:r w:rsidR="00072FEC">
                <w:rPr>
                  <w:rFonts w:ascii="Gill Alt One MT Light" w:hAnsi="Gill Alt One MT Light"/>
                  <w:sz w:val="16"/>
                  <w:szCs w:val="16"/>
                </w:rPr>
                <w:t>Repubblica e Cantone Ticino</w:t>
              </w:r>
            </w:sdtContent>
          </w:sdt>
        </w:p>
        <w:p w14:paraId="222170D5" w14:textId="77777777" w:rsidR="001433AC" w:rsidRPr="00E8185F" w:rsidRDefault="00EA4AC1"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87F757C-7F38-4C94-A00F-653AFFCC8D60}"/>
              <w:text w:multiLine="1"/>
            </w:sdtPr>
            <w:sdtEndPr/>
            <w:sdtContent>
              <w:r w:rsidR="008559B9">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14:paraId="77F26508" w14:textId="6D170AC7" w:rsidR="001433AC" w:rsidRPr="004204CB" w:rsidRDefault="00072FEC" w:rsidP="00662409">
          <w:pPr>
            <w:pStyle w:val="Page"/>
            <w:jc w:val="right"/>
          </w:pPr>
          <w:r w:rsidRPr="004204CB">
            <w:fldChar w:fldCharType="begin"/>
          </w:r>
          <w:r w:rsidRPr="004204CB">
            <w:instrText xml:space="preserve"> PAGE   \* MERGEFORMAT </w:instrText>
          </w:r>
          <w:r w:rsidRPr="004204CB">
            <w:fldChar w:fldCharType="separate"/>
          </w:r>
          <w:r w:rsidR="00AB1F55">
            <w:rPr>
              <w:noProof/>
            </w:rPr>
            <w:t>2</w:t>
          </w:r>
          <w:r w:rsidRPr="004204CB">
            <w:fldChar w:fldCharType="end"/>
          </w:r>
          <w:r w:rsidRPr="004204CB">
            <w:t xml:space="preserve"> di </w:t>
          </w:r>
          <w:fldSimple w:instr=" NUMPAGES   \* MERGEFORMAT ">
            <w:r w:rsidR="00AB1F55">
              <w:rPr>
                <w:noProof/>
              </w:rPr>
              <w:t>7</w:t>
            </w:r>
          </w:fldSimple>
        </w:p>
      </w:tc>
    </w:tr>
    <w:tr w:rsidR="005012EC" w:rsidRPr="009E444B" w14:paraId="6246A57E"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87F757C-7F38-4C94-A00F-653AFFCC8D60}"/>
          <w:text w:multiLine="1"/>
        </w:sdtPr>
        <w:sdtEndPr/>
        <w:sdtContent>
          <w:tc>
            <w:tcPr>
              <w:tcW w:w="8383" w:type="dxa"/>
              <w:tcBorders>
                <w:left w:val="single" w:sz="4" w:space="0" w:color="auto"/>
              </w:tcBorders>
              <w:tcMar>
                <w:top w:w="0" w:type="dxa"/>
                <w:left w:w="142" w:type="dxa"/>
              </w:tcMar>
            </w:tcPr>
            <w:p w14:paraId="051B959D" w14:textId="697F1162" w:rsidR="001433AC" w:rsidRPr="00B611D5" w:rsidRDefault="008049B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8349 R del 22 febbraio 2024</w:t>
              </w:r>
            </w:p>
          </w:tc>
        </w:sdtContent>
      </w:sdt>
      <w:tc>
        <w:tcPr>
          <w:tcW w:w="1710" w:type="dxa"/>
          <w:tcBorders>
            <w:top w:val="single" w:sz="4" w:space="0" w:color="auto"/>
          </w:tcBorders>
        </w:tcPr>
        <w:p w14:paraId="0E4759A4" w14:textId="77777777" w:rsidR="001433AC" w:rsidRPr="00B611D5" w:rsidRDefault="001433AC" w:rsidP="00662409">
          <w:pPr>
            <w:pStyle w:val="InvisibleLine"/>
            <w:rPr>
              <w:lang w:val="it-CH"/>
            </w:rPr>
          </w:pPr>
        </w:p>
      </w:tc>
    </w:tr>
  </w:tbl>
  <w:p w14:paraId="4B47C676" w14:textId="77777777" w:rsidR="00F657BF" w:rsidRPr="00980362" w:rsidRDefault="00072FE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AD877BA"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87F757C-7F38-4C94-A00F-653AFFCC8D60}"/>
                            <w:text w:multiLine="1"/>
                          </w:sdtPr>
                          <w:sdtEndPr/>
                          <w:sdtContent>
                            <w:p w14:paraId="1B6520CD" w14:textId="77777777" w:rsidR="001433AC" w:rsidRPr="00411371" w:rsidRDefault="00072FE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877BA"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887F757C-7F38-4C94-A00F-653AFFCC8D60}"/>
                      <w:text w:multiLine="1"/>
                    </w:sdtPr>
                    <w:sdtEndPr/>
                    <w:sdtContent>
                      <w:p w14:paraId="1B6520CD" w14:textId="77777777" w:rsidR="001433AC" w:rsidRPr="00411371" w:rsidRDefault="00072FE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22B79E6" w14:textId="77777777" w:rsidTr="00CD5F73">
      <w:trPr>
        <w:trHeight w:hRule="exact" w:val="584"/>
      </w:trPr>
      <w:tc>
        <w:tcPr>
          <w:tcW w:w="2440" w:type="pct"/>
          <w:gridSpan w:val="3"/>
          <w:tcBorders>
            <w:top w:val="nil"/>
            <w:left w:val="nil"/>
            <w:bottom w:val="single" w:sz="4" w:space="0" w:color="auto"/>
          </w:tcBorders>
        </w:tcPr>
        <w:p w14:paraId="40A68DC7" w14:textId="77777777" w:rsidR="001433AC" w:rsidRDefault="001433AC" w:rsidP="00932E26">
          <w:pPr>
            <w:pStyle w:val="InvisibleLine"/>
            <w:spacing w:line="240" w:lineRule="auto"/>
            <w:ind w:left="15"/>
            <w:rPr>
              <w:rFonts w:ascii="Gill Alt One MT Light" w:hAnsi="Gill Alt One MT Light"/>
              <w:sz w:val="16"/>
              <w:lang w:val="it-CH"/>
            </w:rPr>
          </w:pPr>
        </w:p>
        <w:p w14:paraId="5099CF2D" w14:textId="77777777" w:rsidR="001433AC" w:rsidRDefault="00072FE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37ADE0EB" w14:textId="77777777" w:rsidR="001433AC" w:rsidRPr="008966E7" w:rsidRDefault="001433A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249A5C9B" w14:textId="77777777" w:rsidR="001433AC" w:rsidRPr="003108C0" w:rsidRDefault="001433AC" w:rsidP="00D07D6E">
          <w:pPr>
            <w:pStyle w:val="Level"/>
            <w:ind w:left="150"/>
            <w:rPr>
              <w:sz w:val="16"/>
            </w:rPr>
          </w:pPr>
        </w:p>
      </w:tc>
      <w:tc>
        <w:tcPr>
          <w:tcW w:w="209" w:type="pct"/>
          <w:tcBorders>
            <w:top w:val="nil"/>
            <w:bottom w:val="single" w:sz="4" w:space="0" w:color="auto"/>
          </w:tcBorders>
        </w:tcPr>
        <w:p w14:paraId="50DF79DA" w14:textId="77777777" w:rsidR="001433AC" w:rsidRDefault="00072FEC" w:rsidP="00D07D6E">
          <w:pPr>
            <w:pStyle w:val="InvisibleLine"/>
            <w:ind w:left="150"/>
          </w:pPr>
          <w:r>
            <w:rPr>
              <w:noProof/>
              <w:lang w:val="it-CH" w:eastAsia="it-CH"/>
            </w:rPr>
            <w:drawing>
              <wp:anchor distT="0" distB="0" distL="114300" distR="114300" simplePos="0" relativeHeight="251667456" behindDoc="1" locked="1" layoutInCell="1" allowOverlap="1" wp14:anchorId="0D6A02F7" wp14:editId="226CACA6">
                <wp:simplePos x="0" y="0"/>
                <wp:positionH relativeFrom="column">
                  <wp:posOffset>-92710</wp:posOffset>
                </wp:positionH>
                <wp:positionV relativeFrom="page">
                  <wp:posOffset>-119380</wp:posOffset>
                </wp:positionV>
                <wp:extent cx="276653" cy="467995"/>
                <wp:effectExtent l="0" t="0" r="0" b="8255"/>
                <wp:wrapNone/>
                <wp:docPr id="6" name="ooImg_207593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28528E57" w14:textId="26983696" w:rsidR="001433AC" w:rsidRPr="004204CB" w:rsidRDefault="00072FE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B1F5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B1F55">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8049BE" w:rsidRPr="008049BE" w14:paraId="0E548CBB"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87F757C-7F38-4C94-A00F-653AFFCC8D60}"/>
          <w:text w:multiLine="1"/>
        </w:sdtPr>
        <w:sdtEndPr/>
        <w:sdtContent>
          <w:tc>
            <w:tcPr>
              <w:tcW w:w="5000" w:type="pct"/>
              <w:gridSpan w:val="6"/>
              <w:tcBorders>
                <w:left w:val="nil"/>
                <w:right w:val="nil"/>
              </w:tcBorders>
              <w:noWrap/>
              <w:tcMar>
                <w:top w:w="0" w:type="dxa"/>
              </w:tcMar>
              <w:vAlign w:val="bottom"/>
            </w:tcPr>
            <w:p w14:paraId="58F01B4F" w14:textId="0A2C316C" w:rsidR="001433AC" w:rsidRPr="008049BE" w:rsidRDefault="008049BE" w:rsidP="00DB7CD8">
              <w:pPr>
                <w:pStyle w:val="HeaderDecisione"/>
                <w:tabs>
                  <w:tab w:val="left" w:pos="1459"/>
                </w:tabs>
                <w:spacing w:after="160" w:line="640" w:lineRule="exact"/>
                <w:rPr>
                  <w:rFonts w:ascii="Gill Sans Display MT Pro BdCn" w:hAnsi="Gill Sans Display MT Pro BdCn"/>
                  <w:sz w:val="44"/>
                  <w:szCs w:val="44"/>
                </w:rPr>
              </w:pPr>
              <w:r w:rsidRPr="008049BE">
                <w:rPr>
                  <w:rFonts w:ascii="Gill Sans Display MT Pro BdCn" w:hAnsi="Gill Sans Display MT Pro BdCn"/>
                  <w:sz w:val="44"/>
                  <w:szCs w:val="44"/>
                </w:rPr>
                <w:t>Rapporto</w:t>
              </w:r>
            </w:p>
          </w:tc>
        </w:sdtContent>
      </w:sdt>
    </w:tr>
    <w:tr w:rsidR="008049BE" w:rsidRPr="008049BE" w14:paraId="2DE66B7C" w14:textId="77777777" w:rsidTr="00B76ABD">
      <w:trPr>
        <w:trHeight w:hRule="exact" w:val="306"/>
      </w:trPr>
      <w:tc>
        <w:tcPr>
          <w:tcW w:w="670" w:type="pct"/>
          <w:tcBorders>
            <w:left w:val="nil"/>
            <w:bottom w:val="nil"/>
          </w:tcBorders>
          <w:noWrap/>
          <w:tcMar>
            <w:top w:w="57" w:type="dxa"/>
            <w:left w:w="142" w:type="dxa"/>
          </w:tcMar>
        </w:tcPr>
        <w:p w14:paraId="5CA7A30B" w14:textId="77777777" w:rsidR="001433AC" w:rsidRPr="008049BE" w:rsidRDefault="00072FEC" w:rsidP="002B0F22">
          <w:pPr>
            <w:pStyle w:val="Level"/>
            <w:spacing w:before="60"/>
            <w:rPr>
              <w:rFonts w:ascii="Gill Alt One MT Light" w:hAnsi="Gill Alt One MT Light"/>
              <w:sz w:val="16"/>
            </w:rPr>
          </w:pPr>
          <w:r w:rsidRPr="008049BE">
            <w:rPr>
              <w:rFonts w:ascii="Gill Alt One MT Light" w:hAnsi="Gill Alt One MT Light"/>
              <w:sz w:val="16"/>
            </w:rPr>
            <w:t>numero</w:t>
          </w:r>
        </w:p>
        <w:p w14:paraId="2626D748" w14:textId="77777777" w:rsidR="001433AC" w:rsidRPr="008049BE" w:rsidRDefault="001433A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3B1DA96B" w14:textId="77777777" w:rsidR="001433AC" w:rsidRPr="008049BE" w:rsidRDefault="00072FEC" w:rsidP="002B0F22">
          <w:pPr>
            <w:pStyle w:val="Level"/>
            <w:spacing w:before="60"/>
            <w:rPr>
              <w:rFonts w:ascii="Gill Alt One MT Light" w:hAnsi="Gill Alt One MT Light"/>
              <w:sz w:val="16"/>
            </w:rPr>
          </w:pPr>
          <w:r w:rsidRPr="008049BE">
            <w:rPr>
              <w:rFonts w:ascii="Gill Alt One MT Light" w:hAnsi="Gill Alt One MT Light"/>
              <w:sz w:val="16"/>
            </w:rPr>
            <w:t>data</w:t>
          </w:r>
        </w:p>
        <w:p w14:paraId="7BF9338D" w14:textId="77777777" w:rsidR="001433AC" w:rsidRPr="008049BE" w:rsidRDefault="001433A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223BA594" w14:textId="77777777" w:rsidR="001433AC" w:rsidRPr="008049BE" w:rsidRDefault="00072FEC" w:rsidP="002B0F22">
          <w:pPr>
            <w:pStyle w:val="Level"/>
            <w:spacing w:before="60"/>
            <w:rPr>
              <w:rFonts w:ascii="Gill Alt One MT Light" w:hAnsi="Gill Alt One MT Light"/>
              <w:sz w:val="16"/>
            </w:rPr>
          </w:pPr>
          <w:r w:rsidRPr="008049BE">
            <w:rPr>
              <w:rFonts w:ascii="Gill Alt One MT Light" w:hAnsi="Gill Alt One MT Light"/>
              <w:sz w:val="16"/>
            </w:rPr>
            <w:t>competenza</w:t>
          </w:r>
        </w:p>
        <w:p w14:paraId="654BF442" w14:textId="77777777" w:rsidR="001433AC" w:rsidRPr="008049BE" w:rsidRDefault="001433AC" w:rsidP="002B0F22">
          <w:pPr>
            <w:pStyle w:val="Level"/>
            <w:spacing w:before="60" w:line="240" w:lineRule="auto"/>
            <w:rPr>
              <w:rFonts w:ascii="Gill Alt One MT Light" w:hAnsi="Gill Alt One MT Light"/>
              <w:sz w:val="16"/>
            </w:rPr>
          </w:pPr>
        </w:p>
      </w:tc>
    </w:tr>
    <w:tr w:rsidR="008049BE" w:rsidRPr="008049BE" w14:paraId="5C7787AB" w14:textId="77777777" w:rsidTr="008C03B5">
      <w:trPr>
        <w:trHeight w:hRule="exact" w:val="699"/>
      </w:trPr>
      <w:tc>
        <w:tcPr>
          <w:tcW w:w="670" w:type="pct"/>
          <w:tcBorders>
            <w:top w:val="nil"/>
            <w:left w:val="nil"/>
            <w:bottom w:val="single" w:sz="4" w:space="0" w:color="auto"/>
            <w:right w:val="nil"/>
          </w:tcBorders>
          <w:noWrap/>
          <w:tcMar>
            <w:top w:w="0" w:type="dxa"/>
          </w:tcMar>
        </w:tcPr>
        <w:p w14:paraId="7BB62FE9" w14:textId="77777777" w:rsidR="001433AC" w:rsidRPr="008049BE" w:rsidRDefault="00EA4AC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87F757C-7F38-4C94-A00F-653AFFCC8D60}"/>
              <w:text w:multiLine="1"/>
            </w:sdtPr>
            <w:sdtEndPr/>
            <w:sdtContent>
              <w:r w:rsidR="00A37828" w:rsidRPr="008049BE">
                <w:rPr>
                  <w:rFonts w:cstheme="minorHAnsi"/>
                  <w:b/>
                  <w:sz w:val="24"/>
                  <w:szCs w:val="24"/>
                </w:rPr>
                <w:t>8349 R</w:t>
              </w:r>
            </w:sdtContent>
          </w:sdt>
        </w:p>
      </w:tc>
      <w:sdt>
        <w:sdtPr>
          <w:alias w:val="DocParam.Date"/>
          <w:id w:val="-464426178"/>
          <w:dataBinding w:xpath="//DateTime[@id='DocParam.Date']" w:storeItemID="{887F757C-7F38-4C94-A00F-653AFFCC8D60}"/>
          <w:date w:fullDate="2024-02-22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14:paraId="175902DF" w14:textId="6E11366C" w:rsidR="001433AC" w:rsidRPr="008049BE" w:rsidRDefault="008049BE" w:rsidP="00A532F6">
              <w:pPr>
                <w:pStyle w:val="Data"/>
              </w:pPr>
              <w:r w:rsidRPr="008049BE">
                <w:t>22 febbraio 2024</w:t>
              </w:r>
            </w:p>
          </w:tc>
        </w:sdtContent>
      </w:sdt>
      <w:tc>
        <w:tcPr>
          <w:tcW w:w="3218" w:type="pct"/>
          <w:gridSpan w:val="4"/>
          <w:tcBorders>
            <w:top w:val="nil"/>
            <w:left w:val="nil"/>
            <w:bottom w:val="nil"/>
            <w:right w:val="nil"/>
          </w:tcBorders>
        </w:tcPr>
        <w:p w14:paraId="4CCFD6FD" w14:textId="77777777" w:rsidR="001433AC" w:rsidRPr="008049BE" w:rsidRDefault="00EA4AC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887F757C-7F38-4C94-A00F-653AFFCC8D60}"/>
              <w:text w:multiLine="1"/>
            </w:sdtPr>
            <w:sdtEndPr/>
            <w:sdtContent>
              <w:r w:rsidR="008559B9" w:rsidRPr="008049BE">
                <w:rPr>
                  <w:smallCaps/>
                  <w:sz w:val="23"/>
                  <w:szCs w:val="23"/>
                </w:rPr>
                <w:t>Dipartimento del territorio</w:t>
              </w:r>
            </w:sdtContent>
          </w:sdt>
        </w:p>
      </w:tc>
    </w:tr>
    <w:tr w:rsidR="00912E34" w:rsidRPr="00C63927" w14:paraId="406ED9FD"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709C8A34" w14:textId="77777777" w:rsidR="001433AC" w:rsidRPr="00C7320A" w:rsidRDefault="001433AC" w:rsidP="00D07D6E">
          <w:pPr>
            <w:pStyle w:val="Level"/>
            <w:ind w:left="150"/>
            <w:rPr>
              <w:rFonts w:ascii="Gill Alt One MT Light" w:hAnsi="Gill Alt One MT Light"/>
              <w:sz w:val="16"/>
              <w:szCs w:val="16"/>
            </w:rPr>
          </w:pPr>
        </w:p>
      </w:tc>
    </w:tr>
  </w:tbl>
  <w:p w14:paraId="77AD845E" w14:textId="77777777" w:rsidR="00F657BF" w:rsidRPr="00DA2879" w:rsidRDefault="00072FE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37006B83" wp14:editId="2D72E6B9">
          <wp:simplePos x="0" y="0"/>
          <wp:positionH relativeFrom="column">
            <wp:posOffset>3042920</wp:posOffset>
          </wp:positionH>
          <wp:positionV relativeFrom="page">
            <wp:posOffset>215265</wp:posOffset>
          </wp:positionV>
          <wp:extent cx="459464" cy="467995"/>
          <wp:effectExtent l="0" t="0" r="0" b="8255"/>
          <wp:wrapNone/>
          <wp:docPr id="7" name="ooImg_98406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62959C2"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87F757C-7F38-4C94-A00F-653AFFCC8D60}"/>
                            <w:text w:multiLine="1"/>
                          </w:sdtPr>
                          <w:sdtEndPr/>
                          <w:sdtContent>
                            <w:p w14:paraId="769D1DEC" w14:textId="77777777" w:rsidR="001433AC" w:rsidRPr="00411371" w:rsidRDefault="00072FE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959C2"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887F757C-7F38-4C94-A00F-653AFFCC8D60}"/>
                      <w:text w:multiLine="1"/>
                    </w:sdtPr>
                    <w:sdtEndPr/>
                    <w:sdtContent>
                      <w:p w14:paraId="769D1DEC" w14:textId="77777777" w:rsidR="001433AC" w:rsidRPr="00411371" w:rsidRDefault="00072FE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F6"/>
    <w:rsid w:val="000029A0"/>
    <w:rsid w:val="000305A4"/>
    <w:rsid w:val="00056EF6"/>
    <w:rsid w:val="00072FEC"/>
    <w:rsid w:val="000B4BA0"/>
    <w:rsid w:val="000D521B"/>
    <w:rsid w:val="00101EB2"/>
    <w:rsid w:val="00113B57"/>
    <w:rsid w:val="001433AC"/>
    <w:rsid w:val="00191D93"/>
    <w:rsid w:val="001D4D19"/>
    <w:rsid w:val="00224CB5"/>
    <w:rsid w:val="00244D65"/>
    <w:rsid w:val="002B320B"/>
    <w:rsid w:val="002B5D9F"/>
    <w:rsid w:val="002C19F8"/>
    <w:rsid w:val="003311A6"/>
    <w:rsid w:val="003403EF"/>
    <w:rsid w:val="00380904"/>
    <w:rsid w:val="003914D1"/>
    <w:rsid w:val="003B5039"/>
    <w:rsid w:val="003B68AA"/>
    <w:rsid w:val="003B756D"/>
    <w:rsid w:val="003F6043"/>
    <w:rsid w:val="00403ADB"/>
    <w:rsid w:val="0045294B"/>
    <w:rsid w:val="00484A0A"/>
    <w:rsid w:val="004A42B0"/>
    <w:rsid w:val="004C4A49"/>
    <w:rsid w:val="004D20F8"/>
    <w:rsid w:val="00572FD3"/>
    <w:rsid w:val="005F3828"/>
    <w:rsid w:val="005F7159"/>
    <w:rsid w:val="0063254F"/>
    <w:rsid w:val="006B1CA2"/>
    <w:rsid w:val="007023BC"/>
    <w:rsid w:val="0073476E"/>
    <w:rsid w:val="008049BE"/>
    <w:rsid w:val="00804AEF"/>
    <w:rsid w:val="008559B9"/>
    <w:rsid w:val="00871FD5"/>
    <w:rsid w:val="008720C4"/>
    <w:rsid w:val="0089722D"/>
    <w:rsid w:val="008974EA"/>
    <w:rsid w:val="008A0C08"/>
    <w:rsid w:val="008A679E"/>
    <w:rsid w:val="008D0B24"/>
    <w:rsid w:val="008F52AF"/>
    <w:rsid w:val="009453B4"/>
    <w:rsid w:val="0094557D"/>
    <w:rsid w:val="009646E1"/>
    <w:rsid w:val="00970E71"/>
    <w:rsid w:val="009C5E5A"/>
    <w:rsid w:val="009E3ED9"/>
    <w:rsid w:val="00A37828"/>
    <w:rsid w:val="00A975F9"/>
    <w:rsid w:val="00AB1F55"/>
    <w:rsid w:val="00AF00BB"/>
    <w:rsid w:val="00AF0268"/>
    <w:rsid w:val="00B611D5"/>
    <w:rsid w:val="00B9117E"/>
    <w:rsid w:val="00BE6727"/>
    <w:rsid w:val="00BF0A1F"/>
    <w:rsid w:val="00C40F81"/>
    <w:rsid w:val="00C4182F"/>
    <w:rsid w:val="00C959D1"/>
    <w:rsid w:val="00C97D7C"/>
    <w:rsid w:val="00D00D15"/>
    <w:rsid w:val="00D33940"/>
    <w:rsid w:val="00D600FD"/>
    <w:rsid w:val="00D649A8"/>
    <w:rsid w:val="00E53276"/>
    <w:rsid w:val="00E86680"/>
    <w:rsid w:val="00EA4AC1"/>
    <w:rsid w:val="00EB088A"/>
    <w:rsid w:val="00F4170D"/>
    <w:rsid w:val="00F657BF"/>
    <w:rsid w:val="00F84957"/>
    <w:rsid w:val="00FE33C2"/>
    <w:rsid w:val="00FE45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C3C49E7"/>
  <w15:docId w15:val="{31441CD3-C610-4B00-B20E-E08BE93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6EF6"/>
    <w:rPr>
      <w:rFonts w:ascii="Arial" w:hAnsi="Arial"/>
      <w:sz w:val="24"/>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056EF6"/>
    <w:pPr>
      <w:autoSpaceDE w:val="0"/>
      <w:autoSpaceDN w:val="0"/>
      <w:adjustRightInd w:val="0"/>
      <w:jc w:val="left"/>
    </w:pPr>
    <w:rPr>
      <w:rFonts w:ascii="Arial" w:eastAsia="Times New Roman" w:hAnsi="Arial" w:cs="Arial"/>
      <w:color w:val="000000"/>
      <w:sz w:val="24"/>
      <w:szCs w:val="24"/>
      <w:lang w:val="it-CH" w:eastAsia="it-CH"/>
    </w:rPr>
  </w:style>
  <w:style w:type="character" w:styleId="Collegamentoipertestuale">
    <w:name w:val="Hyperlink"/>
    <w:basedOn w:val="Carpredefinitoparagrafo"/>
    <w:uiPriority w:val="99"/>
    <w:unhideWhenUsed/>
    <w:rsid w:val="00056EF6"/>
    <w:rPr>
      <w:color w:val="0000FF" w:themeColor="hyperlink"/>
      <w:u w:val="single"/>
    </w:rPr>
  </w:style>
  <w:style w:type="paragraph" w:customStyle="1" w:styleId="pf0">
    <w:name w:val="pf0"/>
    <w:basedOn w:val="Normale"/>
    <w:rsid w:val="00224CB5"/>
    <w:pPr>
      <w:spacing w:before="100" w:beforeAutospacing="1" w:after="100" w:afterAutospacing="1"/>
      <w:jc w:val="left"/>
    </w:pPr>
    <w:rPr>
      <w:rFonts w:ascii="Times New Roman" w:eastAsia="Times New Roman" w:hAnsi="Times New Roman" w:cs="Times New Roman"/>
      <w:szCs w:val="24"/>
      <w:lang w:eastAsia="it-CH"/>
    </w:rPr>
  </w:style>
  <w:style w:type="character" w:customStyle="1" w:styleId="cf01">
    <w:name w:val="cf01"/>
    <w:basedOn w:val="Carpredefinitoparagrafo"/>
    <w:rsid w:val="00224CB5"/>
    <w:rPr>
      <w:rFonts w:ascii="Segoe UI" w:hAnsi="Segoe UI" w:cs="Segoe UI" w:hint="default"/>
      <w:sz w:val="18"/>
      <w:szCs w:val="18"/>
    </w:rPr>
  </w:style>
  <w:style w:type="character" w:customStyle="1" w:styleId="cf11">
    <w:name w:val="cf11"/>
    <w:basedOn w:val="Carpredefinitoparagrafo"/>
    <w:rsid w:val="00244D65"/>
    <w:rPr>
      <w:rFonts w:ascii="Segoe UI" w:hAnsi="Segoe UI" w:cs="Segoe UI" w:hint="default"/>
      <w:sz w:val="18"/>
      <w:szCs w:val="18"/>
      <w:shd w:val="clear" w:color="auto" w:fill="FFFF00"/>
    </w:rPr>
  </w:style>
  <w:style w:type="paragraph" w:styleId="Testofumetto">
    <w:name w:val="Balloon Text"/>
    <w:basedOn w:val="Normale"/>
    <w:link w:val="TestofumettoCarattere"/>
    <w:uiPriority w:val="99"/>
    <w:semiHidden/>
    <w:unhideWhenUsed/>
    <w:rsid w:val="008049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49B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414326471">
      <w:bodyDiv w:val="1"/>
      <w:marLeft w:val="0"/>
      <w:marRight w:val="0"/>
      <w:marTop w:val="0"/>
      <w:marBottom w:val="0"/>
      <w:divBdr>
        <w:top w:val="none" w:sz="0" w:space="0" w:color="auto"/>
        <w:left w:val="none" w:sz="0" w:space="0" w:color="auto"/>
        <w:bottom w:val="none" w:sz="0" w:space="0" w:color="auto"/>
        <w:right w:val="none" w:sz="0" w:space="0" w:color="auto"/>
      </w:divBdr>
    </w:div>
    <w:div w:id="550767126">
      <w:bodyDiv w:val="1"/>
      <w:marLeft w:val="0"/>
      <w:marRight w:val="0"/>
      <w:marTop w:val="0"/>
      <w:marBottom w:val="0"/>
      <w:divBdr>
        <w:top w:val="none" w:sz="0" w:space="0" w:color="auto"/>
        <w:left w:val="none" w:sz="0" w:space="0" w:color="auto"/>
        <w:bottom w:val="none" w:sz="0" w:space="0" w:color="auto"/>
        <w:right w:val="none" w:sz="0" w:space="0" w:color="auto"/>
      </w:divBdr>
    </w:div>
    <w:div w:id="9301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ingplanet.panda.org/e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ck.mail.wwf.ch/?qs=83e48dc7bb869c9d1c8d0ec1408a34ad503680ee240b9ac3758a128b5eed192da7e5d1ac2ea41ad51fc1c016f78eec1ab3929f2480428d2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OneOffixx\generated\d3ef5be5-44e3-4e89-9abc-89429e54a05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2075931908</Id>
      <Width>0</Width>
      <Height>0</Height>
      <XPath>//Image[@id='Profile.Org.WappenSW']</XPath>
      <ImageHash>02f1c0cdac6aeac316213b2e7cb733a0</ImageHash>
    </ImageSizeDefinition>
    <ImageSizeDefinition>
      <Id>984069804</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1 8 9 8 7 f 3 - 0 6 3 0 - 4 e 3 7 - 9 b 1 9 - 9 7 2 6 5 6 d e 4 5 a 5 "   t I d = " a 3 6 2 a 5 d 4 - 9 5 8 9 - 4 1 b f - a 4 e 6 - 4 f 8 7 c 4 e 4 1 2 3 9 "   i n t e r n a l T I d = " 9 0 6 4 c c 7 f - 3 1 6 d - 4 6 b 1 - a 4 a c - 7 4 8 6 0 c 3 f 8 a 5 b "   m t I d = " 2 7 5 a f 3 2 e - b c 4 0 - 4 5 c 2 - 8 5 b 7 - a f b 1 c 0 3 8 2 6 5 3 "   r e v i s i o n = " 0 "   c r e a t e d m a j o r v e r s i o n = " 0 "   c r e a t e d m i n o r v e r s i o n = " 0 "   c r e a t e d = " 2 0 2 4 - 0 1 - 0 8 T 0 9 : 0 2 : 2 8 . 0 0 5 3 0 9 7 Z "   m o d i f i e d m a j o r v e r s i o n = " 0 "   m o d i f i e d m i n o r v e r s i o n = " 0 "   m o d i f i e d = " 0 0 0 1 - 0 1 - 0 1 T 0 0 : 0 0 : 0 0 "   p r o f i l e = " b 9 3 2 e 3 1 b - 6 f 9 a - 4 2 4 e - 9 a f a - 0 5 4 7 0 f a 1 e 2 2 7 " 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4 9   R   d e l   2 2   f e b b r a i o 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4 9   R   d e l   2 2   f e b b r a i o   2 0 2 4 ] ] > < / T e x t >  
                 < T e x t   i d = " C u s t o m E l e m e n t s . F i e l d s . O r g L i v e l l o 1 "   l a b e l = " C u s t o m E l e m e n t s . F i e l d s . O r g L i v e l l o 1 " > < ! [ C D A T A [ R e p u b b l i c a   e   C a n t o n e   T i c i n o ] ] > < / T e x t >  
             < / S c r i p t i n g > 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 2 0 2 4 - 0 2 - 2 2 T 0 0 : 0 0 : 0 0 Z < / D a t e T i m e >  
                 < T e x t   i d = " D o c P a r a m . N u m b e r " > < ! [ C D A T A [ 8 3 4 9 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285375BF-15F7-449F-95BB-E7D5CEEAF8AB}">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887F757C-7F38-4C94-A00F-653AFFCC8D6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d3ef5be5-44e3-4e89-9abc-89429e54a054.dotx</Template>
  <TotalTime>4</TotalTime>
  <Pages>7</Pages>
  <Words>2737</Words>
  <Characters>13687</Characters>
  <Application>Microsoft Office Word</Application>
  <DocSecurity>0</DocSecurity>
  <Lines>6843</Lines>
  <Paragraphs>2737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Navari Raffaella / kxgc012</dc:creator>
  <cp:lastModifiedBy>Venturi Luca</cp:lastModifiedBy>
  <cp:revision>17</cp:revision>
  <cp:lastPrinted>2024-02-23T10:30:00Z</cp:lastPrinted>
  <dcterms:created xsi:type="dcterms:W3CDTF">2024-02-23T10:28:00Z</dcterms:created>
  <dcterms:modified xsi:type="dcterms:W3CDTF">2024-02-23T10:40:00Z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