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D9DCB" w14:textId="77777777" w:rsidR="009A1C6D" w:rsidRPr="00975517"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b/>
          <w:bCs/>
          <w:sz w:val="28"/>
          <w:szCs w:val="28"/>
        </w:rPr>
      </w:pPr>
      <w:r w:rsidRPr="00975517">
        <w:rPr>
          <w:rFonts w:ascii="Arial" w:hAnsi="Arial"/>
          <w:b/>
          <w:bCs/>
          <w:sz w:val="28"/>
          <w:szCs w:val="28"/>
        </w:rPr>
        <w:t>della Commissione giustizia e diritti</w:t>
      </w:r>
    </w:p>
    <w:p w14:paraId="6CEB69DB" w14:textId="46421076" w:rsidR="009A1C6D" w:rsidRPr="00975517"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b/>
          <w:bCs/>
          <w:sz w:val="28"/>
          <w:szCs w:val="28"/>
        </w:rPr>
      </w:pPr>
      <w:r w:rsidRPr="00975517">
        <w:rPr>
          <w:rFonts w:ascii="Arial" w:hAnsi="Arial"/>
          <w:b/>
          <w:bCs/>
          <w:sz w:val="28"/>
          <w:szCs w:val="28"/>
        </w:rPr>
        <w:t xml:space="preserve">sul messaggio 11 settembre 2019 </w:t>
      </w:r>
      <w:r>
        <w:rPr>
          <w:rFonts w:ascii="Arial" w:hAnsi="Arial"/>
          <w:b/>
          <w:bCs/>
          <w:sz w:val="28"/>
          <w:szCs w:val="28"/>
        </w:rPr>
        <w:t xml:space="preserve">concernente il </w:t>
      </w:r>
      <w:r w:rsidR="00887241">
        <w:rPr>
          <w:rFonts w:ascii="Arial" w:hAnsi="Arial"/>
          <w:b/>
          <w:bCs/>
          <w:iCs/>
          <w:sz w:val="28"/>
          <w:szCs w:val="28"/>
        </w:rPr>
        <w:t>p</w:t>
      </w:r>
      <w:r w:rsidRPr="00975517">
        <w:rPr>
          <w:rFonts w:ascii="Arial" w:hAnsi="Arial"/>
          <w:b/>
          <w:bCs/>
          <w:iCs/>
          <w:sz w:val="28"/>
          <w:szCs w:val="28"/>
        </w:rPr>
        <w:t xml:space="preserve">otenziamento del Ministero </w:t>
      </w:r>
      <w:r>
        <w:rPr>
          <w:rFonts w:ascii="Arial" w:hAnsi="Arial"/>
          <w:b/>
          <w:bCs/>
          <w:iCs/>
          <w:sz w:val="28"/>
          <w:szCs w:val="28"/>
        </w:rPr>
        <w:t>p</w:t>
      </w:r>
      <w:r w:rsidRPr="00975517">
        <w:rPr>
          <w:rFonts w:ascii="Arial" w:hAnsi="Arial"/>
          <w:b/>
          <w:bCs/>
          <w:iCs/>
          <w:sz w:val="28"/>
          <w:szCs w:val="28"/>
        </w:rPr>
        <w:t>ubblico e</w:t>
      </w:r>
      <w:r>
        <w:rPr>
          <w:rFonts w:ascii="Arial" w:hAnsi="Arial"/>
          <w:b/>
          <w:bCs/>
          <w:iCs/>
          <w:sz w:val="28"/>
          <w:szCs w:val="28"/>
        </w:rPr>
        <w:t xml:space="preserve"> l'</w:t>
      </w:r>
      <w:r w:rsidRPr="00975517">
        <w:rPr>
          <w:rFonts w:ascii="Arial" w:hAnsi="Arial"/>
          <w:b/>
          <w:bCs/>
          <w:iCs/>
          <w:sz w:val="28"/>
          <w:szCs w:val="28"/>
        </w:rPr>
        <w:t xml:space="preserve">estensione delle competenze decisionali dei </w:t>
      </w:r>
      <w:r>
        <w:rPr>
          <w:rFonts w:ascii="Arial" w:hAnsi="Arial"/>
          <w:b/>
          <w:bCs/>
          <w:iCs/>
          <w:sz w:val="28"/>
          <w:szCs w:val="28"/>
        </w:rPr>
        <w:t>Segretari giudiziari</w:t>
      </w:r>
    </w:p>
    <w:p w14:paraId="1E48F32B"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left" w:pos="4933"/>
        </w:tabs>
        <w:suppressAutoHyphens/>
        <w:spacing w:after="0" w:line="240" w:lineRule="auto"/>
        <w:jc w:val="both"/>
        <w:rPr>
          <w:rFonts w:ascii="Arial" w:eastAsia="Arial" w:hAnsi="Arial" w:cs="Arial"/>
          <w:sz w:val="24"/>
          <w:szCs w:val="24"/>
        </w:rPr>
      </w:pPr>
    </w:p>
    <w:p w14:paraId="6FA56ECB"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left" w:pos="4933"/>
        </w:tabs>
        <w:suppressAutoHyphens/>
        <w:spacing w:after="0" w:line="240" w:lineRule="auto"/>
        <w:jc w:val="both"/>
        <w:rPr>
          <w:rFonts w:ascii="Arial" w:eastAsia="Arial" w:hAnsi="Arial" w:cs="Arial"/>
          <w:sz w:val="24"/>
          <w:szCs w:val="24"/>
        </w:rPr>
      </w:pPr>
    </w:p>
    <w:sdt>
      <w:sdtPr>
        <w:rPr>
          <w:rFonts w:ascii="Calibri" w:hAnsi="Calibri"/>
          <w:b w:val="0"/>
          <w:sz w:val="22"/>
        </w:rPr>
        <w:id w:val="253256306"/>
        <w:docPartObj>
          <w:docPartGallery w:val="Table of Contents"/>
          <w:docPartUnique/>
        </w:docPartObj>
      </w:sdtPr>
      <w:sdtEndPr>
        <w:rPr>
          <w:bCs/>
        </w:rPr>
      </w:sdtEndPr>
      <w:sdtContent>
        <w:p w14:paraId="5E43097B" w14:textId="551084A0" w:rsidR="001C7410" w:rsidRPr="0045511E" w:rsidRDefault="0045511E">
          <w:pPr>
            <w:pStyle w:val="Titolosommario"/>
            <w:rPr>
              <w:rFonts w:asciiTheme="minorHAnsi" w:hAnsiTheme="minorHAnsi" w:cstheme="minorHAnsi"/>
              <w:sz w:val="24"/>
              <w:szCs w:val="24"/>
            </w:rPr>
          </w:pPr>
          <w:r w:rsidRPr="0045511E">
            <w:rPr>
              <w:rFonts w:asciiTheme="minorHAnsi" w:hAnsiTheme="minorHAnsi" w:cstheme="minorHAnsi"/>
              <w:sz w:val="24"/>
              <w:szCs w:val="24"/>
            </w:rPr>
            <w:t>SOMMARIO</w:t>
          </w:r>
        </w:p>
        <w:p w14:paraId="61586BF4" w14:textId="3D2DE70D" w:rsidR="0045511E" w:rsidRPr="00CD11B5" w:rsidRDefault="001C7410" w:rsidP="00CD11B5">
          <w:pPr>
            <w:pStyle w:val="Sommario1"/>
            <w:rPr>
              <w:rFonts w:eastAsiaTheme="minorEastAsia"/>
              <w:b w:val="0"/>
              <w:color w:val="auto"/>
              <w:bdr w:val="none" w:sz="0" w:space="0" w:color="auto"/>
              <w:lang w:val="it-CH"/>
            </w:rPr>
          </w:pPr>
          <w:r w:rsidRPr="00CD11B5">
            <w:rPr>
              <w:b w:val="0"/>
            </w:rPr>
            <w:fldChar w:fldCharType="begin"/>
          </w:r>
          <w:r w:rsidRPr="00CD11B5">
            <w:rPr>
              <w:b w:val="0"/>
            </w:rPr>
            <w:instrText xml:space="preserve"> TOC \o "1-3" \h \z \u </w:instrText>
          </w:r>
          <w:r w:rsidRPr="00CD11B5">
            <w:rPr>
              <w:b w:val="0"/>
            </w:rPr>
            <w:fldChar w:fldCharType="separate"/>
          </w:r>
          <w:hyperlink w:anchor="_Toc159917159" w:history="1">
            <w:r w:rsidR="0045511E" w:rsidRPr="00CD11B5">
              <w:rPr>
                <w:rStyle w:val="Collegamentoipertestuale"/>
                <w:b w:val="0"/>
                <w:bCs/>
              </w:rPr>
              <w:t>A.</w:t>
            </w:r>
            <w:r w:rsidR="0045511E" w:rsidRPr="00CD11B5">
              <w:rPr>
                <w:rFonts w:eastAsiaTheme="minorEastAsia"/>
                <w:b w:val="0"/>
                <w:color w:val="auto"/>
                <w:bdr w:val="none" w:sz="0" w:space="0" w:color="auto"/>
                <w:lang w:val="it-CH"/>
              </w:rPr>
              <w:tab/>
            </w:r>
            <w:r w:rsidR="0045511E" w:rsidRPr="00CD11B5">
              <w:rPr>
                <w:rStyle w:val="Collegamentoipertestuale"/>
                <w:b w:val="0"/>
              </w:rPr>
              <w:t>MESSAGGIO DEL CONSIGLIO DI STATO</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_Toc159917159 \h </w:instrText>
            </w:r>
            <w:r w:rsidR="0045511E" w:rsidRPr="00CD11B5">
              <w:rPr>
                <w:b w:val="0"/>
                <w:webHidden/>
              </w:rPr>
            </w:r>
            <w:r w:rsidR="0045511E" w:rsidRPr="00CD11B5">
              <w:rPr>
                <w:b w:val="0"/>
                <w:webHidden/>
              </w:rPr>
              <w:fldChar w:fldCharType="separate"/>
            </w:r>
            <w:r w:rsidR="00BE6079">
              <w:rPr>
                <w:b w:val="0"/>
                <w:webHidden/>
              </w:rPr>
              <w:t>2</w:t>
            </w:r>
            <w:r w:rsidR="0045511E" w:rsidRPr="00CD11B5">
              <w:rPr>
                <w:b w:val="0"/>
                <w:webHidden/>
              </w:rPr>
              <w:fldChar w:fldCharType="end"/>
            </w:r>
          </w:hyperlink>
        </w:p>
        <w:p w14:paraId="1832594B" w14:textId="53F6028E" w:rsidR="0045511E" w:rsidRPr="00CD11B5" w:rsidRDefault="003C7399" w:rsidP="00CD11B5">
          <w:pPr>
            <w:pStyle w:val="Sommario2"/>
            <w:rPr>
              <w:rFonts w:eastAsiaTheme="minorEastAsia"/>
              <w:color w:val="auto"/>
              <w:bdr w:val="none" w:sz="0" w:space="0" w:color="auto"/>
              <w:lang w:val="it-CH"/>
            </w:rPr>
          </w:pPr>
          <w:hyperlink w:anchor="_Toc159917160" w:history="1">
            <w:r w:rsidR="0045511E" w:rsidRPr="00CD11B5">
              <w:rPr>
                <w:rStyle w:val="Collegamentoipertestuale"/>
              </w:rPr>
              <w:t>I.</w:t>
            </w:r>
            <w:r w:rsidR="0045511E" w:rsidRPr="00CD11B5">
              <w:rPr>
                <w:rFonts w:eastAsiaTheme="minorEastAsia"/>
                <w:color w:val="auto"/>
                <w:bdr w:val="none" w:sz="0" w:space="0" w:color="auto"/>
                <w:lang w:val="it-CH"/>
              </w:rPr>
              <w:tab/>
            </w:r>
            <w:r w:rsidR="0045511E" w:rsidRPr="00CD11B5">
              <w:rPr>
                <w:rStyle w:val="Collegamentoipertestuale"/>
              </w:rPr>
              <w:t>INTRODUZIONE</w:t>
            </w:r>
            <w:r w:rsidR="0045511E" w:rsidRPr="00CD11B5">
              <w:rPr>
                <w:webHidden/>
              </w:rPr>
              <w:tab/>
            </w:r>
            <w:r w:rsidR="0045511E" w:rsidRPr="00CD11B5">
              <w:rPr>
                <w:webHidden/>
              </w:rPr>
              <w:fldChar w:fldCharType="begin"/>
            </w:r>
            <w:r w:rsidR="0045511E" w:rsidRPr="00CD11B5">
              <w:rPr>
                <w:webHidden/>
              </w:rPr>
              <w:instrText xml:space="preserve"> PAGEREF _Toc159917160 \h </w:instrText>
            </w:r>
            <w:r w:rsidR="0045511E" w:rsidRPr="00CD11B5">
              <w:rPr>
                <w:webHidden/>
              </w:rPr>
            </w:r>
            <w:r w:rsidR="0045511E" w:rsidRPr="00CD11B5">
              <w:rPr>
                <w:webHidden/>
              </w:rPr>
              <w:fldChar w:fldCharType="separate"/>
            </w:r>
            <w:r w:rsidR="00BE6079">
              <w:rPr>
                <w:webHidden/>
              </w:rPr>
              <w:t>2</w:t>
            </w:r>
            <w:r w:rsidR="0045511E" w:rsidRPr="00CD11B5">
              <w:rPr>
                <w:webHidden/>
              </w:rPr>
              <w:fldChar w:fldCharType="end"/>
            </w:r>
          </w:hyperlink>
        </w:p>
        <w:p w14:paraId="5E984A11" w14:textId="13A59845" w:rsidR="0045511E" w:rsidRPr="00CD11B5" w:rsidRDefault="003C7399" w:rsidP="00CD11B5">
          <w:pPr>
            <w:pStyle w:val="Sommario2"/>
            <w:rPr>
              <w:rFonts w:eastAsiaTheme="minorEastAsia"/>
              <w:color w:val="auto"/>
              <w:bdr w:val="none" w:sz="0" w:space="0" w:color="auto"/>
              <w:lang w:val="it-CH"/>
            </w:rPr>
          </w:pPr>
          <w:hyperlink w:anchor="_Toc159917161" w:history="1">
            <w:r w:rsidR="0045511E" w:rsidRPr="00CD11B5">
              <w:rPr>
                <w:rStyle w:val="Collegamentoipertestuale"/>
              </w:rPr>
              <w:t>II.</w:t>
            </w:r>
            <w:r w:rsidR="0045511E" w:rsidRPr="00CD11B5">
              <w:rPr>
                <w:rFonts w:eastAsiaTheme="minorEastAsia"/>
                <w:color w:val="auto"/>
                <w:bdr w:val="none" w:sz="0" w:space="0" w:color="auto"/>
                <w:lang w:val="it-CH"/>
              </w:rPr>
              <w:tab/>
            </w:r>
            <w:r w:rsidR="0045511E" w:rsidRPr="00CD11B5">
              <w:rPr>
                <w:rStyle w:val="Collegamentoipertestuale"/>
              </w:rPr>
              <w:t>PROPOSTA DI MODIFICA DELLA LOG</w:t>
            </w:r>
            <w:r w:rsidR="0045511E" w:rsidRPr="00CD11B5">
              <w:rPr>
                <w:webHidden/>
              </w:rPr>
              <w:tab/>
            </w:r>
            <w:r w:rsidR="0045511E" w:rsidRPr="00CD11B5">
              <w:rPr>
                <w:webHidden/>
              </w:rPr>
              <w:fldChar w:fldCharType="begin"/>
            </w:r>
            <w:r w:rsidR="0045511E" w:rsidRPr="00CD11B5">
              <w:rPr>
                <w:webHidden/>
              </w:rPr>
              <w:instrText xml:space="preserve"> PAGEREF _Toc159917161 \h </w:instrText>
            </w:r>
            <w:r w:rsidR="0045511E" w:rsidRPr="00CD11B5">
              <w:rPr>
                <w:webHidden/>
              </w:rPr>
            </w:r>
            <w:r w:rsidR="0045511E" w:rsidRPr="00CD11B5">
              <w:rPr>
                <w:webHidden/>
              </w:rPr>
              <w:fldChar w:fldCharType="separate"/>
            </w:r>
            <w:r w:rsidR="00BE6079">
              <w:rPr>
                <w:webHidden/>
              </w:rPr>
              <w:t>2</w:t>
            </w:r>
            <w:r w:rsidR="0045511E" w:rsidRPr="00CD11B5">
              <w:rPr>
                <w:webHidden/>
              </w:rPr>
              <w:fldChar w:fldCharType="end"/>
            </w:r>
          </w:hyperlink>
        </w:p>
        <w:p w14:paraId="135E5462" w14:textId="749A5BC5" w:rsidR="0045511E" w:rsidRPr="00CD11B5" w:rsidRDefault="003C7399" w:rsidP="00CD11B5">
          <w:pPr>
            <w:pStyle w:val="Sommario1"/>
            <w:rPr>
              <w:rFonts w:eastAsiaTheme="minorEastAsia"/>
              <w:b w:val="0"/>
              <w:color w:val="auto"/>
              <w:bdr w:val="none" w:sz="0" w:space="0" w:color="auto"/>
              <w:lang w:val="it-CH"/>
            </w:rPr>
          </w:pPr>
          <w:hyperlink w:anchor="_Toc159917162" w:history="1">
            <w:r w:rsidR="0045511E" w:rsidRPr="00CD11B5">
              <w:rPr>
                <w:rStyle w:val="Collegamentoipertestuale"/>
                <w:b w:val="0"/>
              </w:rPr>
              <w:t>III.</w:t>
            </w:r>
            <w:r w:rsidR="0045511E" w:rsidRPr="00CD11B5">
              <w:rPr>
                <w:rFonts w:eastAsiaTheme="minorEastAsia"/>
                <w:b w:val="0"/>
                <w:color w:val="auto"/>
                <w:bdr w:val="none" w:sz="0" w:space="0" w:color="auto"/>
                <w:lang w:val="it-CH"/>
              </w:rPr>
              <w:tab/>
            </w:r>
            <w:r w:rsidR="0045511E" w:rsidRPr="00CD11B5">
              <w:rPr>
                <w:rStyle w:val="Collegamentoipertestuale"/>
                <w:b w:val="0"/>
              </w:rPr>
              <w:t>PROCEDURA DI CONSULTAZIONE, ATTI PARLAMENTARI, IMPATTO A LIVELLO FINANZIARIO E SULLE RISORSE UMANE, LOGISTICA E STIMA DEI COSTI, RELAZIONE CON LE LINEE GUIDA E IL PIANO FINANZIARIO, CONCLUSIONI</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_Toc159917162 \h </w:instrText>
            </w:r>
            <w:r w:rsidR="0045511E" w:rsidRPr="00CD11B5">
              <w:rPr>
                <w:b w:val="0"/>
                <w:webHidden/>
              </w:rPr>
            </w:r>
            <w:r w:rsidR="0045511E" w:rsidRPr="00CD11B5">
              <w:rPr>
                <w:b w:val="0"/>
                <w:webHidden/>
              </w:rPr>
              <w:fldChar w:fldCharType="separate"/>
            </w:r>
            <w:r w:rsidR="00BE6079">
              <w:rPr>
                <w:b w:val="0"/>
                <w:webHidden/>
              </w:rPr>
              <w:t>4</w:t>
            </w:r>
            <w:r w:rsidR="0045511E" w:rsidRPr="00CD11B5">
              <w:rPr>
                <w:b w:val="0"/>
                <w:webHidden/>
              </w:rPr>
              <w:fldChar w:fldCharType="end"/>
            </w:r>
          </w:hyperlink>
        </w:p>
        <w:p w14:paraId="24D7DDCA" w14:textId="2CE9C749" w:rsidR="0045511E" w:rsidRPr="00CD11B5" w:rsidRDefault="003C7399" w:rsidP="00CD11B5">
          <w:pPr>
            <w:pStyle w:val="Sommario1"/>
            <w:rPr>
              <w:rFonts w:eastAsiaTheme="minorEastAsia"/>
              <w:b w:val="0"/>
              <w:color w:val="auto"/>
              <w:bdr w:val="none" w:sz="0" w:space="0" w:color="auto"/>
              <w:lang w:val="it-CH"/>
            </w:rPr>
          </w:pPr>
          <w:hyperlink w:anchor="_Toc159917163" w:history="1">
            <w:r w:rsidR="0045511E" w:rsidRPr="00CD11B5">
              <w:rPr>
                <w:rStyle w:val="Collegamentoipertestuale"/>
                <w:b w:val="0"/>
                <w:bCs/>
              </w:rPr>
              <w:t>B.</w:t>
            </w:r>
            <w:r w:rsidR="0045511E" w:rsidRPr="00CD11B5">
              <w:rPr>
                <w:rFonts w:eastAsiaTheme="minorEastAsia"/>
                <w:b w:val="0"/>
                <w:color w:val="auto"/>
                <w:bdr w:val="none" w:sz="0" w:space="0" w:color="auto"/>
                <w:lang w:val="it-CH"/>
              </w:rPr>
              <w:tab/>
            </w:r>
            <w:r w:rsidR="0045511E" w:rsidRPr="00CD11B5">
              <w:rPr>
                <w:rStyle w:val="Collegamentoipertestuale"/>
                <w:b w:val="0"/>
              </w:rPr>
              <w:t>AUDIZIONI</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_Toc159917163 \h </w:instrText>
            </w:r>
            <w:r w:rsidR="0045511E" w:rsidRPr="00CD11B5">
              <w:rPr>
                <w:b w:val="0"/>
                <w:webHidden/>
              </w:rPr>
            </w:r>
            <w:r w:rsidR="0045511E" w:rsidRPr="00CD11B5">
              <w:rPr>
                <w:b w:val="0"/>
                <w:webHidden/>
              </w:rPr>
              <w:fldChar w:fldCharType="separate"/>
            </w:r>
            <w:r w:rsidR="00BE6079">
              <w:rPr>
                <w:b w:val="0"/>
                <w:webHidden/>
              </w:rPr>
              <w:t>5</w:t>
            </w:r>
            <w:r w:rsidR="0045511E" w:rsidRPr="00CD11B5">
              <w:rPr>
                <w:b w:val="0"/>
                <w:webHidden/>
              </w:rPr>
              <w:fldChar w:fldCharType="end"/>
            </w:r>
          </w:hyperlink>
        </w:p>
        <w:p w14:paraId="08644BFA" w14:textId="4D6FF066" w:rsidR="0045511E" w:rsidRPr="00CD11B5" w:rsidRDefault="003C7399" w:rsidP="00CD11B5">
          <w:pPr>
            <w:pStyle w:val="Sommario1"/>
            <w:rPr>
              <w:rFonts w:eastAsiaTheme="minorEastAsia"/>
              <w:b w:val="0"/>
              <w:color w:val="auto"/>
              <w:bdr w:val="none" w:sz="0" w:space="0" w:color="auto"/>
              <w:lang w:val="it-CH"/>
            </w:rPr>
          </w:pPr>
          <w:hyperlink w:anchor="_Toc159917164" w:history="1">
            <w:r w:rsidR="0045511E" w:rsidRPr="00CD11B5">
              <w:rPr>
                <w:rStyle w:val="Collegamentoipertestuale"/>
                <w:b w:val="0"/>
                <w:bCs/>
              </w:rPr>
              <w:t>C.</w:t>
            </w:r>
            <w:r w:rsidR="0045511E" w:rsidRPr="00CD11B5">
              <w:rPr>
                <w:rFonts w:eastAsiaTheme="minorEastAsia"/>
                <w:b w:val="0"/>
                <w:color w:val="auto"/>
                <w:bdr w:val="none" w:sz="0" w:space="0" w:color="auto"/>
                <w:lang w:val="it-CH"/>
              </w:rPr>
              <w:tab/>
            </w:r>
            <w:r w:rsidR="0045511E" w:rsidRPr="00CD11B5">
              <w:rPr>
                <w:rStyle w:val="Collegamentoipertestuale"/>
                <w:b w:val="0"/>
              </w:rPr>
              <w:t>CONSIDERAZIONI E APPROFONDIMENTI COMMISSIONALI</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_Toc159917164 \h </w:instrText>
            </w:r>
            <w:r w:rsidR="0045511E" w:rsidRPr="00CD11B5">
              <w:rPr>
                <w:b w:val="0"/>
                <w:webHidden/>
              </w:rPr>
            </w:r>
            <w:r w:rsidR="0045511E" w:rsidRPr="00CD11B5">
              <w:rPr>
                <w:b w:val="0"/>
                <w:webHidden/>
              </w:rPr>
              <w:fldChar w:fldCharType="separate"/>
            </w:r>
            <w:r w:rsidR="00BE6079">
              <w:rPr>
                <w:b w:val="0"/>
                <w:webHidden/>
              </w:rPr>
              <w:t>6</w:t>
            </w:r>
            <w:r w:rsidR="0045511E" w:rsidRPr="00CD11B5">
              <w:rPr>
                <w:b w:val="0"/>
                <w:webHidden/>
              </w:rPr>
              <w:fldChar w:fldCharType="end"/>
            </w:r>
          </w:hyperlink>
        </w:p>
        <w:p w14:paraId="0AC37523" w14:textId="21AF5691" w:rsidR="0045511E" w:rsidRPr="00CD11B5" w:rsidRDefault="003C7399" w:rsidP="00CD11B5">
          <w:pPr>
            <w:pStyle w:val="Sommario1"/>
            <w:rPr>
              <w:rFonts w:eastAsiaTheme="minorEastAsia"/>
              <w:b w:val="0"/>
              <w:color w:val="auto"/>
              <w:bdr w:val="none" w:sz="0" w:space="0" w:color="auto"/>
              <w:lang w:val="it-CH"/>
            </w:rPr>
          </w:pPr>
          <w:hyperlink w:anchor="_Toc159917165" w:history="1">
            <w:r w:rsidR="0045511E" w:rsidRPr="00CD11B5">
              <w:rPr>
                <w:rStyle w:val="Collegamentoipertestuale"/>
                <w:b w:val="0"/>
              </w:rPr>
              <w:t>I.</w:t>
            </w:r>
            <w:r w:rsidR="0045511E" w:rsidRPr="00CD11B5">
              <w:rPr>
                <w:rFonts w:eastAsiaTheme="minorEastAsia"/>
                <w:b w:val="0"/>
                <w:color w:val="auto"/>
                <w:bdr w:val="none" w:sz="0" w:space="0" w:color="auto"/>
                <w:lang w:val="it-CH"/>
              </w:rPr>
              <w:tab/>
            </w:r>
            <w:r w:rsidR="0045511E" w:rsidRPr="00CD11B5">
              <w:rPr>
                <w:rStyle w:val="Collegamentoipertestuale"/>
                <w:b w:val="0"/>
              </w:rPr>
              <w:t>ANALISI E COMMENTO DEL MESSAGGIO GOVERNATIVO</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_Toc159917165 \h </w:instrText>
            </w:r>
            <w:r w:rsidR="0045511E" w:rsidRPr="00CD11B5">
              <w:rPr>
                <w:b w:val="0"/>
                <w:webHidden/>
              </w:rPr>
            </w:r>
            <w:r w:rsidR="0045511E" w:rsidRPr="00CD11B5">
              <w:rPr>
                <w:b w:val="0"/>
                <w:webHidden/>
              </w:rPr>
              <w:fldChar w:fldCharType="separate"/>
            </w:r>
            <w:r w:rsidR="00BE6079">
              <w:rPr>
                <w:b w:val="0"/>
                <w:webHidden/>
              </w:rPr>
              <w:t>6</w:t>
            </w:r>
            <w:r w:rsidR="0045511E" w:rsidRPr="00CD11B5">
              <w:rPr>
                <w:b w:val="0"/>
                <w:webHidden/>
              </w:rPr>
              <w:fldChar w:fldCharType="end"/>
            </w:r>
          </w:hyperlink>
        </w:p>
        <w:p w14:paraId="077185DA" w14:textId="225342DE" w:rsidR="0045511E" w:rsidRPr="00CD11B5" w:rsidRDefault="003C7399" w:rsidP="00CD11B5">
          <w:pPr>
            <w:pStyle w:val="Sommario1"/>
            <w:rPr>
              <w:rFonts w:eastAsiaTheme="minorEastAsia"/>
              <w:b w:val="0"/>
              <w:color w:val="auto"/>
              <w:bdr w:val="none" w:sz="0" w:space="0" w:color="auto"/>
              <w:lang w:val="it-CH"/>
            </w:rPr>
          </w:pPr>
          <w:hyperlink w:anchor="_Toc159917166" w:history="1">
            <w:r w:rsidR="0045511E" w:rsidRPr="00CD11B5">
              <w:rPr>
                <w:rStyle w:val="Collegamentoipertestuale"/>
                <w:b w:val="0"/>
              </w:rPr>
              <w:t>II.</w:t>
            </w:r>
            <w:r w:rsidR="0045511E" w:rsidRPr="00CD11B5">
              <w:rPr>
                <w:rFonts w:eastAsiaTheme="minorEastAsia"/>
                <w:b w:val="0"/>
                <w:color w:val="auto"/>
                <w:bdr w:val="none" w:sz="0" w:space="0" w:color="auto"/>
                <w:lang w:val="it-CH"/>
              </w:rPr>
              <w:tab/>
            </w:r>
            <w:r w:rsidR="0045511E" w:rsidRPr="00CD11B5">
              <w:rPr>
                <w:rStyle w:val="Collegamentoipertestuale"/>
                <w:b w:val="0"/>
              </w:rPr>
              <w:t>PARERE DEL SERVIZIO GIURIDICO</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_Toc159917166 \h </w:instrText>
            </w:r>
            <w:r w:rsidR="0045511E" w:rsidRPr="00CD11B5">
              <w:rPr>
                <w:b w:val="0"/>
                <w:webHidden/>
              </w:rPr>
            </w:r>
            <w:r w:rsidR="0045511E" w:rsidRPr="00CD11B5">
              <w:rPr>
                <w:b w:val="0"/>
                <w:webHidden/>
              </w:rPr>
              <w:fldChar w:fldCharType="separate"/>
            </w:r>
            <w:r w:rsidR="00BE6079">
              <w:rPr>
                <w:b w:val="0"/>
                <w:webHidden/>
              </w:rPr>
              <w:t>6</w:t>
            </w:r>
            <w:r w:rsidR="0045511E" w:rsidRPr="00CD11B5">
              <w:rPr>
                <w:b w:val="0"/>
                <w:webHidden/>
              </w:rPr>
              <w:fldChar w:fldCharType="end"/>
            </w:r>
          </w:hyperlink>
        </w:p>
        <w:p w14:paraId="2928B046" w14:textId="79A74506" w:rsidR="0045511E" w:rsidRPr="00CD11B5" w:rsidRDefault="003C7399" w:rsidP="00CD11B5">
          <w:pPr>
            <w:pStyle w:val="Sommario1"/>
            <w:rPr>
              <w:rFonts w:eastAsiaTheme="minorEastAsia"/>
              <w:b w:val="0"/>
              <w:color w:val="auto"/>
              <w:bdr w:val="none" w:sz="0" w:space="0" w:color="auto"/>
              <w:lang w:val="it-CH"/>
            </w:rPr>
          </w:pPr>
          <w:hyperlink w:anchor="_Toc159917167" w:history="1">
            <w:r w:rsidR="0045511E" w:rsidRPr="00CD11B5">
              <w:rPr>
                <w:rStyle w:val="Collegamentoipertestuale"/>
                <w:b w:val="0"/>
                <w:bCs/>
              </w:rPr>
              <w:t>D.</w:t>
            </w:r>
            <w:r w:rsidR="0045511E" w:rsidRPr="00CD11B5">
              <w:rPr>
                <w:rFonts w:eastAsiaTheme="minorEastAsia"/>
                <w:b w:val="0"/>
                <w:color w:val="auto"/>
                <w:bdr w:val="none" w:sz="0" w:space="0" w:color="auto"/>
                <w:lang w:val="it-CH"/>
              </w:rPr>
              <w:tab/>
            </w:r>
            <w:r w:rsidR="0045511E" w:rsidRPr="00CD11B5">
              <w:rPr>
                <w:rStyle w:val="Collegamentoipertestuale"/>
                <w:b w:val="0"/>
              </w:rPr>
              <w:t>MOZIONE 1297 DI IVO DURISCH E COFIRMATARI E INIZIATIVA PARLAMENTARE ELABORATA 560 DI GIORGIO GALUSERO</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_Toc159917167 \h </w:instrText>
            </w:r>
            <w:r w:rsidR="0045511E" w:rsidRPr="00CD11B5">
              <w:rPr>
                <w:b w:val="0"/>
                <w:webHidden/>
              </w:rPr>
            </w:r>
            <w:r w:rsidR="0045511E" w:rsidRPr="00CD11B5">
              <w:rPr>
                <w:b w:val="0"/>
                <w:webHidden/>
              </w:rPr>
              <w:fldChar w:fldCharType="separate"/>
            </w:r>
            <w:r w:rsidR="00BE6079">
              <w:rPr>
                <w:b w:val="0"/>
                <w:webHidden/>
              </w:rPr>
              <w:t>7</w:t>
            </w:r>
            <w:r w:rsidR="0045511E" w:rsidRPr="00CD11B5">
              <w:rPr>
                <w:b w:val="0"/>
                <w:webHidden/>
              </w:rPr>
              <w:fldChar w:fldCharType="end"/>
            </w:r>
          </w:hyperlink>
        </w:p>
        <w:p w14:paraId="18FF2A20" w14:textId="79D4DBE7" w:rsidR="0045511E" w:rsidRPr="00CD11B5" w:rsidRDefault="003C7399" w:rsidP="00CD11B5">
          <w:pPr>
            <w:pStyle w:val="Sommario1"/>
            <w:rPr>
              <w:rFonts w:eastAsiaTheme="minorEastAsia"/>
              <w:b w:val="0"/>
              <w:color w:val="auto"/>
              <w:bdr w:val="none" w:sz="0" w:space="0" w:color="auto"/>
              <w:lang w:val="it-CH"/>
            </w:rPr>
          </w:pPr>
          <w:hyperlink w:anchor="_Toc159917168" w:history="1">
            <w:r w:rsidR="0045511E" w:rsidRPr="00CD11B5">
              <w:rPr>
                <w:rStyle w:val="Collegamentoipertestuale"/>
                <w:b w:val="0"/>
                <w:bCs/>
              </w:rPr>
              <w:t>E.</w:t>
            </w:r>
            <w:r w:rsidR="0045511E" w:rsidRPr="00CD11B5">
              <w:rPr>
                <w:rFonts w:eastAsiaTheme="minorEastAsia"/>
                <w:b w:val="0"/>
                <w:color w:val="auto"/>
                <w:bdr w:val="none" w:sz="0" w:space="0" w:color="auto"/>
                <w:lang w:val="it-CH"/>
              </w:rPr>
              <w:tab/>
            </w:r>
            <w:r w:rsidR="0045511E" w:rsidRPr="00CD11B5">
              <w:rPr>
                <w:rStyle w:val="Collegamentoipertestuale"/>
                <w:b w:val="0"/>
              </w:rPr>
              <w:t>IMPATTO FINANZIARIO E LOGISTICO</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_Toc159917168 \h </w:instrText>
            </w:r>
            <w:r w:rsidR="0045511E" w:rsidRPr="00CD11B5">
              <w:rPr>
                <w:b w:val="0"/>
                <w:webHidden/>
              </w:rPr>
            </w:r>
            <w:r w:rsidR="0045511E" w:rsidRPr="00CD11B5">
              <w:rPr>
                <w:b w:val="0"/>
                <w:webHidden/>
              </w:rPr>
              <w:fldChar w:fldCharType="separate"/>
            </w:r>
            <w:r w:rsidR="00BE6079">
              <w:rPr>
                <w:b w:val="0"/>
                <w:webHidden/>
              </w:rPr>
              <w:t>7</w:t>
            </w:r>
            <w:r w:rsidR="0045511E" w:rsidRPr="00CD11B5">
              <w:rPr>
                <w:b w:val="0"/>
                <w:webHidden/>
              </w:rPr>
              <w:fldChar w:fldCharType="end"/>
            </w:r>
          </w:hyperlink>
        </w:p>
        <w:p w14:paraId="0FFFC60D" w14:textId="3C119915" w:rsidR="0045511E" w:rsidRPr="00CD11B5" w:rsidRDefault="003C7399" w:rsidP="00CD11B5">
          <w:pPr>
            <w:pStyle w:val="Sommario1"/>
            <w:rPr>
              <w:rFonts w:eastAsiaTheme="minorEastAsia"/>
              <w:b w:val="0"/>
              <w:color w:val="auto"/>
              <w:bdr w:val="none" w:sz="0" w:space="0" w:color="auto"/>
              <w:lang w:val="it-CH"/>
            </w:rPr>
          </w:pPr>
          <w:hyperlink w:anchor="_Toc159917169" w:history="1">
            <w:r w:rsidR="0045511E" w:rsidRPr="00CD11B5">
              <w:rPr>
                <w:rStyle w:val="Collegamentoipertestuale"/>
                <w:b w:val="0"/>
                <w:bCs/>
              </w:rPr>
              <w:t>F.</w:t>
            </w:r>
            <w:r w:rsidR="0045511E" w:rsidRPr="00CD11B5">
              <w:rPr>
                <w:rFonts w:eastAsiaTheme="minorEastAsia"/>
                <w:b w:val="0"/>
                <w:color w:val="auto"/>
                <w:bdr w:val="none" w:sz="0" w:space="0" w:color="auto"/>
                <w:lang w:val="it-CH"/>
              </w:rPr>
              <w:tab/>
            </w:r>
            <w:r w:rsidR="0045511E" w:rsidRPr="00CD11B5">
              <w:rPr>
                <w:rStyle w:val="Collegamentoipertestuale"/>
                <w:b w:val="0"/>
              </w:rPr>
              <w:t>CONSIDERAZIONI COMMISSIONALI</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_Toc159917169 \h </w:instrText>
            </w:r>
            <w:r w:rsidR="0045511E" w:rsidRPr="00CD11B5">
              <w:rPr>
                <w:b w:val="0"/>
                <w:webHidden/>
              </w:rPr>
            </w:r>
            <w:r w:rsidR="0045511E" w:rsidRPr="00CD11B5">
              <w:rPr>
                <w:b w:val="0"/>
                <w:webHidden/>
              </w:rPr>
              <w:fldChar w:fldCharType="separate"/>
            </w:r>
            <w:r w:rsidR="00BE6079">
              <w:rPr>
                <w:b w:val="0"/>
                <w:webHidden/>
              </w:rPr>
              <w:t>8</w:t>
            </w:r>
            <w:r w:rsidR="0045511E" w:rsidRPr="00CD11B5">
              <w:rPr>
                <w:b w:val="0"/>
                <w:webHidden/>
              </w:rPr>
              <w:fldChar w:fldCharType="end"/>
            </w:r>
          </w:hyperlink>
        </w:p>
        <w:p w14:paraId="625D8B94" w14:textId="1B24B895" w:rsidR="0045511E" w:rsidRPr="00CD11B5" w:rsidRDefault="003C7399" w:rsidP="00CD11B5">
          <w:pPr>
            <w:pStyle w:val="Sommario1"/>
            <w:rPr>
              <w:rFonts w:eastAsiaTheme="minorEastAsia"/>
              <w:b w:val="0"/>
              <w:color w:val="auto"/>
              <w:bdr w:val="none" w:sz="0" w:space="0" w:color="auto"/>
              <w:lang w:val="it-CH"/>
            </w:rPr>
          </w:pPr>
          <w:hyperlink w:anchor="_Toc159917170" w:history="1">
            <w:r w:rsidR="0045511E" w:rsidRPr="00CD11B5">
              <w:rPr>
                <w:rStyle w:val="Collegamentoipertestuale"/>
                <w:b w:val="0"/>
                <w:bCs/>
              </w:rPr>
              <w:t>G.</w:t>
            </w:r>
            <w:r w:rsidR="0045511E" w:rsidRPr="00CD11B5">
              <w:rPr>
                <w:rFonts w:eastAsiaTheme="minorEastAsia"/>
                <w:b w:val="0"/>
                <w:color w:val="auto"/>
                <w:bdr w:val="none" w:sz="0" w:space="0" w:color="auto"/>
                <w:lang w:val="it-CH"/>
              </w:rPr>
              <w:tab/>
            </w:r>
            <w:r w:rsidR="0045511E" w:rsidRPr="00CD11B5">
              <w:rPr>
                <w:rStyle w:val="Collegamentoipertestuale"/>
                <w:b w:val="0"/>
              </w:rPr>
              <w:t>CONCLUSIONI</w:t>
            </w:r>
            <w:r w:rsidR="0045511E" w:rsidRPr="00CD11B5">
              <w:rPr>
                <w:b w:val="0"/>
                <w:webHidden/>
              </w:rPr>
              <w:tab/>
            </w:r>
            <w:r w:rsidR="0045511E" w:rsidRPr="00CD11B5">
              <w:rPr>
                <w:b w:val="0"/>
                <w:webHidden/>
              </w:rPr>
              <w:fldChar w:fldCharType="begin"/>
            </w:r>
            <w:r w:rsidR="0045511E" w:rsidRPr="00CD11B5">
              <w:rPr>
                <w:b w:val="0"/>
                <w:webHidden/>
              </w:rPr>
              <w:instrText xml:space="preserve"> PAGEREF _Toc159917170 \h </w:instrText>
            </w:r>
            <w:r w:rsidR="0045511E" w:rsidRPr="00CD11B5">
              <w:rPr>
                <w:b w:val="0"/>
                <w:webHidden/>
              </w:rPr>
            </w:r>
            <w:r w:rsidR="0045511E" w:rsidRPr="00CD11B5">
              <w:rPr>
                <w:b w:val="0"/>
                <w:webHidden/>
              </w:rPr>
              <w:fldChar w:fldCharType="separate"/>
            </w:r>
            <w:r w:rsidR="00BE6079">
              <w:rPr>
                <w:b w:val="0"/>
                <w:webHidden/>
              </w:rPr>
              <w:t>9</w:t>
            </w:r>
            <w:r w:rsidR="0045511E" w:rsidRPr="00CD11B5">
              <w:rPr>
                <w:b w:val="0"/>
                <w:webHidden/>
              </w:rPr>
              <w:fldChar w:fldCharType="end"/>
            </w:r>
          </w:hyperlink>
        </w:p>
        <w:p w14:paraId="4CCFA4AD" w14:textId="4A60097A" w:rsidR="001C7410" w:rsidRDefault="001C7410">
          <w:r w:rsidRPr="00CD11B5">
            <w:rPr>
              <w:rFonts w:asciiTheme="minorHAnsi" w:hAnsiTheme="minorHAnsi" w:cstheme="minorHAnsi"/>
              <w:bCs/>
              <w:sz w:val="24"/>
              <w:szCs w:val="24"/>
            </w:rPr>
            <w:fldChar w:fldCharType="end"/>
          </w:r>
        </w:p>
      </w:sdtContent>
    </w:sdt>
    <w:p w14:paraId="6D5B2C7E" w14:textId="77777777" w:rsidR="009A1C6D" w:rsidRDefault="009A1C6D" w:rsidP="00D33940">
      <w:pPr>
        <w:pStyle w:val="StandardRisoluzionedelConsigliodiStato"/>
        <w:ind w:right="-1"/>
        <w:rPr>
          <w:lang w:val="it-CH"/>
        </w:rPr>
      </w:pPr>
    </w:p>
    <w:p w14:paraId="5DC6E1DF" w14:textId="77777777" w:rsidR="009A1C6D" w:rsidRDefault="009A1C6D" w:rsidP="00D33940">
      <w:pPr>
        <w:pStyle w:val="StandardRisoluzionedelConsigliodiStato"/>
        <w:ind w:right="-1"/>
        <w:rPr>
          <w:lang w:val="it-CH"/>
        </w:rPr>
      </w:pPr>
    </w:p>
    <w:p w14:paraId="31D40AD8" w14:textId="77777777" w:rsidR="009A1C6D" w:rsidRDefault="009A1C6D" w:rsidP="00D33940">
      <w:pPr>
        <w:pStyle w:val="StandardRisoluzionedelConsigliodiStato"/>
        <w:ind w:right="-1"/>
        <w:rPr>
          <w:lang w:val="it-CH"/>
        </w:rPr>
      </w:pPr>
    </w:p>
    <w:p w14:paraId="2EB0CA59" w14:textId="77777777" w:rsidR="009A1C6D" w:rsidRDefault="009A1C6D" w:rsidP="00D33940">
      <w:pPr>
        <w:pStyle w:val="StandardRisoluzionedelConsigliodiStato"/>
        <w:ind w:right="-1"/>
        <w:rPr>
          <w:lang w:val="it-CH"/>
        </w:rPr>
      </w:pPr>
    </w:p>
    <w:p w14:paraId="3B372D31" w14:textId="77777777" w:rsidR="009A1C6D" w:rsidRPr="00DD4905" w:rsidRDefault="009A1C6D" w:rsidP="00DD4905">
      <w:pPr>
        <w:pStyle w:val="Titolo1"/>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jc w:val="both"/>
        <w:rPr>
          <w:rFonts w:ascii="Arial" w:hAnsi="Arial" w:cs="Times New Roman"/>
          <w:caps/>
          <w:color w:val="auto"/>
          <w:sz w:val="24"/>
          <w:szCs w:val="24"/>
          <w:bdr w:val="none" w:sz="0" w:space="0" w:color="auto"/>
          <w:lang w:eastAsia="it-IT"/>
        </w:rPr>
      </w:pPr>
      <w:bookmarkStart w:id="0" w:name="_Toc159917159"/>
      <w:r w:rsidRPr="00DD4905">
        <w:rPr>
          <w:rFonts w:ascii="Arial" w:hAnsi="Arial" w:cs="Times New Roman"/>
          <w:caps/>
          <w:color w:val="auto"/>
          <w:sz w:val="24"/>
          <w:szCs w:val="24"/>
          <w:bdr w:val="none" w:sz="0" w:space="0" w:color="auto"/>
          <w:lang w:eastAsia="it-IT"/>
        </w:rPr>
        <w:lastRenderedPageBreak/>
        <w:t>MESSAGGIO DEL CONSIGLIO DI STATO</w:t>
      </w:r>
      <w:bookmarkEnd w:id="0"/>
    </w:p>
    <w:p w14:paraId="3C192099" w14:textId="447AE004" w:rsidR="009A1C6D" w:rsidRPr="00DD4905" w:rsidRDefault="009A1C6D" w:rsidP="00DD4905">
      <w:pPr>
        <w:pStyle w:val="Titolo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after="120" w:line="240" w:lineRule="auto"/>
        <w:ind w:left="0" w:firstLine="0"/>
        <w:jc w:val="both"/>
        <w:rPr>
          <w:rFonts w:ascii="Arial" w:hAnsi="Arial" w:cs="Times New Roman"/>
          <w:color w:val="auto"/>
          <w:sz w:val="24"/>
          <w:bdr w:val="none" w:sz="0" w:space="0" w:color="auto"/>
          <w:lang w:eastAsia="it-IT"/>
        </w:rPr>
      </w:pPr>
      <w:bookmarkStart w:id="1" w:name="_Toc159917160"/>
      <w:r w:rsidRPr="00DD4905">
        <w:rPr>
          <w:rFonts w:ascii="Arial" w:hAnsi="Arial" w:cs="Times New Roman"/>
          <w:color w:val="auto"/>
          <w:sz w:val="24"/>
          <w:bdr w:val="none" w:sz="0" w:space="0" w:color="auto"/>
          <w:lang w:eastAsia="it-IT"/>
        </w:rPr>
        <w:t>INTRODUZIONE</w:t>
      </w:r>
      <w:bookmarkEnd w:id="1"/>
    </w:p>
    <w:p w14:paraId="2B046912"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hAnsi="Arial"/>
          <w:sz w:val="24"/>
          <w:szCs w:val="24"/>
        </w:rPr>
        <w:t xml:space="preserve">Nelle mire di </w:t>
      </w:r>
      <w:r w:rsidRPr="00457B23">
        <w:rPr>
          <w:rFonts w:ascii="Arial" w:hAnsi="Arial"/>
          <w:sz w:val="24"/>
          <w:szCs w:val="24"/>
        </w:rPr>
        <w:t>rendere più efficiente l'operato dell'Autorità di perseguimento penale</w:t>
      </w:r>
      <w:r>
        <w:rPr>
          <w:rFonts w:ascii="Arial" w:hAnsi="Arial"/>
          <w:sz w:val="24"/>
          <w:szCs w:val="24"/>
        </w:rPr>
        <w:t xml:space="preserve">, con il </w:t>
      </w:r>
      <w:r w:rsidRPr="00457B23">
        <w:rPr>
          <w:rFonts w:ascii="Arial" w:hAnsi="Arial"/>
          <w:sz w:val="24"/>
          <w:szCs w:val="24"/>
        </w:rPr>
        <w:t>messaggio n. 7714</w:t>
      </w:r>
      <w:r>
        <w:rPr>
          <w:rFonts w:ascii="Arial" w:hAnsi="Arial"/>
          <w:sz w:val="24"/>
          <w:szCs w:val="24"/>
        </w:rPr>
        <w:t>,</w:t>
      </w:r>
      <w:r w:rsidRPr="00457B23">
        <w:rPr>
          <w:rFonts w:ascii="Arial" w:hAnsi="Arial"/>
          <w:sz w:val="24"/>
          <w:szCs w:val="24"/>
        </w:rPr>
        <w:t xml:space="preserve"> dell'11 settembre 2019</w:t>
      </w:r>
      <w:r>
        <w:rPr>
          <w:rFonts w:ascii="Arial" w:hAnsi="Arial"/>
          <w:sz w:val="24"/>
          <w:szCs w:val="24"/>
        </w:rPr>
        <w:t>,</w:t>
      </w:r>
      <w:r w:rsidRPr="00457B23">
        <w:rPr>
          <w:rFonts w:ascii="Arial" w:hAnsi="Arial"/>
          <w:sz w:val="24"/>
          <w:szCs w:val="24"/>
        </w:rPr>
        <w:t xml:space="preserve"> </w:t>
      </w:r>
      <w:r>
        <w:rPr>
          <w:rFonts w:ascii="Arial" w:hAnsi="Arial"/>
          <w:sz w:val="24"/>
          <w:szCs w:val="24"/>
        </w:rPr>
        <w:t>i</w:t>
      </w:r>
      <w:r w:rsidRPr="00457B23">
        <w:rPr>
          <w:rFonts w:ascii="Arial" w:hAnsi="Arial"/>
          <w:sz w:val="24"/>
          <w:szCs w:val="24"/>
        </w:rPr>
        <w:t>l Consiglio di Stat</w:t>
      </w:r>
      <w:r>
        <w:rPr>
          <w:rFonts w:ascii="Arial" w:hAnsi="Arial"/>
          <w:sz w:val="24"/>
          <w:szCs w:val="24"/>
        </w:rPr>
        <w:t xml:space="preserve">o aveva proposto </w:t>
      </w:r>
      <w:r w:rsidRPr="00457B23">
        <w:rPr>
          <w:rFonts w:ascii="Arial" w:hAnsi="Arial"/>
          <w:sz w:val="24"/>
          <w:szCs w:val="24"/>
        </w:rPr>
        <w:t xml:space="preserve">la modifica parziale della </w:t>
      </w:r>
      <w:r w:rsidRPr="0068615F">
        <w:rPr>
          <w:rFonts w:ascii="Arial" w:hAnsi="Arial"/>
          <w:sz w:val="24"/>
          <w:szCs w:val="24"/>
        </w:rPr>
        <w:t>Legge sull’organizzazione giudiziaria (LOG</w:t>
      </w:r>
      <w:r w:rsidRPr="0068615F">
        <w:rPr>
          <w:rStyle w:val="Rimandonotaapidipagina"/>
          <w:rFonts w:ascii="Arial" w:hAnsi="Arial"/>
          <w:sz w:val="24"/>
          <w:szCs w:val="24"/>
        </w:rPr>
        <w:footnoteReference w:id="1"/>
      </w:r>
      <w:r w:rsidRPr="0068615F">
        <w:rPr>
          <w:rFonts w:ascii="Arial" w:hAnsi="Arial"/>
          <w:sz w:val="24"/>
          <w:szCs w:val="24"/>
        </w:rPr>
        <w:t>): da</w:t>
      </w:r>
      <w:r>
        <w:rPr>
          <w:rFonts w:ascii="Arial" w:hAnsi="Arial"/>
          <w:sz w:val="24"/>
          <w:szCs w:val="24"/>
        </w:rPr>
        <w:t xml:space="preserve"> un lato con l’aumento di un Procuratore pubblico ordinario (modifica dell’art. 65 cpv. 1); dall’altro, mediante una seconda proposta, con l’estensione delle</w:t>
      </w:r>
      <w:r w:rsidRPr="00457B23">
        <w:rPr>
          <w:rFonts w:ascii="Arial" w:hAnsi="Arial"/>
          <w:sz w:val="24"/>
          <w:szCs w:val="24"/>
        </w:rPr>
        <w:t xml:space="preserve"> competenze dei </w:t>
      </w:r>
      <w:r>
        <w:rPr>
          <w:rFonts w:ascii="Arial" w:hAnsi="Arial"/>
          <w:sz w:val="24"/>
          <w:szCs w:val="24"/>
        </w:rPr>
        <w:t xml:space="preserve">Segretari giudiziari (nuovo art. 68 </w:t>
      </w:r>
      <w:proofErr w:type="spellStart"/>
      <w:r>
        <w:rPr>
          <w:rFonts w:ascii="Arial" w:hAnsi="Arial"/>
          <w:sz w:val="24"/>
          <w:szCs w:val="24"/>
        </w:rPr>
        <w:t>lett</w:t>
      </w:r>
      <w:proofErr w:type="spellEnd"/>
      <w:r>
        <w:rPr>
          <w:rFonts w:ascii="Arial" w:hAnsi="Arial"/>
          <w:sz w:val="24"/>
          <w:szCs w:val="24"/>
        </w:rPr>
        <w:t>. h.).</w:t>
      </w:r>
    </w:p>
    <w:p w14:paraId="633FA90F"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p>
    <w:p w14:paraId="1C459645"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hAnsi="Arial"/>
          <w:sz w:val="24"/>
          <w:szCs w:val="24"/>
        </w:rPr>
        <w:t xml:space="preserve">Specificava, il Consiglio di Stato, che quanto previsto nel proprio messaggio </w:t>
      </w:r>
      <w:r w:rsidRPr="00B90A84">
        <w:rPr>
          <w:rFonts w:ascii="Arial" w:hAnsi="Arial" w:cs="Arial"/>
          <w:sz w:val="24"/>
          <w:szCs w:val="24"/>
        </w:rPr>
        <w:t xml:space="preserve">intendeva certo «contribuire a migliorare e razionalizzare l'operato e l'organizzazione del Ministero pubblico», ma </w:t>
      </w:r>
      <w:r>
        <w:rPr>
          <w:rFonts w:ascii="Arial" w:hAnsi="Arial" w:cs="Arial"/>
          <w:sz w:val="24"/>
          <w:szCs w:val="24"/>
        </w:rPr>
        <w:t xml:space="preserve">che, </w:t>
      </w:r>
      <w:r w:rsidRPr="00B90A84">
        <w:rPr>
          <w:rFonts w:ascii="Arial" w:hAnsi="Arial" w:cs="Arial"/>
          <w:sz w:val="24"/>
          <w:szCs w:val="24"/>
        </w:rPr>
        <w:t>al contempo</w:t>
      </w:r>
      <w:r>
        <w:rPr>
          <w:rFonts w:ascii="Arial" w:hAnsi="Arial" w:cs="Arial"/>
          <w:sz w:val="24"/>
          <w:szCs w:val="24"/>
        </w:rPr>
        <w:t>,</w:t>
      </w:r>
      <w:r w:rsidRPr="00B90A84">
        <w:rPr>
          <w:rFonts w:ascii="Arial" w:hAnsi="Arial" w:cs="Arial"/>
          <w:sz w:val="24"/>
          <w:szCs w:val="24"/>
        </w:rPr>
        <w:t xml:space="preserve"> doveva «costituire un rinnovato avvio di riflessioni interne a questa Autorità giudiziaria, nell'ottica dell'efficacia del sistema del perseguimento penale ti</w:t>
      </w:r>
      <w:r>
        <w:rPr>
          <w:rFonts w:ascii="Arial" w:hAnsi="Arial" w:cs="Arial"/>
          <w:sz w:val="24"/>
          <w:szCs w:val="24"/>
        </w:rPr>
        <w:t>cinese e della sua credibilità» e</w:t>
      </w:r>
      <w:r w:rsidRPr="00B90A84">
        <w:rPr>
          <w:rFonts w:ascii="Arial" w:hAnsi="Arial" w:cs="Arial"/>
          <w:sz w:val="24"/>
          <w:szCs w:val="24"/>
        </w:rPr>
        <w:t xml:space="preserve"> inserendosi </w:t>
      </w:r>
      <w:r>
        <w:rPr>
          <w:rFonts w:ascii="Arial" w:hAnsi="Arial" w:cs="Arial"/>
          <w:sz w:val="24"/>
          <w:szCs w:val="24"/>
        </w:rPr>
        <w:t xml:space="preserve">comunque </w:t>
      </w:r>
      <w:r w:rsidRPr="00B90A84">
        <w:rPr>
          <w:rFonts w:ascii="Arial" w:hAnsi="Arial" w:cs="Arial"/>
          <w:sz w:val="24"/>
          <w:szCs w:val="24"/>
        </w:rPr>
        <w:t>l</w:t>
      </w:r>
      <w:r>
        <w:rPr>
          <w:rFonts w:ascii="Arial" w:hAnsi="Arial" w:cs="Arial"/>
          <w:sz w:val="24"/>
          <w:szCs w:val="24"/>
        </w:rPr>
        <w:t xml:space="preserve">e proposte del Disegno di Legge </w:t>
      </w:r>
      <w:r w:rsidRPr="00B90A84">
        <w:rPr>
          <w:rFonts w:ascii="Arial" w:hAnsi="Arial" w:cs="Arial"/>
          <w:sz w:val="24"/>
          <w:szCs w:val="24"/>
        </w:rPr>
        <w:t>«coerentemente con il progetto di riordino dell’organizzazione giudiziaria denominato “Giustizia 2018”, il quale – seppur nella sua denominazione temporale ormai superata – mantiene tutta la sua attualità nel proprio fondamento, volendo proporre una riflessione complessiva, trattata in maniera puntuale per specifica autorità, sull’organizzazione della giustizia cantonale, nell’ottica di renderla più efficiente ed efficace, nell’interesse della cittadinanza».</w:t>
      </w:r>
    </w:p>
    <w:p w14:paraId="34A2852C"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p>
    <w:p w14:paraId="59DBB3FD"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hAnsi="Arial"/>
          <w:sz w:val="24"/>
          <w:szCs w:val="24"/>
        </w:rPr>
        <w:t xml:space="preserve">Nel suo primo rapporto parziale 7714 R </w:t>
      </w:r>
      <w:proofErr w:type="spellStart"/>
      <w:r>
        <w:rPr>
          <w:rFonts w:ascii="Arial" w:hAnsi="Arial"/>
          <w:sz w:val="24"/>
          <w:szCs w:val="24"/>
        </w:rPr>
        <w:t>parz</w:t>
      </w:r>
      <w:proofErr w:type="spellEnd"/>
      <w:r>
        <w:rPr>
          <w:rFonts w:ascii="Arial" w:hAnsi="Arial"/>
          <w:sz w:val="24"/>
          <w:szCs w:val="24"/>
        </w:rPr>
        <w:t xml:space="preserve">. del 1° marzo 2021, </w:t>
      </w:r>
      <w:r w:rsidRPr="00C30373">
        <w:rPr>
          <w:rFonts w:ascii="Arial" w:hAnsi="Arial"/>
          <w:sz w:val="24"/>
          <w:szCs w:val="24"/>
        </w:rPr>
        <w:t>la Commissione giustizia e diritti, all’unanimità,</w:t>
      </w:r>
      <w:r>
        <w:rPr>
          <w:rFonts w:ascii="Arial" w:hAnsi="Arial"/>
          <w:sz w:val="24"/>
          <w:szCs w:val="24"/>
        </w:rPr>
        <w:t xml:space="preserve"> aveva proposto al Gran Consiglio di accogliere la prima proposta di modifica legislativa, proponendo anzi di aumentare di due unità l’organico dei Procuratori pubblici in forza al Ministero pubblico. </w:t>
      </w:r>
      <w:r>
        <w:rPr>
          <w:rFonts w:ascii="Arial" w:eastAsia="Arial" w:hAnsi="Arial" w:cs="Arial"/>
          <w:sz w:val="24"/>
          <w:szCs w:val="24"/>
        </w:rPr>
        <w:t xml:space="preserve">Discussa nella sua seduta del 15 marzo 2021, il Gran Consiglio ha frattanto approvato la modifica dell’art. 65 cpv. 1 LOG così come proposta da questa Commissione. </w:t>
      </w:r>
      <w:r w:rsidRPr="0068615F">
        <w:rPr>
          <w:rFonts w:ascii="Arial" w:eastAsia="Arial" w:hAnsi="Arial" w:cs="Arial"/>
          <w:sz w:val="24"/>
          <w:szCs w:val="24"/>
        </w:rPr>
        <w:t>La modifica è entrata in vigore il 21 maggio 2021</w:t>
      </w:r>
      <w:r w:rsidRPr="0068615F">
        <w:rPr>
          <w:rStyle w:val="Rimandonotaapidipagina"/>
          <w:rFonts w:ascii="Arial" w:eastAsia="Arial" w:hAnsi="Arial" w:cs="Arial"/>
          <w:sz w:val="24"/>
          <w:szCs w:val="24"/>
        </w:rPr>
        <w:footnoteReference w:id="2"/>
      </w:r>
      <w:r w:rsidRPr="0068615F">
        <w:rPr>
          <w:rFonts w:ascii="Arial" w:eastAsia="Arial" w:hAnsi="Arial" w:cs="Arial"/>
          <w:sz w:val="24"/>
          <w:szCs w:val="24"/>
        </w:rPr>
        <w:t>.</w:t>
      </w:r>
    </w:p>
    <w:p w14:paraId="5C94C3EE"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522D6531"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hAnsi="Arial"/>
          <w:sz w:val="24"/>
          <w:szCs w:val="24"/>
        </w:rPr>
        <w:t xml:space="preserve">Pur già condividendo nel principio anche la seconda proposta, questa Commissione aveva tuttavia rinviato il suo </w:t>
      </w:r>
      <w:r w:rsidRPr="00B91BA1">
        <w:rPr>
          <w:rFonts w:ascii="Arial" w:hAnsi="Arial"/>
          <w:sz w:val="24"/>
          <w:szCs w:val="24"/>
        </w:rPr>
        <w:t xml:space="preserve">approfondimento alle più ampie </w:t>
      </w:r>
      <w:r w:rsidRPr="00B91BA1">
        <w:rPr>
          <w:rFonts w:ascii="Arial" w:eastAsia="Arial" w:hAnsi="Arial" w:cs="Arial"/>
          <w:sz w:val="24"/>
          <w:szCs w:val="24"/>
        </w:rPr>
        <w:t>riflessioni in essere</w:t>
      </w:r>
      <w:r>
        <w:rPr>
          <w:rFonts w:ascii="Arial" w:eastAsia="Arial" w:hAnsi="Arial" w:cs="Arial"/>
          <w:sz w:val="24"/>
          <w:szCs w:val="24"/>
        </w:rPr>
        <w:t xml:space="preserve"> circa la situazione dell’Ufficio giudiziario</w:t>
      </w:r>
      <w:r w:rsidRPr="00B91BA1">
        <w:rPr>
          <w:rFonts w:ascii="Arial" w:eastAsia="Arial" w:hAnsi="Arial" w:cs="Arial"/>
          <w:sz w:val="24"/>
          <w:szCs w:val="24"/>
        </w:rPr>
        <w:t>.</w:t>
      </w:r>
      <w:r>
        <w:rPr>
          <w:rFonts w:ascii="Arial" w:eastAsia="Arial" w:hAnsi="Arial" w:cs="Arial"/>
          <w:sz w:val="24"/>
          <w:szCs w:val="24"/>
        </w:rPr>
        <w:t xml:space="preserve"> In questo secondo rapporto parziale, per semplicità si rinvia dunque al</w:t>
      </w:r>
      <w:r>
        <w:rPr>
          <w:rFonts w:ascii="Arial" w:hAnsi="Arial"/>
          <w:sz w:val="24"/>
          <w:szCs w:val="24"/>
        </w:rPr>
        <w:t xml:space="preserve"> contenuto complessivo del primo, di cui per lo stesso motivo ne ricalca altresì sostanzialmente la struttura espositiva, essendo eventualmente riprese qui, </w:t>
      </w:r>
      <w:r w:rsidRPr="00C45BA6">
        <w:rPr>
          <w:rFonts w:ascii="Arial" w:hAnsi="Arial"/>
          <w:sz w:val="24"/>
          <w:szCs w:val="24"/>
        </w:rPr>
        <w:t>in sunto</w:t>
      </w:r>
      <w:r>
        <w:rPr>
          <w:rFonts w:ascii="Arial" w:hAnsi="Arial"/>
          <w:sz w:val="24"/>
          <w:szCs w:val="24"/>
        </w:rPr>
        <w:t xml:space="preserve"> ovvero con precisi rinvii, unicamente le valutazioni specifiche necessarie già effettuate in precedenza così come in tale rapporto sono già state esposte.</w:t>
      </w:r>
    </w:p>
    <w:p w14:paraId="328FD993" w14:textId="4CCEB265"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309E9838" w14:textId="77777777" w:rsidR="00DD4905" w:rsidRPr="00457B23" w:rsidRDefault="00DD4905"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703486DE" w14:textId="6C3DBC0D" w:rsidR="009A1C6D" w:rsidRPr="00DD4905" w:rsidRDefault="009A1C6D" w:rsidP="00DD4905">
      <w:pPr>
        <w:pStyle w:val="Titolo2"/>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after="120" w:line="240" w:lineRule="auto"/>
        <w:ind w:left="0" w:firstLine="0"/>
        <w:jc w:val="both"/>
        <w:rPr>
          <w:rFonts w:ascii="Arial" w:hAnsi="Arial" w:cs="Times New Roman"/>
          <w:color w:val="auto"/>
          <w:sz w:val="24"/>
          <w:bdr w:val="none" w:sz="0" w:space="0" w:color="auto"/>
          <w:lang w:eastAsia="it-IT"/>
        </w:rPr>
      </w:pPr>
      <w:bookmarkStart w:id="2" w:name="_Toc159917161"/>
      <w:r w:rsidRPr="00DD4905">
        <w:rPr>
          <w:rFonts w:ascii="Arial" w:hAnsi="Arial" w:cs="Times New Roman"/>
          <w:color w:val="auto"/>
          <w:sz w:val="24"/>
          <w:bdr w:val="none" w:sz="0" w:space="0" w:color="auto"/>
          <w:lang w:eastAsia="it-IT"/>
        </w:rPr>
        <w:t>PROPOSTA DI MODIFICA DELLA LOG</w:t>
      </w:r>
      <w:bookmarkEnd w:id="2"/>
    </w:p>
    <w:p w14:paraId="2A26E045"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ind w:left="567" w:hanging="567"/>
        <w:jc w:val="both"/>
        <w:rPr>
          <w:rFonts w:ascii="Arial" w:hAnsi="Arial"/>
          <w:b/>
          <w:sz w:val="24"/>
          <w:szCs w:val="24"/>
        </w:rPr>
      </w:pPr>
      <w:r>
        <w:rPr>
          <w:rFonts w:ascii="Arial" w:hAnsi="Arial"/>
          <w:b/>
          <w:sz w:val="24"/>
          <w:szCs w:val="24"/>
        </w:rPr>
        <w:t>1</w:t>
      </w:r>
      <w:r w:rsidRPr="002A014C">
        <w:rPr>
          <w:rFonts w:ascii="Arial" w:hAnsi="Arial"/>
          <w:b/>
          <w:sz w:val="24"/>
          <w:szCs w:val="24"/>
        </w:rPr>
        <w:t>.</w:t>
      </w:r>
      <w:r w:rsidRPr="002A014C">
        <w:rPr>
          <w:rFonts w:ascii="Arial" w:hAnsi="Arial"/>
          <w:b/>
          <w:sz w:val="24"/>
          <w:szCs w:val="24"/>
        </w:rPr>
        <w:tab/>
      </w:r>
      <w:r w:rsidRPr="0014039B">
        <w:rPr>
          <w:rFonts w:ascii="Arial" w:hAnsi="Arial"/>
          <w:b/>
          <w:iCs/>
          <w:sz w:val="24"/>
          <w:szCs w:val="24"/>
        </w:rPr>
        <w:t>Ruolo e competenze attuali</w:t>
      </w:r>
      <w:r w:rsidRPr="002A014C">
        <w:rPr>
          <w:rFonts w:ascii="Arial" w:hAnsi="Arial"/>
          <w:b/>
          <w:sz w:val="24"/>
          <w:szCs w:val="24"/>
        </w:rPr>
        <w:t xml:space="preserve"> </w:t>
      </w:r>
      <w:r>
        <w:rPr>
          <w:rFonts w:ascii="Arial" w:hAnsi="Arial"/>
          <w:b/>
          <w:sz w:val="24"/>
          <w:szCs w:val="24"/>
        </w:rPr>
        <w:t>dei Segretari giudiziari</w:t>
      </w:r>
    </w:p>
    <w:p w14:paraId="30768704"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hAnsi="Arial"/>
          <w:sz w:val="24"/>
          <w:szCs w:val="24"/>
        </w:rPr>
        <w:t>In maggioranza</w:t>
      </w:r>
      <w:r w:rsidRPr="00457B23">
        <w:rPr>
          <w:rFonts w:ascii="Arial" w:hAnsi="Arial"/>
          <w:sz w:val="24"/>
          <w:szCs w:val="24"/>
        </w:rPr>
        <w:t xml:space="preserve"> giuristi di formazione e </w:t>
      </w:r>
      <w:r>
        <w:rPr>
          <w:rFonts w:ascii="Arial" w:hAnsi="Arial"/>
          <w:sz w:val="24"/>
          <w:szCs w:val="24"/>
        </w:rPr>
        <w:t xml:space="preserve">perlopiù </w:t>
      </w:r>
      <w:r w:rsidRPr="00457B23">
        <w:rPr>
          <w:rFonts w:ascii="Arial" w:hAnsi="Arial"/>
          <w:sz w:val="24"/>
          <w:szCs w:val="24"/>
        </w:rPr>
        <w:t xml:space="preserve">con brevetto d'avvocato, </w:t>
      </w:r>
      <w:r>
        <w:rPr>
          <w:rFonts w:ascii="Arial" w:hAnsi="Arial"/>
          <w:sz w:val="24"/>
          <w:szCs w:val="24"/>
        </w:rPr>
        <w:t>i</w:t>
      </w:r>
      <w:r w:rsidRPr="00457B23">
        <w:rPr>
          <w:rFonts w:ascii="Arial" w:hAnsi="Arial"/>
          <w:sz w:val="24"/>
          <w:szCs w:val="24"/>
        </w:rPr>
        <w:t xml:space="preserve"> </w:t>
      </w:r>
      <w:r>
        <w:rPr>
          <w:rFonts w:ascii="Arial" w:hAnsi="Arial"/>
          <w:sz w:val="24"/>
          <w:szCs w:val="24"/>
        </w:rPr>
        <w:t>Segretari giudiziari a</w:t>
      </w:r>
      <w:r w:rsidRPr="00457B23">
        <w:rPr>
          <w:rFonts w:ascii="Arial" w:hAnsi="Arial"/>
          <w:sz w:val="24"/>
          <w:szCs w:val="24"/>
        </w:rPr>
        <w:t>ssistono i</w:t>
      </w:r>
      <w:r>
        <w:rPr>
          <w:rFonts w:ascii="Arial" w:hAnsi="Arial"/>
          <w:sz w:val="24"/>
          <w:szCs w:val="24"/>
        </w:rPr>
        <w:t xml:space="preserve"> Procuratori </w:t>
      </w:r>
      <w:r w:rsidRPr="00457B23">
        <w:rPr>
          <w:rFonts w:ascii="Arial" w:hAnsi="Arial"/>
          <w:sz w:val="24"/>
          <w:szCs w:val="24"/>
        </w:rPr>
        <w:t xml:space="preserve">fornendo un importante sostegno al loro operato. I compiti </w:t>
      </w:r>
      <w:r>
        <w:rPr>
          <w:rFonts w:ascii="Arial" w:hAnsi="Arial"/>
          <w:sz w:val="24"/>
          <w:szCs w:val="24"/>
        </w:rPr>
        <w:t xml:space="preserve">loro </w:t>
      </w:r>
      <w:r w:rsidRPr="00457B23">
        <w:rPr>
          <w:rFonts w:ascii="Arial" w:hAnsi="Arial"/>
          <w:sz w:val="24"/>
          <w:szCs w:val="24"/>
        </w:rPr>
        <w:t xml:space="preserve">assegnati sono </w:t>
      </w:r>
      <w:r w:rsidRPr="0068615F">
        <w:rPr>
          <w:rFonts w:ascii="Arial" w:hAnsi="Arial"/>
          <w:sz w:val="24"/>
          <w:szCs w:val="24"/>
        </w:rPr>
        <w:t xml:space="preserve">quelli di coadiuvare il pubblico ministero nelle istruzioni; svolgere autonomamente, dietro delega della direzione del procedimento, atti istruttori; allestire progetti di provvedimenti e decisioni di merito nonché pareri giuridici; svolgere ricerche e, </w:t>
      </w:r>
      <w:r w:rsidRPr="0068615F">
        <w:rPr>
          <w:rFonts w:ascii="Arial" w:hAnsi="Arial"/>
          <w:sz w:val="24"/>
          <w:szCs w:val="24"/>
        </w:rPr>
        <w:lastRenderedPageBreak/>
        <w:t>in caso di necessità, collaborare con il segretariato nella</w:t>
      </w:r>
      <w:r w:rsidRPr="00457B23">
        <w:rPr>
          <w:rFonts w:ascii="Arial" w:hAnsi="Arial"/>
          <w:sz w:val="24"/>
          <w:szCs w:val="24"/>
        </w:rPr>
        <w:t xml:space="preserve"> tenuta informatica e cartacea degli incarti.</w:t>
      </w:r>
    </w:p>
    <w:p w14:paraId="4E267706" w14:textId="77777777" w:rsidR="009A1C6D" w:rsidRDefault="009A1C6D" w:rsidP="009A1C6D">
      <w:pPr>
        <w:spacing w:after="0" w:line="240" w:lineRule="auto"/>
        <w:rPr>
          <w:rFonts w:ascii="Arial" w:hAnsi="Arial"/>
          <w:b/>
          <w:iCs/>
          <w:sz w:val="24"/>
          <w:szCs w:val="24"/>
        </w:rPr>
      </w:pPr>
    </w:p>
    <w:p w14:paraId="34B10177" w14:textId="77777777" w:rsidR="009A1C6D" w:rsidRPr="00DD4905"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ind w:left="567" w:hanging="567"/>
        <w:jc w:val="both"/>
        <w:rPr>
          <w:rFonts w:ascii="Arial" w:hAnsi="Arial"/>
          <w:b/>
          <w:sz w:val="24"/>
          <w:szCs w:val="24"/>
        </w:rPr>
      </w:pPr>
      <w:r w:rsidRPr="00DD4905">
        <w:rPr>
          <w:rFonts w:ascii="Arial" w:hAnsi="Arial"/>
          <w:b/>
          <w:sz w:val="24"/>
          <w:szCs w:val="24"/>
        </w:rPr>
        <w:t>2.</w:t>
      </w:r>
      <w:r w:rsidRPr="00DD4905">
        <w:rPr>
          <w:rFonts w:ascii="Arial" w:hAnsi="Arial"/>
          <w:b/>
          <w:sz w:val="24"/>
          <w:szCs w:val="24"/>
        </w:rPr>
        <w:tab/>
        <w:t>Ragioni della proposta</w:t>
      </w:r>
    </w:p>
    <w:p w14:paraId="0591F55F"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hAnsi="Arial"/>
          <w:sz w:val="24"/>
          <w:szCs w:val="24"/>
        </w:rPr>
        <w:t xml:space="preserve">Per rendere </w:t>
      </w:r>
      <w:r w:rsidRPr="00457B23">
        <w:rPr>
          <w:rFonts w:ascii="Arial" w:hAnsi="Arial"/>
          <w:sz w:val="24"/>
          <w:szCs w:val="24"/>
        </w:rPr>
        <w:t xml:space="preserve">più efficiente e </w:t>
      </w:r>
      <w:r w:rsidRPr="0068615F">
        <w:rPr>
          <w:rFonts w:ascii="Arial" w:hAnsi="Arial"/>
          <w:sz w:val="24"/>
          <w:szCs w:val="24"/>
        </w:rPr>
        <w:t>razionale l'operato del Ministero pubblico, con l’alleggerimento che ne deriverebbe per i Procuratori pubblici e dunque per la giustizia penale in generale e alla luce della relativa giurisprudenza è proposto di assegnare a singoli Segretari giudiziari, ampliandole sul modello di quanto è già oggi codificato in altri Cantoni, competenze decisionali accresciute in ambito contravvenzionale, dunque nel quadro di procedimenti ritenuti di natura “bagatellare”. Questo ambito rappresenta circa il 24% dei 14'500 procedimenti che costituiscono le entrate annuali dell’Ufficio</w:t>
      </w:r>
      <w:r w:rsidRPr="0068615F">
        <w:rPr>
          <w:rStyle w:val="Rimandonotaapidipagina"/>
          <w:rFonts w:ascii="Arial" w:hAnsi="Arial"/>
          <w:sz w:val="24"/>
          <w:szCs w:val="24"/>
        </w:rPr>
        <w:footnoteReference w:id="3"/>
      </w:r>
      <w:r w:rsidRPr="0068615F">
        <w:rPr>
          <w:rFonts w:ascii="Arial" w:hAnsi="Arial"/>
          <w:sz w:val="24"/>
          <w:szCs w:val="24"/>
        </w:rPr>
        <w:t>.</w:t>
      </w:r>
    </w:p>
    <w:p w14:paraId="4B7EE765"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5E7FFC22" w14:textId="77777777" w:rsidR="009A1C6D" w:rsidRPr="00DD4905"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ind w:left="567" w:hanging="567"/>
        <w:jc w:val="both"/>
        <w:rPr>
          <w:rFonts w:ascii="Arial" w:hAnsi="Arial"/>
          <w:b/>
          <w:sz w:val="24"/>
          <w:szCs w:val="24"/>
        </w:rPr>
      </w:pPr>
      <w:r w:rsidRPr="00DD4905">
        <w:rPr>
          <w:rFonts w:ascii="Arial" w:hAnsi="Arial"/>
          <w:b/>
          <w:sz w:val="24"/>
          <w:szCs w:val="24"/>
        </w:rPr>
        <w:t>3.</w:t>
      </w:r>
      <w:r w:rsidRPr="00DD4905">
        <w:rPr>
          <w:rFonts w:ascii="Arial" w:hAnsi="Arial"/>
          <w:b/>
          <w:sz w:val="24"/>
          <w:szCs w:val="24"/>
        </w:rPr>
        <w:tab/>
        <w:t>Legislazione cantonale attuale e raffronto con altri Cantoni</w:t>
      </w:r>
    </w:p>
    <w:p w14:paraId="6EF89A83"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hAnsi="Arial"/>
          <w:sz w:val="24"/>
          <w:szCs w:val="24"/>
        </w:rPr>
        <w:t>Il Codice di procedura penale (CPP)</w:t>
      </w:r>
      <w:r w:rsidRPr="005E1E89">
        <w:rPr>
          <w:rStyle w:val="Rimandonotaapidipagina"/>
          <w:rFonts w:ascii="Arial" w:hAnsi="Arial"/>
          <w:sz w:val="24"/>
          <w:szCs w:val="24"/>
        </w:rPr>
        <w:footnoteReference w:id="4"/>
      </w:r>
      <w:r>
        <w:rPr>
          <w:rFonts w:ascii="Arial" w:hAnsi="Arial"/>
          <w:sz w:val="24"/>
          <w:szCs w:val="24"/>
        </w:rPr>
        <w:t xml:space="preserve"> fissa la regola secondo cui la </w:t>
      </w:r>
      <w:r w:rsidRPr="00457B23">
        <w:rPr>
          <w:rFonts w:ascii="Arial" w:hAnsi="Arial"/>
          <w:sz w:val="24"/>
          <w:szCs w:val="24"/>
        </w:rPr>
        <w:t xml:space="preserve">direzione del procedimento penale </w:t>
      </w:r>
      <w:r>
        <w:rPr>
          <w:rFonts w:ascii="Arial" w:hAnsi="Arial"/>
          <w:sz w:val="24"/>
          <w:szCs w:val="24"/>
        </w:rPr>
        <w:t>è in capo al</w:t>
      </w:r>
      <w:r w:rsidRPr="00457B23">
        <w:rPr>
          <w:rFonts w:ascii="Arial" w:hAnsi="Arial"/>
          <w:sz w:val="24"/>
          <w:szCs w:val="24"/>
        </w:rPr>
        <w:t xml:space="preserve"> </w:t>
      </w:r>
      <w:r>
        <w:rPr>
          <w:rFonts w:ascii="Arial" w:hAnsi="Arial"/>
          <w:sz w:val="24"/>
          <w:szCs w:val="24"/>
        </w:rPr>
        <w:t>pubblico ministero, ossia al Procuratore pubblico, il quale, responsabile della pretesa punitiva dello Stato</w:t>
      </w:r>
      <w:r w:rsidRPr="005E1E89">
        <w:rPr>
          <w:rStyle w:val="Rimandonotaapidipagina"/>
          <w:rFonts w:ascii="Arial" w:hAnsi="Arial"/>
          <w:sz w:val="24"/>
          <w:szCs w:val="24"/>
        </w:rPr>
        <w:footnoteReference w:id="5"/>
      </w:r>
      <w:r>
        <w:rPr>
          <w:rFonts w:ascii="Arial" w:hAnsi="Arial"/>
          <w:sz w:val="24"/>
          <w:szCs w:val="24"/>
        </w:rPr>
        <w:t xml:space="preserve">, per </w:t>
      </w:r>
      <w:r w:rsidRPr="0068615F">
        <w:rPr>
          <w:rFonts w:ascii="Arial" w:hAnsi="Arial"/>
          <w:sz w:val="24"/>
          <w:szCs w:val="24"/>
        </w:rPr>
        <w:t>principio deve raccogliere personalmente le prove</w:t>
      </w:r>
      <w:r w:rsidRPr="0068615F">
        <w:rPr>
          <w:rStyle w:val="Rimandonotaapidipagina"/>
          <w:rFonts w:ascii="Arial" w:hAnsi="Arial"/>
          <w:sz w:val="24"/>
          <w:szCs w:val="24"/>
        </w:rPr>
        <w:footnoteReference w:id="6"/>
      </w:r>
      <w:r w:rsidRPr="0068615F">
        <w:rPr>
          <w:rFonts w:ascii="Arial" w:hAnsi="Arial"/>
          <w:sz w:val="24"/>
          <w:szCs w:val="24"/>
        </w:rPr>
        <w:t>. Questi, sotto la propria responsabilità, può tuttavia delegare a propri collaboratori lo svolgimento di taluni atti istruttori. Gli è infatti consentito delegare degli interrogatori, qualora la legislazione federale ovvero cantonale ne precisino la portata</w:t>
      </w:r>
      <w:r w:rsidRPr="0068615F">
        <w:rPr>
          <w:rStyle w:val="Rimandonotaapidipagina"/>
          <w:rFonts w:ascii="Arial" w:hAnsi="Arial"/>
          <w:sz w:val="24"/>
          <w:szCs w:val="24"/>
        </w:rPr>
        <w:footnoteReference w:id="7"/>
      </w:r>
      <w:r w:rsidRPr="0068615F">
        <w:rPr>
          <w:rFonts w:ascii="Arial" w:hAnsi="Arial"/>
          <w:sz w:val="24"/>
          <w:szCs w:val="24"/>
        </w:rPr>
        <w:t>.</w:t>
      </w:r>
      <w:r>
        <w:rPr>
          <w:rFonts w:ascii="Arial" w:hAnsi="Arial"/>
          <w:sz w:val="24"/>
          <w:szCs w:val="24"/>
        </w:rPr>
        <w:t xml:space="preserve"> D’altra parte, allo stesso modo gli è consentito delegare agli stessi singoli atti d’istruzione</w:t>
      </w:r>
      <w:r w:rsidRPr="005E1E89">
        <w:rPr>
          <w:rStyle w:val="Rimandonotaapidipagina"/>
          <w:rFonts w:ascii="Arial" w:hAnsi="Arial"/>
          <w:sz w:val="24"/>
          <w:szCs w:val="24"/>
        </w:rPr>
        <w:footnoteReference w:id="8"/>
      </w:r>
      <w:r>
        <w:rPr>
          <w:rFonts w:ascii="Arial" w:hAnsi="Arial"/>
          <w:sz w:val="24"/>
          <w:szCs w:val="24"/>
        </w:rPr>
        <w:t xml:space="preserve">. </w:t>
      </w:r>
    </w:p>
    <w:p w14:paraId="524C7E96"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p>
    <w:p w14:paraId="5BA12904"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16"/>
          <w:szCs w:val="16"/>
        </w:rPr>
      </w:pPr>
      <w:r>
        <w:rPr>
          <w:rFonts w:ascii="Arial" w:hAnsi="Arial"/>
          <w:sz w:val="24"/>
          <w:szCs w:val="24"/>
        </w:rPr>
        <w:t>Nel nostro ordinamento cantonale, l</w:t>
      </w:r>
      <w:r w:rsidRPr="00457B23">
        <w:rPr>
          <w:rFonts w:ascii="Arial" w:hAnsi="Arial"/>
          <w:sz w:val="24"/>
          <w:szCs w:val="24"/>
        </w:rPr>
        <w:t>a LOG</w:t>
      </w:r>
      <w:r w:rsidRPr="005E1E89">
        <w:rPr>
          <w:rStyle w:val="Rimandonotaapidipagina"/>
          <w:rFonts w:ascii="Arial" w:hAnsi="Arial"/>
          <w:sz w:val="24"/>
          <w:szCs w:val="24"/>
        </w:rPr>
        <w:footnoteReference w:id="9"/>
      </w:r>
      <w:r w:rsidRPr="00457B23">
        <w:rPr>
          <w:rFonts w:ascii="Arial" w:hAnsi="Arial"/>
          <w:sz w:val="24"/>
          <w:szCs w:val="24"/>
        </w:rPr>
        <w:t xml:space="preserve"> </w:t>
      </w:r>
      <w:r>
        <w:rPr>
          <w:rFonts w:ascii="Arial" w:hAnsi="Arial"/>
          <w:sz w:val="24"/>
          <w:szCs w:val="24"/>
        </w:rPr>
        <w:t xml:space="preserve">prevede e precisa infatti principio e portata di tali deleghe in favore della polizia cantonale. Prevede, segnatamente, che «Il </w:t>
      </w:r>
      <w:r w:rsidRPr="005E1E89">
        <w:rPr>
          <w:rFonts w:ascii="Arial" w:hAnsi="Arial"/>
          <w:sz w:val="24"/>
          <w:szCs w:val="24"/>
        </w:rPr>
        <w:t>Ministero pubblico</w:t>
      </w:r>
      <w:r w:rsidRPr="00457B23">
        <w:rPr>
          <w:rFonts w:ascii="Arial" w:hAnsi="Arial"/>
          <w:sz w:val="24"/>
          <w:szCs w:val="24"/>
        </w:rPr>
        <w:t xml:space="preserve"> e le autorità giudiziarie possono, nell'ambito delle rispettive competenze e sotto la loro vigilanza, impartire istruzioni e conferire mandati alla polizia giudiziaria, conformemente alle norme della procedura penale</w:t>
      </w:r>
      <w:r>
        <w:rPr>
          <w:rFonts w:ascii="Arial" w:hAnsi="Arial"/>
          <w:sz w:val="24"/>
          <w:szCs w:val="24"/>
        </w:rPr>
        <w:t>». Prevede altresì che «Il Ministero pubblico</w:t>
      </w:r>
      <w:r w:rsidRPr="00457B23">
        <w:rPr>
          <w:rFonts w:ascii="Arial" w:hAnsi="Arial"/>
          <w:sz w:val="24"/>
          <w:szCs w:val="24"/>
        </w:rPr>
        <w:t xml:space="preserve"> può delegare ai propri funzionari o alla polizia l'interrogatorio degli imputati, delle persone informate sui fatti e dei testimoni </w:t>
      </w:r>
      <w:r>
        <w:rPr>
          <w:rFonts w:ascii="Arial" w:hAnsi="Arial"/>
          <w:sz w:val="24"/>
          <w:szCs w:val="24"/>
        </w:rPr>
        <w:t>nonché</w:t>
      </w:r>
      <w:r w:rsidRPr="00457B23">
        <w:rPr>
          <w:rFonts w:ascii="Arial" w:hAnsi="Arial"/>
          <w:sz w:val="24"/>
          <w:szCs w:val="24"/>
        </w:rPr>
        <w:t xml:space="preserve"> la raccolta di altri mezzi di prova</w:t>
      </w:r>
      <w:r>
        <w:rPr>
          <w:rFonts w:ascii="Arial" w:hAnsi="Arial"/>
          <w:sz w:val="24"/>
          <w:szCs w:val="24"/>
        </w:rPr>
        <w:t>».</w:t>
      </w:r>
      <w:r>
        <w:rPr>
          <w:rFonts w:ascii="Arial" w:hAnsi="Arial"/>
          <w:sz w:val="16"/>
          <w:szCs w:val="16"/>
        </w:rPr>
        <w:t xml:space="preserve"> </w:t>
      </w:r>
    </w:p>
    <w:p w14:paraId="50AF6734"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16"/>
          <w:szCs w:val="16"/>
        </w:rPr>
      </w:pPr>
    </w:p>
    <w:p w14:paraId="74170D2E" w14:textId="77777777" w:rsidR="009A1C6D" w:rsidRPr="00D94748"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hAnsi="Arial"/>
          <w:sz w:val="24"/>
          <w:szCs w:val="24"/>
        </w:rPr>
        <w:t>A titolo comparativo</w:t>
      </w:r>
      <w:r w:rsidRPr="005E1E89">
        <w:rPr>
          <w:rStyle w:val="Rimandonotaapidipagina"/>
          <w:rFonts w:ascii="Arial" w:hAnsi="Arial"/>
          <w:sz w:val="24"/>
          <w:szCs w:val="24"/>
        </w:rPr>
        <w:footnoteReference w:id="10"/>
      </w:r>
      <w:r>
        <w:rPr>
          <w:rFonts w:ascii="Arial" w:hAnsi="Arial"/>
          <w:sz w:val="24"/>
          <w:szCs w:val="24"/>
        </w:rPr>
        <w:t>, n</w:t>
      </w:r>
      <w:r w:rsidRPr="00457B23">
        <w:rPr>
          <w:rFonts w:ascii="Arial" w:hAnsi="Arial"/>
          <w:sz w:val="24"/>
          <w:szCs w:val="24"/>
        </w:rPr>
        <w:t xml:space="preserve">el </w:t>
      </w:r>
      <w:r w:rsidRPr="00CC059A">
        <w:rPr>
          <w:rFonts w:ascii="Arial" w:hAnsi="Arial"/>
          <w:sz w:val="24"/>
          <w:szCs w:val="24"/>
        </w:rPr>
        <w:t>Cantone di Berna</w:t>
      </w:r>
      <w:r w:rsidRPr="00457B23">
        <w:rPr>
          <w:rFonts w:ascii="Arial" w:hAnsi="Arial"/>
          <w:sz w:val="24"/>
          <w:szCs w:val="24"/>
        </w:rPr>
        <w:t xml:space="preserve"> </w:t>
      </w:r>
      <w:r>
        <w:rPr>
          <w:rFonts w:ascii="Arial" w:hAnsi="Arial"/>
          <w:sz w:val="24"/>
          <w:szCs w:val="24"/>
        </w:rPr>
        <w:t xml:space="preserve">anche </w:t>
      </w:r>
      <w:r w:rsidRPr="00457B23">
        <w:rPr>
          <w:rFonts w:ascii="Arial" w:hAnsi="Arial"/>
          <w:sz w:val="24"/>
          <w:szCs w:val="24"/>
        </w:rPr>
        <w:t xml:space="preserve">i </w:t>
      </w:r>
      <w:r>
        <w:rPr>
          <w:rFonts w:ascii="Arial" w:hAnsi="Arial"/>
          <w:sz w:val="24"/>
          <w:szCs w:val="24"/>
        </w:rPr>
        <w:t>Segretari giudiziari</w:t>
      </w:r>
      <w:r w:rsidRPr="00457B23">
        <w:rPr>
          <w:rFonts w:ascii="Arial" w:hAnsi="Arial"/>
          <w:sz w:val="24"/>
          <w:szCs w:val="24"/>
        </w:rPr>
        <w:t xml:space="preserve"> giuristi godono di ampie competenze decisionali</w:t>
      </w:r>
      <w:r>
        <w:rPr>
          <w:rFonts w:ascii="Arial" w:hAnsi="Arial"/>
          <w:sz w:val="24"/>
          <w:szCs w:val="24"/>
        </w:rPr>
        <w:t>:</w:t>
      </w:r>
      <w:r w:rsidRPr="00457B23">
        <w:rPr>
          <w:rFonts w:ascii="Arial" w:hAnsi="Arial"/>
          <w:sz w:val="24"/>
          <w:szCs w:val="24"/>
        </w:rPr>
        <w:t xml:space="preserve"> supportano</w:t>
      </w:r>
      <w:r>
        <w:rPr>
          <w:rFonts w:ascii="Arial" w:hAnsi="Arial"/>
          <w:sz w:val="24"/>
          <w:szCs w:val="24"/>
        </w:rPr>
        <w:t xml:space="preserve"> infatti</w:t>
      </w:r>
      <w:r w:rsidRPr="00457B23">
        <w:rPr>
          <w:rFonts w:ascii="Arial" w:hAnsi="Arial"/>
          <w:sz w:val="24"/>
          <w:szCs w:val="24"/>
        </w:rPr>
        <w:t xml:space="preserve"> il Procuratore </w:t>
      </w:r>
      <w:r>
        <w:rPr>
          <w:rFonts w:ascii="Arial" w:hAnsi="Arial"/>
          <w:sz w:val="24"/>
          <w:szCs w:val="24"/>
        </w:rPr>
        <w:t xml:space="preserve">generale e i </w:t>
      </w:r>
      <w:r w:rsidRPr="00457B23">
        <w:rPr>
          <w:rFonts w:ascii="Arial" w:hAnsi="Arial"/>
          <w:sz w:val="24"/>
          <w:szCs w:val="24"/>
        </w:rPr>
        <w:t xml:space="preserve">Procuratori </w:t>
      </w:r>
      <w:r>
        <w:rPr>
          <w:rFonts w:ascii="Arial" w:hAnsi="Arial"/>
          <w:sz w:val="24"/>
          <w:szCs w:val="24"/>
        </w:rPr>
        <w:t>pubblici</w:t>
      </w:r>
      <w:r w:rsidRPr="00457B23">
        <w:rPr>
          <w:rFonts w:ascii="Arial" w:hAnsi="Arial"/>
          <w:sz w:val="24"/>
          <w:szCs w:val="24"/>
        </w:rPr>
        <w:t xml:space="preserve"> </w:t>
      </w:r>
      <w:r>
        <w:rPr>
          <w:rFonts w:ascii="Arial" w:hAnsi="Arial"/>
          <w:sz w:val="24"/>
          <w:szCs w:val="24"/>
        </w:rPr>
        <w:t xml:space="preserve">rappresentando </w:t>
      </w:r>
      <w:r w:rsidRPr="00457B23">
        <w:rPr>
          <w:rFonts w:ascii="Arial" w:hAnsi="Arial"/>
          <w:sz w:val="24"/>
          <w:szCs w:val="24"/>
        </w:rPr>
        <w:t xml:space="preserve">l'accusa davanti al Tribunale superiore e al Tribunale </w:t>
      </w:r>
      <w:r>
        <w:rPr>
          <w:rFonts w:ascii="Arial" w:hAnsi="Arial"/>
          <w:sz w:val="24"/>
          <w:szCs w:val="24"/>
        </w:rPr>
        <w:t>f</w:t>
      </w:r>
      <w:r w:rsidRPr="00457B23">
        <w:rPr>
          <w:rFonts w:ascii="Arial" w:hAnsi="Arial"/>
          <w:sz w:val="24"/>
          <w:szCs w:val="24"/>
        </w:rPr>
        <w:t xml:space="preserve">ederale, come pure in altri settori che sono loro attribuiti. Nel </w:t>
      </w:r>
      <w:r w:rsidRPr="00CC059A">
        <w:rPr>
          <w:rFonts w:ascii="Arial" w:hAnsi="Arial"/>
          <w:sz w:val="24"/>
          <w:szCs w:val="24"/>
        </w:rPr>
        <w:t>Cantone di Glarona</w:t>
      </w:r>
      <w:r w:rsidRPr="00457B23">
        <w:rPr>
          <w:rFonts w:ascii="Arial" w:hAnsi="Arial"/>
          <w:sz w:val="24"/>
          <w:szCs w:val="24"/>
        </w:rPr>
        <w:t xml:space="preserve"> l'accusa e il giudizio delle contravvenzioni possono essere </w:t>
      </w:r>
      <w:r>
        <w:rPr>
          <w:rFonts w:ascii="Arial" w:hAnsi="Arial"/>
          <w:sz w:val="24"/>
          <w:szCs w:val="24"/>
        </w:rPr>
        <w:t xml:space="preserve">invece </w:t>
      </w:r>
      <w:r w:rsidRPr="00457B23">
        <w:rPr>
          <w:rFonts w:ascii="Arial" w:hAnsi="Arial"/>
          <w:sz w:val="24"/>
          <w:szCs w:val="24"/>
        </w:rPr>
        <w:t xml:space="preserve">completamente delegati ad altri funzionari del Ministero pubblico e della Magistratura dei minorenni. Nell'ambito di crimini e delitti, la delega è ammessa solo per gli atti istruttori, ma non per l'apertura e la chiusura della stessa. Nel </w:t>
      </w:r>
      <w:r w:rsidRPr="00CC059A">
        <w:rPr>
          <w:rFonts w:ascii="Arial" w:hAnsi="Arial"/>
          <w:sz w:val="24"/>
          <w:szCs w:val="24"/>
        </w:rPr>
        <w:t>Cantone di Friburgo</w:t>
      </w:r>
      <w:r>
        <w:rPr>
          <w:rFonts w:ascii="Arial" w:hAnsi="Arial"/>
          <w:sz w:val="24"/>
          <w:szCs w:val="24"/>
        </w:rPr>
        <w:t>,</w:t>
      </w:r>
      <w:r w:rsidRPr="00457B23">
        <w:rPr>
          <w:rFonts w:ascii="Arial" w:hAnsi="Arial"/>
          <w:sz w:val="24"/>
          <w:szCs w:val="24"/>
        </w:rPr>
        <w:t xml:space="preserve"> </w:t>
      </w:r>
      <w:r>
        <w:rPr>
          <w:rFonts w:ascii="Arial" w:hAnsi="Arial"/>
          <w:sz w:val="24"/>
          <w:szCs w:val="24"/>
        </w:rPr>
        <w:t xml:space="preserve">le disposizioni inerenti all’organizzazione e al </w:t>
      </w:r>
      <w:r>
        <w:rPr>
          <w:rFonts w:ascii="Arial" w:hAnsi="Arial"/>
          <w:sz w:val="24"/>
          <w:szCs w:val="24"/>
        </w:rPr>
        <w:lastRenderedPageBreak/>
        <w:t xml:space="preserve">funzionamento del Ministero pubblico </w:t>
      </w:r>
      <w:r w:rsidRPr="00457B23">
        <w:rPr>
          <w:rFonts w:ascii="Arial" w:hAnsi="Arial"/>
          <w:sz w:val="24"/>
          <w:szCs w:val="24"/>
        </w:rPr>
        <w:t>regola</w:t>
      </w:r>
      <w:r>
        <w:rPr>
          <w:rFonts w:ascii="Arial" w:hAnsi="Arial"/>
          <w:sz w:val="24"/>
          <w:szCs w:val="24"/>
        </w:rPr>
        <w:t>no, dal canto loro,</w:t>
      </w:r>
      <w:r w:rsidRPr="00457B23">
        <w:rPr>
          <w:rFonts w:ascii="Arial" w:hAnsi="Arial"/>
          <w:sz w:val="24"/>
          <w:szCs w:val="24"/>
        </w:rPr>
        <w:t xml:space="preserve"> nel dettaglio le competenze decisionali dei </w:t>
      </w:r>
      <w:r>
        <w:rPr>
          <w:rFonts w:ascii="Arial" w:hAnsi="Arial"/>
          <w:sz w:val="24"/>
          <w:szCs w:val="24"/>
        </w:rPr>
        <w:t>Segretari giudiziari</w:t>
      </w:r>
      <w:r w:rsidRPr="00457B23">
        <w:rPr>
          <w:rFonts w:ascii="Arial" w:hAnsi="Arial"/>
          <w:sz w:val="24"/>
          <w:szCs w:val="24"/>
        </w:rPr>
        <w:t xml:space="preserve">. Nel </w:t>
      </w:r>
      <w:r w:rsidRPr="00CC059A">
        <w:rPr>
          <w:rFonts w:ascii="Arial" w:hAnsi="Arial"/>
          <w:sz w:val="24"/>
          <w:szCs w:val="24"/>
        </w:rPr>
        <w:t>Cantone di San Gallo</w:t>
      </w:r>
      <w:r>
        <w:rPr>
          <w:rFonts w:ascii="Arial" w:hAnsi="Arial"/>
          <w:sz w:val="24"/>
          <w:szCs w:val="24"/>
        </w:rPr>
        <w:t>,</w:t>
      </w:r>
      <w:r w:rsidRPr="00457B23">
        <w:rPr>
          <w:rFonts w:ascii="Arial" w:hAnsi="Arial"/>
          <w:sz w:val="24"/>
          <w:szCs w:val="24"/>
        </w:rPr>
        <w:t xml:space="preserve"> </w:t>
      </w:r>
      <w:r>
        <w:rPr>
          <w:rFonts w:ascii="Arial" w:hAnsi="Arial"/>
          <w:sz w:val="24"/>
          <w:szCs w:val="24"/>
        </w:rPr>
        <w:t>a</w:t>
      </w:r>
      <w:r w:rsidRPr="00457B23">
        <w:rPr>
          <w:rFonts w:ascii="Arial" w:hAnsi="Arial"/>
          <w:sz w:val="24"/>
          <w:szCs w:val="24"/>
        </w:rPr>
        <w:t xml:space="preserve">i </w:t>
      </w:r>
      <w:r>
        <w:rPr>
          <w:rFonts w:ascii="Arial" w:hAnsi="Arial"/>
          <w:sz w:val="24"/>
          <w:szCs w:val="24"/>
        </w:rPr>
        <w:t>Segretari giudiziari</w:t>
      </w:r>
      <w:r w:rsidRPr="00457B23">
        <w:rPr>
          <w:rFonts w:ascii="Arial" w:hAnsi="Arial"/>
          <w:sz w:val="24"/>
          <w:szCs w:val="24"/>
        </w:rPr>
        <w:t xml:space="preserve"> del Ministero pubblico e della Magistratura dei minorenni </w:t>
      </w:r>
      <w:r>
        <w:rPr>
          <w:rFonts w:ascii="Arial" w:hAnsi="Arial"/>
          <w:sz w:val="24"/>
          <w:szCs w:val="24"/>
        </w:rPr>
        <w:t xml:space="preserve">sono pure attribuite </w:t>
      </w:r>
      <w:r w:rsidRPr="00457B23">
        <w:rPr>
          <w:rFonts w:ascii="Arial" w:hAnsi="Arial"/>
          <w:sz w:val="24"/>
          <w:szCs w:val="24"/>
        </w:rPr>
        <w:t>ampie compe</w:t>
      </w:r>
      <w:r>
        <w:rPr>
          <w:rFonts w:ascii="Arial" w:hAnsi="Arial"/>
          <w:sz w:val="24"/>
          <w:szCs w:val="24"/>
        </w:rPr>
        <w:t>t</w:t>
      </w:r>
      <w:r w:rsidRPr="00457B23">
        <w:rPr>
          <w:rFonts w:ascii="Arial" w:hAnsi="Arial"/>
          <w:sz w:val="24"/>
          <w:szCs w:val="24"/>
        </w:rPr>
        <w:t xml:space="preserve">enze decisionali, tra </w:t>
      </w:r>
      <w:r>
        <w:rPr>
          <w:rFonts w:ascii="Arial" w:hAnsi="Arial"/>
          <w:sz w:val="24"/>
          <w:szCs w:val="24"/>
        </w:rPr>
        <w:t xml:space="preserve">cui il pronunciare </w:t>
      </w:r>
      <w:r w:rsidRPr="00457B23">
        <w:rPr>
          <w:rFonts w:ascii="Arial" w:hAnsi="Arial"/>
          <w:sz w:val="24"/>
          <w:szCs w:val="24"/>
        </w:rPr>
        <w:t>decret</w:t>
      </w:r>
      <w:r>
        <w:rPr>
          <w:rFonts w:ascii="Arial" w:hAnsi="Arial"/>
          <w:sz w:val="24"/>
          <w:szCs w:val="24"/>
        </w:rPr>
        <w:t>i</w:t>
      </w:r>
      <w:r w:rsidRPr="00457B23">
        <w:rPr>
          <w:rFonts w:ascii="Arial" w:hAnsi="Arial"/>
          <w:sz w:val="24"/>
          <w:szCs w:val="24"/>
        </w:rPr>
        <w:t xml:space="preserve"> d'accusa. </w:t>
      </w:r>
      <w:r>
        <w:rPr>
          <w:rFonts w:ascii="Arial" w:hAnsi="Arial"/>
          <w:sz w:val="24"/>
          <w:szCs w:val="24"/>
        </w:rPr>
        <w:t>Infine, n</w:t>
      </w:r>
      <w:r w:rsidRPr="00457B23">
        <w:rPr>
          <w:rFonts w:ascii="Arial" w:hAnsi="Arial"/>
          <w:sz w:val="24"/>
          <w:szCs w:val="24"/>
        </w:rPr>
        <w:t xml:space="preserve">el </w:t>
      </w:r>
      <w:r w:rsidRPr="00CC059A">
        <w:rPr>
          <w:rFonts w:ascii="Arial" w:hAnsi="Arial"/>
          <w:sz w:val="24"/>
          <w:szCs w:val="24"/>
        </w:rPr>
        <w:t>Cantone di Neuchâtel</w:t>
      </w:r>
      <w:r w:rsidRPr="00457B23">
        <w:rPr>
          <w:rFonts w:ascii="Arial" w:hAnsi="Arial"/>
          <w:sz w:val="24"/>
          <w:szCs w:val="24"/>
        </w:rPr>
        <w:t xml:space="preserve"> i </w:t>
      </w:r>
      <w:r>
        <w:rPr>
          <w:rFonts w:ascii="Arial" w:hAnsi="Arial"/>
          <w:sz w:val="24"/>
          <w:szCs w:val="24"/>
        </w:rPr>
        <w:t>Segretari giudiziari</w:t>
      </w:r>
      <w:r w:rsidRPr="00457B23">
        <w:rPr>
          <w:rFonts w:ascii="Arial" w:hAnsi="Arial"/>
          <w:sz w:val="24"/>
          <w:szCs w:val="24"/>
        </w:rPr>
        <w:t xml:space="preserve"> dispongono di competenze decisionali piuttosto ampie, che si estendono all'istruzione e al giudizio degli affari penali</w:t>
      </w:r>
      <w:r>
        <w:rPr>
          <w:rFonts w:ascii="Arial" w:hAnsi="Arial"/>
          <w:sz w:val="24"/>
          <w:szCs w:val="24"/>
        </w:rPr>
        <w:t>.</w:t>
      </w:r>
    </w:p>
    <w:p w14:paraId="33618F01" w14:textId="77777777" w:rsidR="009A1C6D" w:rsidRPr="009A1C6D" w:rsidRDefault="009A1C6D" w:rsidP="00DD49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567" w:hanging="567"/>
        <w:jc w:val="both"/>
        <w:rPr>
          <w:rFonts w:ascii="Arial" w:hAnsi="Arial"/>
          <w:b/>
          <w:iCs/>
          <w:sz w:val="24"/>
          <w:szCs w:val="24"/>
        </w:rPr>
      </w:pPr>
    </w:p>
    <w:p w14:paraId="40B7E56A" w14:textId="77777777" w:rsidR="009A1C6D" w:rsidRPr="00DD4905"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ind w:left="567" w:hanging="567"/>
        <w:jc w:val="both"/>
        <w:rPr>
          <w:rFonts w:ascii="Arial" w:hAnsi="Arial"/>
          <w:b/>
          <w:sz w:val="24"/>
          <w:szCs w:val="24"/>
        </w:rPr>
      </w:pPr>
      <w:r w:rsidRPr="00DD4905">
        <w:rPr>
          <w:rFonts w:ascii="Arial" w:hAnsi="Arial"/>
          <w:b/>
          <w:sz w:val="24"/>
          <w:szCs w:val="24"/>
        </w:rPr>
        <w:t>4.</w:t>
      </w:r>
      <w:r w:rsidRPr="00DD4905">
        <w:rPr>
          <w:rFonts w:ascii="Arial" w:hAnsi="Arial"/>
          <w:b/>
          <w:sz w:val="24"/>
          <w:szCs w:val="24"/>
        </w:rPr>
        <w:tab/>
        <w:t>Proposta</w:t>
      </w:r>
    </w:p>
    <w:p w14:paraId="69E8FB5B"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cs="Arial"/>
          <w:sz w:val="24"/>
          <w:szCs w:val="24"/>
        </w:rPr>
      </w:pPr>
      <w:r w:rsidRPr="0032311A">
        <w:rPr>
          <w:rFonts w:ascii="Arial" w:hAnsi="Arial" w:cs="Arial"/>
          <w:sz w:val="24"/>
          <w:szCs w:val="24"/>
        </w:rPr>
        <w:t xml:space="preserve">Su richiesta del Ministero pubblico, il Consiglio di Stato propone </w:t>
      </w:r>
      <w:r>
        <w:rPr>
          <w:rFonts w:ascii="Arial" w:hAnsi="Arial" w:cs="Arial"/>
          <w:sz w:val="24"/>
          <w:szCs w:val="24"/>
        </w:rPr>
        <w:t xml:space="preserve">al Gran Consiglio </w:t>
      </w:r>
      <w:r w:rsidRPr="0032311A">
        <w:rPr>
          <w:rFonts w:ascii="Arial" w:hAnsi="Arial" w:cs="Arial"/>
          <w:sz w:val="24"/>
          <w:szCs w:val="24"/>
        </w:rPr>
        <w:t xml:space="preserve">d’inserire nella </w:t>
      </w:r>
      <w:r>
        <w:rPr>
          <w:rFonts w:ascii="Arial" w:hAnsi="Arial" w:cs="Arial"/>
          <w:sz w:val="24"/>
          <w:szCs w:val="24"/>
        </w:rPr>
        <w:t>legislazione cantonale, sul modello di quanto prevede l’ordinamento del Cantone di San Gallo temperato alle esigenze del Ministero pubblico del Cantone Ticino precisate in sede di consultazione,</w:t>
      </w:r>
      <w:r w:rsidRPr="0032311A">
        <w:rPr>
          <w:rFonts w:ascii="Arial" w:hAnsi="Arial" w:cs="Arial"/>
          <w:sz w:val="24"/>
          <w:szCs w:val="24"/>
        </w:rPr>
        <w:t xml:space="preserve"> </w:t>
      </w:r>
      <w:r>
        <w:rPr>
          <w:rFonts w:ascii="Arial" w:hAnsi="Arial" w:cs="Arial"/>
          <w:sz w:val="24"/>
          <w:szCs w:val="24"/>
        </w:rPr>
        <w:t>precisamente nell’art.</w:t>
      </w:r>
      <w:r w:rsidRPr="0032311A">
        <w:rPr>
          <w:rFonts w:ascii="Arial" w:hAnsi="Arial" w:cs="Arial"/>
          <w:sz w:val="24"/>
          <w:szCs w:val="24"/>
        </w:rPr>
        <w:t xml:space="preserve"> 68 («Competenze del procuratore generale»)</w:t>
      </w:r>
      <w:r>
        <w:rPr>
          <w:rFonts w:ascii="Arial" w:hAnsi="Arial" w:cs="Arial"/>
          <w:sz w:val="24"/>
          <w:szCs w:val="24"/>
        </w:rPr>
        <w:t xml:space="preserve">, </w:t>
      </w:r>
      <w:r w:rsidRPr="0032311A">
        <w:rPr>
          <w:rFonts w:ascii="Arial" w:hAnsi="Arial" w:cs="Arial"/>
          <w:sz w:val="24"/>
          <w:szCs w:val="24"/>
        </w:rPr>
        <w:t xml:space="preserve">una nuova disposizione </w:t>
      </w:r>
      <w:r>
        <w:rPr>
          <w:rFonts w:ascii="Arial" w:hAnsi="Arial" w:cs="Arial"/>
          <w:sz w:val="24"/>
          <w:szCs w:val="24"/>
        </w:rPr>
        <w:t>(</w:t>
      </w:r>
      <w:proofErr w:type="spellStart"/>
      <w:r>
        <w:rPr>
          <w:rFonts w:ascii="Arial" w:hAnsi="Arial" w:cs="Arial"/>
          <w:sz w:val="24"/>
          <w:szCs w:val="24"/>
        </w:rPr>
        <w:t>lett</w:t>
      </w:r>
      <w:proofErr w:type="spellEnd"/>
      <w:r>
        <w:rPr>
          <w:rFonts w:ascii="Arial" w:hAnsi="Arial" w:cs="Arial"/>
          <w:sz w:val="24"/>
          <w:szCs w:val="24"/>
        </w:rPr>
        <w:t xml:space="preserve">. h) </w:t>
      </w:r>
      <w:r w:rsidRPr="0032311A">
        <w:rPr>
          <w:rFonts w:ascii="Arial" w:hAnsi="Arial" w:cs="Arial"/>
          <w:sz w:val="24"/>
          <w:szCs w:val="24"/>
        </w:rPr>
        <w:t xml:space="preserve">esplicitante le competenze decisionali dei </w:t>
      </w:r>
      <w:r>
        <w:rPr>
          <w:rFonts w:ascii="Arial" w:hAnsi="Arial" w:cs="Arial"/>
          <w:sz w:val="24"/>
          <w:szCs w:val="24"/>
        </w:rPr>
        <w:t>Segretari giudiziari</w:t>
      </w:r>
      <w:r w:rsidRPr="0032311A">
        <w:rPr>
          <w:rFonts w:ascii="Arial" w:hAnsi="Arial" w:cs="Arial"/>
          <w:sz w:val="24"/>
          <w:szCs w:val="24"/>
        </w:rPr>
        <w:t xml:space="preserve"> e meglio</w:t>
      </w:r>
      <w:r>
        <w:rPr>
          <w:rFonts w:ascii="Arial" w:hAnsi="Arial" w:cs="Arial"/>
          <w:sz w:val="24"/>
          <w:szCs w:val="24"/>
        </w:rPr>
        <w:t>, delegati alla direzione del procedimento penale beninteso limitatamente ai casi c.d. “</w:t>
      </w:r>
      <w:proofErr w:type="spellStart"/>
      <w:r>
        <w:rPr>
          <w:rFonts w:ascii="Arial" w:hAnsi="Arial" w:cs="Arial"/>
          <w:sz w:val="24"/>
          <w:szCs w:val="24"/>
        </w:rPr>
        <w:t>bagatellari</w:t>
      </w:r>
      <w:proofErr w:type="spellEnd"/>
      <w:r>
        <w:rPr>
          <w:rFonts w:ascii="Arial" w:hAnsi="Arial" w:cs="Arial"/>
          <w:sz w:val="24"/>
          <w:szCs w:val="24"/>
        </w:rPr>
        <w:t>” (contravvenzionali),</w:t>
      </w:r>
      <w:r w:rsidRPr="0032311A">
        <w:rPr>
          <w:rFonts w:ascii="Arial" w:hAnsi="Arial" w:cs="Arial"/>
          <w:sz w:val="24"/>
          <w:szCs w:val="24"/>
        </w:rPr>
        <w:t xml:space="preserve"> a emanare i decreti di non luogo a procedere, a sospendere o abbandonare il procedimento penale, a emanare i decreti d’accusa, a promuovere l’accusa e </w:t>
      </w:r>
      <w:r>
        <w:rPr>
          <w:rFonts w:ascii="Arial" w:hAnsi="Arial" w:cs="Arial"/>
          <w:sz w:val="24"/>
          <w:szCs w:val="24"/>
        </w:rPr>
        <w:t xml:space="preserve">a </w:t>
      </w:r>
      <w:r w:rsidRPr="0032311A">
        <w:rPr>
          <w:rFonts w:ascii="Arial" w:hAnsi="Arial" w:cs="Arial"/>
          <w:sz w:val="24"/>
          <w:szCs w:val="24"/>
        </w:rPr>
        <w:t>rappresentare il Ministero pubblico nelle sedi giudiziarie competenti.</w:t>
      </w:r>
      <w:r>
        <w:rPr>
          <w:rFonts w:ascii="Arial" w:hAnsi="Arial" w:cs="Arial"/>
          <w:sz w:val="24"/>
          <w:szCs w:val="24"/>
        </w:rPr>
        <w:t xml:space="preserve"> </w:t>
      </w:r>
    </w:p>
    <w:p w14:paraId="29FFC8D2"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cs="Arial"/>
          <w:sz w:val="24"/>
          <w:szCs w:val="24"/>
        </w:rPr>
      </w:pPr>
    </w:p>
    <w:p w14:paraId="54C7F64E" w14:textId="00736501"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hAnsi="Arial" w:cs="Arial"/>
          <w:sz w:val="24"/>
          <w:szCs w:val="24"/>
        </w:rPr>
        <w:t>La norma in questione prevede che il Procuratore generale possa autorizzar</w:t>
      </w:r>
      <w:r w:rsidR="00DE076B">
        <w:rPr>
          <w:rFonts w:ascii="Arial" w:hAnsi="Arial" w:cs="Arial"/>
          <w:sz w:val="24"/>
          <w:szCs w:val="24"/>
        </w:rPr>
        <w:t xml:space="preserve">e singoli Segretari giudiziari, </w:t>
      </w:r>
      <w:r>
        <w:rPr>
          <w:rFonts w:ascii="Arial" w:hAnsi="Arial"/>
          <w:sz w:val="24"/>
          <w:szCs w:val="24"/>
        </w:rPr>
        <w:t>sempre</w:t>
      </w:r>
      <w:r w:rsidRPr="004F373D">
        <w:rPr>
          <w:rFonts w:ascii="Arial" w:hAnsi="Arial"/>
          <w:sz w:val="24"/>
          <w:szCs w:val="24"/>
        </w:rPr>
        <w:t xml:space="preserve"> sotto la sua responsabilità</w:t>
      </w:r>
      <w:r>
        <w:rPr>
          <w:rFonts w:ascii="Arial" w:hAnsi="Arial"/>
          <w:sz w:val="24"/>
          <w:szCs w:val="24"/>
        </w:rPr>
        <w:t xml:space="preserve"> che discende inderogabilmente dal </w:t>
      </w:r>
      <w:r w:rsidRPr="00DE076B">
        <w:rPr>
          <w:rFonts w:ascii="Arial" w:hAnsi="Arial"/>
          <w:sz w:val="24"/>
          <w:szCs w:val="24"/>
        </w:rPr>
        <w:t>C</w:t>
      </w:r>
      <w:r w:rsidR="00BE374D" w:rsidRPr="00DE076B">
        <w:rPr>
          <w:rFonts w:ascii="Arial" w:hAnsi="Arial"/>
          <w:sz w:val="24"/>
          <w:szCs w:val="24"/>
        </w:rPr>
        <w:t>PP</w:t>
      </w:r>
      <w:r>
        <w:rPr>
          <w:rFonts w:ascii="Arial" w:hAnsi="Arial"/>
          <w:sz w:val="24"/>
          <w:szCs w:val="24"/>
        </w:rPr>
        <w:t xml:space="preserve">. </w:t>
      </w:r>
      <w:r w:rsidRPr="00457B23">
        <w:rPr>
          <w:rFonts w:ascii="Arial" w:hAnsi="Arial"/>
          <w:sz w:val="24"/>
          <w:szCs w:val="24"/>
        </w:rPr>
        <w:t>L'</w:t>
      </w:r>
      <w:r>
        <w:rPr>
          <w:rFonts w:ascii="Arial" w:hAnsi="Arial"/>
          <w:sz w:val="24"/>
          <w:szCs w:val="24"/>
        </w:rPr>
        <w:t>autorizzazione si estende anche al</w:t>
      </w:r>
      <w:r w:rsidRPr="00457B23">
        <w:rPr>
          <w:rFonts w:ascii="Arial" w:hAnsi="Arial"/>
          <w:sz w:val="24"/>
          <w:szCs w:val="24"/>
        </w:rPr>
        <w:t xml:space="preserve">la rappresentanza del </w:t>
      </w:r>
      <w:r>
        <w:rPr>
          <w:rFonts w:ascii="Arial" w:hAnsi="Arial"/>
          <w:sz w:val="24"/>
          <w:szCs w:val="24"/>
        </w:rPr>
        <w:t>Ministero pubblico</w:t>
      </w:r>
      <w:r w:rsidRPr="00457B23">
        <w:rPr>
          <w:rFonts w:ascii="Arial" w:hAnsi="Arial"/>
          <w:sz w:val="24"/>
          <w:szCs w:val="24"/>
        </w:rPr>
        <w:t xml:space="preserve"> nelle sedi giudiziarie competenti a giudicare l'eventuale impugnativa derivante da una decisione di archiviazione del procedimento (tramite il decreto di non luogo a procedere, </w:t>
      </w:r>
      <w:r>
        <w:rPr>
          <w:rFonts w:ascii="Arial" w:hAnsi="Arial"/>
          <w:sz w:val="24"/>
          <w:szCs w:val="24"/>
        </w:rPr>
        <w:t xml:space="preserve">il </w:t>
      </w:r>
      <w:r w:rsidRPr="00457B23">
        <w:rPr>
          <w:rFonts w:ascii="Arial" w:hAnsi="Arial"/>
          <w:sz w:val="24"/>
          <w:szCs w:val="24"/>
        </w:rPr>
        <w:t>decreto d'abbandono o di sospensione) o di opposizione a un decreto d'accusa</w:t>
      </w:r>
      <w:r>
        <w:rPr>
          <w:rFonts w:ascii="Arial" w:hAnsi="Arial"/>
          <w:sz w:val="24"/>
          <w:szCs w:val="24"/>
        </w:rPr>
        <w:t xml:space="preserve">: </w:t>
      </w:r>
      <w:r w:rsidRPr="00457B23">
        <w:rPr>
          <w:rFonts w:ascii="Arial" w:hAnsi="Arial"/>
          <w:sz w:val="24"/>
          <w:szCs w:val="24"/>
        </w:rPr>
        <w:t>discende dall'</w:t>
      </w:r>
      <w:r>
        <w:rPr>
          <w:rFonts w:ascii="Arial" w:hAnsi="Arial"/>
          <w:sz w:val="24"/>
          <w:szCs w:val="24"/>
        </w:rPr>
        <w:t>ovvia necessità di dovere garantire la</w:t>
      </w:r>
      <w:r w:rsidRPr="00457B23">
        <w:rPr>
          <w:rFonts w:ascii="Arial" w:hAnsi="Arial"/>
          <w:sz w:val="24"/>
          <w:szCs w:val="24"/>
        </w:rPr>
        <w:t xml:space="preserve"> continuità nella gestione delle procedure delegate, nell'ottica di una gestione efficiente ed efficace del procedimento</w:t>
      </w:r>
      <w:r w:rsidRPr="005E1E89">
        <w:rPr>
          <w:rStyle w:val="Rimandonotaapidipagina"/>
          <w:rFonts w:ascii="Arial" w:hAnsi="Arial"/>
          <w:sz w:val="24"/>
          <w:szCs w:val="24"/>
        </w:rPr>
        <w:footnoteReference w:id="11"/>
      </w:r>
      <w:r w:rsidRPr="00457B23">
        <w:rPr>
          <w:rFonts w:ascii="Arial" w:hAnsi="Arial"/>
          <w:sz w:val="24"/>
          <w:szCs w:val="24"/>
        </w:rPr>
        <w:t>.</w:t>
      </w:r>
    </w:p>
    <w:p w14:paraId="1640FC42" w14:textId="1416C28B"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48321AEC" w14:textId="77777777" w:rsidR="00DD4905" w:rsidRDefault="00DD4905"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467DEBE7" w14:textId="629C6251" w:rsidR="009A1C6D" w:rsidRPr="00DD4905" w:rsidRDefault="009A1C6D" w:rsidP="00DD4905">
      <w:pPr>
        <w:pStyle w:val="Titolo1"/>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ind w:left="567" w:hanging="567"/>
        <w:jc w:val="both"/>
        <w:rPr>
          <w:rFonts w:ascii="Arial" w:hAnsi="Arial" w:cs="Times New Roman"/>
          <w:caps/>
          <w:color w:val="auto"/>
          <w:sz w:val="24"/>
          <w:szCs w:val="24"/>
          <w:bdr w:val="none" w:sz="0" w:space="0" w:color="auto"/>
          <w:lang w:eastAsia="it-IT"/>
        </w:rPr>
      </w:pPr>
      <w:bookmarkStart w:id="3" w:name="_Toc159917162"/>
      <w:r w:rsidRPr="00DD4905">
        <w:rPr>
          <w:rFonts w:ascii="Arial" w:hAnsi="Arial" w:cs="Times New Roman"/>
          <w:caps/>
          <w:color w:val="auto"/>
          <w:sz w:val="24"/>
          <w:szCs w:val="24"/>
          <w:bdr w:val="none" w:sz="0" w:space="0" w:color="auto"/>
          <w:lang w:eastAsia="it-IT"/>
        </w:rPr>
        <w:t>PROCEDURA DI CONSULTAZIONE, ATTI PARLAMENTARI, IMPATTO A LIVELLO FINANZIARIO E SULLE RISORSE UMANE, LOGISTICA E STIMA DEI COSTI, RELAZIONE CON LE LINEE GUIDA E IL PIANO FINANZIARIO, CONCLUSIONI</w:t>
      </w:r>
      <w:bookmarkEnd w:id="3"/>
    </w:p>
    <w:p w14:paraId="67CFE2D1"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eastAsia="Arial" w:hAnsi="Arial" w:cs="Arial"/>
          <w:sz w:val="24"/>
          <w:szCs w:val="24"/>
        </w:rPr>
        <w:t xml:space="preserve">Sui singoli punti si rinvia al relativo contenuto e alle relative valutazioni del primo rapporto </w:t>
      </w:r>
      <w:r>
        <w:rPr>
          <w:rFonts w:ascii="Arial" w:hAnsi="Arial"/>
          <w:sz w:val="24"/>
          <w:szCs w:val="24"/>
        </w:rPr>
        <w:t>parziale, ritenuto come a livello di oneri finanziari e costi per gli aspetti logistici, la presente proposta di modifica legislativa per sua natura non ne prevede punto</w:t>
      </w:r>
      <w:r w:rsidRPr="005E1E89">
        <w:rPr>
          <w:rStyle w:val="Rimandonotaapidipagina"/>
          <w:rFonts w:ascii="Arial" w:hAnsi="Arial"/>
          <w:sz w:val="24"/>
          <w:szCs w:val="24"/>
        </w:rPr>
        <w:footnoteReference w:id="12"/>
      </w:r>
      <w:r>
        <w:rPr>
          <w:rFonts w:ascii="Arial" w:hAnsi="Arial"/>
          <w:sz w:val="24"/>
          <w:szCs w:val="24"/>
        </w:rPr>
        <w:t>. Nondimeno, si ritiene di dovere qui ricordare la conclusione del Consiglio di Stato, nella sintesi di questa Commissione, nel ribadire «</w:t>
      </w:r>
      <w:r w:rsidRPr="00457B23">
        <w:rPr>
          <w:rFonts w:ascii="Arial" w:hAnsi="Arial"/>
          <w:sz w:val="24"/>
          <w:szCs w:val="24"/>
        </w:rPr>
        <w:t xml:space="preserve">che la funzionalità della Magistratura è un valore importante anche per un fattore di competitività di una Stato di diritto. Le proposte di cui al messaggio </w:t>
      </w:r>
      <w:r>
        <w:rPr>
          <w:rFonts w:ascii="Arial" w:hAnsi="Arial"/>
          <w:sz w:val="24"/>
          <w:szCs w:val="24"/>
        </w:rPr>
        <w:t xml:space="preserve">[…] </w:t>
      </w:r>
      <w:r w:rsidRPr="00457B23">
        <w:rPr>
          <w:rFonts w:ascii="Arial" w:hAnsi="Arial"/>
          <w:sz w:val="24"/>
          <w:szCs w:val="24"/>
        </w:rPr>
        <w:t>contribuiscono da un lato alla stabilità sociale e alla tutela della cittadinanza, assicurando l'esercizio dell'azione pubblica allo Stato che ne ha il monopolio, nell'ottica di ridurre al minimo i rischi di prescrizione, dall'altro all'efficienza e all'efficacia dell'operato dell'autorità del perseguimento penale</w:t>
      </w:r>
      <w:r>
        <w:rPr>
          <w:rFonts w:ascii="Arial" w:hAnsi="Arial"/>
          <w:sz w:val="24"/>
          <w:szCs w:val="24"/>
        </w:rPr>
        <w:t>»</w:t>
      </w:r>
      <w:r w:rsidRPr="005E1E89">
        <w:rPr>
          <w:rStyle w:val="Rimandonotaapidipagina"/>
          <w:rFonts w:ascii="Arial" w:hAnsi="Arial"/>
          <w:sz w:val="24"/>
          <w:szCs w:val="24"/>
        </w:rPr>
        <w:footnoteReference w:id="13"/>
      </w:r>
      <w:r>
        <w:rPr>
          <w:rFonts w:ascii="Arial" w:hAnsi="Arial"/>
          <w:sz w:val="24"/>
          <w:szCs w:val="24"/>
        </w:rPr>
        <w:t>.</w:t>
      </w:r>
    </w:p>
    <w:p w14:paraId="2D3D6D54"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2897FD98" w14:textId="77777777" w:rsidR="009A1C6D" w:rsidRPr="00DD4905" w:rsidRDefault="009A1C6D" w:rsidP="00DD4905">
      <w:pPr>
        <w:pStyle w:val="Titolo1"/>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jc w:val="both"/>
        <w:rPr>
          <w:rFonts w:ascii="Arial" w:hAnsi="Arial" w:cs="Times New Roman"/>
          <w:caps/>
          <w:color w:val="auto"/>
          <w:sz w:val="24"/>
          <w:szCs w:val="24"/>
          <w:bdr w:val="none" w:sz="0" w:space="0" w:color="auto"/>
          <w:lang w:eastAsia="it-IT"/>
        </w:rPr>
      </w:pPr>
      <w:bookmarkStart w:id="4" w:name="_Toc159917163"/>
      <w:r w:rsidRPr="00DD4905">
        <w:rPr>
          <w:rFonts w:ascii="Arial" w:hAnsi="Arial" w:cs="Times New Roman"/>
          <w:caps/>
          <w:color w:val="auto"/>
          <w:sz w:val="24"/>
          <w:szCs w:val="24"/>
          <w:bdr w:val="none" w:sz="0" w:space="0" w:color="auto"/>
          <w:lang w:eastAsia="it-IT"/>
        </w:rPr>
        <w:lastRenderedPageBreak/>
        <w:t>AUDIZIONI</w:t>
      </w:r>
      <w:bookmarkEnd w:id="4"/>
    </w:p>
    <w:p w14:paraId="69E86E08" w14:textId="493FAA2B" w:rsidR="009A1C6D" w:rsidRDefault="009A1C6D" w:rsidP="00DE07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hAnsi="Arial"/>
          <w:sz w:val="24"/>
          <w:szCs w:val="24"/>
        </w:rPr>
        <w:t xml:space="preserve">Sullo specifico tema e quindi sulla modifica legislativa di cui al presente rapporto, il </w:t>
      </w:r>
      <w:r w:rsidRPr="00457B23">
        <w:rPr>
          <w:rFonts w:ascii="Arial" w:hAnsi="Arial"/>
          <w:sz w:val="24"/>
          <w:szCs w:val="24"/>
        </w:rPr>
        <w:t xml:space="preserve">Procuratore </w:t>
      </w:r>
      <w:r>
        <w:rPr>
          <w:rFonts w:ascii="Arial" w:hAnsi="Arial"/>
          <w:sz w:val="24"/>
          <w:szCs w:val="24"/>
        </w:rPr>
        <w:t>generale</w:t>
      </w:r>
      <w:r w:rsidRPr="00457B23">
        <w:rPr>
          <w:rFonts w:ascii="Arial" w:hAnsi="Arial"/>
          <w:sz w:val="24"/>
          <w:szCs w:val="24"/>
        </w:rPr>
        <w:t xml:space="preserve"> è stato sentito dalla Commissione giustizia</w:t>
      </w:r>
      <w:r>
        <w:rPr>
          <w:rFonts w:ascii="Arial" w:hAnsi="Arial"/>
          <w:sz w:val="24"/>
          <w:szCs w:val="24"/>
        </w:rPr>
        <w:t>, attraverso la sua Sottocommissione Ministero pubblico,</w:t>
      </w:r>
      <w:r w:rsidRPr="00457B23">
        <w:rPr>
          <w:rFonts w:ascii="Arial" w:hAnsi="Arial"/>
          <w:sz w:val="24"/>
          <w:szCs w:val="24"/>
        </w:rPr>
        <w:t xml:space="preserve"> </w:t>
      </w:r>
      <w:r>
        <w:rPr>
          <w:rFonts w:ascii="Arial" w:hAnsi="Arial"/>
          <w:sz w:val="24"/>
          <w:szCs w:val="24"/>
        </w:rPr>
        <w:t>una seconda volta</w:t>
      </w:r>
      <w:r w:rsidRPr="005E1E89">
        <w:rPr>
          <w:rStyle w:val="Rimandonotaapidipagina"/>
          <w:rFonts w:ascii="Arial" w:hAnsi="Arial"/>
          <w:sz w:val="24"/>
          <w:szCs w:val="24"/>
        </w:rPr>
        <w:footnoteReference w:id="14"/>
      </w:r>
      <w:r>
        <w:rPr>
          <w:rFonts w:ascii="Arial" w:hAnsi="Arial"/>
          <w:sz w:val="24"/>
          <w:szCs w:val="24"/>
        </w:rPr>
        <w:t xml:space="preserve"> il 13 novembre </w:t>
      </w:r>
      <w:r w:rsidRPr="00457B23">
        <w:rPr>
          <w:rFonts w:ascii="Arial" w:hAnsi="Arial"/>
          <w:sz w:val="24"/>
          <w:szCs w:val="24"/>
        </w:rPr>
        <w:t>20</w:t>
      </w:r>
      <w:r>
        <w:rPr>
          <w:rFonts w:ascii="Arial" w:hAnsi="Arial"/>
          <w:sz w:val="24"/>
          <w:szCs w:val="24"/>
        </w:rPr>
        <w:t>23. Nella prima audizione egli aveva indicato che con la «estensione dei compiti dei Segretari giudiziari […] in sostanza il destino del Ministero pubblico non cambierebbe ma i Procuratori pubblici otterrebbero un lieve sollievo nel loro lavoro»</w:t>
      </w:r>
      <w:r w:rsidRPr="005E1E89">
        <w:rPr>
          <w:rStyle w:val="Rimandonotaapidipagina"/>
          <w:rFonts w:ascii="Arial" w:hAnsi="Arial"/>
          <w:sz w:val="24"/>
          <w:szCs w:val="24"/>
        </w:rPr>
        <w:footnoteReference w:id="15"/>
      </w:r>
      <w:r>
        <w:rPr>
          <w:rFonts w:ascii="Arial" w:hAnsi="Arial"/>
          <w:sz w:val="24"/>
          <w:szCs w:val="24"/>
        </w:rPr>
        <w:t>. In quella che ha fatto seguito, lo stesso ha tuttavia indicato la rilevante importanza, nel risultato pratico atteso, della modifica in discussione. Questo per il sensibile aumento quantitativo delle procedure contravvenzionali – appunto definite “</w:t>
      </w:r>
      <w:proofErr w:type="spellStart"/>
      <w:r>
        <w:rPr>
          <w:rFonts w:ascii="Arial" w:hAnsi="Arial"/>
          <w:sz w:val="24"/>
          <w:szCs w:val="24"/>
        </w:rPr>
        <w:t>bagatellari</w:t>
      </w:r>
      <w:proofErr w:type="spellEnd"/>
      <w:r>
        <w:rPr>
          <w:rFonts w:ascii="Arial" w:hAnsi="Arial"/>
          <w:sz w:val="24"/>
          <w:szCs w:val="24"/>
        </w:rPr>
        <w:t>” – già constatato in entrata con fondamento nelle contravvenzioni previste dalla LTV</w:t>
      </w:r>
      <w:r w:rsidRPr="005E1E89">
        <w:rPr>
          <w:rStyle w:val="Rimandonotaapidipagina"/>
          <w:rFonts w:ascii="Arial" w:hAnsi="Arial"/>
          <w:sz w:val="24"/>
          <w:szCs w:val="24"/>
        </w:rPr>
        <w:footnoteReference w:id="16"/>
      </w:r>
      <w:r w:rsidR="00DE076B">
        <w:rPr>
          <w:rFonts w:ascii="Arial" w:hAnsi="Arial"/>
          <w:sz w:val="24"/>
          <w:szCs w:val="24"/>
        </w:rPr>
        <w:t xml:space="preserve">, </w:t>
      </w:r>
      <w:r>
        <w:rPr>
          <w:rFonts w:ascii="Arial" w:hAnsi="Arial"/>
          <w:sz w:val="24"/>
          <w:szCs w:val="24"/>
        </w:rPr>
        <w:t>per</w:t>
      </w:r>
      <w:r w:rsidR="00DE076B">
        <w:rPr>
          <w:rFonts w:ascii="Arial" w:hAnsi="Arial"/>
          <w:sz w:val="24"/>
          <w:szCs w:val="24"/>
        </w:rPr>
        <w:t xml:space="preserve"> trasporto senza titolo valido, </w:t>
      </w:r>
      <w:r>
        <w:rPr>
          <w:rFonts w:ascii="Arial" w:hAnsi="Arial"/>
          <w:sz w:val="24"/>
          <w:szCs w:val="24"/>
        </w:rPr>
        <w:t xml:space="preserve"> nella </w:t>
      </w:r>
      <w:proofErr w:type="spellStart"/>
      <w:r>
        <w:rPr>
          <w:rFonts w:ascii="Arial" w:hAnsi="Arial"/>
          <w:sz w:val="24"/>
          <w:szCs w:val="24"/>
        </w:rPr>
        <w:t>LStup</w:t>
      </w:r>
      <w:proofErr w:type="spellEnd"/>
      <w:r w:rsidRPr="005E1E89">
        <w:rPr>
          <w:rStyle w:val="Rimandonotaapidipagina"/>
          <w:rFonts w:ascii="Arial" w:hAnsi="Arial"/>
          <w:sz w:val="24"/>
          <w:szCs w:val="24"/>
        </w:rPr>
        <w:footnoteReference w:id="17"/>
      </w:r>
      <w:r w:rsidR="00DE076B">
        <w:rPr>
          <w:rFonts w:ascii="Arial" w:hAnsi="Arial"/>
          <w:sz w:val="24"/>
          <w:szCs w:val="24"/>
        </w:rPr>
        <w:t xml:space="preserve">, </w:t>
      </w:r>
      <w:r>
        <w:rPr>
          <w:rFonts w:ascii="Arial" w:hAnsi="Arial"/>
          <w:sz w:val="24"/>
          <w:szCs w:val="24"/>
        </w:rPr>
        <w:t>per infrazioni date dal semplice con</w:t>
      </w:r>
      <w:r w:rsidR="00DE076B">
        <w:rPr>
          <w:rFonts w:ascii="Arial" w:hAnsi="Arial"/>
          <w:sz w:val="24"/>
          <w:szCs w:val="24"/>
        </w:rPr>
        <w:t xml:space="preserve">sumo di sostanza stupefacente </w:t>
      </w:r>
      <w:r>
        <w:rPr>
          <w:rFonts w:ascii="Arial" w:hAnsi="Arial"/>
          <w:sz w:val="24"/>
          <w:szCs w:val="24"/>
        </w:rPr>
        <w:t>e</w:t>
      </w:r>
      <w:r w:rsidR="00DE076B">
        <w:rPr>
          <w:rFonts w:ascii="Arial" w:hAnsi="Arial"/>
          <w:sz w:val="24"/>
          <w:szCs w:val="24"/>
        </w:rPr>
        <w:t>,</w:t>
      </w:r>
      <w:r>
        <w:rPr>
          <w:rFonts w:ascii="Arial" w:hAnsi="Arial"/>
          <w:sz w:val="24"/>
          <w:szCs w:val="24"/>
        </w:rPr>
        <w:t xml:space="preserve"> soprattutto</w:t>
      </w:r>
      <w:r w:rsidR="00DE076B">
        <w:rPr>
          <w:rFonts w:ascii="Arial" w:hAnsi="Arial"/>
          <w:sz w:val="24"/>
          <w:szCs w:val="24"/>
        </w:rPr>
        <w:t>,</w:t>
      </w:r>
      <w:r>
        <w:rPr>
          <w:rFonts w:ascii="Arial" w:hAnsi="Arial"/>
          <w:sz w:val="24"/>
          <w:szCs w:val="24"/>
        </w:rPr>
        <w:t xml:space="preserve"> in previsione aventi radice nell’art. 38a </w:t>
      </w:r>
      <w:r w:rsidR="00DE076B">
        <w:rPr>
          <w:rFonts w:ascii="Arial" w:hAnsi="Arial"/>
          <w:sz w:val="24"/>
          <w:szCs w:val="24"/>
        </w:rPr>
        <w:t xml:space="preserve">Regolamento </w:t>
      </w:r>
      <w:r w:rsidR="00DE076B" w:rsidRPr="00DE076B">
        <w:rPr>
          <w:rFonts w:ascii="Arial" w:hAnsi="Arial"/>
          <w:sz w:val="24"/>
          <w:szCs w:val="24"/>
        </w:rPr>
        <w:t>della legge di applicazione della legge feder</w:t>
      </w:r>
      <w:r w:rsidR="00DE076B">
        <w:rPr>
          <w:rFonts w:ascii="Arial" w:hAnsi="Arial"/>
          <w:sz w:val="24"/>
          <w:szCs w:val="24"/>
        </w:rPr>
        <w:t xml:space="preserve">ale sull’assicurazione malattie </w:t>
      </w:r>
      <w:r w:rsidR="00DE076B" w:rsidRPr="00DE076B">
        <w:rPr>
          <w:rFonts w:ascii="Arial" w:hAnsi="Arial"/>
          <w:sz w:val="24"/>
          <w:szCs w:val="24"/>
        </w:rPr>
        <w:t>(</w:t>
      </w:r>
      <w:proofErr w:type="spellStart"/>
      <w:r w:rsidR="00DE076B" w:rsidRPr="00DE076B">
        <w:rPr>
          <w:rFonts w:ascii="Arial" w:hAnsi="Arial"/>
          <w:sz w:val="24"/>
          <w:szCs w:val="24"/>
        </w:rPr>
        <w:t>RLCAMal</w:t>
      </w:r>
      <w:proofErr w:type="spellEnd"/>
      <w:r w:rsidR="00DE076B">
        <w:rPr>
          <w:rStyle w:val="Rimandonotaapidipagina"/>
          <w:rFonts w:ascii="Arial" w:hAnsi="Arial"/>
          <w:sz w:val="24"/>
          <w:szCs w:val="24"/>
        </w:rPr>
        <w:footnoteReference w:id="18"/>
      </w:r>
      <w:r w:rsidR="00DE076B" w:rsidRPr="00DE076B">
        <w:rPr>
          <w:rFonts w:ascii="Arial" w:hAnsi="Arial"/>
          <w:sz w:val="24"/>
          <w:szCs w:val="24"/>
        </w:rPr>
        <w:t>)</w:t>
      </w:r>
      <w:r w:rsidR="00DE076B">
        <w:rPr>
          <w:rFonts w:ascii="Arial" w:hAnsi="Arial"/>
          <w:sz w:val="24"/>
          <w:szCs w:val="24"/>
        </w:rPr>
        <w:t xml:space="preserve"> </w:t>
      </w:r>
      <w:r>
        <w:rPr>
          <w:rFonts w:ascii="Arial" w:hAnsi="Arial"/>
          <w:sz w:val="24"/>
          <w:szCs w:val="24"/>
        </w:rPr>
        <w:t>del Consiglio di Stato, entrato in vigore il 1° ottobre 2023, per titolo di «Disobbedienza a decisioni dell’autorità» ai sensi dell’art. 292 CP – per mancata presentazione alla prima convocazione ovvero mancata fornitura delle informazioni richieste dal Comune –. Per quest’ultimo caso</w:t>
      </w:r>
      <w:r w:rsidR="00DE076B">
        <w:rPr>
          <w:rFonts w:ascii="Arial" w:hAnsi="Arial"/>
          <w:sz w:val="24"/>
          <w:szCs w:val="24"/>
        </w:rPr>
        <w:t>,</w:t>
      </w:r>
      <w:r>
        <w:rPr>
          <w:rFonts w:ascii="Arial" w:hAnsi="Arial"/>
          <w:sz w:val="24"/>
          <w:szCs w:val="24"/>
        </w:rPr>
        <w:t xml:space="preserve"> in particolare, secondo le stime del Procuratore generale, basate sulle previsioni fornite dall’Istituto delle Assicurazioni Sociali - IAS, i procedimenti penali in entrata all’anno per tale titolo di reato contravvenzionale denunciato potrebbero </w:t>
      </w:r>
      <w:r w:rsidRPr="0068615F">
        <w:rPr>
          <w:rFonts w:ascii="Arial" w:hAnsi="Arial"/>
          <w:sz w:val="24"/>
          <w:szCs w:val="24"/>
        </w:rPr>
        <w:t>assommare a circa 2000 – 4000.</w:t>
      </w:r>
      <w:r>
        <w:rPr>
          <w:rFonts w:ascii="Arial" w:hAnsi="Arial"/>
          <w:sz w:val="24"/>
          <w:szCs w:val="24"/>
        </w:rPr>
        <w:t xml:space="preserve"> </w:t>
      </w:r>
    </w:p>
    <w:p w14:paraId="14D2237E"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p>
    <w:p w14:paraId="5CA8528B"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hAnsi="Arial"/>
          <w:sz w:val="24"/>
          <w:szCs w:val="24"/>
        </w:rPr>
        <w:t xml:space="preserve">Per quanto attiene al titolo di studio dei Segretari giudiziari eventualmente delegati, il Procuratore generale ha rilevato come se nei procedimenti contravvenzionali derivanti dalla </w:t>
      </w:r>
      <w:proofErr w:type="spellStart"/>
      <w:r>
        <w:rPr>
          <w:rFonts w:ascii="Arial" w:hAnsi="Arial"/>
          <w:sz w:val="24"/>
          <w:szCs w:val="24"/>
        </w:rPr>
        <w:t>LStup</w:t>
      </w:r>
      <w:proofErr w:type="spellEnd"/>
      <w:r>
        <w:rPr>
          <w:rFonts w:ascii="Arial" w:hAnsi="Arial"/>
          <w:sz w:val="24"/>
          <w:szCs w:val="24"/>
        </w:rPr>
        <w:t xml:space="preserve"> la formazione giuridica indicata nel Messaggio riveste, ragionevolmente, il carattere di condizione pressoché imprescindibile, in quelli di altra natura, p. es. in quelli inerenti alla LTV, definibili attraverso formulistica e l’emissione di un decreto d’accusa, potrebbe anche non rivestirla. Per quanto attiene ai costi, il Procuratore generale ha indicato che la modifica legislativa non comporterebbe alcun aggravio finanziario, in particolare per il fatto che non è prevista e non prevede nessuna modifica nella scala stipendi o modifica di classe per i Segretari giudiziari delegati. </w:t>
      </w:r>
    </w:p>
    <w:p w14:paraId="40737A0F"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p>
    <w:p w14:paraId="291E69F1"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sidRPr="0068615F">
        <w:rPr>
          <w:rFonts w:ascii="Arial" w:hAnsi="Arial"/>
          <w:sz w:val="24"/>
          <w:szCs w:val="24"/>
        </w:rPr>
        <w:t>La Commissione giustizia e diritti non ha ritenuto di dovere nuovamente sentire il Dipartimento delle istituzioni, il Consiglio della Magistratura, il Direttore del Dipartimento o il Presidente dell’organismo di sorveglianza sui magistrati, essendo questi già stati sentiti in occasione dell’allestimento del già menzionato rapporto parziale del 1° marzo 2021</w:t>
      </w:r>
      <w:r w:rsidRPr="0068615F">
        <w:rPr>
          <w:rStyle w:val="Rimandonotaapidipagina"/>
          <w:rFonts w:ascii="Arial" w:hAnsi="Arial"/>
          <w:sz w:val="24"/>
          <w:szCs w:val="24"/>
        </w:rPr>
        <w:footnoteReference w:id="19"/>
      </w:r>
      <w:r w:rsidRPr="0068615F">
        <w:rPr>
          <w:rFonts w:ascii="Arial" w:hAnsi="Arial"/>
          <w:sz w:val="24"/>
          <w:szCs w:val="24"/>
        </w:rPr>
        <w:t>.</w:t>
      </w:r>
    </w:p>
    <w:p w14:paraId="0ED309E3" w14:textId="12B76B26" w:rsidR="00DD4905" w:rsidRDefault="00DD490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Arial" w:hAnsi="Arial" w:cs="Arial"/>
          <w:sz w:val="24"/>
          <w:szCs w:val="24"/>
        </w:rPr>
      </w:pPr>
      <w:r>
        <w:rPr>
          <w:rFonts w:ascii="Arial" w:eastAsia="Arial" w:hAnsi="Arial" w:cs="Arial"/>
          <w:sz w:val="24"/>
          <w:szCs w:val="24"/>
        </w:rPr>
        <w:br w:type="page"/>
      </w:r>
    </w:p>
    <w:p w14:paraId="12378066" w14:textId="09545F47" w:rsidR="009A1C6D" w:rsidRPr="0045511E" w:rsidRDefault="009A1C6D" w:rsidP="0045511E">
      <w:pPr>
        <w:pStyle w:val="Titolo1"/>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jc w:val="both"/>
        <w:rPr>
          <w:rFonts w:ascii="Arial" w:hAnsi="Arial" w:cs="Times New Roman"/>
          <w:caps/>
          <w:color w:val="auto"/>
          <w:sz w:val="24"/>
          <w:szCs w:val="24"/>
          <w:bdr w:val="none" w:sz="0" w:space="0" w:color="auto"/>
          <w:lang w:eastAsia="it-IT"/>
        </w:rPr>
      </w:pPr>
      <w:bookmarkStart w:id="5" w:name="_Toc159917164"/>
      <w:r w:rsidRPr="0045511E">
        <w:rPr>
          <w:rFonts w:ascii="Arial" w:hAnsi="Arial" w:cs="Times New Roman"/>
          <w:caps/>
          <w:color w:val="auto"/>
          <w:sz w:val="24"/>
          <w:szCs w:val="24"/>
          <w:bdr w:val="none" w:sz="0" w:space="0" w:color="auto"/>
          <w:lang w:eastAsia="it-IT"/>
        </w:rPr>
        <w:lastRenderedPageBreak/>
        <w:t>CONSIDERAZIONI E APPROFONDIMENTI COMMISSIONALI</w:t>
      </w:r>
      <w:bookmarkEnd w:id="5"/>
    </w:p>
    <w:p w14:paraId="646AEC32" w14:textId="59970B47" w:rsidR="009A1C6D" w:rsidRPr="00DD4905" w:rsidRDefault="009A1C6D" w:rsidP="00DD4905">
      <w:pPr>
        <w:pStyle w:val="Titolo1"/>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ind w:left="567" w:hanging="567"/>
        <w:jc w:val="both"/>
        <w:rPr>
          <w:rFonts w:ascii="Arial" w:hAnsi="Arial" w:cs="Times New Roman"/>
          <w:caps/>
          <w:color w:val="auto"/>
          <w:sz w:val="24"/>
          <w:szCs w:val="24"/>
          <w:bdr w:val="none" w:sz="0" w:space="0" w:color="auto"/>
          <w:lang w:eastAsia="it-IT"/>
        </w:rPr>
      </w:pPr>
      <w:bookmarkStart w:id="6" w:name="_Toc159917165"/>
      <w:r w:rsidRPr="00DD4905">
        <w:rPr>
          <w:rFonts w:ascii="Arial" w:hAnsi="Arial" w:cs="Times New Roman"/>
          <w:caps/>
          <w:color w:val="auto"/>
          <w:sz w:val="24"/>
          <w:szCs w:val="24"/>
          <w:bdr w:val="none" w:sz="0" w:space="0" w:color="auto"/>
          <w:lang w:eastAsia="it-IT"/>
        </w:rPr>
        <w:t>ANALISI E COMMENTO DEL MESSAGGIO GOVERNATIVO</w:t>
      </w:r>
      <w:bookmarkEnd w:id="6"/>
    </w:p>
    <w:p w14:paraId="74F41FB0" w14:textId="77777777" w:rsidR="009A1C6D" w:rsidRDefault="009A1C6D" w:rsidP="009A1C6D">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40" w:lineRule="auto"/>
        <w:ind w:left="0"/>
        <w:jc w:val="both"/>
        <w:rPr>
          <w:rFonts w:ascii="Arial" w:hAnsi="Arial"/>
          <w:sz w:val="24"/>
          <w:szCs w:val="24"/>
        </w:rPr>
      </w:pPr>
      <w:r>
        <w:rPr>
          <w:rFonts w:ascii="Arial" w:hAnsi="Arial"/>
          <w:sz w:val="24"/>
          <w:szCs w:val="24"/>
        </w:rPr>
        <w:t>Si riprendono qui succintamente le principali considerazioni espresse dalla Commissione giustizia e diritti nel suo primo rapporto parziale in esito alle analisi e agli approfondimenti dei relatori</w:t>
      </w:r>
      <w:r w:rsidRPr="005E1E89">
        <w:rPr>
          <w:rStyle w:val="Rimandonotaapidipagina"/>
          <w:rFonts w:ascii="Arial" w:hAnsi="Arial"/>
          <w:sz w:val="24"/>
          <w:szCs w:val="24"/>
        </w:rPr>
        <w:footnoteReference w:id="20"/>
      </w:r>
      <w:r>
        <w:rPr>
          <w:rFonts w:ascii="Arial" w:hAnsi="Arial"/>
          <w:sz w:val="24"/>
          <w:szCs w:val="24"/>
        </w:rPr>
        <w:t>, che i Commissari ritengono a tutt’oggi valide.</w:t>
      </w:r>
    </w:p>
    <w:p w14:paraId="5470A7DC" w14:textId="77777777" w:rsidR="009A1C6D" w:rsidRDefault="009A1C6D" w:rsidP="009A1C6D">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40" w:lineRule="auto"/>
        <w:ind w:left="0"/>
        <w:jc w:val="both"/>
        <w:rPr>
          <w:rFonts w:ascii="Arial" w:hAnsi="Arial"/>
          <w:sz w:val="24"/>
          <w:szCs w:val="24"/>
        </w:rPr>
      </w:pPr>
    </w:p>
    <w:p w14:paraId="00E485C2" w14:textId="77777777" w:rsidR="009A1C6D" w:rsidRDefault="009A1C6D" w:rsidP="009A1C6D">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40" w:lineRule="auto"/>
        <w:ind w:left="0"/>
        <w:jc w:val="both"/>
        <w:rPr>
          <w:rFonts w:ascii="Arial" w:hAnsi="Arial"/>
          <w:sz w:val="24"/>
          <w:szCs w:val="24"/>
        </w:rPr>
      </w:pPr>
      <w:r>
        <w:rPr>
          <w:rFonts w:ascii="Arial" w:hAnsi="Arial"/>
          <w:sz w:val="24"/>
          <w:szCs w:val="24"/>
        </w:rPr>
        <w:t xml:space="preserve">Neppure </w:t>
      </w:r>
      <w:r w:rsidRPr="00457B23">
        <w:rPr>
          <w:rFonts w:ascii="Arial" w:hAnsi="Arial"/>
          <w:sz w:val="24"/>
          <w:szCs w:val="24"/>
        </w:rPr>
        <w:t>l’estensione delle competenze dei Segretari giudiziari</w:t>
      </w:r>
      <w:r>
        <w:rPr>
          <w:rFonts w:ascii="Arial" w:hAnsi="Arial"/>
          <w:sz w:val="24"/>
          <w:szCs w:val="24"/>
        </w:rPr>
        <w:t xml:space="preserve"> che la proposta di modifica della LOG è volta a introdurre può c</w:t>
      </w:r>
      <w:r w:rsidRPr="00457B23">
        <w:rPr>
          <w:rFonts w:ascii="Arial" w:hAnsi="Arial"/>
          <w:sz w:val="24"/>
          <w:szCs w:val="24"/>
        </w:rPr>
        <w:t>ontribui</w:t>
      </w:r>
      <w:r>
        <w:rPr>
          <w:rFonts w:ascii="Arial" w:hAnsi="Arial"/>
          <w:sz w:val="24"/>
          <w:szCs w:val="24"/>
        </w:rPr>
        <w:t xml:space="preserve">re </w:t>
      </w:r>
      <w:r w:rsidRPr="00457B23">
        <w:rPr>
          <w:rFonts w:ascii="Arial" w:hAnsi="Arial"/>
          <w:sz w:val="24"/>
          <w:szCs w:val="24"/>
        </w:rPr>
        <w:t xml:space="preserve">a migliorare </w:t>
      </w:r>
      <w:r>
        <w:rPr>
          <w:rFonts w:ascii="Arial" w:hAnsi="Arial"/>
          <w:sz w:val="24"/>
          <w:szCs w:val="24"/>
        </w:rPr>
        <w:t xml:space="preserve">definitivamente </w:t>
      </w:r>
      <w:r w:rsidRPr="00457B23">
        <w:rPr>
          <w:rFonts w:ascii="Arial" w:hAnsi="Arial"/>
          <w:sz w:val="24"/>
          <w:szCs w:val="24"/>
        </w:rPr>
        <w:t xml:space="preserve">l'operato e l'organizzazione del </w:t>
      </w:r>
      <w:r>
        <w:rPr>
          <w:rFonts w:ascii="Arial" w:hAnsi="Arial"/>
          <w:sz w:val="24"/>
          <w:szCs w:val="24"/>
        </w:rPr>
        <w:t xml:space="preserve">Ministero pubblico: in tale senso, sono da ritenere ancora attuali i rilevi proposti da questa Commissione relativamente alla situazione complessiva, anche riguardo al progetto c.d. di riordino dell’organizzazione giudiziaria e denominato “Giustizia 2018”. Tale estensione, dunque, non esaurisce la necessità di valutare, entro breve, in particolare l’istituzione della figura del Procuratore pubblico sostituto, siccome ritenuta misura assai più incisiva. </w:t>
      </w:r>
    </w:p>
    <w:p w14:paraId="59EC06FE" w14:textId="77777777" w:rsidR="009A1C6D" w:rsidRDefault="009A1C6D" w:rsidP="009A1C6D">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40" w:lineRule="auto"/>
        <w:ind w:left="0"/>
        <w:jc w:val="both"/>
        <w:rPr>
          <w:rFonts w:ascii="Arial" w:hAnsi="Arial"/>
          <w:sz w:val="24"/>
          <w:szCs w:val="24"/>
        </w:rPr>
      </w:pPr>
    </w:p>
    <w:p w14:paraId="4ED51BDC" w14:textId="230FA7F7" w:rsidR="009A1C6D" w:rsidRDefault="009A1C6D" w:rsidP="009A1C6D">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40" w:lineRule="auto"/>
        <w:ind w:left="0"/>
        <w:jc w:val="both"/>
        <w:rPr>
          <w:rFonts w:ascii="Arial" w:hAnsi="Arial"/>
          <w:sz w:val="24"/>
          <w:szCs w:val="24"/>
        </w:rPr>
      </w:pPr>
      <w:r>
        <w:rPr>
          <w:rFonts w:ascii="Arial" w:hAnsi="Arial"/>
          <w:sz w:val="24"/>
          <w:szCs w:val="24"/>
        </w:rPr>
        <w:t xml:space="preserve">Pur ribadendo l’opportunità </w:t>
      </w:r>
      <w:r w:rsidR="002F277D">
        <w:rPr>
          <w:rFonts w:ascii="Arial" w:hAnsi="Arial"/>
          <w:sz w:val="24"/>
          <w:szCs w:val="24"/>
        </w:rPr>
        <w:t xml:space="preserve">di </w:t>
      </w:r>
      <w:r>
        <w:rPr>
          <w:rFonts w:ascii="Arial" w:hAnsi="Arial"/>
          <w:sz w:val="24"/>
          <w:szCs w:val="24"/>
        </w:rPr>
        <w:t>dovere procedere con una vera riorganizzazione del Ministero pubblico anche secondo le modalità proposte nella risoluzione che il Gran Consiglio ha adottato il 14 dicembre 2020 dietro proposta di questa stessa Commissione e secondo il relativo suo rapporto del 30 gennaio 2023</w:t>
      </w:r>
      <w:r w:rsidRPr="005E1E89">
        <w:rPr>
          <w:rStyle w:val="Rimandonotaapidipagina"/>
          <w:rFonts w:ascii="Arial" w:hAnsi="Arial"/>
          <w:sz w:val="24"/>
          <w:szCs w:val="24"/>
        </w:rPr>
        <w:footnoteReference w:id="21"/>
      </w:r>
      <w:r>
        <w:rPr>
          <w:rFonts w:ascii="Arial" w:hAnsi="Arial"/>
          <w:sz w:val="24"/>
          <w:szCs w:val="24"/>
        </w:rPr>
        <w:t>, quest’ultima valuta di dovere nondimeno proporre al Gran Consiglio la modifica legislativa di cui trattasi: le novità legislative comportanti, con ogni verosimiglianza a brevissimo termine, ulteriori e sensibili aumenti del carico di lavoro cui l’Autorità di perseguimento penale cantonale dovrà fare fronte pressoché l’impongono.</w:t>
      </w:r>
    </w:p>
    <w:p w14:paraId="609AA734" w14:textId="77777777" w:rsidR="009A1C6D" w:rsidRPr="00457B23" w:rsidRDefault="009A1C6D" w:rsidP="009A1C6D">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40" w:lineRule="auto"/>
        <w:ind w:left="0"/>
        <w:jc w:val="both"/>
        <w:rPr>
          <w:rFonts w:ascii="Arial" w:eastAsia="Arial" w:hAnsi="Arial" w:cs="Arial"/>
          <w:sz w:val="24"/>
          <w:szCs w:val="24"/>
        </w:rPr>
      </w:pPr>
    </w:p>
    <w:p w14:paraId="24114F94" w14:textId="3C15F7CA" w:rsidR="009A1C6D" w:rsidRPr="00DD4905" w:rsidRDefault="009A1C6D" w:rsidP="00DD4905">
      <w:pPr>
        <w:pStyle w:val="Titolo1"/>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ind w:left="567" w:hanging="567"/>
        <w:jc w:val="both"/>
        <w:rPr>
          <w:rFonts w:ascii="Arial" w:hAnsi="Arial" w:cs="Times New Roman"/>
          <w:caps/>
          <w:color w:val="auto"/>
          <w:sz w:val="24"/>
          <w:szCs w:val="24"/>
          <w:bdr w:val="none" w:sz="0" w:space="0" w:color="auto"/>
          <w:lang w:eastAsia="it-IT"/>
        </w:rPr>
      </w:pPr>
      <w:bookmarkStart w:id="7" w:name="_Toc159917166"/>
      <w:r w:rsidRPr="00DD4905">
        <w:rPr>
          <w:rFonts w:ascii="Arial" w:hAnsi="Arial" w:cs="Times New Roman"/>
          <w:caps/>
          <w:color w:val="auto"/>
          <w:sz w:val="24"/>
          <w:szCs w:val="24"/>
          <w:bdr w:val="none" w:sz="0" w:space="0" w:color="auto"/>
          <w:lang w:eastAsia="it-IT"/>
        </w:rPr>
        <w:t>PARERE DEL SERVIZIO GIURIDICO</w:t>
      </w:r>
      <w:bookmarkEnd w:id="7"/>
    </w:p>
    <w:p w14:paraId="4726A8D9"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hAnsi="Arial"/>
          <w:sz w:val="24"/>
          <w:szCs w:val="24"/>
        </w:rPr>
        <w:t>Attraverso la sua Sottocommissione Ministero pubblico, la Commissione giustizia e diritti ha nondimeno ritenuto di approfondire la compatibilità della modifica legislativa proposta con il diritto federale anticipandola rispetto agli intendimenti da lei espressi nel primo rapporto parziale</w:t>
      </w:r>
      <w:r w:rsidRPr="005E1E89">
        <w:rPr>
          <w:rStyle w:val="Rimandonotaapidipagina"/>
          <w:rFonts w:ascii="Arial" w:hAnsi="Arial"/>
          <w:sz w:val="24"/>
          <w:szCs w:val="24"/>
        </w:rPr>
        <w:footnoteReference w:id="22"/>
      </w:r>
      <w:r>
        <w:rPr>
          <w:rFonts w:ascii="Arial" w:hAnsi="Arial"/>
          <w:sz w:val="24"/>
          <w:szCs w:val="24"/>
        </w:rPr>
        <w:t>, decidendo d’incaricare il Consulente giuridico del Gran Consiglio di verificare ulteriormente se l’estensione delle competenze ai Segretari giudiziari, così come proposta dal Consiglio di Stato con il suo messaggio, possa essere ritenuta conforme al diritto federale. Ciò in particolare alla luce della sentenza che il Tribunale federale ha pronunciato nel 2008 attorno al tema delle competenze decisionali in ambito civile dei Segretari assessori, con cui l’Alta Corte ha concluso indicando che il Segretario assessore non può esercitare un potere giurisdizionale autonomo fondato sull’art. 34 cpv. 2 LOG in quanto un tale potere «viola sia la costituzione cantonale sia la Costituzione federale, nella misura in cui […] sottrae il ricorrente al suo giudice costituzionale, nel senso di un giudice regolarmente fondato sulla legge»</w:t>
      </w:r>
      <w:r w:rsidRPr="005E1E89">
        <w:rPr>
          <w:rStyle w:val="Rimandonotaapidipagina"/>
          <w:rFonts w:ascii="Arial" w:hAnsi="Arial"/>
          <w:sz w:val="24"/>
          <w:szCs w:val="24"/>
        </w:rPr>
        <w:footnoteReference w:id="23"/>
      </w:r>
      <w:r>
        <w:rPr>
          <w:rFonts w:ascii="Arial" w:hAnsi="Arial"/>
          <w:sz w:val="24"/>
          <w:szCs w:val="24"/>
        </w:rPr>
        <w:t xml:space="preserve">, dal momento che, in sostanza, la Costituzione della Repubblica e Cantone Ticino permette al legislatore di regolamentare l’organizzazione giudiziaria (art. 80) ma non di introdurre un nuovo titolare della giurisdizione civile, siccome </w:t>
      </w:r>
      <w:r>
        <w:rPr>
          <w:rFonts w:ascii="Arial" w:hAnsi="Arial"/>
          <w:sz w:val="24"/>
          <w:szCs w:val="24"/>
        </w:rPr>
        <w:lastRenderedPageBreak/>
        <w:t>magistrato con altri esaustivamente indicati nella stessa (art. 75), che neppure soggiacerebbe alle medesime modalità di nomina degli altri magistrati</w:t>
      </w:r>
      <w:r w:rsidRPr="005E1E89">
        <w:rPr>
          <w:rStyle w:val="Rimandonotaapidipagina"/>
          <w:rFonts w:ascii="Arial" w:hAnsi="Arial"/>
          <w:sz w:val="24"/>
          <w:szCs w:val="24"/>
        </w:rPr>
        <w:footnoteReference w:id="24"/>
      </w:r>
      <w:r>
        <w:rPr>
          <w:rFonts w:ascii="Arial" w:hAnsi="Arial"/>
          <w:sz w:val="24"/>
          <w:szCs w:val="24"/>
        </w:rPr>
        <w:t>.</w:t>
      </w:r>
    </w:p>
    <w:p w14:paraId="31285CA2"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p>
    <w:p w14:paraId="7476777C"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hAnsi="Arial"/>
          <w:sz w:val="24"/>
          <w:szCs w:val="24"/>
        </w:rPr>
        <w:t xml:space="preserve">Nella sua nota del 4 gennaio 2024, il Consulente </w:t>
      </w:r>
      <w:r w:rsidRPr="0068615F">
        <w:rPr>
          <w:rFonts w:ascii="Arial" w:hAnsi="Arial"/>
          <w:sz w:val="24"/>
          <w:szCs w:val="24"/>
        </w:rPr>
        <w:t>giuridico del Gran Consiglio ha</w:t>
      </w:r>
      <w:r>
        <w:rPr>
          <w:rFonts w:ascii="Arial" w:hAnsi="Arial"/>
          <w:sz w:val="24"/>
          <w:szCs w:val="24"/>
        </w:rPr>
        <w:t xml:space="preserve"> espresso il parere secondo cui i principi posti dal Tribunale federale in quest’ultima sua sentenza «difficilmente potrebbero essere riproposti al caso […] sull’estensione delle competenze decisionali dei segretari giudiziari in ambito penale proposte con il nuovo art. 68 </w:t>
      </w:r>
      <w:proofErr w:type="spellStart"/>
      <w:r>
        <w:rPr>
          <w:rFonts w:ascii="Arial" w:hAnsi="Arial"/>
          <w:sz w:val="24"/>
          <w:szCs w:val="24"/>
        </w:rPr>
        <w:t>lett</w:t>
      </w:r>
      <w:proofErr w:type="spellEnd"/>
      <w:r>
        <w:rPr>
          <w:rFonts w:ascii="Arial" w:hAnsi="Arial"/>
          <w:sz w:val="24"/>
          <w:szCs w:val="24"/>
        </w:rPr>
        <w:t>. h) LOG», ciò per il fatto che i Segretari giudiziari non dovrebbero essere considerati quali giudici ordinari della giurisdizione penale, bensì figure a supporto del Ministero pubblico, il quale si occupa del perseguimento penale secondo il CPP</w:t>
      </w:r>
      <w:r w:rsidRPr="005E1E89">
        <w:rPr>
          <w:rStyle w:val="Rimandonotaapidipagina"/>
          <w:rFonts w:ascii="Arial" w:hAnsi="Arial"/>
          <w:sz w:val="24"/>
          <w:szCs w:val="24"/>
        </w:rPr>
        <w:footnoteReference w:id="25"/>
      </w:r>
      <w:r>
        <w:rPr>
          <w:rFonts w:ascii="Arial" w:hAnsi="Arial"/>
          <w:sz w:val="24"/>
          <w:szCs w:val="24"/>
        </w:rPr>
        <w:t xml:space="preserve"> che, come già rilevato</w:t>
      </w:r>
      <w:r w:rsidRPr="005E1E89">
        <w:rPr>
          <w:rStyle w:val="Rimandonotaapidipagina"/>
          <w:rFonts w:ascii="Arial" w:hAnsi="Arial"/>
          <w:sz w:val="24"/>
          <w:szCs w:val="24"/>
        </w:rPr>
        <w:footnoteReference w:id="26"/>
      </w:r>
      <w:r>
        <w:rPr>
          <w:rFonts w:ascii="Arial" w:hAnsi="Arial"/>
          <w:sz w:val="24"/>
          <w:szCs w:val="24"/>
        </w:rPr>
        <w:t xml:space="preserve">, prevede la possibilità di delegare alcuni compiti a singoli Segretari giudiziari, appunto ritenuti idonei dal Procuratore generale e sempre sotto la sua responsabilità. </w:t>
      </w:r>
    </w:p>
    <w:p w14:paraId="7FD2B891"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p>
    <w:p w14:paraId="51FFA1DD"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hAnsi="Arial"/>
          <w:sz w:val="24"/>
          <w:szCs w:val="24"/>
        </w:rPr>
        <w:t>Per altro, la Commissione rileva che il modello di delega indicato con la proposta di modifica della LOG qui in discussione, ricalca quello già adottato in altri Cantoni; modello il quale non risulta essere stato oggetto di censure da parte dell’Alta Corte.</w:t>
      </w:r>
    </w:p>
    <w:p w14:paraId="56F1799E" w14:textId="55D4F0D8"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65287E2F" w14:textId="77777777" w:rsidR="00DD4905" w:rsidRDefault="00DD4905"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3842F470" w14:textId="26CBB193" w:rsidR="009A1C6D" w:rsidRPr="0045511E" w:rsidRDefault="009A1C6D" w:rsidP="0045511E">
      <w:pPr>
        <w:pStyle w:val="Titolo1"/>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jc w:val="both"/>
        <w:rPr>
          <w:rFonts w:ascii="Arial" w:hAnsi="Arial" w:cs="Times New Roman"/>
          <w:caps/>
          <w:color w:val="auto"/>
          <w:sz w:val="24"/>
          <w:szCs w:val="24"/>
          <w:bdr w:val="none" w:sz="0" w:space="0" w:color="auto"/>
          <w:lang w:eastAsia="it-IT"/>
        </w:rPr>
      </w:pPr>
      <w:bookmarkStart w:id="8" w:name="_Toc159917167"/>
      <w:r w:rsidRPr="0045511E">
        <w:rPr>
          <w:rFonts w:ascii="Arial" w:hAnsi="Arial" w:cs="Times New Roman"/>
          <w:caps/>
          <w:color w:val="auto"/>
          <w:sz w:val="24"/>
          <w:szCs w:val="24"/>
          <w:bdr w:val="none" w:sz="0" w:space="0" w:color="auto"/>
          <w:lang w:eastAsia="it-IT"/>
        </w:rPr>
        <w:t>MOZIONE 1297 DI IVO DURISCH E COFIRMATARI E INIZIATIVA PARLAMENTARE ELABORATA 560 DI GIORGIO GALUSERO</w:t>
      </w:r>
      <w:bookmarkEnd w:id="8"/>
    </w:p>
    <w:p w14:paraId="7BA85163"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sidRPr="0068615F">
        <w:rPr>
          <w:rFonts w:ascii="Arial" w:hAnsi="Arial"/>
          <w:sz w:val="24"/>
          <w:szCs w:val="24"/>
        </w:rPr>
        <w:t xml:space="preserve">La mozione MO1297, del 7 maggio 2018, del deputato Ivo Durisch e cofirmatari, intitolata «Potenziamo la Magistratura per lottare attivamente contro i reati finanziari e l'illegalità nel mondo del lavoro» era già stata ritenuta evasa contestualmente alla parte di messaggio evasa con il primo rapporto parziale. Dal canto suo, l’iniziativa parlamentare elaborata IE560, «Modifica degli art. 41 cpv.1 </w:t>
      </w:r>
      <w:proofErr w:type="spellStart"/>
      <w:r w:rsidRPr="0068615F">
        <w:rPr>
          <w:rFonts w:ascii="Arial" w:hAnsi="Arial"/>
          <w:sz w:val="24"/>
          <w:szCs w:val="24"/>
        </w:rPr>
        <w:t>lett</w:t>
      </w:r>
      <w:proofErr w:type="spellEnd"/>
      <w:r w:rsidRPr="0068615F">
        <w:rPr>
          <w:rFonts w:ascii="Arial" w:hAnsi="Arial"/>
          <w:sz w:val="24"/>
          <w:szCs w:val="24"/>
        </w:rPr>
        <w:t>. b (Pretura penale - Competenze), art. 65 cpv. 1 (Ministero Pubblico - Composizione e sede) e art. 67 cpv. 7 (Competenze e organizzazione) della Legge sull’organizzazione giudiziaria del 10 maggio 2006», presentata il 20 gennaio 2020 dall’allora deputato Giorgio Galusero e successivamente ripresa dalla deputata Cristina Maderni, sarebbe da ritenersi evasa solo parzialmente, mantenendo la sua validità per la parte attinente alla reintroduzione della figura del sostituto Procuratore pubblico.</w:t>
      </w:r>
    </w:p>
    <w:p w14:paraId="034747F7" w14:textId="5F64F6AD"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3F582390" w14:textId="77777777" w:rsidR="00DD4905" w:rsidRDefault="00DD4905"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60A09217" w14:textId="359DB85A" w:rsidR="009A1C6D" w:rsidRPr="0045511E" w:rsidRDefault="009A1C6D" w:rsidP="0045511E">
      <w:pPr>
        <w:pStyle w:val="Titolo1"/>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jc w:val="both"/>
        <w:rPr>
          <w:rFonts w:ascii="Arial" w:hAnsi="Arial" w:cs="Times New Roman"/>
          <w:caps/>
          <w:color w:val="auto"/>
          <w:sz w:val="24"/>
          <w:szCs w:val="24"/>
          <w:bdr w:val="none" w:sz="0" w:space="0" w:color="auto"/>
          <w:lang w:eastAsia="it-IT"/>
        </w:rPr>
      </w:pPr>
      <w:bookmarkStart w:id="9" w:name="_Toc159917168"/>
      <w:r w:rsidRPr="0045511E">
        <w:rPr>
          <w:rFonts w:ascii="Arial" w:hAnsi="Arial" w:cs="Times New Roman"/>
          <w:caps/>
          <w:color w:val="auto"/>
          <w:sz w:val="24"/>
          <w:szCs w:val="24"/>
          <w:bdr w:val="none" w:sz="0" w:space="0" w:color="auto"/>
          <w:lang w:eastAsia="it-IT"/>
        </w:rPr>
        <w:t>IMPATTO FINANZIARIO E LOGISTICO</w:t>
      </w:r>
      <w:bookmarkEnd w:id="9"/>
    </w:p>
    <w:p w14:paraId="0B116184" w14:textId="77777777" w:rsidR="009A1C6D" w:rsidRPr="0019497F"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sidRPr="0019497F">
        <w:rPr>
          <w:rFonts w:ascii="Arial" w:hAnsi="Arial" w:cs="Arial"/>
          <w:sz w:val="24"/>
          <w:szCs w:val="24"/>
        </w:rPr>
        <w:t xml:space="preserve">Come indicato nel messaggio, la proposta </w:t>
      </w:r>
      <w:r>
        <w:rPr>
          <w:rFonts w:ascii="Arial" w:hAnsi="Arial" w:cs="Arial"/>
          <w:sz w:val="24"/>
          <w:szCs w:val="24"/>
        </w:rPr>
        <w:t>di modifica della LOG, consistente nell’</w:t>
      </w:r>
      <w:r w:rsidRPr="0019497F">
        <w:rPr>
          <w:rFonts w:ascii="Arial" w:hAnsi="Arial" w:cs="Arial"/>
          <w:sz w:val="24"/>
          <w:szCs w:val="24"/>
        </w:rPr>
        <w:t>attribuire maggiori competenze decisionali</w:t>
      </w:r>
      <w:r>
        <w:rPr>
          <w:rFonts w:ascii="Arial" w:hAnsi="Arial" w:cs="Arial"/>
          <w:sz w:val="24"/>
          <w:szCs w:val="24"/>
        </w:rPr>
        <w:t>,</w:t>
      </w:r>
      <w:r w:rsidRPr="0019497F">
        <w:rPr>
          <w:rFonts w:ascii="Arial" w:hAnsi="Arial" w:cs="Arial"/>
          <w:sz w:val="24"/>
          <w:szCs w:val="24"/>
        </w:rPr>
        <w:t xml:space="preserve"> in ambito contravvenzionale</w:t>
      </w:r>
      <w:r>
        <w:rPr>
          <w:rFonts w:ascii="Arial" w:hAnsi="Arial" w:cs="Arial"/>
          <w:sz w:val="24"/>
          <w:szCs w:val="24"/>
        </w:rPr>
        <w:t>,</w:t>
      </w:r>
      <w:r w:rsidRPr="0019497F">
        <w:rPr>
          <w:rFonts w:ascii="Arial" w:hAnsi="Arial" w:cs="Arial"/>
          <w:sz w:val="24"/>
          <w:szCs w:val="24"/>
        </w:rPr>
        <w:t xml:space="preserve"> ai segretari giudiziari, non </w:t>
      </w:r>
      <w:r>
        <w:rPr>
          <w:rFonts w:ascii="Arial" w:hAnsi="Arial" w:cs="Arial"/>
          <w:sz w:val="24"/>
          <w:szCs w:val="24"/>
        </w:rPr>
        <w:t xml:space="preserve">comporta </w:t>
      </w:r>
      <w:r w:rsidRPr="0019497F">
        <w:rPr>
          <w:rFonts w:ascii="Arial" w:hAnsi="Arial" w:cs="Arial"/>
          <w:sz w:val="24"/>
          <w:szCs w:val="24"/>
        </w:rPr>
        <w:t xml:space="preserve">maggiori oneri finanziari </w:t>
      </w:r>
      <w:r w:rsidRPr="0068615F">
        <w:rPr>
          <w:rFonts w:ascii="Arial" w:hAnsi="Arial" w:cs="Arial"/>
          <w:sz w:val="24"/>
          <w:szCs w:val="24"/>
        </w:rPr>
        <w:t>né si riflette sulle risorse umane, rientrando infatti tali competenze negli ambiti di competenza già assegnati a questa funzione del Ministero pubblico. Analogamente, sotto il profilo logistico,</w:t>
      </w:r>
      <w:r w:rsidRPr="0019497F">
        <w:rPr>
          <w:rFonts w:ascii="Arial" w:hAnsi="Arial" w:cs="Arial"/>
          <w:sz w:val="24"/>
          <w:szCs w:val="24"/>
        </w:rPr>
        <w:t xml:space="preserve"> non sono </w:t>
      </w:r>
      <w:r>
        <w:rPr>
          <w:rFonts w:ascii="Arial" w:hAnsi="Arial" w:cs="Arial"/>
          <w:sz w:val="24"/>
          <w:szCs w:val="24"/>
        </w:rPr>
        <w:t xml:space="preserve">ovviamente </w:t>
      </w:r>
      <w:r w:rsidRPr="0019497F">
        <w:rPr>
          <w:rFonts w:ascii="Arial" w:hAnsi="Arial" w:cs="Arial"/>
          <w:sz w:val="24"/>
          <w:szCs w:val="24"/>
        </w:rPr>
        <w:t>previsti oneri</w:t>
      </w:r>
      <w:r>
        <w:rPr>
          <w:rFonts w:ascii="Arial" w:hAnsi="Arial" w:cs="Arial"/>
          <w:sz w:val="24"/>
          <w:szCs w:val="24"/>
        </w:rPr>
        <w:t>.</w:t>
      </w:r>
    </w:p>
    <w:p w14:paraId="34D6B150" w14:textId="2355F2E1"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33535A03" w14:textId="68EFB7A4" w:rsidR="00DD4905" w:rsidRDefault="00DD490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Arial" w:hAnsi="Arial" w:cs="Arial"/>
          <w:sz w:val="24"/>
          <w:szCs w:val="24"/>
        </w:rPr>
      </w:pPr>
      <w:r>
        <w:rPr>
          <w:rFonts w:ascii="Arial" w:eastAsia="Arial" w:hAnsi="Arial" w:cs="Arial"/>
          <w:sz w:val="24"/>
          <w:szCs w:val="24"/>
        </w:rPr>
        <w:br w:type="page"/>
      </w:r>
    </w:p>
    <w:p w14:paraId="2B5D11EC" w14:textId="160C8D54" w:rsidR="009A1C6D" w:rsidRPr="0045511E" w:rsidRDefault="009A1C6D" w:rsidP="0045511E">
      <w:pPr>
        <w:pStyle w:val="Titolo1"/>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jc w:val="both"/>
        <w:rPr>
          <w:rFonts w:ascii="Arial" w:hAnsi="Arial" w:cs="Times New Roman"/>
          <w:caps/>
          <w:color w:val="auto"/>
          <w:sz w:val="24"/>
          <w:szCs w:val="24"/>
          <w:bdr w:val="none" w:sz="0" w:space="0" w:color="auto"/>
          <w:lang w:eastAsia="it-IT"/>
        </w:rPr>
      </w:pPr>
      <w:bookmarkStart w:id="10" w:name="_Toc159917169"/>
      <w:bookmarkStart w:id="11" w:name="_Hlk31117769"/>
      <w:r w:rsidRPr="0045511E">
        <w:rPr>
          <w:rFonts w:ascii="Arial" w:hAnsi="Arial" w:cs="Times New Roman"/>
          <w:caps/>
          <w:color w:val="auto"/>
          <w:sz w:val="24"/>
          <w:szCs w:val="24"/>
          <w:bdr w:val="none" w:sz="0" w:space="0" w:color="auto"/>
          <w:lang w:eastAsia="it-IT"/>
        </w:rPr>
        <w:lastRenderedPageBreak/>
        <w:t>CONSIDERAZIONI COMMISSIONALI</w:t>
      </w:r>
      <w:bookmarkEnd w:id="10"/>
      <w:r w:rsidRPr="0045511E">
        <w:rPr>
          <w:rFonts w:ascii="Arial" w:hAnsi="Arial" w:cs="Times New Roman"/>
          <w:caps/>
          <w:color w:val="auto"/>
          <w:sz w:val="24"/>
          <w:szCs w:val="24"/>
          <w:bdr w:val="none" w:sz="0" w:space="0" w:color="auto"/>
          <w:lang w:eastAsia="it-IT"/>
        </w:rPr>
        <w:t xml:space="preserve"> </w:t>
      </w:r>
    </w:p>
    <w:bookmarkEnd w:id="11"/>
    <w:p w14:paraId="2C8545A1"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eastAsia="Arial" w:hAnsi="Arial" w:cs="Arial"/>
          <w:sz w:val="24"/>
          <w:szCs w:val="24"/>
        </w:rPr>
        <w:t>A</w:t>
      </w:r>
      <w:r w:rsidRPr="00457B23">
        <w:rPr>
          <w:rFonts w:ascii="Arial" w:eastAsia="Arial" w:hAnsi="Arial" w:cs="Arial"/>
          <w:sz w:val="24"/>
          <w:szCs w:val="24"/>
        </w:rPr>
        <w:t>ll'unanimità</w:t>
      </w:r>
      <w:r w:rsidRPr="00483E22">
        <w:rPr>
          <w:rFonts w:ascii="Arial" w:eastAsia="Arial" w:hAnsi="Arial" w:cs="Arial"/>
          <w:sz w:val="24"/>
          <w:szCs w:val="24"/>
        </w:rPr>
        <w:t xml:space="preserve"> </w:t>
      </w:r>
      <w:r>
        <w:rPr>
          <w:rFonts w:ascii="Arial" w:eastAsia="Arial" w:hAnsi="Arial" w:cs="Arial"/>
          <w:sz w:val="24"/>
          <w:szCs w:val="24"/>
        </w:rPr>
        <w:t>dei suoi componenti, la Commissione giustizia e diritti s</w:t>
      </w:r>
      <w:r w:rsidRPr="00457B23">
        <w:rPr>
          <w:rFonts w:ascii="Arial" w:eastAsia="Arial" w:hAnsi="Arial" w:cs="Arial"/>
          <w:sz w:val="24"/>
          <w:szCs w:val="24"/>
        </w:rPr>
        <w:t>ost</w:t>
      </w:r>
      <w:r>
        <w:rPr>
          <w:rFonts w:ascii="Arial" w:eastAsia="Arial" w:hAnsi="Arial" w:cs="Arial"/>
          <w:sz w:val="24"/>
          <w:szCs w:val="24"/>
        </w:rPr>
        <w:t>iene</w:t>
      </w:r>
      <w:r w:rsidRPr="00457B23">
        <w:rPr>
          <w:rFonts w:ascii="Arial" w:eastAsia="Arial" w:hAnsi="Arial" w:cs="Arial"/>
          <w:sz w:val="24"/>
          <w:szCs w:val="24"/>
        </w:rPr>
        <w:t xml:space="preserve"> la </w:t>
      </w:r>
      <w:r>
        <w:rPr>
          <w:rFonts w:ascii="Arial" w:eastAsia="Arial" w:hAnsi="Arial" w:cs="Arial"/>
          <w:sz w:val="24"/>
          <w:szCs w:val="24"/>
        </w:rPr>
        <w:t xml:space="preserve">modifica della LOG proposta dal Consiglio di Stato, </w:t>
      </w:r>
      <w:r w:rsidRPr="00C84A6C">
        <w:rPr>
          <w:rFonts w:ascii="Arial" w:eastAsia="Arial" w:hAnsi="Arial" w:cs="Arial"/>
          <w:sz w:val="24"/>
          <w:szCs w:val="24"/>
        </w:rPr>
        <w:t xml:space="preserve">così come </w:t>
      </w:r>
      <w:r>
        <w:rPr>
          <w:rFonts w:ascii="Arial" w:eastAsia="Arial" w:hAnsi="Arial" w:cs="Arial"/>
          <w:sz w:val="24"/>
          <w:szCs w:val="24"/>
        </w:rPr>
        <w:t>questi l’</w:t>
      </w:r>
      <w:r w:rsidRPr="00C84A6C">
        <w:rPr>
          <w:rFonts w:ascii="Arial" w:eastAsia="Arial" w:hAnsi="Arial" w:cs="Arial"/>
          <w:sz w:val="24"/>
          <w:szCs w:val="24"/>
        </w:rPr>
        <w:t>ha indicat</w:t>
      </w:r>
      <w:r>
        <w:rPr>
          <w:rFonts w:ascii="Arial" w:eastAsia="Arial" w:hAnsi="Arial" w:cs="Arial"/>
          <w:sz w:val="24"/>
          <w:szCs w:val="24"/>
        </w:rPr>
        <w:t>a</w:t>
      </w:r>
      <w:r w:rsidRPr="00C84A6C">
        <w:rPr>
          <w:rFonts w:ascii="Arial" w:eastAsia="Arial" w:hAnsi="Arial" w:cs="Arial"/>
          <w:sz w:val="24"/>
          <w:szCs w:val="24"/>
        </w:rPr>
        <w:t xml:space="preserve"> nel suo messaggio</w:t>
      </w:r>
      <w:r>
        <w:rPr>
          <w:rFonts w:ascii="Arial" w:eastAsia="Arial" w:hAnsi="Arial" w:cs="Arial"/>
          <w:sz w:val="24"/>
          <w:szCs w:val="24"/>
        </w:rPr>
        <w:t xml:space="preserve"> dell’11 settembre 2019.</w:t>
      </w:r>
    </w:p>
    <w:p w14:paraId="0FCD027D"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46E53673"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eastAsia="Arial" w:hAnsi="Arial" w:cs="Arial"/>
          <w:sz w:val="24"/>
          <w:szCs w:val="24"/>
        </w:rPr>
        <w:t xml:space="preserve">La modifica in nulla muta - peraltro come neppure lo potrebbe - il principio fissato nel CPP secondo cui «il pubblico ministero [ossia il Procuratore pubblico, </w:t>
      </w:r>
      <w:proofErr w:type="spellStart"/>
      <w:r>
        <w:rPr>
          <w:rFonts w:ascii="Arial" w:eastAsia="Arial" w:hAnsi="Arial" w:cs="Arial"/>
          <w:sz w:val="24"/>
          <w:szCs w:val="24"/>
        </w:rPr>
        <w:t>n.d.r.</w:t>
      </w:r>
      <w:proofErr w:type="spellEnd"/>
      <w:r>
        <w:rPr>
          <w:rFonts w:ascii="Arial" w:eastAsia="Arial" w:hAnsi="Arial" w:cs="Arial"/>
          <w:sz w:val="24"/>
          <w:szCs w:val="24"/>
        </w:rPr>
        <w:t>] è responsabile dell’esercizio uniforme della pretesa punitiva dello Stato»</w:t>
      </w:r>
      <w:r w:rsidRPr="005E1E89">
        <w:rPr>
          <w:rStyle w:val="Rimandonotaapidipagina"/>
          <w:rFonts w:ascii="Arial" w:hAnsi="Arial"/>
          <w:sz w:val="24"/>
          <w:szCs w:val="24"/>
        </w:rPr>
        <w:footnoteReference w:id="27"/>
      </w:r>
      <w:r>
        <w:rPr>
          <w:rFonts w:ascii="Arial" w:eastAsia="Arial" w:hAnsi="Arial" w:cs="Arial"/>
          <w:sz w:val="24"/>
          <w:szCs w:val="24"/>
        </w:rPr>
        <w:t>, ricadendo esclusivamente in capo a questi, magistrato eletto e sempre per principio, la direzione del procedimento penale. La modifica proposta consiste nell’affidare al Procuratore generale uno strumento piuttosto di tipo organizzativo interno</w:t>
      </w:r>
      <w:r w:rsidRPr="005E1E89">
        <w:rPr>
          <w:rStyle w:val="Rimandonotaapidipagina"/>
          <w:rFonts w:ascii="Arial" w:hAnsi="Arial"/>
          <w:sz w:val="24"/>
          <w:szCs w:val="24"/>
        </w:rPr>
        <w:footnoteReference w:id="28"/>
      </w:r>
      <w:r>
        <w:rPr>
          <w:rFonts w:ascii="Arial" w:eastAsia="Arial" w:hAnsi="Arial" w:cs="Arial"/>
          <w:sz w:val="24"/>
          <w:szCs w:val="24"/>
        </w:rPr>
        <w:t xml:space="preserve"> tale per cui i procedimenti contravvenzionali c.d. “</w:t>
      </w:r>
      <w:proofErr w:type="spellStart"/>
      <w:r>
        <w:rPr>
          <w:rFonts w:ascii="Arial" w:eastAsia="Arial" w:hAnsi="Arial" w:cs="Arial"/>
          <w:sz w:val="24"/>
          <w:szCs w:val="24"/>
        </w:rPr>
        <w:t>bagatellari</w:t>
      </w:r>
      <w:proofErr w:type="spellEnd"/>
      <w:r>
        <w:rPr>
          <w:rFonts w:ascii="Arial" w:eastAsia="Arial" w:hAnsi="Arial" w:cs="Arial"/>
          <w:sz w:val="24"/>
          <w:szCs w:val="24"/>
        </w:rPr>
        <w:t xml:space="preserve">” possano essere trattati anche formalmente, sotto la sua responsabilità, da Segretari giudiziari delegati anziché dai Procuratori pubblici: ciò con il conseguente sgravio, per questi ultimi, che ne deriva a vantaggio della trattazione di procedimenti penali per reati penali ritenuti oggettivamente più gravi, </w:t>
      </w:r>
      <w:r w:rsidRPr="00871B51">
        <w:rPr>
          <w:rFonts w:ascii="Arial" w:eastAsia="Arial" w:hAnsi="Arial" w:cs="Arial"/>
          <w:i/>
          <w:iCs/>
          <w:sz w:val="24"/>
          <w:szCs w:val="24"/>
        </w:rPr>
        <w:t>i.s.</w:t>
      </w:r>
      <w:r>
        <w:rPr>
          <w:rFonts w:ascii="Arial" w:eastAsia="Arial" w:hAnsi="Arial" w:cs="Arial"/>
          <w:sz w:val="24"/>
          <w:szCs w:val="24"/>
        </w:rPr>
        <w:t xml:space="preserve"> per delitti ovvero crimini. </w:t>
      </w:r>
    </w:p>
    <w:p w14:paraId="6266A6BA"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17171C51"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eastAsia="Arial" w:hAnsi="Arial" w:cs="Arial"/>
          <w:sz w:val="24"/>
          <w:szCs w:val="24"/>
        </w:rPr>
        <w:t>Spetterebbe al Procuratore generale tanto individuare quali, fra i procedimenti contravvenzionali di competenza dell’Ufficio, delegare, quanto individuare, fra i Segretari giudiziari in organico e meglio fra le unità-PPA, quelli idonei al recepimento della singola delega, ossia quali fra questi, secondo la lettera del nuovo art. 68h, autorizzare a compiere gli atti e le attività ivi enumerate esaustivamente. In quest’ottica, infatti, il CPP non pone alcun limite alla possibilità che i Cantoni, attraverso una base specifica legale, autorizzino l’affidamento di compiti ovvero di atti d’istruzione ai collaboratori del pubblico ministero, fermo restando il fatto che il legislatore federale ha inteso con ciò piuttosto lasciare ai Cantoni la possibilità di mantenere le loro prassi anteriori piuttosto che estenderla ampiamente ovvero senza restrizioni</w:t>
      </w:r>
      <w:r w:rsidRPr="005E1E89">
        <w:rPr>
          <w:rStyle w:val="Rimandonotaapidipagina"/>
          <w:rFonts w:ascii="Arial" w:hAnsi="Arial"/>
          <w:sz w:val="24"/>
          <w:szCs w:val="24"/>
        </w:rPr>
        <w:footnoteReference w:id="29"/>
      </w:r>
      <w:r>
        <w:rPr>
          <w:rFonts w:ascii="Arial" w:eastAsia="Arial" w:hAnsi="Arial" w:cs="Arial"/>
          <w:sz w:val="24"/>
          <w:szCs w:val="24"/>
        </w:rPr>
        <w:t xml:space="preserve">. </w:t>
      </w:r>
    </w:p>
    <w:p w14:paraId="6CA614BB"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3A764AD0" w14:textId="77777777" w:rsidR="009A1C6D" w:rsidRPr="0068615F"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Pr>
          <w:rFonts w:ascii="Arial" w:eastAsia="Arial" w:hAnsi="Arial" w:cs="Arial"/>
          <w:sz w:val="24"/>
          <w:szCs w:val="24"/>
        </w:rPr>
        <w:t>Dunque, la Commissione giustizia e diritti permane dell’opinione che l</w:t>
      </w:r>
      <w:r w:rsidRPr="00457B23">
        <w:rPr>
          <w:rFonts w:ascii="Arial" w:eastAsia="Arial" w:hAnsi="Arial" w:cs="Arial"/>
          <w:sz w:val="24"/>
          <w:szCs w:val="24"/>
        </w:rPr>
        <w:t xml:space="preserve">a proposta di reintrodurre la figura </w:t>
      </w:r>
      <w:r w:rsidRPr="0068615F">
        <w:rPr>
          <w:rFonts w:ascii="Arial" w:eastAsia="Arial" w:hAnsi="Arial" w:cs="Arial"/>
          <w:sz w:val="24"/>
          <w:szCs w:val="24"/>
        </w:rPr>
        <w:t xml:space="preserve">del sostituto Procuratore pubblico non debba essere accantonata: neppure con l’estensione delle competenze che tale modifica legislativa comporterà. Anzi, tale proposta farà parte delle riflessioni che la stessa ha in passato ha già avviato e che intende portare a compimento, se possibile, nel quadro di una compiuta riorganizzazione del Ministero pubblico, come postulato nella risoluzione a suo tempo approvata dal Gran Consiglio il 14 dicembre 2020. </w:t>
      </w:r>
      <w:r w:rsidRPr="0068615F">
        <w:rPr>
          <w:rFonts w:ascii="Arial" w:hAnsi="Arial"/>
          <w:sz w:val="24"/>
          <w:szCs w:val="24"/>
        </w:rPr>
        <w:t>Per quanto attiene alle caratteristiche dei Segretari giudiziari delegati, la Commissione giustizia e diritti è dell’avviso che il Procuratore generale debba godere del più ampio margine di autonomia nell’individuarli, stante comunque la persistente sua responsabilità sopra gli atti da questi compiuti</w:t>
      </w:r>
      <w:r w:rsidRPr="0068615F">
        <w:rPr>
          <w:rStyle w:val="Rimandonotaapidipagina"/>
          <w:rFonts w:ascii="Arial" w:hAnsi="Arial"/>
          <w:sz w:val="24"/>
          <w:szCs w:val="24"/>
        </w:rPr>
        <w:footnoteReference w:id="30"/>
      </w:r>
      <w:r w:rsidRPr="0068615F">
        <w:rPr>
          <w:rFonts w:ascii="Arial" w:hAnsi="Arial"/>
          <w:sz w:val="24"/>
          <w:szCs w:val="24"/>
        </w:rPr>
        <w:t>.</w:t>
      </w:r>
    </w:p>
    <w:p w14:paraId="6720D138" w14:textId="77777777" w:rsidR="009A1C6D" w:rsidRPr="0068615F"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p>
    <w:p w14:paraId="7107525E"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sidRPr="0068615F">
        <w:rPr>
          <w:rFonts w:ascii="Arial" w:hAnsi="Arial"/>
          <w:sz w:val="24"/>
          <w:szCs w:val="24"/>
        </w:rPr>
        <w:t xml:space="preserve">La Commissione giustizia e diritti ha dibattuto </w:t>
      </w:r>
      <w:proofErr w:type="gramStart"/>
      <w:r w:rsidRPr="0068615F">
        <w:rPr>
          <w:rFonts w:ascii="Arial" w:hAnsi="Arial"/>
          <w:sz w:val="24"/>
          <w:szCs w:val="24"/>
        </w:rPr>
        <w:t>e</w:t>
      </w:r>
      <w:proofErr w:type="gramEnd"/>
      <w:r w:rsidRPr="0068615F">
        <w:rPr>
          <w:rFonts w:ascii="Arial" w:hAnsi="Arial"/>
          <w:sz w:val="24"/>
          <w:szCs w:val="24"/>
        </w:rPr>
        <w:t xml:space="preserve"> risolto il tema specifico dell’eventuale riconoscimento, a livello retributivo, ai Segretari giudiziari delegati, dell’assunzione «di maggiore responsabilità» constatando, da un lato, la sua incompetenza a pronunciarsi sul tema nel suo rapporto al Gran Consiglio; dall’altro, valutando che il Capo dell’Ufficio non prevede di richiedere, né richiederà, alcun adeguamento della remunerazione dei Segretari giudiziari che riterrà di potere delegare. Sullo specifico punto, si ribadisce </w:t>
      </w:r>
      <w:r w:rsidRPr="0068615F">
        <w:rPr>
          <w:rFonts w:ascii="Arial" w:hAnsi="Arial"/>
          <w:sz w:val="24"/>
          <w:szCs w:val="24"/>
        </w:rPr>
        <w:lastRenderedPageBreak/>
        <w:t xml:space="preserve">peraltro che, come più volte indicato in precedenza, la responsabilità </w:t>
      </w:r>
      <w:proofErr w:type="spellStart"/>
      <w:r w:rsidRPr="0068615F">
        <w:rPr>
          <w:rFonts w:ascii="Arial" w:hAnsi="Arial"/>
          <w:i/>
          <w:iCs/>
          <w:sz w:val="24"/>
          <w:szCs w:val="24"/>
        </w:rPr>
        <w:t>strictu</w:t>
      </w:r>
      <w:proofErr w:type="spellEnd"/>
      <w:r w:rsidRPr="0068615F">
        <w:rPr>
          <w:rFonts w:ascii="Arial" w:hAnsi="Arial"/>
          <w:i/>
          <w:iCs/>
          <w:sz w:val="24"/>
          <w:szCs w:val="24"/>
        </w:rPr>
        <w:t xml:space="preserve"> senso</w:t>
      </w:r>
      <w:r w:rsidRPr="0068615F">
        <w:rPr>
          <w:rFonts w:ascii="Arial" w:hAnsi="Arial"/>
          <w:sz w:val="24"/>
          <w:szCs w:val="24"/>
        </w:rPr>
        <w:t xml:space="preserve"> rispetto agli atti di procedura rimarrebbe, anche in caso di delega, sempre in capo al Procuratore generale. Conseguentemente quella in capo ai Segretari giudiziari delegati rimarrebbe, tutto sommato, immutata.</w:t>
      </w:r>
    </w:p>
    <w:p w14:paraId="40EFD81C" w14:textId="3AD3B7E6" w:rsidR="009A1C6D" w:rsidRDefault="009A1C6D" w:rsidP="004551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6742BD1B" w14:textId="77777777" w:rsidR="0045511E" w:rsidRDefault="0045511E" w:rsidP="004551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4C427CAB" w14:textId="05269A2F" w:rsidR="009A1C6D" w:rsidRPr="0045511E" w:rsidRDefault="009A1C6D" w:rsidP="0045511E">
      <w:pPr>
        <w:pStyle w:val="Titolo1"/>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0" w:line="240" w:lineRule="auto"/>
        <w:jc w:val="both"/>
        <w:rPr>
          <w:rFonts w:ascii="Arial" w:hAnsi="Arial" w:cs="Times New Roman"/>
          <w:caps/>
          <w:color w:val="auto"/>
          <w:sz w:val="24"/>
          <w:szCs w:val="24"/>
          <w:bdr w:val="none" w:sz="0" w:space="0" w:color="auto"/>
          <w:lang w:eastAsia="it-IT"/>
        </w:rPr>
      </w:pPr>
      <w:bookmarkStart w:id="12" w:name="_Toc159917170"/>
      <w:r w:rsidRPr="0045511E">
        <w:rPr>
          <w:rFonts w:ascii="Arial" w:hAnsi="Arial" w:cs="Times New Roman"/>
          <w:caps/>
          <w:color w:val="auto"/>
          <w:sz w:val="24"/>
          <w:szCs w:val="24"/>
          <w:bdr w:val="none" w:sz="0" w:space="0" w:color="auto"/>
          <w:lang w:eastAsia="it-IT"/>
        </w:rPr>
        <w:t>CONCLUSIONI</w:t>
      </w:r>
      <w:bookmarkEnd w:id="12"/>
      <w:r w:rsidRPr="0045511E">
        <w:rPr>
          <w:rFonts w:ascii="Arial" w:hAnsi="Arial" w:cs="Times New Roman"/>
          <w:caps/>
          <w:color w:val="auto"/>
          <w:sz w:val="24"/>
          <w:szCs w:val="24"/>
          <w:bdr w:val="none" w:sz="0" w:space="0" w:color="auto"/>
          <w:lang w:eastAsia="it-IT"/>
        </w:rPr>
        <w:t xml:space="preserve"> </w:t>
      </w:r>
    </w:p>
    <w:p w14:paraId="2DB58570"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sidRPr="0068615F">
        <w:rPr>
          <w:rFonts w:ascii="Arial" w:eastAsia="Arial" w:hAnsi="Arial" w:cs="Arial"/>
          <w:sz w:val="24"/>
          <w:szCs w:val="24"/>
        </w:rPr>
        <w:t>In ragione di quanto s</w:t>
      </w:r>
      <w:r>
        <w:rPr>
          <w:rFonts w:ascii="Arial" w:eastAsia="Arial" w:hAnsi="Arial" w:cs="Arial"/>
          <w:sz w:val="24"/>
          <w:szCs w:val="24"/>
        </w:rPr>
        <w:t>u</w:t>
      </w:r>
      <w:r w:rsidRPr="0068615F">
        <w:rPr>
          <w:rFonts w:ascii="Arial" w:eastAsia="Arial" w:hAnsi="Arial" w:cs="Arial"/>
          <w:sz w:val="24"/>
          <w:szCs w:val="24"/>
        </w:rPr>
        <w:t>esposto, la Commissione giustizia e diritti</w:t>
      </w:r>
      <w:r>
        <w:rPr>
          <w:rFonts w:ascii="Arial" w:eastAsia="Arial" w:hAnsi="Arial" w:cs="Arial"/>
          <w:sz w:val="24"/>
          <w:szCs w:val="24"/>
        </w:rPr>
        <w:t xml:space="preserve"> invita il Gran Consiglio ad accogliere la proposta modifica della Legge sull’organizzazione giudiziaria (LOG), così come da allegato disegno di legge</w:t>
      </w:r>
      <w:r w:rsidRPr="00457B23">
        <w:rPr>
          <w:rFonts w:ascii="Arial" w:eastAsia="Arial" w:hAnsi="Arial" w:cs="Arial"/>
          <w:sz w:val="24"/>
          <w:szCs w:val="24"/>
        </w:rPr>
        <w:t>.</w:t>
      </w:r>
    </w:p>
    <w:p w14:paraId="27CCE0F2"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79DE73C9"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660CD7FC"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Arial" w:eastAsia="Arial" w:hAnsi="Arial" w:cs="Arial"/>
          <w:sz w:val="24"/>
          <w:szCs w:val="24"/>
        </w:rPr>
      </w:pPr>
      <w:r w:rsidRPr="00457B23">
        <w:rPr>
          <w:rFonts w:ascii="Arial" w:hAnsi="Arial"/>
          <w:sz w:val="24"/>
          <w:szCs w:val="24"/>
        </w:rPr>
        <w:t>Per la Commissione giustizia e diritti</w:t>
      </w:r>
      <w:r>
        <w:rPr>
          <w:rFonts w:ascii="Arial" w:hAnsi="Arial"/>
          <w:sz w:val="24"/>
          <w:szCs w:val="24"/>
        </w:rPr>
        <w:t>:</w:t>
      </w:r>
    </w:p>
    <w:p w14:paraId="15C6C307" w14:textId="04621032" w:rsidR="000E524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hAnsi="Arial"/>
          <w:sz w:val="24"/>
          <w:szCs w:val="24"/>
        </w:rPr>
      </w:pPr>
      <w:r w:rsidRPr="009A1C6D">
        <w:rPr>
          <w:rFonts w:ascii="Arial" w:hAnsi="Arial"/>
          <w:sz w:val="24"/>
          <w:szCs w:val="24"/>
        </w:rPr>
        <w:t>Pierluigi Pasi, relatore</w:t>
      </w:r>
    </w:p>
    <w:p w14:paraId="1835953A" w14:textId="4CA770D4" w:rsidR="0045511E" w:rsidRDefault="0045511E"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eastAsia="Arial" w:hAnsi="Arial" w:cs="Arial"/>
          <w:sz w:val="24"/>
          <w:szCs w:val="24"/>
        </w:rPr>
        <w:t xml:space="preserve">Aldi - Caccia - Dadò - Demir - </w:t>
      </w:r>
      <w:r w:rsidRPr="002C010B">
        <w:rPr>
          <w:rFonts w:ascii="Arial" w:eastAsia="Arial" w:hAnsi="Arial" w:cs="Arial"/>
          <w:sz w:val="24"/>
          <w:szCs w:val="24"/>
        </w:rPr>
        <w:t xml:space="preserve">Durisch - </w:t>
      </w:r>
      <w:r w:rsidR="002C010B" w:rsidRPr="002C010B">
        <w:rPr>
          <w:rFonts w:ascii="Arial" w:eastAsia="Arial" w:hAnsi="Arial" w:cs="Arial"/>
          <w:sz w:val="24"/>
          <w:szCs w:val="24"/>
        </w:rPr>
        <w:t xml:space="preserve">Gendotti </w:t>
      </w:r>
      <w:bookmarkStart w:id="13" w:name="_GoBack"/>
      <w:bookmarkEnd w:id="13"/>
      <w:r w:rsidRPr="002C010B">
        <w:rPr>
          <w:rFonts w:ascii="Arial" w:eastAsia="Arial" w:hAnsi="Arial" w:cs="Arial"/>
          <w:sz w:val="24"/>
          <w:szCs w:val="24"/>
        </w:rPr>
        <w:t>-</w:t>
      </w:r>
      <w:r>
        <w:rPr>
          <w:rFonts w:ascii="Arial" w:eastAsia="Arial" w:hAnsi="Arial" w:cs="Arial"/>
          <w:sz w:val="24"/>
          <w:szCs w:val="24"/>
        </w:rPr>
        <w:t xml:space="preserve"> </w:t>
      </w:r>
    </w:p>
    <w:p w14:paraId="5E3D53E8" w14:textId="74C376AB" w:rsidR="0045511E" w:rsidRDefault="0045511E"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eastAsia="Arial" w:hAnsi="Arial" w:cs="Arial"/>
          <w:sz w:val="24"/>
          <w:szCs w:val="24"/>
        </w:rPr>
        <w:t xml:space="preserve">Genini Simona - Lepori - Maderni - Mazzoleni - </w:t>
      </w:r>
    </w:p>
    <w:p w14:paraId="5C5DD0C3" w14:textId="62C52CF7" w:rsidR="0045511E" w:rsidRDefault="0045511E"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Pr>
          <w:rFonts w:ascii="Arial" w:eastAsia="Arial" w:hAnsi="Arial" w:cs="Arial"/>
          <w:sz w:val="24"/>
          <w:szCs w:val="24"/>
        </w:rPr>
        <w:t>Minotti - Noi - Quadranti - Soldati - Tenconi - Zanetti</w:t>
      </w:r>
    </w:p>
    <w:p w14:paraId="0ED822EC"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pPr>
      <w:r w:rsidRPr="00457B23">
        <w:rPr>
          <w:rFonts w:ascii="Arial Unicode MS" w:eastAsia="Arial Unicode MS" w:hAnsi="Arial Unicode MS" w:cs="Arial Unicode MS"/>
          <w:sz w:val="24"/>
          <w:szCs w:val="24"/>
          <w:u w:val="single"/>
        </w:rPr>
        <w:br w:type="page"/>
      </w:r>
    </w:p>
    <w:p w14:paraId="14C07973"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r w:rsidRPr="00457B23">
        <w:rPr>
          <w:rFonts w:ascii="Arial" w:hAnsi="Arial"/>
          <w:sz w:val="24"/>
          <w:szCs w:val="24"/>
        </w:rPr>
        <w:lastRenderedPageBreak/>
        <w:t>Disegno di</w:t>
      </w:r>
    </w:p>
    <w:p w14:paraId="36FFEFB8"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p>
    <w:p w14:paraId="139C2F80"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b/>
          <w:bCs/>
          <w:sz w:val="24"/>
          <w:szCs w:val="24"/>
        </w:rPr>
      </w:pPr>
      <w:r w:rsidRPr="00457B23">
        <w:rPr>
          <w:rFonts w:ascii="Arial" w:hAnsi="Arial"/>
          <w:b/>
          <w:bCs/>
          <w:sz w:val="24"/>
          <w:szCs w:val="24"/>
        </w:rPr>
        <w:t>LEGGE</w:t>
      </w:r>
    </w:p>
    <w:p w14:paraId="69D70A2E"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b/>
          <w:bCs/>
          <w:sz w:val="24"/>
          <w:szCs w:val="24"/>
        </w:rPr>
      </w:pPr>
      <w:r w:rsidRPr="00457B23">
        <w:rPr>
          <w:rFonts w:ascii="Arial" w:hAnsi="Arial"/>
          <w:b/>
          <w:bCs/>
          <w:sz w:val="24"/>
          <w:szCs w:val="24"/>
        </w:rPr>
        <w:t>sull'organizzazione giudiziaria del 10 maggio 2006; modifica</w:t>
      </w:r>
    </w:p>
    <w:p w14:paraId="79AE67E4"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p>
    <w:p w14:paraId="32D48639"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p>
    <w:p w14:paraId="1E2DFDDE"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r w:rsidRPr="00457B23">
        <w:rPr>
          <w:rFonts w:ascii="Arial" w:hAnsi="Arial"/>
          <w:sz w:val="24"/>
          <w:szCs w:val="24"/>
        </w:rPr>
        <w:t>IL GRAN CONSIGLIO</w:t>
      </w:r>
    </w:p>
    <w:p w14:paraId="6570FA39"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r w:rsidRPr="00457B23">
        <w:rPr>
          <w:rFonts w:ascii="Arial" w:hAnsi="Arial"/>
          <w:sz w:val="24"/>
          <w:szCs w:val="24"/>
        </w:rPr>
        <w:t>DELLA REPUBBLICA E CANTONE TICINO</w:t>
      </w:r>
    </w:p>
    <w:p w14:paraId="3A3C4EF9"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p>
    <w:p w14:paraId="36AE805F"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p>
    <w:p w14:paraId="5F7F9526"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after="0" w:line="240" w:lineRule="auto"/>
        <w:jc w:val="both"/>
        <w:rPr>
          <w:rFonts w:ascii="Arial" w:hAnsi="Arial"/>
          <w:sz w:val="24"/>
          <w:szCs w:val="24"/>
        </w:rPr>
      </w:pPr>
      <w:r>
        <w:rPr>
          <w:rFonts w:ascii="Arial" w:hAnsi="Arial"/>
          <w:sz w:val="24"/>
          <w:szCs w:val="24"/>
        </w:rPr>
        <w:t xml:space="preserve">- </w:t>
      </w:r>
      <w:r>
        <w:rPr>
          <w:rFonts w:ascii="Arial" w:hAnsi="Arial"/>
          <w:sz w:val="24"/>
          <w:szCs w:val="24"/>
        </w:rPr>
        <w:tab/>
      </w:r>
      <w:r w:rsidRPr="00457B23">
        <w:rPr>
          <w:rFonts w:ascii="Arial" w:hAnsi="Arial"/>
          <w:sz w:val="24"/>
          <w:szCs w:val="24"/>
        </w:rPr>
        <w:t>visto il messaggio 11 settembre 2019 n. 7714 del Consiglio di Stato</w:t>
      </w:r>
      <w:r>
        <w:rPr>
          <w:rFonts w:ascii="Arial" w:hAnsi="Arial"/>
          <w:sz w:val="24"/>
          <w:szCs w:val="24"/>
        </w:rPr>
        <w:t>;</w:t>
      </w:r>
    </w:p>
    <w:p w14:paraId="3C89CE70"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after="0" w:line="240" w:lineRule="auto"/>
        <w:ind w:left="284" w:hanging="284"/>
        <w:jc w:val="both"/>
        <w:rPr>
          <w:rFonts w:ascii="Arial" w:eastAsia="Arial" w:hAnsi="Arial" w:cs="Arial"/>
          <w:sz w:val="24"/>
          <w:szCs w:val="24"/>
        </w:rPr>
      </w:pPr>
      <w:r>
        <w:rPr>
          <w:rFonts w:ascii="Arial" w:hAnsi="Arial"/>
          <w:sz w:val="24"/>
          <w:szCs w:val="24"/>
        </w:rPr>
        <w:t xml:space="preserve">- </w:t>
      </w:r>
      <w:r>
        <w:rPr>
          <w:rFonts w:ascii="Arial" w:hAnsi="Arial"/>
          <w:sz w:val="24"/>
          <w:szCs w:val="24"/>
        </w:rPr>
        <w:tab/>
        <w:t xml:space="preserve">visto il rapporto parziale 29 gennaio 2024 n. 7714R </w:t>
      </w:r>
      <w:proofErr w:type="spellStart"/>
      <w:r>
        <w:rPr>
          <w:rFonts w:ascii="Arial" w:hAnsi="Arial"/>
          <w:sz w:val="24"/>
          <w:szCs w:val="24"/>
        </w:rPr>
        <w:t>parz</w:t>
      </w:r>
      <w:proofErr w:type="spellEnd"/>
      <w:r>
        <w:rPr>
          <w:rFonts w:ascii="Arial" w:hAnsi="Arial"/>
          <w:sz w:val="24"/>
          <w:szCs w:val="24"/>
        </w:rPr>
        <w:t>. della Commissione giustizia e diritti,</w:t>
      </w:r>
    </w:p>
    <w:p w14:paraId="0DC16D4A"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p>
    <w:p w14:paraId="508A781D"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p>
    <w:p w14:paraId="6B2ECE45"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b/>
          <w:bCs/>
          <w:sz w:val="24"/>
          <w:szCs w:val="24"/>
        </w:rPr>
      </w:pPr>
      <w:r w:rsidRPr="00457B23">
        <w:rPr>
          <w:rFonts w:ascii="Arial" w:hAnsi="Arial"/>
          <w:b/>
          <w:bCs/>
          <w:sz w:val="24"/>
          <w:szCs w:val="24"/>
        </w:rPr>
        <w:t>d e c r e t a:</w:t>
      </w:r>
    </w:p>
    <w:p w14:paraId="7DAC0FD2"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p>
    <w:p w14:paraId="4CE7D4B6"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eastAsia="Arial" w:hAnsi="Arial" w:cs="Arial"/>
          <w:sz w:val="24"/>
          <w:szCs w:val="24"/>
        </w:rPr>
      </w:pPr>
    </w:p>
    <w:p w14:paraId="74D839D5"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120" w:line="240" w:lineRule="auto"/>
        <w:jc w:val="both"/>
        <w:rPr>
          <w:rFonts w:ascii="Arial" w:eastAsia="Arial" w:hAnsi="Arial" w:cs="Arial"/>
          <w:b/>
          <w:bCs/>
          <w:sz w:val="24"/>
          <w:szCs w:val="24"/>
        </w:rPr>
      </w:pPr>
      <w:r w:rsidRPr="00457B23">
        <w:rPr>
          <w:rFonts w:ascii="Arial" w:hAnsi="Arial"/>
          <w:b/>
          <w:bCs/>
          <w:sz w:val="24"/>
          <w:szCs w:val="24"/>
        </w:rPr>
        <w:t>I</w:t>
      </w:r>
    </w:p>
    <w:p w14:paraId="262F99EA"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hAnsi="Arial"/>
          <w:sz w:val="24"/>
          <w:szCs w:val="24"/>
        </w:rPr>
      </w:pPr>
      <w:r w:rsidRPr="00457B23">
        <w:rPr>
          <w:rFonts w:ascii="Arial" w:hAnsi="Arial"/>
          <w:sz w:val="24"/>
          <w:szCs w:val="24"/>
        </w:rPr>
        <w:t xml:space="preserve">La </w:t>
      </w:r>
      <w:r>
        <w:rPr>
          <w:rFonts w:ascii="Arial" w:hAnsi="Arial"/>
          <w:sz w:val="24"/>
          <w:szCs w:val="24"/>
        </w:rPr>
        <w:t>L</w:t>
      </w:r>
      <w:r w:rsidRPr="00457B23">
        <w:rPr>
          <w:rFonts w:ascii="Arial" w:hAnsi="Arial"/>
          <w:sz w:val="24"/>
          <w:szCs w:val="24"/>
        </w:rPr>
        <w:t>egge sull'organizzazione giudiziaria del 10 maggio 2006 è così modificata:</w:t>
      </w:r>
    </w:p>
    <w:p w14:paraId="0B307177"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jc w:val="both"/>
        <w:rPr>
          <w:rFonts w:ascii="Arial" w:hAnsi="Arial"/>
          <w:sz w:val="24"/>
          <w:szCs w:val="24"/>
        </w:rPr>
      </w:pPr>
    </w:p>
    <w:p w14:paraId="5C7D9255"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ind w:left="1843"/>
        <w:jc w:val="both"/>
        <w:rPr>
          <w:rFonts w:ascii="Arial" w:hAnsi="Arial"/>
          <w:sz w:val="23"/>
          <w:szCs w:val="23"/>
        </w:rPr>
      </w:pPr>
      <w:r w:rsidRPr="00F5289B">
        <w:rPr>
          <w:rFonts w:ascii="Arial" w:hAnsi="Arial"/>
          <w:sz w:val="23"/>
          <w:szCs w:val="23"/>
        </w:rPr>
        <w:t>Capitolo V - Ministero pubblico</w:t>
      </w:r>
    </w:p>
    <w:p w14:paraId="5863B83F" w14:textId="77777777" w:rsidR="009A1C6D" w:rsidRPr="00397078"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ind w:left="1843"/>
        <w:jc w:val="both"/>
        <w:rPr>
          <w:rFonts w:ascii="Arial" w:hAnsi="Arial"/>
          <w:sz w:val="24"/>
          <w:szCs w:val="24"/>
        </w:rPr>
      </w:pPr>
    </w:p>
    <w:p w14:paraId="04A01BE9" w14:textId="77777777" w:rsidR="009A1C6D" w:rsidRPr="00397078"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120"/>
        <w:ind w:left="1843"/>
        <w:rPr>
          <w:rFonts w:ascii="Arial" w:eastAsia="Arial" w:hAnsi="Arial" w:cs="Arial"/>
          <w:b/>
          <w:bCs/>
          <w:sz w:val="24"/>
          <w:szCs w:val="24"/>
        </w:rPr>
      </w:pPr>
      <w:r w:rsidRPr="00397078">
        <w:rPr>
          <w:rFonts w:ascii="Arial" w:hAnsi="Arial"/>
          <w:b/>
          <w:bCs/>
          <w:sz w:val="24"/>
          <w:szCs w:val="24"/>
        </w:rPr>
        <w:t xml:space="preserve">Art. 68 </w:t>
      </w:r>
      <w:proofErr w:type="spellStart"/>
      <w:r w:rsidRPr="00397078">
        <w:rPr>
          <w:rFonts w:ascii="Arial" w:hAnsi="Arial"/>
          <w:b/>
          <w:bCs/>
          <w:sz w:val="24"/>
          <w:szCs w:val="24"/>
        </w:rPr>
        <w:t>lett</w:t>
      </w:r>
      <w:proofErr w:type="spellEnd"/>
      <w:r w:rsidRPr="00397078">
        <w:rPr>
          <w:rFonts w:ascii="Arial" w:hAnsi="Arial"/>
          <w:b/>
          <w:bCs/>
          <w:sz w:val="24"/>
          <w:szCs w:val="24"/>
        </w:rPr>
        <w:t>. h (nuovo)</w:t>
      </w:r>
    </w:p>
    <w:p w14:paraId="0D5B7704" w14:textId="77777777" w:rsidR="009A1C6D" w:rsidRPr="00397078"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after="0" w:line="240" w:lineRule="auto"/>
        <w:ind w:left="2268" w:hanging="425"/>
        <w:jc w:val="both"/>
        <w:rPr>
          <w:rFonts w:ascii="Arial" w:hAnsi="Arial" w:cs="Arial"/>
          <w:sz w:val="24"/>
          <w:szCs w:val="24"/>
        </w:rPr>
      </w:pPr>
      <w:r w:rsidRPr="00397078">
        <w:rPr>
          <w:rFonts w:ascii="Arial" w:hAnsi="Arial" w:cs="Arial"/>
          <w:sz w:val="24"/>
          <w:szCs w:val="24"/>
        </w:rPr>
        <w:t>h)</w:t>
      </w:r>
      <w:r w:rsidRPr="00397078">
        <w:rPr>
          <w:rFonts w:ascii="Arial" w:hAnsi="Arial" w:cs="Arial"/>
          <w:sz w:val="24"/>
          <w:szCs w:val="24"/>
        </w:rPr>
        <w:tab/>
        <w:t>autorizza nei casi esclusivamente contravvenzionali singoli segretari giudiziari a dirigere il procedimento penale, emanare i decreti di non luogo a procedere, sospendere o abbandonare il procedimento penale, emanare i decreti d’accusa, promuovere l’accusa e rappresentare il Ministero pubblico nelle sedi giudiziarie competenti.</w:t>
      </w:r>
    </w:p>
    <w:p w14:paraId="08F17EDE" w14:textId="77777777" w:rsidR="009A1C6D" w:rsidRPr="00457B23" w:rsidRDefault="009A1C6D" w:rsidP="009A1C6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p>
    <w:p w14:paraId="339CB6C8" w14:textId="77777777" w:rsidR="009A1C6D" w:rsidRPr="00457B23"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tabs>
          <w:tab w:val="left" w:pos="7589"/>
        </w:tabs>
        <w:suppressAutoHyphens/>
        <w:spacing w:after="120" w:line="240" w:lineRule="auto"/>
        <w:jc w:val="both"/>
        <w:rPr>
          <w:rFonts w:ascii="Arial" w:eastAsia="Arial" w:hAnsi="Arial" w:cs="Arial"/>
          <w:b/>
          <w:bCs/>
          <w:sz w:val="24"/>
          <w:szCs w:val="24"/>
        </w:rPr>
      </w:pPr>
      <w:r w:rsidRPr="00457B23">
        <w:rPr>
          <w:rFonts w:ascii="Arial" w:hAnsi="Arial"/>
          <w:b/>
          <w:bCs/>
          <w:sz w:val="24"/>
          <w:szCs w:val="24"/>
        </w:rPr>
        <w:t>II</w:t>
      </w:r>
    </w:p>
    <w:p w14:paraId="1E1CEFF9" w14:textId="77777777" w:rsidR="009A1C6D" w:rsidRDefault="009A1C6D" w:rsidP="009A1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Arial" w:eastAsia="Arial" w:hAnsi="Arial" w:cs="Arial"/>
          <w:sz w:val="24"/>
          <w:szCs w:val="24"/>
        </w:rPr>
      </w:pPr>
      <w:r w:rsidRPr="00457B23">
        <w:rPr>
          <w:rFonts w:ascii="Arial" w:hAnsi="Arial"/>
          <w:sz w:val="24"/>
          <w:szCs w:val="24"/>
        </w:rPr>
        <w:t>Trascorsi i termini per l'esercizio del diritto di referendum, la presente modifica di legge è pubblicata nel Bollettino ufficiale delle leggi ed entra immediatamente in vigore.</w:t>
      </w:r>
    </w:p>
    <w:p w14:paraId="572EEAB6" w14:textId="77777777" w:rsidR="00D649A8" w:rsidRPr="009A1C6D" w:rsidRDefault="00D649A8" w:rsidP="00D33940">
      <w:pPr>
        <w:pStyle w:val="StandardRisoluzionedelConsigliodiStato"/>
        <w:ind w:right="-1"/>
        <w:rPr>
          <w:lang w:val="it-CH"/>
        </w:rPr>
      </w:pPr>
    </w:p>
    <w:p w14:paraId="3DEF3E5B" w14:textId="302E7E51" w:rsidR="00D649A8" w:rsidRDefault="00D649A8" w:rsidP="00D33940">
      <w:pPr>
        <w:pStyle w:val="StandardRisoluzionedelConsigliodiStato"/>
        <w:ind w:right="-1"/>
        <w:rPr>
          <w:lang w:val="it-CH"/>
        </w:rPr>
      </w:pPr>
    </w:p>
    <w:p w14:paraId="02B0B1E3" w14:textId="08B953AB" w:rsidR="00D76653" w:rsidRDefault="00D76653" w:rsidP="00D33940">
      <w:pPr>
        <w:pStyle w:val="StandardRisoluzionedelConsigliodiStato"/>
        <w:ind w:right="-1"/>
        <w:rPr>
          <w:lang w:val="it-CH"/>
        </w:rPr>
      </w:pPr>
    </w:p>
    <w:p w14:paraId="48CB8310" w14:textId="0BA9F4B7" w:rsidR="00D76653" w:rsidRDefault="00D76653" w:rsidP="00D33940">
      <w:pPr>
        <w:pStyle w:val="StandardRisoluzionedelConsigliodiStato"/>
        <w:ind w:right="-1"/>
        <w:rPr>
          <w:lang w:val="it-CH"/>
        </w:rPr>
      </w:pPr>
    </w:p>
    <w:p w14:paraId="121DC42F" w14:textId="5527B8F2" w:rsidR="00D76653" w:rsidRDefault="00D76653" w:rsidP="00D33940">
      <w:pPr>
        <w:pStyle w:val="StandardRisoluzionedelConsigliodiStato"/>
        <w:ind w:right="-1"/>
        <w:rPr>
          <w:lang w:val="it-CH"/>
        </w:rPr>
      </w:pPr>
    </w:p>
    <w:p w14:paraId="6FEEF6F3" w14:textId="5D5F6762" w:rsidR="00D76653" w:rsidRDefault="00D76653" w:rsidP="00D33940">
      <w:pPr>
        <w:pStyle w:val="StandardRisoluzionedelConsigliodiStato"/>
        <w:ind w:right="-1"/>
        <w:rPr>
          <w:lang w:val="it-CH"/>
        </w:rPr>
      </w:pPr>
    </w:p>
    <w:p w14:paraId="300E06A6" w14:textId="4BE4CEBC" w:rsidR="00D76653" w:rsidRDefault="00D76653" w:rsidP="00D33940">
      <w:pPr>
        <w:pStyle w:val="StandardRisoluzionedelConsigliodiStato"/>
        <w:ind w:right="-1"/>
        <w:rPr>
          <w:lang w:val="it-CH"/>
        </w:rPr>
      </w:pPr>
    </w:p>
    <w:p w14:paraId="23DBED56" w14:textId="3F98E3DC" w:rsidR="0045511E" w:rsidRDefault="0045511E" w:rsidP="00D33940">
      <w:pPr>
        <w:pStyle w:val="StandardRisoluzionedelConsigliodiStato"/>
        <w:ind w:right="-1"/>
        <w:rPr>
          <w:lang w:val="it-CH"/>
        </w:rPr>
      </w:pPr>
    </w:p>
    <w:p w14:paraId="676A57F8" w14:textId="7AD13ECB" w:rsidR="0045511E" w:rsidRDefault="0045511E" w:rsidP="00D33940">
      <w:pPr>
        <w:pStyle w:val="StandardRisoluzionedelConsigliodiStato"/>
        <w:ind w:right="-1"/>
        <w:rPr>
          <w:lang w:val="it-CH"/>
        </w:rPr>
      </w:pPr>
    </w:p>
    <w:sectPr w:rsidR="0045511E" w:rsidSect="00776280">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FA957" w14:textId="77777777" w:rsidR="00776280" w:rsidRDefault="00776280" w:rsidP="00F657BF">
      <w:r>
        <w:separator/>
      </w:r>
    </w:p>
  </w:endnote>
  <w:endnote w:type="continuationSeparator" w:id="0">
    <w:p w14:paraId="695440DC" w14:textId="77777777" w:rsidR="00776280" w:rsidRDefault="0077628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08D5" w14:textId="77777777" w:rsidR="00BC4C2E" w:rsidRDefault="00BC4C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0CEAC214" w14:textId="77777777" w:rsidTr="007A3D11">
      <w:trPr>
        <w:trHeight w:hRule="exact" w:val="737"/>
      </w:trPr>
      <w:tc>
        <w:tcPr>
          <w:tcW w:w="4695" w:type="dxa"/>
        </w:tcPr>
        <w:p w14:paraId="5C921069" w14:textId="77777777" w:rsidR="0072005F" w:rsidRPr="003D1008" w:rsidRDefault="0072005F" w:rsidP="00912E34">
          <w:pPr>
            <w:tabs>
              <w:tab w:val="center" w:pos="2382"/>
            </w:tabs>
          </w:pPr>
        </w:p>
      </w:tc>
      <w:tc>
        <w:tcPr>
          <w:tcW w:w="721" w:type="dxa"/>
        </w:tcPr>
        <w:p w14:paraId="6A8C74F8" w14:textId="77777777" w:rsidR="0072005F" w:rsidRPr="003D1008" w:rsidRDefault="002A41D9" w:rsidP="00912E34">
          <w:pPr>
            <w:jc w:val="center"/>
          </w:pPr>
          <w:r w:rsidRPr="003D1008">
            <w:rPr>
              <w:noProof/>
              <w:lang w:val="it-CH"/>
            </w:rPr>
            <w:drawing>
              <wp:anchor distT="0" distB="0" distL="114300" distR="114300" simplePos="0" relativeHeight="251669504" behindDoc="0" locked="1" layoutInCell="1" allowOverlap="1" wp14:anchorId="3CD6166A"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29702C5B" w14:textId="77777777" w:rsidR="0072005F" w:rsidRPr="003D1008" w:rsidRDefault="002A41D9" w:rsidP="00912E34">
          <w:pPr>
            <w:jc w:val="center"/>
          </w:pPr>
          <w:r w:rsidRPr="003D1008">
            <w:rPr>
              <w:noProof/>
              <w:lang w:val="it-CH"/>
            </w:rPr>
            <w:drawing>
              <wp:anchor distT="0" distB="0" distL="114300" distR="114300" simplePos="0" relativeHeight="251670528" behindDoc="0" locked="1" layoutInCell="1" allowOverlap="1" wp14:anchorId="7C26A477"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4F6265DD" w14:textId="77777777" w:rsidR="0072005F" w:rsidRPr="003D1008" w:rsidRDefault="0072005F" w:rsidP="00912E34"/>
      </w:tc>
    </w:tr>
  </w:tbl>
  <w:p w14:paraId="2524373C"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AC5E" w14:textId="77777777" w:rsidR="0072005F" w:rsidRDefault="0072005F">
    <w:pPr>
      <w:pStyle w:val="Pidipagina"/>
      <w:jc w:val="center"/>
    </w:pPr>
  </w:p>
  <w:p w14:paraId="21136219"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A6AC" w14:textId="77777777" w:rsidR="00776280" w:rsidRDefault="00776280" w:rsidP="00F657BF">
      <w:r>
        <w:separator/>
      </w:r>
    </w:p>
  </w:footnote>
  <w:footnote w:type="continuationSeparator" w:id="0">
    <w:p w14:paraId="292197A4" w14:textId="77777777" w:rsidR="00776280" w:rsidRDefault="00776280" w:rsidP="00F657BF">
      <w:r>
        <w:continuationSeparator/>
      </w:r>
    </w:p>
  </w:footnote>
  <w:footnote w:id="1">
    <w:p w14:paraId="2DA64C44" w14:textId="77777777" w:rsidR="009A1C6D" w:rsidRPr="00DD4905" w:rsidRDefault="009A1C6D" w:rsidP="009A1C6D">
      <w:pPr>
        <w:pStyle w:val="Testonotaapidipagina"/>
        <w:rPr>
          <w:sz w:val="20"/>
          <w:lang w:val="it-IT"/>
        </w:rPr>
      </w:pPr>
      <w:r w:rsidRPr="00DD4905">
        <w:rPr>
          <w:rStyle w:val="Rimandonotaapidipagina"/>
          <w:sz w:val="20"/>
        </w:rPr>
        <w:footnoteRef/>
      </w:r>
      <w:r w:rsidRPr="00DD4905">
        <w:rPr>
          <w:sz w:val="20"/>
          <w:lang w:val="it-CH"/>
        </w:rPr>
        <w:t xml:space="preserve"> Legge sull’organizzazione giudiziaria (LOG) del 10 maggio 2006 (stato 22 dicembre 2023), RL 177.100.</w:t>
      </w:r>
    </w:p>
  </w:footnote>
  <w:footnote w:id="2">
    <w:p w14:paraId="5FC88F03" w14:textId="77777777" w:rsidR="009A1C6D" w:rsidRPr="0068615F" w:rsidRDefault="009A1C6D" w:rsidP="009A1C6D">
      <w:pPr>
        <w:pStyle w:val="Testonotaapidipagina"/>
        <w:rPr>
          <w:lang w:val="it-CH"/>
        </w:rPr>
      </w:pPr>
      <w:r w:rsidRPr="00DD4905">
        <w:rPr>
          <w:rStyle w:val="Rimandonotaapidipagina"/>
          <w:sz w:val="20"/>
        </w:rPr>
        <w:footnoteRef/>
      </w:r>
      <w:r w:rsidRPr="00DD4905">
        <w:rPr>
          <w:sz w:val="20"/>
          <w:lang w:val="it-CH"/>
        </w:rPr>
        <w:t xml:space="preserve"> BU 2021, 159.</w:t>
      </w:r>
    </w:p>
  </w:footnote>
  <w:footnote w:id="3">
    <w:p w14:paraId="2C235CC7" w14:textId="77777777" w:rsidR="009A1C6D" w:rsidRPr="00DD4905" w:rsidRDefault="009A1C6D" w:rsidP="00DD4905">
      <w:pPr>
        <w:pStyle w:val="Testonotaapidipagina"/>
        <w:spacing w:after="0"/>
        <w:rPr>
          <w:rFonts w:ascii="Arial" w:hAnsi="Arial" w:cs="Arial"/>
          <w:sz w:val="20"/>
          <w:lang w:val="it-CH"/>
        </w:rPr>
      </w:pPr>
      <w:r w:rsidRPr="00DD4905">
        <w:rPr>
          <w:rStyle w:val="Rimandonotaapidipagina"/>
          <w:rFonts w:ascii="Arial" w:hAnsi="Arial" w:cs="Arial"/>
          <w:sz w:val="20"/>
        </w:rPr>
        <w:footnoteRef/>
      </w:r>
      <w:r w:rsidRPr="00DD4905">
        <w:rPr>
          <w:rFonts w:ascii="Arial" w:hAnsi="Arial"/>
          <w:sz w:val="20"/>
          <w:lang w:val="it-CH"/>
        </w:rPr>
        <w:t xml:space="preserve"> Dato al 31 ottobre 2023, così come presentato dal Procuratore generale nell’audizione del 13 novembre 2023 alla data del rapporto parziale del parziale, 1° marzo 2021, il dato era 10% su 1'200 procedimento all’anno: v.:</w:t>
      </w:r>
      <w:r w:rsidRPr="00DD4905">
        <w:rPr>
          <w:rFonts w:ascii="Arial" w:hAnsi="Arial" w:cs="Arial"/>
          <w:sz w:val="20"/>
          <w:lang w:val="it-CH"/>
        </w:rPr>
        <w:t xml:space="preserve"> rapporto parziale 7714 del 1° marzo 2021, </w:t>
      </w:r>
      <w:proofErr w:type="spellStart"/>
      <w:r w:rsidRPr="00DD4905">
        <w:rPr>
          <w:rFonts w:ascii="Arial" w:hAnsi="Arial" w:cs="Arial"/>
          <w:sz w:val="20"/>
          <w:lang w:val="it-CH"/>
        </w:rPr>
        <w:t>lett</w:t>
      </w:r>
      <w:proofErr w:type="spellEnd"/>
      <w:r w:rsidRPr="00DD4905">
        <w:rPr>
          <w:rFonts w:ascii="Arial" w:hAnsi="Arial" w:cs="Arial"/>
          <w:sz w:val="20"/>
          <w:lang w:val="it-CH"/>
        </w:rPr>
        <w:t>. A. n. II. 5.2 pag. 7.</w:t>
      </w:r>
    </w:p>
  </w:footnote>
  <w:footnote w:id="4">
    <w:p w14:paraId="63AB0D57" w14:textId="77777777" w:rsidR="009A1C6D" w:rsidRPr="00DD4905" w:rsidRDefault="009A1C6D" w:rsidP="00DD4905">
      <w:pPr>
        <w:pStyle w:val="Testonotaapidipagina"/>
        <w:spacing w:after="0"/>
        <w:rPr>
          <w:rFonts w:ascii="Arial" w:hAnsi="Arial" w:cs="Arial"/>
          <w:sz w:val="20"/>
          <w:lang w:val="it-CH"/>
        </w:rPr>
      </w:pPr>
      <w:r w:rsidRPr="00DD4905">
        <w:rPr>
          <w:rStyle w:val="Rimandonotaapidipagina"/>
          <w:rFonts w:ascii="Arial" w:hAnsi="Arial" w:cs="Arial"/>
          <w:sz w:val="20"/>
        </w:rPr>
        <w:footnoteRef/>
      </w:r>
      <w:r w:rsidRPr="00DD4905">
        <w:rPr>
          <w:rFonts w:ascii="Arial" w:hAnsi="Arial"/>
          <w:sz w:val="20"/>
          <w:lang w:val="it-CH"/>
        </w:rPr>
        <w:t xml:space="preserve"> Codice di diritto processuale penale svizzero, (Codice di procedura penale, CPP), del 5 ottobre 2007; RS 312.0</w:t>
      </w:r>
      <w:r w:rsidRPr="00DD4905">
        <w:rPr>
          <w:rFonts w:ascii="Arial" w:hAnsi="Arial" w:cs="Arial"/>
          <w:sz w:val="20"/>
          <w:lang w:val="it-CH"/>
        </w:rPr>
        <w:t>.</w:t>
      </w:r>
    </w:p>
  </w:footnote>
  <w:footnote w:id="5">
    <w:p w14:paraId="342BB4A6" w14:textId="77777777" w:rsidR="009A1C6D" w:rsidRPr="00DD4905" w:rsidRDefault="009A1C6D" w:rsidP="00DD4905">
      <w:pPr>
        <w:pStyle w:val="Testonotaapidipagina"/>
        <w:spacing w:after="0"/>
        <w:rPr>
          <w:rFonts w:ascii="Arial" w:hAnsi="Arial" w:cs="Arial"/>
          <w:sz w:val="20"/>
          <w:lang w:val="en-US"/>
        </w:rPr>
      </w:pPr>
      <w:r w:rsidRPr="00DD4905">
        <w:rPr>
          <w:rStyle w:val="Rimandonotaapidipagina"/>
          <w:rFonts w:ascii="Arial" w:hAnsi="Arial" w:cs="Arial"/>
          <w:sz w:val="20"/>
        </w:rPr>
        <w:footnoteRef/>
      </w:r>
      <w:r w:rsidRPr="00DD4905">
        <w:rPr>
          <w:rFonts w:ascii="Arial" w:hAnsi="Arial"/>
          <w:sz w:val="20"/>
          <w:lang w:val="en-US"/>
        </w:rPr>
        <w:t xml:space="preserve"> Art. </w:t>
      </w:r>
      <w:proofErr w:type="gramStart"/>
      <w:r w:rsidRPr="00DD4905">
        <w:rPr>
          <w:rFonts w:ascii="Arial" w:hAnsi="Arial"/>
          <w:sz w:val="20"/>
          <w:lang w:val="en-US"/>
        </w:rPr>
        <w:t>16</w:t>
      </w:r>
      <w:proofErr w:type="gramEnd"/>
      <w:r w:rsidRPr="00DD4905">
        <w:rPr>
          <w:rFonts w:ascii="Arial" w:hAnsi="Arial"/>
          <w:sz w:val="20"/>
          <w:lang w:val="en-US"/>
        </w:rPr>
        <w:t xml:space="preserve"> CPP.</w:t>
      </w:r>
    </w:p>
  </w:footnote>
  <w:footnote w:id="6">
    <w:p w14:paraId="0BBE0951" w14:textId="77777777" w:rsidR="009A1C6D" w:rsidRPr="00DD4905" w:rsidRDefault="009A1C6D" w:rsidP="00DD4905">
      <w:pPr>
        <w:pStyle w:val="Testonotaapidipagina"/>
        <w:spacing w:after="0"/>
        <w:rPr>
          <w:rFonts w:ascii="Arial" w:hAnsi="Arial" w:cs="Arial"/>
          <w:sz w:val="20"/>
          <w:lang w:val="en-US"/>
        </w:rPr>
      </w:pPr>
      <w:r w:rsidRPr="00DD4905">
        <w:rPr>
          <w:rStyle w:val="Rimandonotaapidipagina"/>
          <w:rFonts w:ascii="Arial" w:hAnsi="Arial" w:cs="Arial"/>
          <w:sz w:val="20"/>
        </w:rPr>
        <w:footnoteRef/>
      </w:r>
      <w:r w:rsidRPr="00DD4905">
        <w:rPr>
          <w:rFonts w:ascii="Arial" w:hAnsi="Arial"/>
          <w:sz w:val="20"/>
          <w:lang w:val="en-US"/>
        </w:rPr>
        <w:t xml:space="preserve"> Art. </w:t>
      </w:r>
      <w:proofErr w:type="gramStart"/>
      <w:r w:rsidRPr="00DD4905">
        <w:rPr>
          <w:rFonts w:ascii="Arial" w:hAnsi="Arial"/>
          <w:sz w:val="20"/>
          <w:lang w:val="en-US"/>
        </w:rPr>
        <w:t>311</w:t>
      </w:r>
      <w:proofErr w:type="gramEnd"/>
      <w:r w:rsidRPr="00DD4905">
        <w:rPr>
          <w:rFonts w:ascii="Arial" w:hAnsi="Arial"/>
          <w:sz w:val="20"/>
          <w:lang w:val="en-US"/>
        </w:rPr>
        <w:t xml:space="preserve"> </w:t>
      </w:r>
      <w:proofErr w:type="spellStart"/>
      <w:r w:rsidRPr="00DD4905">
        <w:rPr>
          <w:rFonts w:ascii="Arial" w:hAnsi="Arial"/>
          <w:sz w:val="20"/>
          <w:lang w:val="en-US"/>
        </w:rPr>
        <w:t>cpv</w:t>
      </w:r>
      <w:proofErr w:type="spellEnd"/>
      <w:r w:rsidRPr="00DD4905">
        <w:rPr>
          <w:rFonts w:ascii="Arial" w:hAnsi="Arial"/>
          <w:sz w:val="20"/>
          <w:lang w:val="en-US"/>
        </w:rPr>
        <w:t xml:space="preserve">. </w:t>
      </w:r>
      <w:proofErr w:type="gramStart"/>
      <w:r w:rsidRPr="00DD4905">
        <w:rPr>
          <w:rFonts w:ascii="Arial" w:hAnsi="Arial"/>
          <w:sz w:val="20"/>
          <w:lang w:val="en-US"/>
        </w:rPr>
        <w:t>1</w:t>
      </w:r>
      <w:proofErr w:type="gramEnd"/>
      <w:r w:rsidRPr="00DD4905">
        <w:rPr>
          <w:rFonts w:ascii="Arial" w:hAnsi="Arial"/>
          <w:sz w:val="20"/>
          <w:lang w:val="en-US"/>
        </w:rPr>
        <w:t xml:space="preserve"> CPP.</w:t>
      </w:r>
    </w:p>
  </w:footnote>
  <w:footnote w:id="7">
    <w:p w14:paraId="14782712" w14:textId="6DBD1ED1" w:rsidR="009A1C6D" w:rsidRPr="00DD4905" w:rsidRDefault="009A1C6D" w:rsidP="00DD4905">
      <w:pPr>
        <w:pStyle w:val="Testonotaapidipagina"/>
        <w:spacing w:after="0"/>
        <w:rPr>
          <w:rFonts w:ascii="Arial" w:hAnsi="Arial" w:cs="Arial"/>
          <w:sz w:val="20"/>
          <w:lang w:val="en-US"/>
        </w:rPr>
      </w:pPr>
      <w:r w:rsidRPr="00DD4905">
        <w:rPr>
          <w:rStyle w:val="Rimandonotaapidipagina"/>
          <w:rFonts w:ascii="Arial" w:hAnsi="Arial" w:cs="Arial"/>
          <w:sz w:val="20"/>
        </w:rPr>
        <w:footnoteRef/>
      </w:r>
      <w:r w:rsidRPr="00DD4905">
        <w:rPr>
          <w:rFonts w:ascii="Arial" w:hAnsi="Arial"/>
          <w:sz w:val="20"/>
          <w:lang w:val="en-US"/>
        </w:rPr>
        <w:t xml:space="preserve"> </w:t>
      </w:r>
      <w:proofErr w:type="spellStart"/>
      <w:r w:rsidRPr="00DD4905">
        <w:rPr>
          <w:rFonts w:ascii="Arial" w:hAnsi="Arial"/>
          <w:sz w:val="20"/>
          <w:lang w:val="en-US"/>
        </w:rPr>
        <w:t>Art</w:t>
      </w:r>
      <w:r w:rsidR="00C30F53" w:rsidRPr="00DD4905">
        <w:rPr>
          <w:rFonts w:ascii="Arial" w:hAnsi="Arial"/>
          <w:sz w:val="20"/>
          <w:lang w:val="en-US"/>
        </w:rPr>
        <w:t>t</w:t>
      </w:r>
      <w:proofErr w:type="spellEnd"/>
      <w:r w:rsidRPr="00DD4905">
        <w:rPr>
          <w:rFonts w:ascii="Arial" w:hAnsi="Arial"/>
          <w:sz w:val="20"/>
          <w:lang w:val="en-US"/>
        </w:rPr>
        <w:t xml:space="preserve">. </w:t>
      </w:r>
      <w:proofErr w:type="gramStart"/>
      <w:r w:rsidRPr="00DD4905">
        <w:rPr>
          <w:rFonts w:ascii="Arial" w:hAnsi="Arial"/>
          <w:sz w:val="20"/>
          <w:lang w:val="en-US"/>
        </w:rPr>
        <w:t>142</w:t>
      </w:r>
      <w:proofErr w:type="gramEnd"/>
      <w:r w:rsidRPr="00DD4905">
        <w:rPr>
          <w:rFonts w:ascii="Arial" w:hAnsi="Arial"/>
          <w:sz w:val="20"/>
          <w:lang w:val="en-US"/>
        </w:rPr>
        <w:t xml:space="preserve"> e 179 CPP.</w:t>
      </w:r>
    </w:p>
  </w:footnote>
  <w:footnote w:id="8">
    <w:p w14:paraId="607F8B52" w14:textId="77777777" w:rsidR="009A1C6D" w:rsidRPr="00DD4905" w:rsidRDefault="009A1C6D" w:rsidP="00DD4905">
      <w:pPr>
        <w:pStyle w:val="Testonotaapidipagina"/>
        <w:spacing w:after="0"/>
        <w:rPr>
          <w:rFonts w:ascii="Arial" w:hAnsi="Arial" w:cs="Arial"/>
          <w:sz w:val="20"/>
          <w:lang w:val="en-US"/>
        </w:rPr>
      </w:pPr>
      <w:r w:rsidRPr="00DD4905">
        <w:rPr>
          <w:rStyle w:val="Rimandonotaapidipagina"/>
          <w:rFonts w:ascii="Arial" w:hAnsi="Arial" w:cs="Arial"/>
          <w:sz w:val="20"/>
        </w:rPr>
        <w:footnoteRef/>
      </w:r>
      <w:r w:rsidRPr="00DD4905">
        <w:rPr>
          <w:rFonts w:ascii="Arial" w:hAnsi="Arial"/>
          <w:sz w:val="20"/>
          <w:lang w:val="en-US"/>
        </w:rPr>
        <w:t xml:space="preserve"> Art. </w:t>
      </w:r>
      <w:proofErr w:type="gramStart"/>
      <w:r w:rsidRPr="00DD4905">
        <w:rPr>
          <w:rFonts w:ascii="Arial" w:hAnsi="Arial"/>
          <w:sz w:val="20"/>
          <w:lang w:val="en-US"/>
        </w:rPr>
        <w:t>311</w:t>
      </w:r>
      <w:proofErr w:type="gramEnd"/>
      <w:r w:rsidRPr="00DD4905">
        <w:rPr>
          <w:rFonts w:ascii="Arial" w:hAnsi="Arial"/>
          <w:sz w:val="20"/>
          <w:lang w:val="en-US"/>
        </w:rPr>
        <w:t xml:space="preserve"> </w:t>
      </w:r>
      <w:proofErr w:type="spellStart"/>
      <w:r w:rsidRPr="00DD4905">
        <w:rPr>
          <w:rFonts w:ascii="Arial" w:hAnsi="Arial"/>
          <w:sz w:val="20"/>
          <w:lang w:val="en-US"/>
        </w:rPr>
        <w:t>cpv</w:t>
      </w:r>
      <w:proofErr w:type="spellEnd"/>
      <w:r w:rsidRPr="00DD4905">
        <w:rPr>
          <w:rFonts w:ascii="Arial" w:hAnsi="Arial"/>
          <w:sz w:val="20"/>
          <w:lang w:val="en-US"/>
        </w:rPr>
        <w:t xml:space="preserve">. </w:t>
      </w:r>
      <w:proofErr w:type="gramStart"/>
      <w:r w:rsidRPr="00DD4905">
        <w:rPr>
          <w:rFonts w:ascii="Arial" w:hAnsi="Arial"/>
          <w:sz w:val="20"/>
          <w:lang w:val="en-US"/>
        </w:rPr>
        <w:t>1</w:t>
      </w:r>
      <w:proofErr w:type="gramEnd"/>
      <w:r w:rsidRPr="00DD4905">
        <w:rPr>
          <w:rFonts w:ascii="Arial" w:hAnsi="Arial"/>
          <w:sz w:val="20"/>
          <w:lang w:val="en-US"/>
        </w:rPr>
        <w:t xml:space="preserve"> CPP.</w:t>
      </w:r>
    </w:p>
  </w:footnote>
  <w:footnote w:id="9">
    <w:p w14:paraId="1810A1F5" w14:textId="77777777" w:rsidR="009A1C6D" w:rsidRPr="00DD4905" w:rsidRDefault="009A1C6D" w:rsidP="00DD4905">
      <w:pPr>
        <w:pStyle w:val="Testonotaapidipagina"/>
        <w:spacing w:after="0"/>
        <w:rPr>
          <w:rFonts w:ascii="Arial" w:hAnsi="Arial" w:cs="Arial"/>
          <w:sz w:val="20"/>
          <w:lang w:val="en-US"/>
        </w:rPr>
      </w:pPr>
      <w:r w:rsidRPr="00DD4905">
        <w:rPr>
          <w:rStyle w:val="Rimandonotaapidipagina"/>
          <w:rFonts w:ascii="Arial" w:hAnsi="Arial" w:cs="Arial"/>
          <w:sz w:val="20"/>
        </w:rPr>
        <w:footnoteRef/>
      </w:r>
      <w:r w:rsidRPr="00DD4905">
        <w:rPr>
          <w:rFonts w:ascii="Arial" w:hAnsi="Arial"/>
          <w:sz w:val="20"/>
          <w:lang w:val="en-US"/>
        </w:rPr>
        <w:t xml:space="preserve"> Art. </w:t>
      </w:r>
      <w:proofErr w:type="gramStart"/>
      <w:r w:rsidRPr="00DD4905">
        <w:rPr>
          <w:rFonts w:ascii="Arial" w:hAnsi="Arial"/>
          <w:sz w:val="20"/>
          <w:lang w:val="en-US"/>
        </w:rPr>
        <w:t>69</w:t>
      </w:r>
      <w:proofErr w:type="gramEnd"/>
      <w:r w:rsidRPr="00DD4905">
        <w:rPr>
          <w:rFonts w:ascii="Arial" w:hAnsi="Arial"/>
          <w:sz w:val="20"/>
          <w:lang w:val="en-US"/>
        </w:rPr>
        <w:t xml:space="preserve"> LOG.</w:t>
      </w:r>
    </w:p>
  </w:footnote>
  <w:footnote w:id="10">
    <w:p w14:paraId="5121ED53" w14:textId="77777777" w:rsidR="009A1C6D" w:rsidRPr="009760CB" w:rsidRDefault="009A1C6D" w:rsidP="00DD4905">
      <w:pPr>
        <w:pStyle w:val="Testonotaapidipagina"/>
        <w:spacing w:after="0"/>
        <w:rPr>
          <w:rFonts w:ascii="Arial" w:hAnsi="Arial" w:cs="Arial"/>
          <w:lang w:val="en-US"/>
        </w:rPr>
      </w:pPr>
      <w:r w:rsidRPr="00DD4905">
        <w:rPr>
          <w:rStyle w:val="Rimandonotaapidipagina"/>
          <w:rFonts w:ascii="Arial" w:hAnsi="Arial" w:cs="Arial"/>
          <w:sz w:val="20"/>
        </w:rPr>
        <w:footnoteRef/>
      </w:r>
      <w:r w:rsidRPr="00DD4905">
        <w:rPr>
          <w:rFonts w:ascii="Arial" w:hAnsi="Arial"/>
          <w:sz w:val="20"/>
          <w:lang w:val="en-US"/>
        </w:rPr>
        <w:t xml:space="preserve"> V. </w:t>
      </w:r>
      <w:proofErr w:type="spellStart"/>
      <w:r w:rsidRPr="00DD4905">
        <w:rPr>
          <w:rFonts w:ascii="Arial" w:hAnsi="Arial"/>
          <w:sz w:val="20"/>
          <w:lang w:val="en-US"/>
        </w:rPr>
        <w:t>anche</w:t>
      </w:r>
      <w:proofErr w:type="spellEnd"/>
      <w:r w:rsidRPr="00DD4905">
        <w:rPr>
          <w:rFonts w:ascii="Arial" w:hAnsi="Arial"/>
          <w:sz w:val="20"/>
          <w:lang w:val="en-US"/>
        </w:rPr>
        <w:t xml:space="preserve">: </w:t>
      </w:r>
      <w:r w:rsidRPr="00DD4905">
        <w:rPr>
          <w:rFonts w:ascii="Arial" w:hAnsi="Arial" w:cs="Arial"/>
          <w:sz w:val="20"/>
          <w:lang w:val="en-US"/>
        </w:rPr>
        <w:t>CR CPP-</w:t>
      </w:r>
      <w:proofErr w:type="spellStart"/>
      <w:r w:rsidRPr="00DD4905">
        <w:rPr>
          <w:rFonts w:ascii="Arial" w:hAnsi="Arial" w:cs="Arial"/>
          <w:smallCaps/>
          <w:sz w:val="20"/>
          <w:lang w:val="en-US"/>
        </w:rPr>
        <w:t>Grodecky</w:t>
      </w:r>
      <w:proofErr w:type="spellEnd"/>
      <w:r w:rsidRPr="00DD4905">
        <w:rPr>
          <w:rFonts w:ascii="Arial" w:hAnsi="Arial" w:cs="Arial"/>
          <w:smallCaps/>
          <w:sz w:val="20"/>
          <w:lang w:val="en-US"/>
        </w:rPr>
        <w:t>/</w:t>
      </w:r>
      <w:proofErr w:type="spellStart"/>
      <w:r w:rsidRPr="00DD4905">
        <w:rPr>
          <w:rFonts w:ascii="Arial" w:hAnsi="Arial" w:cs="Arial"/>
          <w:smallCaps/>
          <w:sz w:val="20"/>
          <w:lang w:val="en-US"/>
        </w:rPr>
        <w:t>Cornu</w:t>
      </w:r>
      <w:proofErr w:type="spellEnd"/>
      <w:r w:rsidRPr="00DD4905">
        <w:rPr>
          <w:rFonts w:ascii="Arial" w:hAnsi="Arial" w:cs="Arial"/>
          <w:sz w:val="20"/>
          <w:lang w:val="en-US"/>
        </w:rPr>
        <w:t xml:space="preserve">, art. </w:t>
      </w:r>
      <w:proofErr w:type="gramStart"/>
      <w:r w:rsidRPr="00DD4905">
        <w:rPr>
          <w:rFonts w:ascii="Arial" w:hAnsi="Arial" w:cs="Arial"/>
          <w:sz w:val="20"/>
          <w:lang w:val="en-US"/>
        </w:rPr>
        <w:t>311</w:t>
      </w:r>
      <w:proofErr w:type="gramEnd"/>
      <w:r w:rsidRPr="00DD4905">
        <w:rPr>
          <w:rFonts w:ascii="Arial" w:hAnsi="Arial" w:cs="Arial"/>
          <w:sz w:val="20"/>
          <w:lang w:val="en-US"/>
        </w:rPr>
        <w:t xml:space="preserve"> N. 8b, 2a ed., </w:t>
      </w:r>
      <w:proofErr w:type="spellStart"/>
      <w:r w:rsidRPr="00DD4905">
        <w:rPr>
          <w:rFonts w:ascii="Arial" w:hAnsi="Arial" w:cs="Arial"/>
          <w:sz w:val="20"/>
          <w:lang w:val="en-US"/>
        </w:rPr>
        <w:t>Basilea</w:t>
      </w:r>
      <w:proofErr w:type="spellEnd"/>
      <w:r w:rsidRPr="00DD4905">
        <w:rPr>
          <w:rFonts w:ascii="Arial" w:hAnsi="Arial" w:cs="Arial"/>
          <w:sz w:val="20"/>
          <w:lang w:val="en-US"/>
        </w:rPr>
        <w:t xml:space="preserve"> 2019</w:t>
      </w:r>
      <w:r w:rsidRPr="00DD4905">
        <w:rPr>
          <w:rFonts w:ascii="Arial" w:hAnsi="Arial"/>
          <w:sz w:val="20"/>
          <w:lang w:val="en-US"/>
        </w:rPr>
        <w:t>.</w:t>
      </w:r>
    </w:p>
  </w:footnote>
  <w:footnote w:id="11">
    <w:p w14:paraId="1D9A6145" w14:textId="77777777" w:rsidR="009A1C6D" w:rsidRPr="00DD4905" w:rsidRDefault="009A1C6D" w:rsidP="009A1C6D">
      <w:pPr>
        <w:pStyle w:val="Testonotaapidipagina"/>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Sul motivo di tale estensione, v.: rapporto parziale 7714 R del 1° marzo 2021, </w:t>
      </w:r>
      <w:proofErr w:type="spellStart"/>
      <w:r w:rsidRPr="00DD4905">
        <w:rPr>
          <w:rFonts w:ascii="Arial" w:hAnsi="Arial" w:cs="Arial"/>
          <w:sz w:val="20"/>
          <w:lang w:val="it-CH"/>
        </w:rPr>
        <w:t>lett</w:t>
      </w:r>
      <w:proofErr w:type="spellEnd"/>
      <w:r w:rsidRPr="00DD4905">
        <w:rPr>
          <w:rFonts w:ascii="Arial" w:hAnsi="Arial" w:cs="Arial"/>
          <w:sz w:val="20"/>
          <w:lang w:val="it-CH"/>
        </w:rPr>
        <w:t>. A. III. pag. 9</w:t>
      </w:r>
      <w:r w:rsidRPr="00DD4905">
        <w:rPr>
          <w:rFonts w:ascii="Arial" w:hAnsi="Arial"/>
          <w:sz w:val="20"/>
          <w:lang w:val="it-CH"/>
        </w:rPr>
        <w:t>.</w:t>
      </w:r>
    </w:p>
  </w:footnote>
  <w:footnote w:id="12">
    <w:p w14:paraId="46925EEB" w14:textId="77777777" w:rsidR="009A1C6D" w:rsidRPr="00DD4905" w:rsidRDefault="009A1C6D" w:rsidP="009A1C6D">
      <w:pPr>
        <w:pStyle w:val="Testonotaapidipagina"/>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V. anche: </w:t>
      </w:r>
      <w:r w:rsidRPr="00DD4905">
        <w:rPr>
          <w:rFonts w:ascii="Arial" w:hAnsi="Arial" w:cs="Arial"/>
          <w:i/>
          <w:iCs/>
          <w:sz w:val="20"/>
          <w:lang w:val="it-CH"/>
        </w:rPr>
        <w:t>infra</w:t>
      </w:r>
      <w:r w:rsidRPr="00DD4905">
        <w:rPr>
          <w:rFonts w:ascii="Arial" w:hAnsi="Arial" w:cs="Arial"/>
          <w:sz w:val="20"/>
          <w:lang w:val="it-CH"/>
        </w:rPr>
        <w:t xml:space="preserve"> </w:t>
      </w:r>
      <w:proofErr w:type="spellStart"/>
      <w:r w:rsidRPr="00DD4905">
        <w:rPr>
          <w:rFonts w:ascii="Arial" w:hAnsi="Arial" w:cs="Arial"/>
          <w:sz w:val="20"/>
          <w:lang w:val="it-CH"/>
        </w:rPr>
        <w:t>lett</w:t>
      </w:r>
      <w:proofErr w:type="spellEnd"/>
      <w:r w:rsidRPr="00DD4905">
        <w:rPr>
          <w:rFonts w:ascii="Arial" w:hAnsi="Arial" w:cs="Arial"/>
          <w:sz w:val="20"/>
          <w:lang w:val="it-CH"/>
        </w:rPr>
        <w:t>. E.</w:t>
      </w:r>
    </w:p>
  </w:footnote>
  <w:footnote w:id="13">
    <w:p w14:paraId="785048D1" w14:textId="77777777" w:rsidR="009A1C6D" w:rsidRPr="009A6135" w:rsidRDefault="009A1C6D" w:rsidP="009A1C6D">
      <w:pPr>
        <w:pStyle w:val="Testonotaapidipagina"/>
        <w:rPr>
          <w:rFonts w:ascii="Arial" w:hAnsi="Arial" w:cs="Arial"/>
          <w:lang w:val="it-CH"/>
        </w:rPr>
      </w:pPr>
      <w:r w:rsidRPr="00DD4905">
        <w:rPr>
          <w:rStyle w:val="Rimandonotaapidipagina"/>
          <w:rFonts w:ascii="Arial" w:hAnsi="Arial" w:cs="Arial"/>
          <w:sz w:val="20"/>
        </w:rPr>
        <w:footnoteRef/>
      </w:r>
      <w:r w:rsidRPr="00DD4905">
        <w:rPr>
          <w:rFonts w:ascii="Arial" w:hAnsi="Arial" w:cs="Arial"/>
          <w:sz w:val="20"/>
          <w:lang w:val="it-CH"/>
        </w:rPr>
        <w:t xml:space="preserve"> V.: rapporto parziale 7714 R del 1° marzo 2021, n. A. VIII. pag. 10</w:t>
      </w:r>
      <w:r w:rsidRPr="00DD4905">
        <w:rPr>
          <w:rFonts w:ascii="Arial" w:hAnsi="Arial"/>
          <w:sz w:val="20"/>
          <w:lang w:val="it-CH"/>
        </w:rPr>
        <w:t>.</w:t>
      </w:r>
    </w:p>
  </w:footnote>
  <w:footnote w:id="14">
    <w:p w14:paraId="3B0665E6" w14:textId="0B542C4B" w:rsidR="009A1C6D" w:rsidRPr="00DD4905" w:rsidRDefault="009A1C6D" w:rsidP="00DD4905">
      <w:pPr>
        <w:pStyle w:val="Testonotaapidipagina"/>
        <w:spacing w:after="0"/>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Una prima l’11 novembre 20219; v. rapporto parziale 7714 R del 1° marzo 2021, </w:t>
      </w:r>
      <w:proofErr w:type="spellStart"/>
      <w:r w:rsidRPr="00DD4905">
        <w:rPr>
          <w:rFonts w:ascii="Arial" w:hAnsi="Arial" w:cs="Arial"/>
          <w:sz w:val="20"/>
          <w:lang w:val="it-CH"/>
        </w:rPr>
        <w:t>lett</w:t>
      </w:r>
      <w:proofErr w:type="spellEnd"/>
      <w:r w:rsidRPr="00DD4905">
        <w:rPr>
          <w:rFonts w:ascii="Arial" w:hAnsi="Arial" w:cs="Arial"/>
          <w:sz w:val="20"/>
          <w:lang w:val="it-CH"/>
        </w:rPr>
        <w:t xml:space="preserve">. </w:t>
      </w:r>
      <w:r w:rsidRPr="00887241">
        <w:rPr>
          <w:rFonts w:ascii="Arial" w:hAnsi="Arial" w:cs="Arial"/>
          <w:sz w:val="20"/>
          <w:lang w:val="it-CH"/>
        </w:rPr>
        <w:t>B. pag. 10 e segg.</w:t>
      </w:r>
      <w:r w:rsidR="00C30F53" w:rsidRPr="00887241">
        <w:rPr>
          <w:rFonts w:ascii="Arial" w:hAnsi="Arial" w:cs="Arial"/>
          <w:sz w:val="20"/>
          <w:lang w:val="it-CH"/>
        </w:rPr>
        <w:t>.</w:t>
      </w:r>
    </w:p>
  </w:footnote>
  <w:footnote w:id="15">
    <w:p w14:paraId="7F7FF8A6" w14:textId="77777777" w:rsidR="009A1C6D" w:rsidRPr="00DD4905" w:rsidRDefault="009A1C6D" w:rsidP="00DD4905">
      <w:pPr>
        <w:pStyle w:val="Testonotaapidipagina"/>
        <w:spacing w:after="0"/>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V.: rapporto parziale 7714 R del 1° marzo 2021, </w:t>
      </w:r>
      <w:proofErr w:type="spellStart"/>
      <w:r w:rsidRPr="00DD4905">
        <w:rPr>
          <w:rFonts w:ascii="Arial" w:hAnsi="Arial" w:cs="Arial"/>
          <w:sz w:val="20"/>
          <w:lang w:val="it-CH"/>
        </w:rPr>
        <w:t>lett</w:t>
      </w:r>
      <w:proofErr w:type="spellEnd"/>
      <w:r w:rsidRPr="00DD4905">
        <w:rPr>
          <w:rFonts w:ascii="Arial" w:hAnsi="Arial" w:cs="Arial"/>
          <w:sz w:val="20"/>
          <w:lang w:val="it-CH"/>
        </w:rPr>
        <w:t xml:space="preserve">. </w:t>
      </w:r>
      <w:r w:rsidRPr="00887241">
        <w:rPr>
          <w:rFonts w:ascii="Arial" w:hAnsi="Arial" w:cs="Arial"/>
          <w:sz w:val="20"/>
          <w:lang w:val="it-CH"/>
        </w:rPr>
        <w:t>B. pag. 11.</w:t>
      </w:r>
    </w:p>
  </w:footnote>
  <w:footnote w:id="16">
    <w:p w14:paraId="6B72FF2C" w14:textId="77777777" w:rsidR="009A1C6D" w:rsidRPr="00DD4905" w:rsidRDefault="009A1C6D" w:rsidP="00DD4905">
      <w:pPr>
        <w:pStyle w:val="Testonotaapidipagina"/>
        <w:spacing w:after="0"/>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Legge federale sul trasporto di viaggiatori del 20 marzo 20 marzo 2009; RS 745.1.</w:t>
      </w:r>
    </w:p>
  </w:footnote>
  <w:footnote w:id="17">
    <w:p w14:paraId="35B43964" w14:textId="77777777" w:rsidR="009A1C6D" w:rsidRPr="00DD4905" w:rsidRDefault="009A1C6D" w:rsidP="00DD4905">
      <w:pPr>
        <w:pStyle w:val="Testonotaapidipagina"/>
        <w:spacing w:after="0"/>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Legge federale sugli stupefacenti e sulle sostanze psicotrope, del 3 ottobre 1951; RS 812.121.</w:t>
      </w:r>
    </w:p>
  </w:footnote>
  <w:footnote w:id="18">
    <w:p w14:paraId="6E6306C6" w14:textId="46FA5923" w:rsidR="00DE076B" w:rsidRPr="00DD4905" w:rsidRDefault="00DE076B" w:rsidP="00DD4905">
      <w:pPr>
        <w:pStyle w:val="Testonotaapidipagina"/>
        <w:spacing w:after="0"/>
        <w:rPr>
          <w:rFonts w:ascii="Arial" w:hAnsi="Arial" w:cs="Arial"/>
          <w:sz w:val="20"/>
          <w:lang w:val="it-CH"/>
        </w:rPr>
      </w:pPr>
      <w:r w:rsidRPr="00DD4905">
        <w:rPr>
          <w:rStyle w:val="Rimandonotaapidipagina"/>
          <w:sz w:val="20"/>
        </w:rPr>
        <w:footnoteRef/>
      </w:r>
      <w:r w:rsidRPr="00DD4905">
        <w:rPr>
          <w:sz w:val="20"/>
          <w:lang w:val="it-CH"/>
        </w:rPr>
        <w:t xml:space="preserve"> </w:t>
      </w:r>
      <w:r w:rsidRPr="00DD4905">
        <w:rPr>
          <w:rFonts w:ascii="Arial" w:hAnsi="Arial" w:cs="Arial"/>
          <w:sz w:val="20"/>
          <w:lang w:val="it-CH"/>
        </w:rPr>
        <w:t>Regolamento della legge di applicazione della legge federale sull’assicurazione malattie (</w:t>
      </w:r>
      <w:proofErr w:type="spellStart"/>
      <w:r w:rsidRPr="00DD4905">
        <w:rPr>
          <w:rFonts w:ascii="Arial" w:hAnsi="Arial" w:cs="Arial"/>
          <w:sz w:val="20"/>
          <w:lang w:val="it-CH"/>
        </w:rPr>
        <w:t>RLCAMal</w:t>
      </w:r>
      <w:proofErr w:type="spellEnd"/>
      <w:r w:rsidRPr="00DD4905">
        <w:rPr>
          <w:rFonts w:ascii="Arial" w:hAnsi="Arial" w:cs="Arial"/>
          <w:sz w:val="20"/>
          <w:lang w:val="it-CH"/>
        </w:rPr>
        <w:t>), del 29 maggio 2012, RL 853.100.</w:t>
      </w:r>
    </w:p>
  </w:footnote>
  <w:footnote w:id="19">
    <w:p w14:paraId="5E0A7549" w14:textId="77777777" w:rsidR="009A1C6D" w:rsidRPr="009A6135" w:rsidRDefault="009A1C6D" w:rsidP="00DD4905">
      <w:pPr>
        <w:pStyle w:val="Testonotaapidipagina"/>
        <w:spacing w:after="0"/>
        <w:rPr>
          <w:rFonts w:ascii="Arial" w:hAnsi="Arial" w:cs="Arial"/>
          <w:lang w:val="it-CH"/>
        </w:rPr>
      </w:pPr>
      <w:r w:rsidRPr="00DD4905">
        <w:rPr>
          <w:rStyle w:val="Rimandonotaapidipagina"/>
          <w:rFonts w:ascii="Arial" w:hAnsi="Arial" w:cs="Arial"/>
          <w:sz w:val="20"/>
        </w:rPr>
        <w:footnoteRef/>
      </w:r>
      <w:r w:rsidRPr="00DD4905">
        <w:rPr>
          <w:rFonts w:ascii="Arial" w:hAnsi="Arial" w:cs="Arial"/>
          <w:sz w:val="20"/>
          <w:lang w:val="it-CH"/>
        </w:rPr>
        <w:t xml:space="preserve"> V.: rapporto parziale 7714 R del 1° marzo 2021, </w:t>
      </w:r>
      <w:proofErr w:type="spellStart"/>
      <w:r w:rsidRPr="00DD4905">
        <w:rPr>
          <w:rFonts w:ascii="Arial" w:hAnsi="Arial" w:cs="Arial"/>
          <w:sz w:val="20"/>
          <w:lang w:val="it-CH"/>
        </w:rPr>
        <w:t>lett</w:t>
      </w:r>
      <w:proofErr w:type="spellEnd"/>
      <w:r w:rsidRPr="00DD4905">
        <w:rPr>
          <w:rFonts w:ascii="Arial" w:hAnsi="Arial" w:cs="Arial"/>
          <w:sz w:val="20"/>
          <w:lang w:val="it-CH"/>
        </w:rPr>
        <w:t xml:space="preserve">. B. </w:t>
      </w:r>
      <w:proofErr w:type="spellStart"/>
      <w:r w:rsidRPr="00DD4905">
        <w:rPr>
          <w:rFonts w:ascii="Arial" w:hAnsi="Arial" w:cs="Arial"/>
          <w:sz w:val="20"/>
          <w:lang w:val="it-CH"/>
        </w:rPr>
        <w:t>pagg</w:t>
      </w:r>
      <w:proofErr w:type="spellEnd"/>
      <w:r w:rsidRPr="00DD4905">
        <w:rPr>
          <w:rFonts w:ascii="Arial" w:hAnsi="Arial" w:cs="Arial"/>
          <w:sz w:val="20"/>
          <w:lang w:val="it-CH"/>
        </w:rPr>
        <w:t xml:space="preserve">. 9 e segg., </w:t>
      </w:r>
      <w:proofErr w:type="spellStart"/>
      <w:r w:rsidRPr="00DD4905">
        <w:rPr>
          <w:rFonts w:ascii="Arial" w:hAnsi="Arial" w:cs="Arial"/>
          <w:sz w:val="20"/>
          <w:lang w:val="it-CH"/>
        </w:rPr>
        <w:t>lett</w:t>
      </w:r>
      <w:proofErr w:type="spellEnd"/>
      <w:r w:rsidRPr="00DD4905">
        <w:rPr>
          <w:rFonts w:ascii="Arial" w:hAnsi="Arial" w:cs="Arial"/>
          <w:sz w:val="20"/>
          <w:lang w:val="it-CH"/>
        </w:rPr>
        <w:t xml:space="preserve">. C. </w:t>
      </w:r>
      <w:proofErr w:type="spellStart"/>
      <w:r w:rsidRPr="00DD4905">
        <w:rPr>
          <w:rFonts w:ascii="Arial" w:hAnsi="Arial" w:cs="Arial"/>
          <w:sz w:val="20"/>
          <w:lang w:val="it-CH"/>
        </w:rPr>
        <w:t>pagg</w:t>
      </w:r>
      <w:proofErr w:type="spellEnd"/>
      <w:r w:rsidRPr="00DD4905">
        <w:rPr>
          <w:rFonts w:ascii="Arial" w:hAnsi="Arial" w:cs="Arial"/>
          <w:sz w:val="20"/>
          <w:lang w:val="it-CH"/>
        </w:rPr>
        <w:t xml:space="preserve">. 15 e segg., con i relativi approfondimenti commissionali, </w:t>
      </w:r>
      <w:proofErr w:type="spellStart"/>
      <w:r w:rsidRPr="00DD4905">
        <w:rPr>
          <w:rFonts w:ascii="Arial" w:hAnsi="Arial" w:cs="Arial"/>
          <w:sz w:val="20"/>
          <w:lang w:val="it-CH"/>
        </w:rPr>
        <w:t>lett</w:t>
      </w:r>
      <w:proofErr w:type="spellEnd"/>
      <w:r w:rsidRPr="00DD4905">
        <w:rPr>
          <w:rFonts w:ascii="Arial" w:hAnsi="Arial" w:cs="Arial"/>
          <w:sz w:val="20"/>
          <w:lang w:val="it-CH"/>
        </w:rPr>
        <w:t xml:space="preserve">. D. n. II. pag. 18; </w:t>
      </w:r>
      <w:proofErr w:type="spellStart"/>
      <w:r w:rsidRPr="00DD4905">
        <w:rPr>
          <w:rFonts w:ascii="Arial" w:hAnsi="Arial" w:cs="Arial"/>
          <w:sz w:val="20"/>
          <w:lang w:val="it-CH"/>
        </w:rPr>
        <w:t>lett</w:t>
      </w:r>
      <w:proofErr w:type="spellEnd"/>
      <w:r w:rsidRPr="00DD4905">
        <w:rPr>
          <w:rFonts w:ascii="Arial" w:hAnsi="Arial" w:cs="Arial"/>
          <w:sz w:val="20"/>
          <w:lang w:val="it-CH"/>
        </w:rPr>
        <w:t>. D. III. pag. 19.</w:t>
      </w:r>
    </w:p>
  </w:footnote>
  <w:footnote w:id="20">
    <w:p w14:paraId="5242680E" w14:textId="77777777" w:rsidR="009A1C6D" w:rsidRPr="00DD4905" w:rsidRDefault="009A1C6D" w:rsidP="009A1C6D">
      <w:pPr>
        <w:pStyle w:val="Testonotaapidipagina"/>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V.: rapporto parziale 7714 R del 1° marzo 2021, </w:t>
      </w:r>
      <w:proofErr w:type="spellStart"/>
      <w:r w:rsidRPr="00DD4905">
        <w:rPr>
          <w:rFonts w:ascii="Arial" w:hAnsi="Arial" w:cs="Arial"/>
          <w:sz w:val="20"/>
          <w:lang w:val="it-CH"/>
        </w:rPr>
        <w:t>lett</w:t>
      </w:r>
      <w:proofErr w:type="spellEnd"/>
      <w:r w:rsidRPr="00DD4905">
        <w:rPr>
          <w:rFonts w:ascii="Arial" w:hAnsi="Arial" w:cs="Arial"/>
          <w:sz w:val="20"/>
          <w:lang w:val="it-CH"/>
        </w:rPr>
        <w:t xml:space="preserve">. </w:t>
      </w:r>
      <w:r w:rsidRPr="00887241">
        <w:rPr>
          <w:rFonts w:ascii="Arial" w:hAnsi="Arial" w:cs="Arial"/>
          <w:sz w:val="20"/>
          <w:lang w:val="it-CH"/>
        </w:rPr>
        <w:t>D. I. pagg. 16 e 17.</w:t>
      </w:r>
    </w:p>
  </w:footnote>
  <w:footnote w:id="21">
    <w:p w14:paraId="589EC890" w14:textId="5E9180EE" w:rsidR="009A1C6D" w:rsidRPr="00DD4905" w:rsidRDefault="009A1C6D" w:rsidP="009A1C6D">
      <w:pPr>
        <w:pStyle w:val="Testonotaapidipagina"/>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w:t>
      </w:r>
      <w:r w:rsidR="00C30F53" w:rsidRPr="00DD4905">
        <w:rPr>
          <w:rFonts w:ascii="Arial" w:hAnsi="Arial" w:cs="Arial"/>
          <w:sz w:val="20"/>
          <w:lang w:val="it-CH"/>
        </w:rPr>
        <w:t>R</w:t>
      </w:r>
      <w:r w:rsidRPr="00DD4905">
        <w:rPr>
          <w:rFonts w:ascii="Arial" w:hAnsi="Arial" w:cs="Arial"/>
          <w:sz w:val="20"/>
          <w:lang w:val="it-CH"/>
        </w:rPr>
        <w:t>apporto della Commissione giustizia e diritti sulla risoluzione 30 novembre 2020 presentata dalla Commissione della giustizia e diritti e approvata dal Gran Consiglio il 14 dicembre 2020 concernente la Procedura di elezione dei magistrati del 30 gennaio 2023.</w:t>
      </w:r>
    </w:p>
  </w:footnote>
  <w:footnote w:id="22">
    <w:p w14:paraId="5E81103B" w14:textId="77777777" w:rsidR="009A1C6D" w:rsidRPr="00DD4905" w:rsidRDefault="009A1C6D" w:rsidP="009A1C6D">
      <w:pPr>
        <w:pStyle w:val="Testonotaapidipagina"/>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V.: rapporto parziale 7714 R del 1° marzo 2021, </w:t>
      </w:r>
      <w:proofErr w:type="spellStart"/>
      <w:r w:rsidRPr="00DD4905">
        <w:rPr>
          <w:rFonts w:ascii="Arial" w:hAnsi="Arial" w:cs="Arial"/>
          <w:sz w:val="20"/>
          <w:lang w:val="it-CH"/>
        </w:rPr>
        <w:t>lett</w:t>
      </w:r>
      <w:proofErr w:type="spellEnd"/>
      <w:r w:rsidRPr="00DD4905">
        <w:rPr>
          <w:rFonts w:ascii="Arial" w:hAnsi="Arial" w:cs="Arial"/>
          <w:sz w:val="20"/>
          <w:lang w:val="it-CH"/>
        </w:rPr>
        <w:t xml:space="preserve">. </w:t>
      </w:r>
      <w:r w:rsidRPr="00887241">
        <w:rPr>
          <w:rFonts w:ascii="Arial" w:hAnsi="Arial" w:cs="Arial"/>
          <w:sz w:val="20"/>
          <w:lang w:val="it-CH"/>
        </w:rPr>
        <w:t>D. I. pag. 18.</w:t>
      </w:r>
    </w:p>
  </w:footnote>
  <w:footnote w:id="23">
    <w:p w14:paraId="1858920F" w14:textId="77777777" w:rsidR="009A1C6D" w:rsidRPr="009A6135" w:rsidRDefault="009A1C6D" w:rsidP="009A1C6D">
      <w:pPr>
        <w:pStyle w:val="Testonotaapidipagina"/>
        <w:rPr>
          <w:rFonts w:ascii="Arial" w:hAnsi="Arial" w:cs="Arial"/>
          <w:lang w:val="it-CH"/>
        </w:rPr>
      </w:pPr>
      <w:r w:rsidRPr="00DD4905">
        <w:rPr>
          <w:rStyle w:val="Rimandonotaapidipagina"/>
          <w:rFonts w:ascii="Arial" w:hAnsi="Arial" w:cs="Arial"/>
          <w:sz w:val="20"/>
        </w:rPr>
        <w:footnoteRef/>
      </w:r>
      <w:r w:rsidRPr="00DD4905">
        <w:rPr>
          <w:rFonts w:ascii="Arial" w:hAnsi="Arial" w:cs="Arial"/>
          <w:sz w:val="20"/>
          <w:lang w:val="it-CH"/>
        </w:rPr>
        <w:t xml:space="preserve"> STF 4A_512/2007 del 13 maggio 2008 </w:t>
      </w:r>
      <w:proofErr w:type="spellStart"/>
      <w:r w:rsidRPr="00DD4905">
        <w:rPr>
          <w:rFonts w:ascii="Arial" w:hAnsi="Arial" w:cs="Arial"/>
          <w:sz w:val="20"/>
          <w:lang w:val="it-CH"/>
        </w:rPr>
        <w:t>consid</w:t>
      </w:r>
      <w:proofErr w:type="spellEnd"/>
      <w:r w:rsidRPr="00DD4905">
        <w:rPr>
          <w:rFonts w:ascii="Arial" w:hAnsi="Arial" w:cs="Arial"/>
          <w:sz w:val="20"/>
          <w:lang w:val="it-CH"/>
        </w:rPr>
        <w:t>. 5.5.4.</w:t>
      </w:r>
    </w:p>
  </w:footnote>
  <w:footnote w:id="24">
    <w:p w14:paraId="18E80F23" w14:textId="77777777" w:rsidR="009A1C6D" w:rsidRPr="00DD4905" w:rsidRDefault="009A1C6D" w:rsidP="00DD4905">
      <w:pPr>
        <w:pStyle w:val="Testonotaapidipagina"/>
        <w:spacing w:after="0"/>
        <w:rPr>
          <w:rFonts w:ascii="Arial" w:hAnsi="Arial" w:cs="Arial"/>
          <w:sz w:val="20"/>
          <w:lang w:val="en-US"/>
        </w:rPr>
      </w:pPr>
      <w:r w:rsidRPr="00DD4905">
        <w:rPr>
          <w:rStyle w:val="Rimandonotaapidipagina"/>
          <w:rFonts w:ascii="Arial" w:hAnsi="Arial" w:cs="Arial"/>
          <w:sz w:val="20"/>
        </w:rPr>
        <w:footnoteRef/>
      </w:r>
      <w:r w:rsidRPr="00DD4905">
        <w:rPr>
          <w:rFonts w:ascii="Arial" w:hAnsi="Arial" w:cs="Arial"/>
          <w:sz w:val="20"/>
          <w:lang w:val="it-CH"/>
        </w:rPr>
        <w:t xml:space="preserve"> STF 4A_512/2007 del 13 maggio 2008 </w:t>
      </w:r>
      <w:proofErr w:type="spellStart"/>
      <w:r w:rsidRPr="00DD4905">
        <w:rPr>
          <w:rFonts w:ascii="Arial" w:hAnsi="Arial" w:cs="Arial"/>
          <w:sz w:val="20"/>
          <w:lang w:val="it-CH"/>
        </w:rPr>
        <w:t>consid</w:t>
      </w:r>
      <w:proofErr w:type="spellEnd"/>
      <w:r w:rsidRPr="00DD4905">
        <w:rPr>
          <w:rFonts w:ascii="Arial" w:hAnsi="Arial" w:cs="Arial"/>
          <w:sz w:val="20"/>
          <w:lang w:val="it-CH"/>
        </w:rPr>
        <w:t xml:space="preserve">. </w:t>
      </w:r>
      <w:r w:rsidRPr="00DD4905">
        <w:rPr>
          <w:rFonts w:ascii="Arial" w:hAnsi="Arial" w:cs="Arial"/>
          <w:sz w:val="20"/>
          <w:lang w:val="en-US"/>
        </w:rPr>
        <w:t>5.5.1.</w:t>
      </w:r>
    </w:p>
  </w:footnote>
  <w:footnote w:id="25">
    <w:p w14:paraId="19996259" w14:textId="77777777" w:rsidR="009A1C6D" w:rsidRPr="00DD4905" w:rsidRDefault="009A1C6D" w:rsidP="00DD4905">
      <w:pPr>
        <w:pStyle w:val="Testonotaapidipagina"/>
        <w:spacing w:after="0"/>
        <w:rPr>
          <w:rFonts w:ascii="Arial" w:hAnsi="Arial" w:cs="Arial"/>
          <w:sz w:val="20"/>
          <w:lang w:val="en-US"/>
        </w:rPr>
      </w:pPr>
      <w:r w:rsidRPr="00DD4905">
        <w:rPr>
          <w:rStyle w:val="Rimandonotaapidipagina"/>
          <w:rFonts w:ascii="Arial" w:hAnsi="Arial" w:cs="Arial"/>
          <w:sz w:val="20"/>
        </w:rPr>
        <w:footnoteRef/>
      </w:r>
      <w:r w:rsidRPr="00DD4905">
        <w:rPr>
          <w:rFonts w:ascii="Arial" w:hAnsi="Arial" w:cs="Arial"/>
          <w:sz w:val="20"/>
          <w:lang w:val="en-US"/>
        </w:rPr>
        <w:t xml:space="preserve"> Art. </w:t>
      </w:r>
      <w:proofErr w:type="gramStart"/>
      <w:r w:rsidRPr="00DD4905">
        <w:rPr>
          <w:rFonts w:ascii="Arial" w:hAnsi="Arial" w:cs="Arial"/>
          <w:sz w:val="20"/>
          <w:lang w:val="en-US"/>
        </w:rPr>
        <w:t>6</w:t>
      </w:r>
      <w:proofErr w:type="gramEnd"/>
      <w:r w:rsidRPr="00DD4905">
        <w:rPr>
          <w:rFonts w:ascii="Arial" w:hAnsi="Arial" w:cs="Arial"/>
          <w:sz w:val="20"/>
          <w:lang w:val="en-US"/>
        </w:rPr>
        <w:t xml:space="preserve"> </w:t>
      </w:r>
      <w:proofErr w:type="spellStart"/>
      <w:r w:rsidRPr="00DD4905">
        <w:rPr>
          <w:rFonts w:ascii="Arial" w:hAnsi="Arial" w:cs="Arial"/>
          <w:sz w:val="20"/>
          <w:lang w:val="en-US"/>
        </w:rPr>
        <w:t>cpv</w:t>
      </w:r>
      <w:proofErr w:type="spellEnd"/>
      <w:r w:rsidRPr="00DD4905">
        <w:rPr>
          <w:rFonts w:ascii="Arial" w:hAnsi="Arial" w:cs="Arial"/>
          <w:sz w:val="20"/>
          <w:lang w:val="en-US"/>
        </w:rPr>
        <w:t xml:space="preserve">. </w:t>
      </w:r>
      <w:proofErr w:type="gramStart"/>
      <w:r w:rsidRPr="00DD4905">
        <w:rPr>
          <w:rFonts w:ascii="Arial" w:hAnsi="Arial" w:cs="Arial"/>
          <w:sz w:val="20"/>
          <w:lang w:val="en-US"/>
        </w:rPr>
        <w:t>1</w:t>
      </w:r>
      <w:proofErr w:type="gramEnd"/>
      <w:r w:rsidRPr="00DD4905">
        <w:rPr>
          <w:rFonts w:ascii="Arial" w:hAnsi="Arial" w:cs="Arial"/>
          <w:sz w:val="20"/>
          <w:lang w:val="en-US"/>
        </w:rPr>
        <w:t xml:space="preserve"> CPP.</w:t>
      </w:r>
    </w:p>
  </w:footnote>
  <w:footnote w:id="26">
    <w:p w14:paraId="2C5E9F63" w14:textId="77777777" w:rsidR="009A1C6D" w:rsidRPr="00875CCA" w:rsidRDefault="009A1C6D" w:rsidP="00DD4905">
      <w:pPr>
        <w:pStyle w:val="Testonotaapidipagina"/>
        <w:spacing w:after="0"/>
        <w:rPr>
          <w:rFonts w:ascii="Arial" w:hAnsi="Arial" w:cs="Arial"/>
          <w:lang w:val="en-US"/>
        </w:rPr>
      </w:pPr>
      <w:r w:rsidRPr="00DD4905">
        <w:rPr>
          <w:rStyle w:val="Rimandonotaapidipagina"/>
          <w:rFonts w:ascii="Arial" w:hAnsi="Arial" w:cs="Arial"/>
          <w:sz w:val="20"/>
        </w:rPr>
        <w:footnoteRef/>
      </w:r>
      <w:r w:rsidRPr="00DD4905">
        <w:rPr>
          <w:rFonts w:ascii="Arial" w:hAnsi="Arial" w:cs="Arial"/>
          <w:sz w:val="20"/>
          <w:lang w:val="en-US"/>
        </w:rPr>
        <w:t xml:space="preserve"> Art. </w:t>
      </w:r>
      <w:proofErr w:type="gramStart"/>
      <w:r w:rsidRPr="00DD4905">
        <w:rPr>
          <w:rFonts w:ascii="Arial" w:hAnsi="Arial" w:cs="Arial"/>
          <w:sz w:val="20"/>
          <w:lang w:val="en-US"/>
        </w:rPr>
        <w:t>16</w:t>
      </w:r>
      <w:proofErr w:type="gramEnd"/>
      <w:r w:rsidRPr="00DD4905">
        <w:rPr>
          <w:rFonts w:ascii="Arial" w:hAnsi="Arial" w:cs="Arial"/>
          <w:sz w:val="20"/>
          <w:lang w:val="en-US"/>
        </w:rPr>
        <w:t xml:space="preserve"> </w:t>
      </w:r>
      <w:proofErr w:type="spellStart"/>
      <w:r w:rsidRPr="00DD4905">
        <w:rPr>
          <w:rFonts w:ascii="Arial" w:hAnsi="Arial" w:cs="Arial"/>
          <w:sz w:val="20"/>
          <w:lang w:val="en-US"/>
        </w:rPr>
        <w:t>cpv</w:t>
      </w:r>
      <w:proofErr w:type="spellEnd"/>
      <w:r w:rsidRPr="00DD4905">
        <w:rPr>
          <w:rFonts w:ascii="Arial" w:hAnsi="Arial" w:cs="Arial"/>
          <w:sz w:val="20"/>
          <w:lang w:val="en-US"/>
        </w:rPr>
        <w:t xml:space="preserve">. </w:t>
      </w:r>
      <w:proofErr w:type="gramStart"/>
      <w:r w:rsidRPr="00DD4905">
        <w:rPr>
          <w:rFonts w:ascii="Arial" w:hAnsi="Arial" w:cs="Arial"/>
          <w:sz w:val="20"/>
          <w:lang w:val="en-US"/>
        </w:rPr>
        <w:t>1</w:t>
      </w:r>
      <w:proofErr w:type="gramEnd"/>
      <w:r w:rsidRPr="00DD4905">
        <w:rPr>
          <w:rFonts w:ascii="Arial" w:hAnsi="Arial" w:cs="Arial"/>
          <w:sz w:val="20"/>
          <w:lang w:val="en-US"/>
        </w:rPr>
        <w:t xml:space="preserve"> CPP.</w:t>
      </w:r>
    </w:p>
  </w:footnote>
  <w:footnote w:id="27">
    <w:p w14:paraId="45157580" w14:textId="77777777" w:rsidR="009A1C6D" w:rsidRPr="00DD4905" w:rsidRDefault="009A1C6D" w:rsidP="00DD4905">
      <w:pPr>
        <w:pStyle w:val="Testonotaapidipagina"/>
        <w:spacing w:after="0"/>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V.: </w:t>
      </w:r>
      <w:proofErr w:type="spellStart"/>
      <w:r w:rsidRPr="00DD4905">
        <w:rPr>
          <w:rFonts w:ascii="Arial" w:hAnsi="Arial" w:cs="Arial"/>
          <w:i/>
          <w:iCs/>
          <w:sz w:val="20"/>
          <w:lang w:val="it-CH"/>
        </w:rPr>
        <w:t>supra</w:t>
      </w:r>
      <w:proofErr w:type="spellEnd"/>
      <w:r w:rsidRPr="00DD4905">
        <w:rPr>
          <w:rFonts w:ascii="Arial" w:hAnsi="Arial" w:cs="Arial"/>
          <w:sz w:val="20"/>
          <w:lang w:val="it-CH"/>
        </w:rPr>
        <w:t xml:space="preserve"> </w:t>
      </w:r>
      <w:proofErr w:type="spellStart"/>
      <w:r w:rsidRPr="00DD4905">
        <w:rPr>
          <w:rFonts w:ascii="Arial" w:hAnsi="Arial" w:cs="Arial"/>
          <w:sz w:val="20"/>
          <w:lang w:val="it-CH"/>
        </w:rPr>
        <w:t>lett</w:t>
      </w:r>
      <w:proofErr w:type="spellEnd"/>
      <w:r w:rsidRPr="00DD4905">
        <w:rPr>
          <w:rFonts w:ascii="Arial" w:hAnsi="Arial" w:cs="Arial"/>
          <w:sz w:val="20"/>
          <w:lang w:val="it-CH"/>
        </w:rPr>
        <w:t>. A. n. II. 3..</w:t>
      </w:r>
    </w:p>
  </w:footnote>
  <w:footnote w:id="28">
    <w:p w14:paraId="634995DA" w14:textId="77777777" w:rsidR="009A1C6D" w:rsidRPr="00DD4905" w:rsidRDefault="009A1C6D" w:rsidP="00DD4905">
      <w:pPr>
        <w:pStyle w:val="Testonotaapidipagina"/>
        <w:spacing w:after="0"/>
        <w:rPr>
          <w:rFonts w:ascii="Arial" w:hAnsi="Arial" w:cs="Arial"/>
          <w:sz w:val="20"/>
          <w:lang w:val="en-US"/>
        </w:rPr>
      </w:pPr>
      <w:r w:rsidRPr="00DD4905">
        <w:rPr>
          <w:rStyle w:val="Rimandonotaapidipagina"/>
          <w:rFonts w:ascii="Arial" w:hAnsi="Arial" w:cs="Arial"/>
          <w:sz w:val="20"/>
        </w:rPr>
        <w:footnoteRef/>
      </w:r>
      <w:r w:rsidRPr="00DD4905">
        <w:rPr>
          <w:rFonts w:ascii="Arial" w:hAnsi="Arial" w:cs="Arial"/>
          <w:sz w:val="20"/>
          <w:lang w:val="en-US"/>
        </w:rPr>
        <w:t xml:space="preserve"> V.: CR CPP-</w:t>
      </w:r>
      <w:proofErr w:type="spellStart"/>
      <w:r w:rsidRPr="00DD4905">
        <w:rPr>
          <w:rFonts w:ascii="Arial" w:hAnsi="Arial" w:cs="Arial"/>
          <w:smallCaps/>
          <w:sz w:val="20"/>
          <w:lang w:val="en-US"/>
        </w:rPr>
        <w:t>Grodecky</w:t>
      </w:r>
      <w:proofErr w:type="spellEnd"/>
      <w:r w:rsidRPr="00DD4905">
        <w:rPr>
          <w:rFonts w:ascii="Arial" w:hAnsi="Arial" w:cs="Arial"/>
          <w:smallCaps/>
          <w:sz w:val="20"/>
          <w:lang w:val="en-US"/>
        </w:rPr>
        <w:t>/</w:t>
      </w:r>
      <w:proofErr w:type="spellStart"/>
      <w:r w:rsidRPr="00DD4905">
        <w:rPr>
          <w:rFonts w:ascii="Arial" w:hAnsi="Arial" w:cs="Arial"/>
          <w:smallCaps/>
          <w:sz w:val="20"/>
          <w:lang w:val="en-US"/>
        </w:rPr>
        <w:t>Cornu</w:t>
      </w:r>
      <w:proofErr w:type="spellEnd"/>
      <w:r w:rsidRPr="00DD4905">
        <w:rPr>
          <w:rFonts w:ascii="Arial" w:hAnsi="Arial" w:cs="Arial"/>
          <w:sz w:val="20"/>
          <w:lang w:val="en-US"/>
        </w:rPr>
        <w:t xml:space="preserve">, art. </w:t>
      </w:r>
      <w:proofErr w:type="gramStart"/>
      <w:r w:rsidRPr="00DD4905">
        <w:rPr>
          <w:rFonts w:ascii="Arial" w:hAnsi="Arial" w:cs="Arial"/>
          <w:sz w:val="20"/>
          <w:lang w:val="en-US"/>
        </w:rPr>
        <w:t>311</w:t>
      </w:r>
      <w:proofErr w:type="gramEnd"/>
      <w:r w:rsidRPr="00DD4905">
        <w:rPr>
          <w:rFonts w:ascii="Arial" w:hAnsi="Arial" w:cs="Arial"/>
          <w:sz w:val="20"/>
          <w:lang w:val="en-US"/>
        </w:rPr>
        <w:t xml:space="preserve"> N. 11a.</w:t>
      </w:r>
    </w:p>
  </w:footnote>
  <w:footnote w:id="29">
    <w:p w14:paraId="1906AAAF" w14:textId="77777777" w:rsidR="009A1C6D" w:rsidRPr="00DD4905" w:rsidRDefault="009A1C6D" w:rsidP="00DD4905">
      <w:pPr>
        <w:pStyle w:val="Testonotaapidipagina"/>
        <w:spacing w:after="0"/>
        <w:rPr>
          <w:rFonts w:ascii="Arial" w:hAnsi="Arial" w:cs="Arial"/>
          <w:sz w:val="20"/>
          <w:lang w:val="it-CH"/>
        </w:rPr>
      </w:pPr>
      <w:r w:rsidRPr="00DD4905">
        <w:rPr>
          <w:rStyle w:val="Rimandonotaapidipagina"/>
          <w:rFonts w:ascii="Arial" w:hAnsi="Arial" w:cs="Arial"/>
          <w:sz w:val="20"/>
        </w:rPr>
        <w:footnoteRef/>
      </w:r>
      <w:r w:rsidRPr="00DD4905">
        <w:rPr>
          <w:rFonts w:ascii="Arial" w:hAnsi="Arial" w:cs="Arial"/>
          <w:sz w:val="20"/>
          <w:lang w:val="it-CH"/>
        </w:rPr>
        <w:t xml:space="preserve"> CR CPP-</w:t>
      </w:r>
      <w:proofErr w:type="spellStart"/>
      <w:r w:rsidRPr="00DD4905">
        <w:rPr>
          <w:rFonts w:ascii="Arial" w:hAnsi="Arial" w:cs="Arial"/>
          <w:smallCaps/>
          <w:sz w:val="20"/>
          <w:lang w:val="it-CH"/>
        </w:rPr>
        <w:t>Grodecky</w:t>
      </w:r>
      <w:proofErr w:type="spellEnd"/>
      <w:r w:rsidRPr="00DD4905">
        <w:rPr>
          <w:rFonts w:ascii="Arial" w:hAnsi="Arial" w:cs="Arial"/>
          <w:smallCaps/>
          <w:sz w:val="20"/>
          <w:lang w:val="it-CH"/>
        </w:rPr>
        <w:t>/</w:t>
      </w:r>
      <w:proofErr w:type="spellStart"/>
      <w:r w:rsidRPr="00DD4905">
        <w:rPr>
          <w:rFonts w:ascii="Arial" w:hAnsi="Arial" w:cs="Arial"/>
          <w:smallCaps/>
          <w:sz w:val="20"/>
          <w:lang w:val="it-CH"/>
        </w:rPr>
        <w:t>Cornu</w:t>
      </w:r>
      <w:proofErr w:type="spellEnd"/>
      <w:r w:rsidRPr="00DD4905">
        <w:rPr>
          <w:rFonts w:ascii="Arial" w:hAnsi="Arial" w:cs="Arial"/>
          <w:sz w:val="20"/>
          <w:lang w:val="it-CH"/>
        </w:rPr>
        <w:t>, art. 311 NN. 3 e 6, con rinvii.</w:t>
      </w:r>
    </w:p>
  </w:footnote>
  <w:footnote w:id="30">
    <w:p w14:paraId="2FCEB0ED" w14:textId="0F0C061A" w:rsidR="009A1C6D" w:rsidRPr="00BE374D" w:rsidRDefault="009A1C6D" w:rsidP="00DD4905">
      <w:pPr>
        <w:pStyle w:val="Testonotaapidipagina"/>
        <w:spacing w:after="0"/>
        <w:rPr>
          <w:rFonts w:ascii="Arial" w:hAnsi="Arial" w:cs="Arial"/>
          <w:lang w:val="en-US"/>
        </w:rPr>
      </w:pPr>
      <w:r w:rsidRPr="00DD4905">
        <w:rPr>
          <w:rStyle w:val="Rimandonotaapidipagina"/>
          <w:rFonts w:ascii="Arial" w:hAnsi="Arial" w:cs="Arial"/>
          <w:sz w:val="20"/>
        </w:rPr>
        <w:footnoteRef/>
      </w:r>
      <w:r w:rsidRPr="00DD4905">
        <w:rPr>
          <w:rFonts w:ascii="Arial" w:hAnsi="Arial" w:cs="Arial"/>
          <w:sz w:val="20"/>
          <w:lang w:val="it-CH"/>
        </w:rPr>
        <w:t xml:space="preserve"> V.: </w:t>
      </w:r>
      <w:proofErr w:type="spellStart"/>
      <w:r w:rsidRPr="00DD4905">
        <w:rPr>
          <w:rFonts w:ascii="Arial" w:hAnsi="Arial" w:cs="Arial"/>
          <w:i/>
          <w:iCs/>
          <w:sz w:val="20"/>
          <w:lang w:val="it-CH"/>
        </w:rPr>
        <w:t>supra</w:t>
      </w:r>
      <w:proofErr w:type="spellEnd"/>
      <w:r w:rsidR="00DE076B" w:rsidRPr="00DD4905">
        <w:rPr>
          <w:rFonts w:ascii="Arial" w:hAnsi="Arial" w:cs="Arial"/>
          <w:sz w:val="20"/>
          <w:lang w:val="it-CH"/>
        </w:rPr>
        <w:t>.</w:t>
      </w:r>
      <w:r w:rsidR="00C30F53" w:rsidRPr="00DD4905">
        <w:rPr>
          <w:rFonts w:ascii="Arial" w:hAnsi="Arial" w:cs="Arial"/>
          <w:sz w:val="20"/>
          <w:lang w:val="it-CH"/>
        </w:rPr>
        <w:t xml:space="preserve"> </w:t>
      </w:r>
      <w:proofErr w:type="spellStart"/>
      <w:r w:rsidR="00DE076B" w:rsidRPr="00DD4905">
        <w:rPr>
          <w:rFonts w:ascii="Arial" w:hAnsi="Arial" w:cs="Arial"/>
          <w:sz w:val="20"/>
          <w:lang w:val="it-CH"/>
        </w:rPr>
        <w:t>lett</w:t>
      </w:r>
      <w:proofErr w:type="spellEnd"/>
      <w:r w:rsidR="00DE076B" w:rsidRPr="00DD4905">
        <w:rPr>
          <w:rFonts w:ascii="Arial" w:hAnsi="Arial" w:cs="Arial"/>
          <w:sz w:val="20"/>
          <w:lang w:val="it-CH"/>
        </w:rPr>
        <w:t>. A. n. II.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7E3E" w14:textId="77777777" w:rsidR="00BC4C2E" w:rsidRDefault="00BC4C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0762CEE9" w14:textId="77777777" w:rsidTr="006B682A">
      <w:trPr>
        <w:trHeight w:val="562"/>
      </w:trPr>
      <w:tc>
        <w:tcPr>
          <w:tcW w:w="8383" w:type="dxa"/>
          <w:tcBorders>
            <w:left w:val="single" w:sz="4" w:space="0" w:color="auto"/>
            <w:bottom w:val="single" w:sz="4" w:space="0" w:color="auto"/>
          </w:tcBorders>
          <w:tcMar>
            <w:left w:w="142" w:type="dxa"/>
          </w:tcMar>
          <w:vAlign w:val="bottom"/>
        </w:tcPr>
        <w:p w14:paraId="16708CA8" w14:textId="77777777" w:rsidR="0072005F" w:rsidRDefault="003C7399"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6D66169-C347-4762-BE9D-3D5B05FA0949}"/>
              <w:text w:multiLine="1"/>
            </w:sdtPr>
            <w:sdtEndPr/>
            <w:sdtContent>
              <w:r w:rsidR="002A41D9">
                <w:rPr>
                  <w:rFonts w:ascii="Gill Alt One MT Light" w:hAnsi="Gill Alt One MT Light"/>
                  <w:sz w:val="16"/>
                  <w:szCs w:val="16"/>
                </w:rPr>
                <w:t>Repubblica e Cantone Ticino</w:t>
              </w:r>
            </w:sdtContent>
          </w:sdt>
        </w:p>
        <w:p w14:paraId="76D0BE01" w14:textId="77777777" w:rsidR="0072005F" w:rsidRPr="00E8185F" w:rsidRDefault="003C7399"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6D66169-C347-4762-BE9D-3D5B05FA0949}"/>
              <w:text w:multiLine="1"/>
            </w:sdtPr>
            <w:sdtEndPr/>
            <w:sdtContent>
              <w:r w:rsidR="008A298A">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14:paraId="41161650" w14:textId="5CB23C5A" w:rsidR="0072005F" w:rsidRPr="00BC4C2E" w:rsidRDefault="002A41D9" w:rsidP="00662409">
          <w:pPr>
            <w:pStyle w:val="Page"/>
            <w:jc w:val="right"/>
            <w:rPr>
              <w:rFonts w:asciiTheme="minorHAnsi" w:hAnsiTheme="minorHAnsi" w:cstheme="minorHAnsi"/>
              <w:sz w:val="24"/>
            </w:rPr>
          </w:pPr>
          <w:r w:rsidRPr="00BC4C2E">
            <w:rPr>
              <w:rFonts w:asciiTheme="minorHAnsi" w:hAnsiTheme="minorHAnsi" w:cstheme="minorHAnsi"/>
              <w:sz w:val="24"/>
            </w:rPr>
            <w:fldChar w:fldCharType="begin"/>
          </w:r>
          <w:r w:rsidRPr="00BC4C2E">
            <w:rPr>
              <w:rFonts w:asciiTheme="minorHAnsi" w:hAnsiTheme="minorHAnsi" w:cstheme="minorHAnsi"/>
              <w:sz w:val="24"/>
            </w:rPr>
            <w:instrText xml:space="preserve"> PAGE   \* MERGEFORMAT </w:instrText>
          </w:r>
          <w:r w:rsidRPr="00BC4C2E">
            <w:rPr>
              <w:rFonts w:asciiTheme="minorHAnsi" w:hAnsiTheme="minorHAnsi" w:cstheme="minorHAnsi"/>
              <w:sz w:val="24"/>
            </w:rPr>
            <w:fldChar w:fldCharType="separate"/>
          </w:r>
          <w:r w:rsidR="0074064C">
            <w:rPr>
              <w:rFonts w:asciiTheme="minorHAnsi" w:hAnsiTheme="minorHAnsi" w:cstheme="minorHAnsi"/>
              <w:noProof/>
              <w:sz w:val="24"/>
            </w:rPr>
            <w:t>10</w:t>
          </w:r>
          <w:r w:rsidRPr="00BC4C2E">
            <w:rPr>
              <w:rFonts w:asciiTheme="minorHAnsi" w:hAnsiTheme="minorHAnsi" w:cstheme="minorHAnsi"/>
              <w:sz w:val="24"/>
            </w:rPr>
            <w:fldChar w:fldCharType="end"/>
          </w:r>
          <w:r w:rsidRPr="00BC4C2E">
            <w:rPr>
              <w:rFonts w:asciiTheme="minorHAnsi" w:hAnsiTheme="minorHAnsi" w:cstheme="minorHAnsi"/>
              <w:sz w:val="24"/>
            </w:rPr>
            <w:t xml:space="preserve"> di </w:t>
          </w:r>
          <w:r w:rsidRPr="00BC4C2E">
            <w:rPr>
              <w:rFonts w:asciiTheme="minorHAnsi" w:hAnsiTheme="minorHAnsi" w:cstheme="minorHAnsi"/>
              <w:sz w:val="24"/>
            </w:rPr>
            <w:fldChar w:fldCharType="begin"/>
          </w:r>
          <w:r w:rsidRPr="00BC4C2E">
            <w:rPr>
              <w:rFonts w:asciiTheme="minorHAnsi" w:hAnsiTheme="minorHAnsi" w:cstheme="minorHAnsi"/>
              <w:sz w:val="24"/>
            </w:rPr>
            <w:instrText xml:space="preserve"> NUMPAGES   \* MERGEFORMAT </w:instrText>
          </w:r>
          <w:r w:rsidRPr="00BC4C2E">
            <w:rPr>
              <w:rFonts w:asciiTheme="minorHAnsi" w:hAnsiTheme="minorHAnsi" w:cstheme="minorHAnsi"/>
              <w:sz w:val="24"/>
            </w:rPr>
            <w:fldChar w:fldCharType="separate"/>
          </w:r>
          <w:r w:rsidR="0074064C">
            <w:rPr>
              <w:rFonts w:asciiTheme="minorHAnsi" w:hAnsiTheme="minorHAnsi" w:cstheme="minorHAnsi"/>
              <w:noProof/>
              <w:sz w:val="24"/>
            </w:rPr>
            <w:t>10</w:t>
          </w:r>
          <w:r w:rsidRPr="00BC4C2E">
            <w:rPr>
              <w:rFonts w:asciiTheme="minorHAnsi" w:hAnsiTheme="minorHAnsi" w:cstheme="minorHAnsi"/>
              <w:noProof/>
              <w:sz w:val="24"/>
            </w:rPr>
            <w:fldChar w:fldCharType="end"/>
          </w:r>
        </w:p>
      </w:tc>
    </w:tr>
    <w:tr w:rsidR="005012EC" w:rsidRPr="009E444B" w14:paraId="77FBCBF6"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6D66169-C347-4762-BE9D-3D5B05FA0949}"/>
          <w:text w:multiLine="1"/>
        </w:sdtPr>
        <w:sdtEndPr/>
        <w:sdtContent>
          <w:tc>
            <w:tcPr>
              <w:tcW w:w="8383" w:type="dxa"/>
              <w:tcBorders>
                <w:left w:val="single" w:sz="4" w:space="0" w:color="auto"/>
              </w:tcBorders>
              <w:tcMar>
                <w:top w:w="0" w:type="dxa"/>
                <w:left w:w="142" w:type="dxa"/>
              </w:tcMar>
            </w:tcPr>
            <w:p w14:paraId="74A87DEF" w14:textId="684418CF" w:rsidR="0072005F" w:rsidRPr="00BC4C2E" w:rsidRDefault="00BC4C2E" w:rsidP="003047AB">
              <w:pPr>
                <w:pStyle w:val="Information"/>
                <w:rPr>
                  <w:rFonts w:ascii="Gill Sans Display MT Pro BdCn" w:hAnsi="Gill Sans Display MT Pro BdCn"/>
                  <w:sz w:val="18"/>
                  <w:szCs w:val="18"/>
                  <w:lang w:val="it-CH"/>
                </w:rPr>
              </w:pPr>
              <w:r>
                <w:rPr>
                  <w:rFonts w:ascii="Gill Sans Display MT Pro BdCn" w:hAnsi="Gill Sans Display MT Pro BdCn"/>
                  <w:sz w:val="18"/>
                  <w:szCs w:val="18"/>
                </w:rPr>
                <w:t xml:space="preserve">Rapporto parziale 2 n. 7714 R </w:t>
              </w:r>
              <w:proofErr w:type="spellStart"/>
              <w:r>
                <w:rPr>
                  <w:rFonts w:ascii="Gill Sans Display MT Pro BdCn" w:hAnsi="Gill Sans Display MT Pro BdCn"/>
                  <w:sz w:val="18"/>
                  <w:szCs w:val="18"/>
                </w:rPr>
                <w:t>parz</w:t>
              </w:r>
              <w:proofErr w:type="spellEnd"/>
              <w:r>
                <w:rPr>
                  <w:rFonts w:ascii="Gill Sans Display MT Pro BdCn" w:hAnsi="Gill Sans Display MT Pro BdCn"/>
                  <w:sz w:val="18"/>
                  <w:szCs w:val="18"/>
                </w:rPr>
                <w:t>. 2 del 26 febbraio 2024</w:t>
              </w:r>
            </w:p>
          </w:tc>
        </w:sdtContent>
      </w:sdt>
      <w:tc>
        <w:tcPr>
          <w:tcW w:w="1710" w:type="dxa"/>
          <w:tcBorders>
            <w:top w:val="single" w:sz="4" w:space="0" w:color="auto"/>
          </w:tcBorders>
        </w:tcPr>
        <w:p w14:paraId="7EF429FD" w14:textId="77777777" w:rsidR="0072005F" w:rsidRPr="00BC4C2E" w:rsidRDefault="0072005F" w:rsidP="00662409">
          <w:pPr>
            <w:pStyle w:val="InvisibleLine"/>
            <w:rPr>
              <w:lang w:val="it-CH"/>
            </w:rPr>
          </w:pPr>
        </w:p>
      </w:tc>
    </w:tr>
  </w:tbl>
  <w:p w14:paraId="11CCA2B7" w14:textId="77777777" w:rsidR="00F657BF" w:rsidRPr="00980362" w:rsidRDefault="002A41D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5219A4DA"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6D66169-C347-4762-BE9D-3D5B05FA0949}"/>
                            <w:text w:multiLine="1"/>
                          </w:sdtPr>
                          <w:sdtEndPr/>
                          <w:sdtContent>
                            <w:p w14:paraId="16EBEE5A" w14:textId="77777777" w:rsidR="0072005F" w:rsidRPr="00411371" w:rsidRDefault="002A41D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9A4DA"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D6D66169-C347-4762-BE9D-3D5B05FA0949}"/>
                      <w:text w:multiLine="1"/>
                    </w:sdtPr>
                    <w:sdtEndPr/>
                    <w:sdtContent>
                      <w:p w14:paraId="16EBEE5A" w14:textId="77777777" w:rsidR="0072005F" w:rsidRPr="00411371" w:rsidRDefault="002A41D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7AD2E642" w14:textId="77777777" w:rsidTr="00CD5F73">
      <w:trPr>
        <w:trHeight w:hRule="exact" w:val="584"/>
      </w:trPr>
      <w:tc>
        <w:tcPr>
          <w:tcW w:w="2440" w:type="pct"/>
          <w:gridSpan w:val="3"/>
          <w:tcBorders>
            <w:top w:val="nil"/>
            <w:left w:val="nil"/>
            <w:bottom w:val="single" w:sz="4" w:space="0" w:color="auto"/>
          </w:tcBorders>
        </w:tcPr>
        <w:p w14:paraId="1A87DCC0" w14:textId="77777777" w:rsidR="0072005F" w:rsidRDefault="0072005F" w:rsidP="00932E26">
          <w:pPr>
            <w:pStyle w:val="InvisibleLine"/>
            <w:spacing w:line="240" w:lineRule="auto"/>
            <w:ind w:left="15"/>
            <w:rPr>
              <w:rFonts w:ascii="Gill Alt One MT Light" w:hAnsi="Gill Alt One MT Light"/>
              <w:sz w:val="16"/>
              <w:lang w:val="it-CH"/>
            </w:rPr>
          </w:pPr>
        </w:p>
        <w:p w14:paraId="692C67C5" w14:textId="77777777" w:rsidR="0072005F" w:rsidRDefault="002A41D9"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14:paraId="6795EF58" w14:textId="77777777" w:rsidR="0072005F" w:rsidRPr="008966E7" w:rsidRDefault="0072005F"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14:paraId="7E0BE9B1" w14:textId="77777777" w:rsidR="0072005F" w:rsidRPr="003108C0" w:rsidRDefault="0072005F" w:rsidP="00D07D6E">
          <w:pPr>
            <w:pStyle w:val="Level"/>
            <w:ind w:left="150"/>
            <w:rPr>
              <w:sz w:val="16"/>
            </w:rPr>
          </w:pPr>
        </w:p>
      </w:tc>
      <w:tc>
        <w:tcPr>
          <w:tcW w:w="209" w:type="pct"/>
          <w:tcBorders>
            <w:top w:val="nil"/>
            <w:bottom w:val="single" w:sz="4" w:space="0" w:color="auto"/>
          </w:tcBorders>
        </w:tcPr>
        <w:p w14:paraId="2A112CA1" w14:textId="77777777" w:rsidR="0072005F" w:rsidRDefault="002A41D9" w:rsidP="00D07D6E">
          <w:pPr>
            <w:pStyle w:val="InvisibleLine"/>
            <w:ind w:left="150"/>
          </w:pPr>
          <w:r>
            <w:rPr>
              <w:noProof/>
              <w:lang w:val="it-CH" w:eastAsia="it-CH"/>
            </w:rPr>
            <w:drawing>
              <wp:anchor distT="0" distB="0" distL="114300" distR="114300" simplePos="0" relativeHeight="251667456" behindDoc="1" locked="1" layoutInCell="1" allowOverlap="1" wp14:anchorId="71805FC4" wp14:editId="226CACA6">
                <wp:simplePos x="0" y="0"/>
                <wp:positionH relativeFrom="column">
                  <wp:posOffset>-92710</wp:posOffset>
                </wp:positionH>
                <wp:positionV relativeFrom="page">
                  <wp:posOffset>-119380</wp:posOffset>
                </wp:positionV>
                <wp:extent cx="276653" cy="467995"/>
                <wp:effectExtent l="0" t="0" r="0" b="8255"/>
                <wp:wrapNone/>
                <wp:docPr id="6" name="ooImg_2722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6FE9E3BE" w14:textId="5FEF4E0A" w:rsidR="0072005F" w:rsidRPr="004204CB" w:rsidRDefault="002A41D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BE607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BE6079">
            <w:rPr>
              <w:rFonts w:asciiTheme="minorHAnsi" w:hAnsiTheme="minorHAnsi" w:cstheme="minorHAnsi"/>
              <w:noProof/>
              <w:sz w:val="24"/>
            </w:rPr>
            <w:t>10</w:t>
          </w:r>
          <w:r w:rsidRPr="004204CB">
            <w:rPr>
              <w:rFonts w:asciiTheme="minorHAnsi" w:hAnsiTheme="minorHAnsi" w:cstheme="minorHAnsi"/>
              <w:noProof/>
              <w:sz w:val="24"/>
            </w:rPr>
            <w:fldChar w:fldCharType="end"/>
          </w:r>
        </w:p>
      </w:tc>
    </w:tr>
    <w:tr w:rsidR="00912E34" w:rsidRPr="0004624C" w14:paraId="1384B8C6"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6D66169-C347-4762-BE9D-3D5B05FA0949}"/>
          <w:text w:multiLine="1"/>
        </w:sdtPr>
        <w:sdtEndPr/>
        <w:sdtContent>
          <w:tc>
            <w:tcPr>
              <w:tcW w:w="5000" w:type="pct"/>
              <w:gridSpan w:val="6"/>
              <w:tcBorders>
                <w:left w:val="nil"/>
                <w:right w:val="nil"/>
              </w:tcBorders>
              <w:noWrap/>
              <w:tcMar>
                <w:top w:w="0" w:type="dxa"/>
              </w:tcMar>
              <w:vAlign w:val="bottom"/>
            </w:tcPr>
            <w:p w14:paraId="07D86419" w14:textId="13109957" w:rsidR="0072005F" w:rsidRPr="008C03B5" w:rsidRDefault="00BC4C2E" w:rsidP="00DB7CD8">
              <w:pPr>
                <w:pStyle w:val="HeaderDecisione"/>
                <w:tabs>
                  <w:tab w:val="left" w:pos="1459"/>
                </w:tabs>
                <w:spacing w:line="640" w:lineRule="exact"/>
                <w:rPr>
                  <w:rFonts w:ascii="Gill Sans Display MT Pro BdCn" w:hAnsi="Gill Sans Display MT Pro BdCn"/>
                  <w:sz w:val="44"/>
                  <w:szCs w:val="44"/>
                </w:rPr>
              </w:pPr>
              <w:r>
                <w:rPr>
                  <w:rFonts w:ascii="Gill Sans Display MT Pro BdCn" w:hAnsi="Gill Sans Display MT Pro BdCn"/>
                  <w:sz w:val="44"/>
                  <w:szCs w:val="44"/>
                </w:rPr>
                <w:t>Rapporto parziale 2</w:t>
              </w:r>
            </w:p>
          </w:tc>
        </w:sdtContent>
      </w:sdt>
    </w:tr>
    <w:tr w:rsidR="008C03B5" w:rsidRPr="0004624C" w14:paraId="169CB82E" w14:textId="77777777" w:rsidTr="00B76ABD">
      <w:trPr>
        <w:trHeight w:hRule="exact" w:val="306"/>
      </w:trPr>
      <w:tc>
        <w:tcPr>
          <w:tcW w:w="670" w:type="pct"/>
          <w:tcBorders>
            <w:left w:val="nil"/>
            <w:bottom w:val="nil"/>
          </w:tcBorders>
          <w:noWrap/>
          <w:tcMar>
            <w:top w:w="57" w:type="dxa"/>
            <w:left w:w="142" w:type="dxa"/>
          </w:tcMar>
        </w:tcPr>
        <w:p w14:paraId="65B1456A" w14:textId="77777777" w:rsidR="0072005F" w:rsidRPr="00C7320A" w:rsidRDefault="002A41D9"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5CC0EA45" w14:textId="77777777" w:rsidR="0072005F" w:rsidRPr="00C7320A" w:rsidRDefault="0072005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6FE82F15" w14:textId="77777777" w:rsidR="0072005F" w:rsidRPr="00C7320A" w:rsidRDefault="002A41D9"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3963268D" w14:textId="77777777" w:rsidR="0072005F" w:rsidRPr="00C7320A" w:rsidRDefault="0072005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2BCAB4AF" w14:textId="77777777" w:rsidR="0072005F" w:rsidRPr="00C7320A" w:rsidRDefault="002A41D9" w:rsidP="002B0F22">
          <w:pPr>
            <w:pStyle w:val="Level"/>
            <w:spacing w:before="60"/>
            <w:rPr>
              <w:rFonts w:ascii="Gill Alt One MT Light" w:hAnsi="Gill Alt One MT Light"/>
              <w:sz w:val="16"/>
            </w:rPr>
          </w:pPr>
          <w:r>
            <w:rPr>
              <w:rFonts w:ascii="Gill Alt One MT Light" w:hAnsi="Gill Alt One MT Light"/>
              <w:sz w:val="16"/>
            </w:rPr>
            <w:t>competenza</w:t>
          </w:r>
        </w:p>
        <w:p w14:paraId="1A825FAA" w14:textId="77777777" w:rsidR="0072005F" w:rsidRPr="008C03B5" w:rsidRDefault="0072005F" w:rsidP="002B0F22">
          <w:pPr>
            <w:pStyle w:val="Level"/>
            <w:spacing w:before="60" w:line="240" w:lineRule="auto"/>
            <w:rPr>
              <w:rFonts w:ascii="Gill Alt One MT Light" w:hAnsi="Gill Alt One MT Light"/>
              <w:sz w:val="16"/>
            </w:rPr>
          </w:pPr>
        </w:p>
      </w:tc>
    </w:tr>
    <w:tr w:rsidR="008C03B5" w:rsidRPr="0004624C" w14:paraId="254180CC" w14:textId="77777777" w:rsidTr="008C03B5">
      <w:trPr>
        <w:trHeight w:hRule="exact" w:val="699"/>
      </w:trPr>
      <w:tc>
        <w:tcPr>
          <w:tcW w:w="670" w:type="pct"/>
          <w:tcBorders>
            <w:top w:val="nil"/>
            <w:left w:val="nil"/>
            <w:bottom w:val="single" w:sz="4" w:space="0" w:color="auto"/>
            <w:right w:val="nil"/>
          </w:tcBorders>
          <w:noWrap/>
          <w:tcMar>
            <w:top w:w="0" w:type="dxa"/>
          </w:tcMar>
        </w:tcPr>
        <w:p w14:paraId="155271C3" w14:textId="28B65BCC" w:rsidR="0072005F" w:rsidRPr="00BE22A2" w:rsidRDefault="003C7399" w:rsidP="00BC4C2E">
          <w:pPr>
            <w:pStyle w:val="InvisibleLine"/>
            <w:spacing w:line="280" w:lineRule="exact"/>
            <w:jc w:val="left"/>
            <w:rPr>
              <w:rFonts w:cstheme="minorHAnsi"/>
              <w:b/>
              <w:sz w:val="28"/>
              <w:szCs w:val="28"/>
            </w:rPr>
          </w:pPr>
          <w:sdt>
            <w:sdtPr>
              <w:rPr>
                <w:rFonts w:cstheme="minorHAnsi"/>
                <w:b/>
                <w:sz w:val="24"/>
                <w:szCs w:val="24"/>
              </w:rPr>
              <w:alias w:val="DocParam.Number"/>
              <w:id w:val="614175640"/>
              <w:dataBinding w:xpath="//Text[@id='DocParam.Number']" w:storeItemID="{D6D66169-C347-4762-BE9D-3D5B05FA0949}"/>
              <w:text w:multiLine="1"/>
            </w:sdtPr>
            <w:sdtEndPr/>
            <w:sdtContent>
              <w:r w:rsidR="00BC4C2E">
                <w:rPr>
                  <w:rFonts w:cstheme="minorHAnsi"/>
                  <w:b/>
                  <w:sz w:val="24"/>
                  <w:szCs w:val="24"/>
                </w:rPr>
                <w:t xml:space="preserve">7714 R </w:t>
              </w:r>
              <w:proofErr w:type="spellStart"/>
              <w:r w:rsidR="00BC4C2E">
                <w:rPr>
                  <w:rFonts w:cstheme="minorHAnsi"/>
                  <w:b/>
                  <w:sz w:val="24"/>
                  <w:szCs w:val="24"/>
                </w:rPr>
                <w:t>parz</w:t>
              </w:r>
              <w:proofErr w:type="spellEnd"/>
              <w:r w:rsidR="00BC4C2E">
                <w:rPr>
                  <w:rFonts w:cstheme="minorHAnsi"/>
                  <w:b/>
                  <w:sz w:val="24"/>
                  <w:szCs w:val="24"/>
                </w:rPr>
                <w:t>. 2</w:t>
              </w:r>
            </w:sdtContent>
          </w:sdt>
        </w:p>
      </w:tc>
      <w:sdt>
        <w:sdtPr>
          <w:rPr>
            <w:rFonts w:asciiTheme="minorHAnsi" w:hAnsiTheme="minorHAnsi" w:cstheme="minorHAnsi"/>
            <w:sz w:val="24"/>
          </w:rPr>
          <w:alias w:val="DocParam.Date"/>
          <w:id w:val="-464426178"/>
          <w:dataBinding w:xpath="//DateTime[@id='DocParam.Date']" w:storeItemID="{D6D66169-C347-4762-BE9D-3D5B05FA0949}"/>
          <w:date w:fullDate="2024-02-2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16E31065" w14:textId="2AAB6DF6" w:rsidR="0072005F" w:rsidRPr="00BC4C2E" w:rsidRDefault="00BC4C2E" w:rsidP="003047AB">
              <w:pPr>
                <w:pStyle w:val="Data"/>
                <w:rPr>
                  <w:rFonts w:asciiTheme="minorHAnsi" w:hAnsiTheme="minorHAnsi" w:cstheme="minorHAnsi"/>
                </w:rPr>
              </w:pPr>
              <w:r w:rsidRPr="00BC4C2E">
                <w:rPr>
                  <w:rFonts w:asciiTheme="minorHAnsi" w:hAnsiTheme="minorHAnsi" w:cstheme="minorHAnsi"/>
                  <w:sz w:val="24"/>
                  <w:lang w:val="it-CH"/>
                </w:rPr>
                <w:t>26 febbraio 2024</w:t>
              </w:r>
            </w:p>
          </w:tc>
        </w:sdtContent>
      </w:sdt>
      <w:tc>
        <w:tcPr>
          <w:tcW w:w="3218" w:type="pct"/>
          <w:gridSpan w:val="4"/>
          <w:tcBorders>
            <w:top w:val="nil"/>
            <w:left w:val="nil"/>
            <w:bottom w:val="nil"/>
            <w:right w:val="nil"/>
          </w:tcBorders>
        </w:tcPr>
        <w:p w14:paraId="1FF8C244" w14:textId="77777777" w:rsidR="0072005F" w:rsidRPr="00BE22A2" w:rsidRDefault="003C7399" w:rsidP="00A532F6">
          <w:pPr>
            <w:pStyle w:val="Data"/>
            <w:rPr>
              <w:rFonts w:asciiTheme="minorHAnsi" w:hAnsiTheme="minorHAnsi" w:cstheme="minorHAnsi"/>
              <w:sz w:val="23"/>
              <w:szCs w:val="23"/>
            </w:rPr>
          </w:pPr>
          <w:sdt>
            <w:sdtPr>
              <w:rPr>
                <w:rFonts w:asciiTheme="minorHAnsi" w:hAnsiTheme="minorHAnsi" w:cstheme="minorHAnsi"/>
                <w:smallCaps/>
                <w:sz w:val="24"/>
                <w:szCs w:val="24"/>
              </w:rPr>
              <w:alias w:val="CustomElements.Fields.Dipartimenti"/>
              <w:id w:val="-1138097914"/>
              <w:dataBinding w:xpath="//Text[@id='CustomElements.Fields.Dipartimenti']" w:storeItemID="{D6D66169-C347-4762-BE9D-3D5B05FA0949}"/>
              <w:text w:multiLine="1"/>
            </w:sdtPr>
            <w:sdtEndPr/>
            <w:sdtContent>
              <w:r w:rsidR="008A298A" w:rsidRPr="00BC4C2E">
                <w:rPr>
                  <w:rFonts w:asciiTheme="minorHAnsi" w:hAnsiTheme="minorHAnsi" w:cstheme="minorHAnsi"/>
                  <w:smallCaps/>
                  <w:sz w:val="24"/>
                  <w:szCs w:val="24"/>
                </w:rPr>
                <w:t>Dipartimento delle istituzioni</w:t>
              </w:r>
            </w:sdtContent>
          </w:sdt>
        </w:p>
      </w:tc>
    </w:tr>
    <w:tr w:rsidR="00912E34" w:rsidRPr="00C63927" w14:paraId="06148E7B"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5CF6E0A2" w14:textId="77777777" w:rsidR="0072005F" w:rsidRPr="00C7320A" w:rsidRDefault="0072005F" w:rsidP="00D07D6E">
          <w:pPr>
            <w:pStyle w:val="Level"/>
            <w:ind w:left="150"/>
            <w:rPr>
              <w:rFonts w:ascii="Gill Alt One MT Light" w:hAnsi="Gill Alt One MT Light"/>
              <w:sz w:val="16"/>
              <w:szCs w:val="16"/>
            </w:rPr>
          </w:pPr>
        </w:p>
      </w:tc>
    </w:tr>
  </w:tbl>
  <w:p w14:paraId="5DAAC02D" w14:textId="77777777" w:rsidR="00F657BF" w:rsidRPr="00DA2879" w:rsidRDefault="002A41D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64E6C9D4" wp14:editId="2D72E6B9">
          <wp:simplePos x="0" y="0"/>
          <wp:positionH relativeFrom="column">
            <wp:posOffset>3042920</wp:posOffset>
          </wp:positionH>
          <wp:positionV relativeFrom="page">
            <wp:posOffset>215265</wp:posOffset>
          </wp:positionV>
          <wp:extent cx="459464" cy="467995"/>
          <wp:effectExtent l="0" t="0" r="0" b="8255"/>
          <wp:wrapNone/>
          <wp:docPr id="7" name="ooImg_79234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04D9ABF3"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6D66169-C347-4762-BE9D-3D5B05FA0949}"/>
                            <w:text w:multiLine="1"/>
                          </w:sdtPr>
                          <w:sdtEndPr/>
                          <w:sdtContent>
                            <w:p w14:paraId="16547B8A" w14:textId="77777777" w:rsidR="0072005F" w:rsidRPr="00411371" w:rsidRDefault="002A41D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9ABF3"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D6D66169-C347-4762-BE9D-3D5B05FA0949}"/>
                      <w:text w:multiLine="1"/>
                    </w:sdtPr>
                    <w:sdtEndPr/>
                    <w:sdtContent>
                      <w:p w14:paraId="16547B8A" w14:textId="77777777" w:rsidR="0072005F" w:rsidRPr="00411371" w:rsidRDefault="002A41D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96965"/>
    <w:multiLevelType w:val="hybridMultilevel"/>
    <w:tmpl w:val="DBF285C6"/>
    <w:lvl w:ilvl="0" w:tplc="D6C25748">
      <w:start w:val="2"/>
      <w:numFmt w:val="upperRoman"/>
      <w:lvlText w:val="%1."/>
      <w:lvlJc w:val="left"/>
      <w:pPr>
        <w:ind w:left="1080" w:hanging="720"/>
      </w:pPr>
      <w:rPr>
        <w:rFonts w:eastAsia="Calibri" w:cs="Calibri"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6A44871"/>
    <w:multiLevelType w:val="hybridMultilevel"/>
    <w:tmpl w:val="3F7CE3CC"/>
    <w:numStyleLink w:val="Stileimportato4"/>
  </w:abstractNum>
  <w:abstractNum w:abstractNumId="13" w15:restartNumberingAfterBreak="0">
    <w:nsid w:val="196E3520"/>
    <w:multiLevelType w:val="hybridMultilevel"/>
    <w:tmpl w:val="7D1ABCD4"/>
    <w:lvl w:ilvl="0" w:tplc="BAFA9EEE">
      <w:start w:val="5"/>
      <w:numFmt w:val="upperLetter"/>
      <w:lvlText w:val="%1."/>
      <w:lvlJc w:val="left"/>
      <w:pPr>
        <w:ind w:left="720" w:hanging="360"/>
      </w:pPr>
      <w:rPr>
        <w:rFonts w:eastAsia="Calibri" w:cs="Calibri"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483696A"/>
    <w:multiLevelType w:val="hybridMultilevel"/>
    <w:tmpl w:val="B6CA064C"/>
    <w:styleLink w:val="Stileimportato3"/>
    <w:lvl w:ilvl="0" w:tplc="FC1E98EC">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24B46820">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30AEDE1E">
      <w:start w:val="1"/>
      <w:numFmt w:val="lowerRoman"/>
      <w:lvlText w:val="%3."/>
      <w:lvlJc w:val="left"/>
      <w:pPr>
        <w:ind w:left="2007"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CE830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203AD988">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C338F55A">
      <w:start w:val="1"/>
      <w:numFmt w:val="lowerRoman"/>
      <w:lvlText w:val="%6."/>
      <w:lvlJc w:val="left"/>
      <w:pPr>
        <w:ind w:left="4167"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6" w:tplc="49522EA6">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F0D01F80">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C6F8D190">
      <w:start w:val="1"/>
      <w:numFmt w:val="lowerRoman"/>
      <w:lvlText w:val="%9."/>
      <w:lvlJc w:val="left"/>
      <w:pPr>
        <w:ind w:left="6327" w:hanging="4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80A3D82"/>
    <w:multiLevelType w:val="hybridMultilevel"/>
    <w:tmpl w:val="B6CA064C"/>
    <w:numStyleLink w:val="Stileimportato3"/>
  </w:abstractNum>
  <w:abstractNum w:abstractNumId="18"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4E610CA"/>
    <w:multiLevelType w:val="hybridMultilevel"/>
    <w:tmpl w:val="B0DC5C60"/>
    <w:lvl w:ilvl="0" w:tplc="25C8EB54">
      <w:start w:val="500"/>
      <w:numFmt w:val="upperRoman"/>
      <w:lvlText w:val="%1."/>
      <w:lvlJc w:val="left"/>
      <w:pPr>
        <w:ind w:left="1080" w:hanging="720"/>
      </w:pPr>
      <w:rPr>
        <w:rFonts w:hint="default"/>
        <w:b/>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15:restartNumberingAfterBreak="0">
    <w:nsid w:val="35250600"/>
    <w:multiLevelType w:val="hybridMultilevel"/>
    <w:tmpl w:val="B2EC8C7A"/>
    <w:lvl w:ilvl="0" w:tplc="C3A8C01E">
      <w:start w:val="1"/>
      <w:numFmt w:val="upperRoman"/>
      <w:lvlText w:val="%1."/>
      <w:lvlJc w:val="left"/>
      <w:pPr>
        <w:ind w:left="1080" w:hanging="720"/>
      </w:pPr>
      <w:rPr>
        <w:rFonts w:hint="default"/>
        <w:u w:val="none"/>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375574FB"/>
    <w:multiLevelType w:val="hybridMultilevel"/>
    <w:tmpl w:val="3F7CE3CC"/>
    <w:styleLink w:val="Stileimportato4"/>
    <w:lvl w:ilvl="0" w:tplc="B2AE34F0">
      <w:start w:val="1"/>
      <w:numFmt w:val="upperRoman"/>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EB861B4">
      <w:start w:val="1"/>
      <w:numFmt w:val="lowerLetter"/>
      <w:lvlText w:val="%2."/>
      <w:lvlJc w:val="left"/>
      <w:pPr>
        <w:ind w:left="1287"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CB38D454">
      <w:start w:val="1"/>
      <w:numFmt w:val="lowerRoman"/>
      <w:lvlText w:val="%3."/>
      <w:lvlJc w:val="left"/>
      <w:pPr>
        <w:ind w:left="2007"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460453EC">
      <w:start w:val="1"/>
      <w:numFmt w:val="decimal"/>
      <w:lvlText w:val="%4."/>
      <w:lvlJc w:val="left"/>
      <w:pPr>
        <w:ind w:left="2727"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F0C41B9C">
      <w:start w:val="1"/>
      <w:numFmt w:val="lowerLetter"/>
      <w:lvlText w:val="%5."/>
      <w:lvlJc w:val="left"/>
      <w:pPr>
        <w:ind w:left="3447"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B28ACCD4">
      <w:start w:val="1"/>
      <w:numFmt w:val="lowerRoman"/>
      <w:lvlText w:val="%6."/>
      <w:lvlJc w:val="left"/>
      <w:pPr>
        <w:ind w:left="4167"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69904C24">
      <w:start w:val="1"/>
      <w:numFmt w:val="decimal"/>
      <w:lvlText w:val="%7."/>
      <w:lvlJc w:val="left"/>
      <w:pPr>
        <w:ind w:left="4887"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51E66B14">
      <w:start w:val="1"/>
      <w:numFmt w:val="lowerLetter"/>
      <w:lvlText w:val="%8."/>
      <w:lvlJc w:val="left"/>
      <w:pPr>
        <w:ind w:left="5607"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59629DA0">
      <w:start w:val="1"/>
      <w:numFmt w:val="lowerRoman"/>
      <w:lvlText w:val="%9."/>
      <w:lvlJc w:val="left"/>
      <w:pPr>
        <w:ind w:left="6327"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7A0BD7"/>
    <w:multiLevelType w:val="hybridMultilevel"/>
    <w:tmpl w:val="C51A22AA"/>
    <w:styleLink w:val="Stileimportato1"/>
    <w:lvl w:ilvl="0" w:tplc="496892DC">
      <w:start w:val="1"/>
      <w:numFmt w:val="upperLetter"/>
      <w:lvlText w:val="%1."/>
      <w:lvlJc w:val="left"/>
      <w:pPr>
        <w:ind w:left="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BB0ED12">
      <w:start w:val="1"/>
      <w:numFmt w:val="lowerLetter"/>
      <w:lvlText w:val="%2."/>
      <w:lvlJc w:val="left"/>
      <w:pPr>
        <w:ind w:left="128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A7C9368">
      <w:start w:val="1"/>
      <w:numFmt w:val="lowerRoman"/>
      <w:lvlText w:val="%3."/>
      <w:lvlJc w:val="left"/>
      <w:pPr>
        <w:ind w:left="2007"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6AAA056">
      <w:start w:val="1"/>
      <w:numFmt w:val="decimal"/>
      <w:lvlText w:val="%4."/>
      <w:lvlJc w:val="left"/>
      <w:pPr>
        <w:ind w:left="272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9445786">
      <w:start w:val="1"/>
      <w:numFmt w:val="lowerLetter"/>
      <w:lvlText w:val="%5."/>
      <w:lvlJc w:val="left"/>
      <w:pPr>
        <w:ind w:left="344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5000FE">
      <w:start w:val="1"/>
      <w:numFmt w:val="lowerRoman"/>
      <w:lvlText w:val="%6."/>
      <w:lvlJc w:val="left"/>
      <w:pPr>
        <w:ind w:left="4167"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5A5E50">
      <w:start w:val="1"/>
      <w:numFmt w:val="decimal"/>
      <w:lvlText w:val="%7."/>
      <w:lvlJc w:val="left"/>
      <w:pPr>
        <w:ind w:left="488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A54FB58">
      <w:start w:val="1"/>
      <w:numFmt w:val="lowerLetter"/>
      <w:lvlText w:val="%8."/>
      <w:lvlJc w:val="left"/>
      <w:pPr>
        <w:ind w:left="560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7C767C">
      <w:start w:val="1"/>
      <w:numFmt w:val="lowerRoman"/>
      <w:lvlText w:val="%9."/>
      <w:lvlJc w:val="left"/>
      <w:pPr>
        <w:ind w:left="6327"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46D3E4C"/>
    <w:multiLevelType w:val="hybridMultilevel"/>
    <w:tmpl w:val="0D7A69FC"/>
    <w:lvl w:ilvl="0" w:tplc="BD1EC07C">
      <w:start w:val="500"/>
      <w:numFmt w:val="upperRoman"/>
      <w:lvlText w:val="%1."/>
      <w:lvlJc w:val="left"/>
      <w:pPr>
        <w:ind w:left="1080" w:hanging="720"/>
      </w:pPr>
      <w:rPr>
        <w:rFonts w:eastAsia="Calibri" w:cs="Calibri"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49D524CC"/>
    <w:multiLevelType w:val="multilevel"/>
    <w:tmpl w:val="953CA1B2"/>
    <w:numStyleLink w:val="HeadingList"/>
  </w:abstractNum>
  <w:abstractNum w:abstractNumId="27" w15:restartNumberingAfterBreak="0">
    <w:nsid w:val="4EAA15B6"/>
    <w:multiLevelType w:val="hybridMultilevel"/>
    <w:tmpl w:val="3FE22606"/>
    <w:lvl w:ilvl="0" w:tplc="68CA68A6">
      <w:start w:val="9"/>
      <w:numFmt w:val="upperLetter"/>
      <w:lvlText w:val="%1."/>
      <w:lvlJc w:val="left"/>
      <w:pPr>
        <w:ind w:left="720" w:hanging="360"/>
      </w:pPr>
      <w:rPr>
        <w:rFonts w:eastAsia="Calibri" w:cs="Calibri"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8" w15:restartNumberingAfterBreak="0">
    <w:nsid w:val="674D3883"/>
    <w:multiLevelType w:val="hybridMultilevel"/>
    <w:tmpl w:val="DDA803C8"/>
    <w:lvl w:ilvl="0" w:tplc="19CE7BFC">
      <w:start w:val="100"/>
      <w:numFmt w:val="upperRoman"/>
      <w:lvlText w:val="%1."/>
      <w:lvlJc w:val="left"/>
      <w:pPr>
        <w:ind w:left="1080" w:hanging="720"/>
      </w:pPr>
      <w:rPr>
        <w:rFonts w:eastAsia="Calibri" w:cs="Calibri"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9" w15:restartNumberingAfterBreak="0">
    <w:nsid w:val="695B09EC"/>
    <w:multiLevelType w:val="hybridMultilevel"/>
    <w:tmpl w:val="04129A74"/>
    <w:lvl w:ilvl="0" w:tplc="A09AE0C2">
      <w:start w:val="9"/>
      <w:numFmt w:val="upperLetter"/>
      <w:lvlText w:val="%1."/>
      <w:lvlJc w:val="left"/>
      <w:pPr>
        <w:ind w:left="927" w:hanging="360"/>
      </w:pPr>
      <w:rPr>
        <w:rFonts w:eastAsia="Calibri" w:cs="Calibri"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0" w15:restartNumberingAfterBreak="0">
    <w:nsid w:val="6C4D1FBF"/>
    <w:multiLevelType w:val="hybridMultilevel"/>
    <w:tmpl w:val="C51A22AA"/>
    <w:numStyleLink w:val="Stileimportato1"/>
  </w:abstractNum>
  <w:num w:numId="1">
    <w:abstractNumId w:val="14"/>
  </w:num>
  <w:num w:numId="2">
    <w:abstractNumId w:val="26"/>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25"/>
  </w:num>
  <w:num w:numId="5">
    <w:abstractNumId w:val="21"/>
  </w:num>
  <w:num w:numId="6">
    <w:abstractNumId w:val="15"/>
  </w:num>
  <w:num w:numId="7">
    <w:abstractNumId w:val="18"/>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3"/>
  </w:num>
  <w:num w:numId="19">
    <w:abstractNumId w:val="30"/>
    <w:lvlOverride w:ilvl="0">
      <w:lvl w:ilvl="0" w:tplc="A4BE85DE">
        <w:start w:val="1"/>
        <w:numFmt w:val="upperLetter"/>
        <w:lvlText w:val="%1."/>
        <w:lvlJc w:val="left"/>
        <w:pPr>
          <w:ind w:left="567" w:hanging="567"/>
        </w:pPr>
        <w:rPr>
          <w:rFonts w:ascii="Arial" w:eastAsia="Arial" w:hAnsi="Arial" w:cs="Arial"/>
          <w:b/>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2"/>
  </w:num>
  <w:num w:numId="21">
    <w:abstractNumId w:val="12"/>
    <w:lvlOverride w:ilvl="0">
      <w:startOverride w:val="3"/>
      <w:lvl w:ilvl="0" w:tplc="5386A400">
        <w:start w:val="3"/>
        <w:numFmt w:val="upperRoman"/>
        <w:lvlText w:val="%1."/>
        <w:lvlJc w:val="left"/>
        <w:pPr>
          <w:ind w:left="141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B40624C">
        <w:start w:val="1"/>
        <w:numFmt w:val="lowerLetter"/>
        <w:lvlText w:val="%2."/>
        <w:lvlJc w:val="left"/>
        <w:pPr>
          <w:ind w:left="114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3DC8376">
        <w:start w:val="1"/>
        <w:numFmt w:val="lowerRoman"/>
        <w:lvlText w:val="%3."/>
        <w:lvlJc w:val="left"/>
        <w:pPr>
          <w:ind w:left="1866"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028137C">
        <w:start w:val="1"/>
        <w:numFmt w:val="decimal"/>
        <w:lvlText w:val="%4."/>
        <w:lvlJc w:val="left"/>
        <w:pPr>
          <w:ind w:left="258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5C3F06">
        <w:start w:val="1"/>
        <w:numFmt w:val="lowerLetter"/>
        <w:lvlText w:val="%5."/>
        <w:lvlJc w:val="left"/>
        <w:pPr>
          <w:ind w:left="33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E1E0A">
        <w:start w:val="1"/>
        <w:numFmt w:val="lowerRoman"/>
        <w:lvlText w:val="%6."/>
        <w:lvlJc w:val="left"/>
        <w:pPr>
          <w:ind w:left="4026"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6AE7E9E">
        <w:start w:val="1"/>
        <w:numFmt w:val="decimal"/>
        <w:lvlText w:val="%7."/>
        <w:lvlJc w:val="left"/>
        <w:pPr>
          <w:ind w:left="474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CC3D8A">
        <w:start w:val="1"/>
        <w:numFmt w:val="lowerLetter"/>
        <w:lvlText w:val="%8."/>
        <w:lvlJc w:val="left"/>
        <w:pPr>
          <w:ind w:left="5466"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E2BBC4">
        <w:start w:val="1"/>
        <w:numFmt w:val="lowerRoman"/>
        <w:lvlText w:val="%9."/>
        <w:lvlJc w:val="left"/>
        <w:pPr>
          <w:ind w:left="6186" w:hanging="1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7"/>
  </w:num>
  <w:num w:numId="23">
    <w:abstractNumId w:val="28"/>
  </w:num>
  <w:num w:numId="24">
    <w:abstractNumId w:val="16"/>
  </w:num>
  <w:num w:numId="25">
    <w:abstractNumId w:val="17"/>
    <w:lvlOverride w:ilvl="0">
      <w:lvl w:ilvl="0" w:tplc="A0C88A52">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29"/>
  </w:num>
  <w:num w:numId="27">
    <w:abstractNumId w:val="10"/>
  </w:num>
  <w:num w:numId="28">
    <w:abstractNumId w:val="20"/>
  </w:num>
  <w:num w:numId="29">
    <w:abstractNumId w:val="24"/>
  </w:num>
  <w:num w:numId="30">
    <w:abstractNumId w:val="13"/>
  </w:num>
  <w:num w:numId="3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6D"/>
    <w:rsid w:val="0004010D"/>
    <w:rsid w:val="000E524D"/>
    <w:rsid w:val="00146888"/>
    <w:rsid w:val="001C7410"/>
    <w:rsid w:val="0020487D"/>
    <w:rsid w:val="0026384A"/>
    <w:rsid w:val="002A41D9"/>
    <w:rsid w:val="002B5D9F"/>
    <w:rsid w:val="002C010B"/>
    <w:rsid w:val="002F277D"/>
    <w:rsid w:val="002F6DB1"/>
    <w:rsid w:val="003047AB"/>
    <w:rsid w:val="00313E96"/>
    <w:rsid w:val="003B756D"/>
    <w:rsid w:val="003C7399"/>
    <w:rsid w:val="003F1C5F"/>
    <w:rsid w:val="00403ADB"/>
    <w:rsid w:val="0041413E"/>
    <w:rsid w:val="00415958"/>
    <w:rsid w:val="0042039D"/>
    <w:rsid w:val="0045511E"/>
    <w:rsid w:val="00472099"/>
    <w:rsid w:val="00497B19"/>
    <w:rsid w:val="004B1A21"/>
    <w:rsid w:val="00545A8C"/>
    <w:rsid w:val="00572FD3"/>
    <w:rsid w:val="00612438"/>
    <w:rsid w:val="00624847"/>
    <w:rsid w:val="006B7E4E"/>
    <w:rsid w:val="007118C9"/>
    <w:rsid w:val="0072005F"/>
    <w:rsid w:val="0074064C"/>
    <w:rsid w:val="00776280"/>
    <w:rsid w:val="008720C4"/>
    <w:rsid w:val="00887241"/>
    <w:rsid w:val="008A298A"/>
    <w:rsid w:val="008C4FB4"/>
    <w:rsid w:val="008F52AF"/>
    <w:rsid w:val="00985052"/>
    <w:rsid w:val="00990CAD"/>
    <w:rsid w:val="009A1C6D"/>
    <w:rsid w:val="009B6661"/>
    <w:rsid w:val="009C5E5A"/>
    <w:rsid w:val="00A3773C"/>
    <w:rsid w:val="00AC40FA"/>
    <w:rsid w:val="00AF0268"/>
    <w:rsid w:val="00BC4C2E"/>
    <w:rsid w:val="00BE374D"/>
    <w:rsid w:val="00BE6079"/>
    <w:rsid w:val="00BE7956"/>
    <w:rsid w:val="00BF0A1F"/>
    <w:rsid w:val="00C30F53"/>
    <w:rsid w:val="00C77B58"/>
    <w:rsid w:val="00C86F8F"/>
    <w:rsid w:val="00CB498A"/>
    <w:rsid w:val="00CD11B5"/>
    <w:rsid w:val="00D33940"/>
    <w:rsid w:val="00D41B03"/>
    <w:rsid w:val="00D600FD"/>
    <w:rsid w:val="00D649A8"/>
    <w:rsid w:val="00D76653"/>
    <w:rsid w:val="00DA2770"/>
    <w:rsid w:val="00DD4905"/>
    <w:rsid w:val="00DE076B"/>
    <w:rsid w:val="00EB088A"/>
    <w:rsid w:val="00F07086"/>
    <w:rsid w:val="00F56100"/>
    <w:rsid w:val="00F657BF"/>
    <w:rsid w:val="00FB53FF"/>
    <w:rsid w:val="00FC2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448C"/>
  <w15:docId w15:val="{E9B42950-7132-4C74-BA95-E1722161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1C6D"/>
    <w:pPr>
      <w:pBdr>
        <w:top w:val="nil"/>
        <w:left w:val="nil"/>
        <w:bottom w:val="nil"/>
        <w:right w:val="nil"/>
        <w:between w:val="nil"/>
        <w:bar w:val="nil"/>
      </w:pBdr>
      <w:spacing w:after="160" w:line="259" w:lineRule="auto"/>
      <w:jc w:val="left"/>
    </w:pPr>
    <w:rPr>
      <w:rFonts w:ascii="Calibri" w:eastAsia="Calibri" w:hAnsi="Calibri" w:cs="Calibri"/>
      <w:color w:val="000000"/>
      <w:u w:color="000000"/>
      <w:bdr w:val="nil"/>
      <w:lang w:val="it-IT" w:eastAsia="it-CH"/>
    </w:rPr>
  </w:style>
  <w:style w:type="paragraph" w:styleId="Titolo1">
    <w:name w:val="heading 1"/>
    <w:basedOn w:val="Normale"/>
    <w:next w:val="Normale"/>
    <w:link w:val="Titolo1Carattere"/>
    <w:qFormat/>
    <w:rsid w:val="006F0D42"/>
    <w:pPr>
      <w:keepNext/>
      <w:spacing w:before="240" w:after="120"/>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CD11B5"/>
    <w:pPr>
      <w:tabs>
        <w:tab w:val="left" w:pos="567"/>
        <w:tab w:val="right" w:leader="dot" w:pos="9072"/>
      </w:tabs>
      <w:spacing w:before="240" w:after="120"/>
      <w:ind w:left="567" w:right="567" w:hanging="567"/>
    </w:pPr>
    <w:rPr>
      <w:rFonts w:asciiTheme="minorHAnsi" w:hAnsiTheme="minorHAnsi" w:cstheme="minorHAnsi"/>
      <w:b/>
      <w:caps/>
      <w:noProof/>
      <w:sz w:val="24"/>
      <w:szCs w:val="24"/>
      <w:lang w:eastAsia="it-IT"/>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numbering" w:customStyle="1" w:styleId="Stileimportato1">
    <w:name w:val="Stile importato 1"/>
    <w:rsid w:val="009A1C6D"/>
    <w:pPr>
      <w:numPr>
        <w:numId w:val="18"/>
      </w:numPr>
    </w:pPr>
  </w:style>
  <w:style w:type="numbering" w:customStyle="1" w:styleId="Stileimportato4">
    <w:name w:val="Stile importato 4"/>
    <w:rsid w:val="009A1C6D"/>
    <w:pPr>
      <w:numPr>
        <w:numId w:val="20"/>
      </w:numPr>
    </w:pPr>
  </w:style>
  <w:style w:type="numbering" w:customStyle="1" w:styleId="Stileimportato3">
    <w:name w:val="Stile importato 3"/>
    <w:rsid w:val="009A1C6D"/>
    <w:pPr>
      <w:numPr>
        <w:numId w:val="24"/>
      </w:numPr>
    </w:pPr>
  </w:style>
  <w:style w:type="paragraph" w:styleId="Testofumetto">
    <w:name w:val="Balloon Text"/>
    <w:basedOn w:val="Normale"/>
    <w:link w:val="TestofumettoCarattere"/>
    <w:uiPriority w:val="99"/>
    <w:semiHidden/>
    <w:unhideWhenUsed/>
    <w:rsid w:val="00D7665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6653"/>
    <w:rPr>
      <w:rFonts w:ascii="Segoe UI" w:eastAsia="Calibri" w:hAnsi="Segoe UI" w:cs="Segoe UI"/>
      <w:color w:val="000000"/>
      <w:sz w:val="18"/>
      <w:szCs w:val="18"/>
      <w:u w:color="000000"/>
      <w:bdr w:val="nil"/>
      <w:lang w:val="it-IT" w:eastAsia="it-CH"/>
    </w:rPr>
  </w:style>
  <w:style w:type="character" w:styleId="Collegamentoipertestuale">
    <w:name w:val="Hyperlink"/>
    <w:basedOn w:val="Carpredefinitoparagrafo"/>
    <w:uiPriority w:val="99"/>
    <w:unhideWhenUsed/>
    <w:rsid w:val="001C7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004077\AppData\Local\Temp\OneOffixx\generated\022e4deb-b69f-4238-a148-49034f2e1d1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27228858</Id>
      <Width>0</Width>
      <Height>0</Height>
      <XPath>//Image[@id='Profile.Org.WappenSW']</XPath>
      <ImageHash>02f1c0cdac6aeac316213b2e7cb733a0</ImageHash>
    </ImageSizeDefinition>
    <ImageSizeDefinition>
      <Id>792344357</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f d 3 5 5 b 2 3 - 0 5 e 9 - 4 5 7 9 - b b 5 b - d e c 6 3 9 b 1 7 3 4 7 "   t I d = " a 3 6 2 a 5 d 4 - 9 5 8 9 - 4 1 b f - a 4 e 6 - 4 f 8 7 c 4 e 4 1 2 3 9 "   i n t e r n a l T I d = " 9 0 6 4 c c 7 f - 3 1 6 d - 4 6 b 1 - a 4 a c - 7 4 8 6 0 c 3 f 8 a 5 b "   m t I d = " 2 7 5 a f 3 2 e - b c 4 0 - 4 5 c 2 - 8 5 b 7 - a f b 1 c 0 3 8 2 6 5 3 "   r e v i s i o n = " 0 "   c r e a t e d m a j o r v e r s i o n = " 0 "   c r e a t e d m i n o r v e r s i o n = " 0 "   c r e a t e d = " 2 0 2 4 - 0 1 - 2 5 T 1 4 : 1 8 : 3 8 . 1 5 8 1 9 2 9 Z "   m o d i f i e d m a j o r v e r s i o n = " 0 "   m o d i f i e d m i n o r v e r s i o n = " 0 "   m o d i f i e d = " 0 0 0 1 - 0 1 - 0 1 T 0 0 : 0 0 : 0 0 "   p r o f i l e = " d 6 8 9 6 0 0 c - c d 0 2 - 4 d 5 b - a a b 3 - 8 a 0 e c 7 b a 7 5 7 2 "   m o d e = " S a v e d D o c u m e n t "   c o l o r m o d e = " C o l o r "   l c i d = " 2 0 6 4 "   x m l n s = " h t t p : / / s c h e m a . o n e o f f i x x . c o m / O n e O f f i x x D o c u m e n t P a r t / 1 " >  
     < C o n t e n t >  
         < D a t a M o d e l   x m l n s = " " >  
             < P r o f i l e >  
                 < T e x t   i d = " P r o f i l e . I d "   l a b e l = " P r o f i l e . I d " > < ! [ C D A T A [ d 6 8 9 6 0 0 c - c d 0 2 - 4 d 5 b - a a b 3 - 8 a 0 e c 7 b a 7 5 7 2 ] ] > < / 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e o n a r d o . B u s s i @ t i . c h ] ] > < / T e x t >  
                 < T e x t   i d = " P r o f i l e . U s e r . F i r s t N a m e "   l a b e l = " P r o f i l e . U s e r . F i r s t N a m e " > < ! [ C D A T A [ L e o n a r d o ] ] > < / T e x t >  
                 < T e x t   i d = " P r o f i l e . U s e r . F u n c t i o n "   l a b e l = " P r o f i l e . U s e r . F u n c t i o n " > < ! [ C D A T A [ S G C ] ] > < / T e x t >  
                 < T e x t   i d = " P r o f i l e . U s e r . L a s t N a m e "   l a b e l = " P r o f i l e . U s e r . L a s t N a m e " > < ! [ C D A T A [ B u s s i ] ] > < / T e x t >  
                 < T e x t   i d = " P r o f i l e . U s e r . M o b i l e "   l a b e l = " P r o f i l e . U s e r . M o b i l e " > < ! [ C D A T A [   ] ] > < / T e x t >  
                 < T e x t   i d = " P r o f i l e . U s e r . P h o n e "   l a b e l = " P r o f i l e . U s e r . P h o n e " > < ! [ C D A T A [ + 4 1 9 1 8 1 4 4 3 9 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e o n a r d o . B u s s i @ t i . c h ] ] > < / T e x t >  
                 < T e x t   i d = " A u t h o r . U s e r . F i r s t N a m e "   l a b e l = " A u t h o r . U s e r . F i r s t N a m e " > < ! [ C D A T A [ L e o n a r d o ] ] > < / T e x t >  
                 < T e x t   i d = " A u t h o r . U s e r . F u n c t i o n "   l a b e l = " A u t h o r . U s e r . F u n c t i o n " > < ! [ C D A T A [ S G C ] ] > < / T e x t >  
                 < T e x t   i d = " A u t h o r . U s e r . L a s t N a m e "   l a b e l = " A u t h o r . U s e r . L a s t N a m e " > < ! [ C D A T A [ B u s s i ] ] > < / T e x t >  
                 < T e x t   i d = " A u t h o r . U s e r . M o b i l e "   l a b e l = " A u t h o r . U s e r . M o b i l e " > < ! [ C D A T A [   ] ] > < / T e x t >  
                 < T e x t   i d = " A u t h o r . U s e r . P h o n e "   l a b e l = " A u t h o r . U s e r . P h o n e " > < ! [ C D A T A [ + 4 1 9 1 8 1 4 4 3 9 7 ] ] > < / 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7 7 1 4   R   p a r z .   2   d e l   2 6   f e b b r a i o 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  p a r z i a l e   2 ] ] > < / T e x t >  
                 < T e x t   i d = " C u s t o m E l e m e n t s . F i e l d s . T i t o l o 2 "   l a b e l = " C u s t o m E l e m e n t s . F i e l d s . T i t o l o 2 " > < ! [ C D A T A [ R a p p o r t o   p a r z i a l e   2   n .   7 7 1 4   R   p a r z .   2   d e l   2 6   f e b b r a i o   2 0 2 4 ] ] > < / 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 2 0 2 4 - 0 2 - 2 6 T 0 0 : 0 0 : 0 0 Z < / D a t e T i m e >  
                 < T e x t   i d = " D o c P a r a m . N u m b e r " > < ! [ C D A T A [ 7 7 1 4   R   p a r z .   2 ] ] > < / T e x t >  
                 < T e x t   i d = " D o c P a r a m . D o c u m e n t o " > < ! [ C D A T A [ R a p p o r t o ] ] > < / T e x t >  
                 < T e x t   i d = " D o c P a r a m . A g g i u n t a D o c "   t o o l t i p = " ( e s .   b i s ,   a g g i u n t i v o ,   a g g i u n t i v o   b i s ,   1 ,   2   e c c . ) " > < ! [ C D A T A [ p a r z i a l e   2 ] ] > < / 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A5904DEF-90D2-4DA4-B124-87635CAA7BC0}">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D6D66169-C347-4762-BE9D-3D5B05FA0949}">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39EFE334-F193-44BA-AA4C-93D636CD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022e4deb-b69f-4238-a148-49034f2e1d19.dotx</Template>
  <TotalTime>132</TotalTime>
  <Pages>10</Pages>
  <Words>3659</Words>
  <Characters>20710</Characters>
  <Application>Microsoft Office Word</Application>
  <DocSecurity>0</DocSecurity>
  <Lines>627</Lines>
  <Paragraphs>246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Bussi Leonardo / x004077</dc:creator>
  <cp:lastModifiedBy>Venturi Luca</cp:lastModifiedBy>
  <cp:revision>37</cp:revision>
  <cp:lastPrinted>2024-02-27T09:18:00Z</cp:lastPrinted>
  <dcterms:created xsi:type="dcterms:W3CDTF">2024-02-27T07:56:00Z</dcterms:created>
  <dcterms:modified xsi:type="dcterms:W3CDTF">2024-02-27T10:48:00Z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