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AA" w:rsidRPr="003C0EAA" w:rsidRDefault="003C0EAA" w:rsidP="003C0EAA">
      <w:pPr>
        <w:rPr>
          <w:rFonts w:cs="Arial"/>
          <w:b/>
          <w:sz w:val="28"/>
          <w:szCs w:val="28"/>
        </w:rPr>
      </w:pPr>
      <w:r>
        <w:rPr>
          <w:rFonts w:cs="Arial"/>
          <w:b/>
          <w:sz w:val="28"/>
          <w:szCs w:val="28"/>
        </w:rPr>
        <w:t>d</w:t>
      </w:r>
      <w:r w:rsidRPr="003C0EAA">
        <w:rPr>
          <w:rFonts w:cs="Arial"/>
          <w:b/>
          <w:sz w:val="28"/>
          <w:szCs w:val="28"/>
        </w:rPr>
        <w:t>ella Commissione ambiente, territorio ed energia</w:t>
      </w:r>
    </w:p>
    <w:p w:rsidR="003C0EAA" w:rsidRPr="003C0EAA" w:rsidRDefault="003C0EAA" w:rsidP="003C0EAA">
      <w:pPr>
        <w:rPr>
          <w:rFonts w:cs="Arial"/>
          <w:b/>
          <w:sz w:val="28"/>
          <w:szCs w:val="28"/>
        </w:rPr>
      </w:pPr>
      <w:r>
        <w:rPr>
          <w:rFonts w:cs="Arial"/>
          <w:b/>
          <w:sz w:val="28"/>
          <w:szCs w:val="28"/>
        </w:rPr>
        <w:t>sul messaggio 18 ottobre 2023 concernente l’a</w:t>
      </w:r>
      <w:r w:rsidRPr="003C0EAA">
        <w:rPr>
          <w:rFonts w:cs="Arial"/>
          <w:b/>
          <w:sz w:val="28"/>
          <w:szCs w:val="28"/>
        </w:rPr>
        <w:t xml:space="preserve">pprovazione del progetto </w:t>
      </w:r>
      <w:proofErr w:type="spellStart"/>
      <w:r w:rsidRPr="003C0EAA">
        <w:rPr>
          <w:rFonts w:cs="Arial"/>
          <w:b/>
          <w:sz w:val="28"/>
          <w:szCs w:val="28"/>
        </w:rPr>
        <w:t>selvicolturale</w:t>
      </w:r>
      <w:proofErr w:type="spellEnd"/>
      <w:r w:rsidRPr="003C0EAA">
        <w:rPr>
          <w:rFonts w:cs="Arial"/>
          <w:b/>
          <w:sz w:val="28"/>
          <w:szCs w:val="28"/>
        </w:rPr>
        <w:t xml:space="preserve"> per la realizzazione degli interventi necessari alla cura dei boschi di protezione nel comprensorio boschivo delle Valli Pesta e </w:t>
      </w:r>
      <w:proofErr w:type="spellStart"/>
      <w:r w:rsidRPr="003C0EAA">
        <w:rPr>
          <w:rFonts w:cs="Arial"/>
          <w:b/>
          <w:sz w:val="28"/>
          <w:szCs w:val="28"/>
        </w:rPr>
        <w:t>Riarena</w:t>
      </w:r>
      <w:proofErr w:type="spellEnd"/>
      <w:r w:rsidRPr="003C0EAA">
        <w:rPr>
          <w:rFonts w:cs="Arial"/>
          <w:b/>
          <w:sz w:val="28"/>
          <w:szCs w:val="28"/>
        </w:rPr>
        <w:t xml:space="preserve">, nel Comune di </w:t>
      </w:r>
      <w:proofErr w:type="spellStart"/>
      <w:r w:rsidRPr="003C0EAA">
        <w:rPr>
          <w:rFonts w:cs="Arial"/>
          <w:b/>
          <w:sz w:val="28"/>
          <w:szCs w:val="28"/>
        </w:rPr>
        <w:t>Cugnasco-Gerra</w:t>
      </w:r>
      <w:proofErr w:type="spellEnd"/>
      <w:r w:rsidRPr="003C0EAA">
        <w:rPr>
          <w:rFonts w:cs="Arial"/>
          <w:b/>
          <w:sz w:val="28"/>
          <w:szCs w:val="28"/>
        </w:rPr>
        <w:t>, per il periodo 2024-2033 e lo stanziamento di un credito di 1'460’000 franchi quale sussidio cantonale e l’autorizzazione alla spesa di 2'360’000 franchi quale sussidio complessivo cantonale e federale</w:t>
      </w:r>
    </w:p>
    <w:p w:rsidR="003C0EAA" w:rsidRPr="003C0EAA" w:rsidRDefault="003C0EAA" w:rsidP="003C0EAA">
      <w:pPr>
        <w:rPr>
          <w:rFonts w:cs="Arial"/>
          <w:iCs/>
          <w:sz w:val="24"/>
          <w:szCs w:val="24"/>
        </w:rPr>
      </w:pPr>
    </w:p>
    <w:p w:rsidR="003C0EAA" w:rsidRDefault="003C0EAA" w:rsidP="003C0EAA">
      <w:pPr>
        <w:rPr>
          <w:rFonts w:cs="Arial"/>
          <w:iCs/>
          <w:sz w:val="24"/>
          <w:szCs w:val="24"/>
        </w:rPr>
      </w:pPr>
    </w:p>
    <w:p w:rsidR="00FA72DB" w:rsidRPr="003C0EAA" w:rsidRDefault="00FA72DB" w:rsidP="003C0EAA">
      <w:pPr>
        <w:rPr>
          <w:rFonts w:cs="Arial"/>
          <w:iCs/>
          <w:sz w:val="24"/>
          <w:szCs w:val="24"/>
        </w:rPr>
      </w:pPr>
    </w:p>
    <w:p w:rsidR="003C0EAA" w:rsidRPr="003C0EAA" w:rsidRDefault="003C0EAA" w:rsidP="003C0EAA">
      <w:pPr>
        <w:pStyle w:val="StandardRisoluzionedelConsigliodiStato"/>
        <w:tabs>
          <w:tab w:val="left" w:pos="567"/>
        </w:tabs>
        <w:spacing w:after="120"/>
        <w:rPr>
          <w:b/>
          <w:lang w:val="it-IT"/>
        </w:rPr>
      </w:pPr>
      <w:r w:rsidRPr="003C0EAA">
        <w:rPr>
          <w:b/>
          <w:lang w:val="it-IT"/>
        </w:rPr>
        <w:t>COMPENDIO</w:t>
      </w:r>
    </w:p>
    <w:p w:rsidR="003C0EAA" w:rsidRPr="003C0EAA" w:rsidRDefault="003C0EAA" w:rsidP="003C0EAA">
      <w:pPr>
        <w:rPr>
          <w:i/>
          <w:sz w:val="24"/>
          <w:szCs w:val="24"/>
        </w:rPr>
      </w:pPr>
      <w:r w:rsidRPr="003C0EAA">
        <w:rPr>
          <w:i/>
          <w:sz w:val="24"/>
          <w:szCs w:val="24"/>
        </w:rPr>
        <w:t xml:space="preserve">Il credito di CHF </w:t>
      </w:r>
      <w:r w:rsidRPr="003C0EAA">
        <w:rPr>
          <w:rFonts w:cs="Arial"/>
          <w:i/>
          <w:sz w:val="24"/>
          <w:szCs w:val="24"/>
        </w:rPr>
        <w:t>1'460'</w:t>
      </w:r>
      <w:proofErr w:type="gramStart"/>
      <w:r w:rsidRPr="003C0EAA">
        <w:rPr>
          <w:rFonts w:cs="Arial"/>
          <w:i/>
          <w:sz w:val="24"/>
          <w:szCs w:val="24"/>
        </w:rPr>
        <w:t>000</w:t>
      </w:r>
      <w:r w:rsidRPr="003C0EAA">
        <w:rPr>
          <w:i/>
          <w:sz w:val="24"/>
          <w:szCs w:val="24"/>
        </w:rPr>
        <w:t>.--</w:t>
      </w:r>
      <w:proofErr w:type="gramEnd"/>
      <w:r w:rsidRPr="003C0EAA">
        <w:rPr>
          <w:i/>
          <w:sz w:val="24"/>
          <w:szCs w:val="24"/>
        </w:rPr>
        <w:t xml:space="preserve"> e l‘autorizzazione alla spesa di CHF 2'360'000.--, comprendente anche il sussidio federale, che si vanno a stanziare, permetteranno di procedere alla realizzazione di un importante e necessario progetto </w:t>
      </w:r>
      <w:proofErr w:type="spellStart"/>
      <w:r w:rsidRPr="003C0EAA">
        <w:rPr>
          <w:i/>
          <w:sz w:val="24"/>
          <w:szCs w:val="24"/>
        </w:rPr>
        <w:t>selvicolturale</w:t>
      </w:r>
      <w:proofErr w:type="spellEnd"/>
      <w:r w:rsidRPr="003C0EAA">
        <w:rPr>
          <w:i/>
          <w:sz w:val="24"/>
          <w:szCs w:val="24"/>
        </w:rPr>
        <w:t xml:space="preserve"> promosso dal Consorzio forestale Valli Pesta e </w:t>
      </w:r>
      <w:proofErr w:type="spellStart"/>
      <w:r w:rsidRPr="003C0EAA">
        <w:rPr>
          <w:i/>
          <w:sz w:val="24"/>
          <w:szCs w:val="24"/>
        </w:rPr>
        <w:t>Riarena</w:t>
      </w:r>
      <w:proofErr w:type="spellEnd"/>
      <w:r w:rsidRPr="003C0EAA">
        <w:rPr>
          <w:i/>
          <w:sz w:val="24"/>
          <w:szCs w:val="24"/>
        </w:rPr>
        <w:t xml:space="preserve"> (CFVPR), in accordo con i proprietari dei fondi interessati chiamati a tollerare gli interventi, il cui costo totale sarà di CHF 2'950'000.--. Si opererà sull’arco di 10 anni, dal 2024 al 2033, tramite interventi proattivi (principalmente con tagli di ringiovanimento e, fra l’altro, con la messa a dimora di circa 1600 piante da seme) per indirizzare l’evoluzione del bosco in senso positivo, consentendo di garantire la continuità della funzione protettiva del bosco, a favore della sicurezza degli abitati e delle vie di comunicazione presenti sulle conoidi dei torrenti Pesta e </w:t>
      </w:r>
      <w:proofErr w:type="spellStart"/>
      <w:r w:rsidRPr="003C0EAA">
        <w:rPr>
          <w:i/>
          <w:sz w:val="24"/>
          <w:szCs w:val="24"/>
        </w:rPr>
        <w:t>Riarena</w:t>
      </w:r>
      <w:proofErr w:type="spellEnd"/>
      <w:r w:rsidRPr="003C0EAA">
        <w:rPr>
          <w:i/>
          <w:sz w:val="24"/>
          <w:szCs w:val="24"/>
        </w:rPr>
        <w:t xml:space="preserve">, che interessano i territori appartenenti ai Comuni di </w:t>
      </w:r>
      <w:proofErr w:type="spellStart"/>
      <w:r w:rsidRPr="003C0EAA">
        <w:rPr>
          <w:i/>
          <w:sz w:val="24"/>
          <w:szCs w:val="24"/>
        </w:rPr>
        <w:t>Cugnasco-Gerra</w:t>
      </w:r>
      <w:proofErr w:type="spellEnd"/>
      <w:r w:rsidRPr="003C0EAA">
        <w:rPr>
          <w:i/>
          <w:sz w:val="24"/>
          <w:szCs w:val="24"/>
        </w:rPr>
        <w:t xml:space="preserve">, Locarno e </w:t>
      </w:r>
      <w:proofErr w:type="spellStart"/>
      <w:r w:rsidRPr="003C0EAA">
        <w:rPr>
          <w:i/>
          <w:sz w:val="24"/>
          <w:szCs w:val="24"/>
        </w:rPr>
        <w:t>Lavertezzo</w:t>
      </w:r>
      <w:proofErr w:type="spellEnd"/>
      <w:r w:rsidRPr="003C0EAA">
        <w:rPr>
          <w:i/>
          <w:sz w:val="24"/>
          <w:szCs w:val="24"/>
        </w:rPr>
        <w:t>, in una zona soggetta a pericoli quali frane, colate detritiche e piene nei torrenti e in misura minore caduta sassi e valanghe. La commissione, esperiti tutti gli approfondimenti del caso, compreso un sopralluogo, raccomanda al Gran Consiglio di approvare il progetto e la richiesta di credito così come presentati, ricordando che per la sua approvazione sarà necessaria la maggioranza qualificata di 46 voti favorevoli.</w:t>
      </w:r>
    </w:p>
    <w:p w:rsidR="003C0EAA" w:rsidRDefault="003C0EAA" w:rsidP="003C0EAA">
      <w:pPr>
        <w:rPr>
          <w:rFonts w:eastAsia="Calibri" w:cs="Arial"/>
          <w:bCs/>
          <w:sz w:val="24"/>
          <w:szCs w:val="20"/>
        </w:rPr>
      </w:pPr>
    </w:p>
    <w:p w:rsidR="00FA72DB" w:rsidRPr="003C0EAA" w:rsidRDefault="00FA72DB" w:rsidP="003C0EAA">
      <w:pPr>
        <w:rPr>
          <w:rFonts w:eastAsia="Calibri" w:cs="Arial"/>
          <w:bCs/>
          <w:sz w:val="24"/>
          <w:szCs w:val="20"/>
        </w:rPr>
      </w:pPr>
    </w:p>
    <w:p w:rsidR="003C0EAA" w:rsidRPr="003C0EAA" w:rsidRDefault="003C0EAA" w:rsidP="003C0EAA"/>
    <w:p w:rsidR="003C0EAA" w:rsidRPr="003C0EAA" w:rsidRDefault="003C0EAA" w:rsidP="003C0EAA">
      <w:pPr>
        <w:pStyle w:val="StandardRisoluzionedelConsigliodiStato"/>
        <w:tabs>
          <w:tab w:val="left" w:pos="567"/>
        </w:tabs>
        <w:spacing w:after="120"/>
        <w:rPr>
          <w:b/>
          <w:lang w:val="it-IT"/>
        </w:rPr>
      </w:pPr>
      <w:r w:rsidRPr="003C0EAA">
        <w:rPr>
          <w:b/>
          <w:lang w:val="it-IT"/>
        </w:rPr>
        <w:t>INTRODUZIONE</w:t>
      </w:r>
    </w:p>
    <w:p w:rsidR="003C0EAA" w:rsidRPr="003C0EAA" w:rsidRDefault="003C0EAA" w:rsidP="003C0EAA">
      <w:pPr>
        <w:rPr>
          <w:rFonts w:eastAsia="Calibri" w:cs="Arial"/>
          <w:sz w:val="24"/>
          <w:szCs w:val="20"/>
        </w:rPr>
      </w:pPr>
      <w:r w:rsidRPr="003C0EAA">
        <w:rPr>
          <w:rFonts w:eastAsia="Calibri" w:cs="Arial"/>
          <w:sz w:val="24"/>
          <w:szCs w:val="20"/>
        </w:rPr>
        <w:t>La Sezione forestale basa la sua azione per la gestione boschiva sul Piano forestale cantonale e sull’Inventario federale dei boschi di protezione (</w:t>
      </w:r>
      <w:proofErr w:type="spellStart"/>
      <w:r w:rsidRPr="003C0EAA">
        <w:rPr>
          <w:rFonts w:eastAsia="Calibri" w:cs="Arial"/>
          <w:sz w:val="24"/>
          <w:szCs w:val="20"/>
        </w:rPr>
        <w:t>SilvaProtect</w:t>
      </w:r>
      <w:proofErr w:type="spellEnd"/>
      <w:r w:rsidRPr="003C0EAA">
        <w:rPr>
          <w:rFonts w:eastAsia="Calibri" w:cs="Arial"/>
          <w:sz w:val="24"/>
          <w:szCs w:val="20"/>
        </w:rPr>
        <w:t xml:space="preserve">). Questi strumenti pianificatori sono vincolanti per l’autorità e consentono di attuare una strategia coordinata per garantire una migliore sicurezza del nostro territorio laddove si palesano pericoli particolari. Concretamente la sicurezza viene raggiunta con la creazione di popolamenti boschivi strutturati ed eterogenei per quanto riguarda tipologia ed età degli alberi presenti. Vista la delicatezza degli interventi concernenti i boschi di protezione, la Confederazione ha elaborato le cosiddette Istruzioni </w:t>
      </w:r>
      <w:proofErr w:type="spellStart"/>
      <w:r w:rsidRPr="003C0EAA">
        <w:rPr>
          <w:rFonts w:eastAsia="Calibri" w:cs="Arial"/>
          <w:sz w:val="24"/>
          <w:szCs w:val="20"/>
        </w:rPr>
        <w:t>NAiS</w:t>
      </w:r>
      <w:proofErr w:type="spellEnd"/>
      <w:r w:rsidRPr="003C0EAA">
        <w:rPr>
          <w:rFonts w:eastAsia="Calibri" w:cs="Arial"/>
          <w:sz w:val="24"/>
          <w:szCs w:val="20"/>
        </w:rPr>
        <w:t xml:space="preserve"> (</w:t>
      </w:r>
      <w:proofErr w:type="spellStart"/>
      <w:r w:rsidRPr="003C0EAA">
        <w:rPr>
          <w:rFonts w:eastAsia="Calibri" w:cs="Arial"/>
          <w:sz w:val="24"/>
          <w:szCs w:val="20"/>
        </w:rPr>
        <w:t>Nachhaltigkeit</w:t>
      </w:r>
      <w:proofErr w:type="spellEnd"/>
      <w:r w:rsidRPr="003C0EAA">
        <w:rPr>
          <w:rFonts w:eastAsia="Calibri" w:cs="Arial"/>
          <w:sz w:val="24"/>
          <w:szCs w:val="20"/>
        </w:rPr>
        <w:t xml:space="preserve"> und </w:t>
      </w:r>
      <w:proofErr w:type="spellStart"/>
      <w:r w:rsidRPr="003C0EAA">
        <w:rPr>
          <w:rFonts w:eastAsia="Calibri" w:cs="Arial"/>
          <w:sz w:val="24"/>
          <w:szCs w:val="20"/>
        </w:rPr>
        <w:lastRenderedPageBreak/>
        <w:t>Erfolgskontrolle</w:t>
      </w:r>
      <w:proofErr w:type="spellEnd"/>
      <w:r w:rsidRPr="003C0EAA">
        <w:rPr>
          <w:rFonts w:eastAsia="Calibri" w:cs="Arial"/>
          <w:sz w:val="24"/>
          <w:szCs w:val="20"/>
        </w:rPr>
        <w:t xml:space="preserve"> </w:t>
      </w:r>
      <w:proofErr w:type="spellStart"/>
      <w:r w:rsidRPr="003C0EAA">
        <w:rPr>
          <w:rFonts w:eastAsia="Calibri" w:cs="Arial"/>
          <w:sz w:val="24"/>
          <w:szCs w:val="20"/>
        </w:rPr>
        <w:t>im</w:t>
      </w:r>
      <w:proofErr w:type="spellEnd"/>
      <w:r w:rsidRPr="003C0EAA">
        <w:rPr>
          <w:rFonts w:eastAsia="Calibri" w:cs="Arial"/>
          <w:sz w:val="24"/>
          <w:szCs w:val="20"/>
        </w:rPr>
        <w:t xml:space="preserve"> </w:t>
      </w:r>
      <w:proofErr w:type="spellStart"/>
      <w:r w:rsidRPr="003C0EAA">
        <w:rPr>
          <w:rFonts w:eastAsia="Calibri" w:cs="Arial"/>
          <w:sz w:val="24"/>
          <w:szCs w:val="20"/>
        </w:rPr>
        <w:t>Schutzwald</w:t>
      </w:r>
      <w:proofErr w:type="spellEnd"/>
      <w:r w:rsidRPr="003C0EAA">
        <w:rPr>
          <w:rFonts w:eastAsia="Calibri" w:cs="Arial"/>
          <w:sz w:val="24"/>
          <w:szCs w:val="20"/>
        </w:rPr>
        <w:t>, in italiano “Continuità nel bosco di protezione e controllo dell’efficacia”), alle quali gli enti esecutori devono attenersi.</w:t>
      </w:r>
    </w:p>
    <w:p w:rsidR="003C0EAA" w:rsidRDefault="003C0EAA" w:rsidP="003C0EAA">
      <w:pPr>
        <w:rPr>
          <w:rFonts w:eastAsia="Calibri" w:cs="Arial"/>
          <w:sz w:val="24"/>
          <w:szCs w:val="20"/>
        </w:rPr>
      </w:pPr>
      <w:r w:rsidRPr="003C0EAA">
        <w:rPr>
          <w:rFonts w:eastAsia="Calibri" w:cs="Arial"/>
          <w:sz w:val="24"/>
          <w:szCs w:val="20"/>
        </w:rPr>
        <w:t xml:space="preserve">Nel caso specifico, le Valli Pesta e </w:t>
      </w:r>
      <w:proofErr w:type="spellStart"/>
      <w:r w:rsidRPr="003C0EAA">
        <w:rPr>
          <w:rFonts w:eastAsia="Calibri" w:cs="Arial"/>
          <w:sz w:val="24"/>
          <w:szCs w:val="20"/>
        </w:rPr>
        <w:t>Riarena</w:t>
      </w:r>
      <w:proofErr w:type="spellEnd"/>
      <w:r w:rsidRPr="003C0EAA">
        <w:rPr>
          <w:rFonts w:eastAsia="Calibri" w:cs="Arial"/>
          <w:sz w:val="24"/>
          <w:szCs w:val="20"/>
        </w:rPr>
        <w:t xml:space="preserve">, che discendono verso i territori abitati e urbanizzati appartenenti ai Comuni di </w:t>
      </w:r>
      <w:proofErr w:type="spellStart"/>
      <w:r w:rsidRPr="003C0EAA">
        <w:rPr>
          <w:rFonts w:eastAsia="Calibri" w:cs="Arial"/>
          <w:sz w:val="24"/>
          <w:szCs w:val="20"/>
        </w:rPr>
        <w:t>Cugnasco-Gerra</w:t>
      </w:r>
      <w:proofErr w:type="spellEnd"/>
      <w:r w:rsidRPr="003C0EAA">
        <w:rPr>
          <w:rFonts w:eastAsia="Calibri" w:cs="Arial"/>
          <w:sz w:val="24"/>
          <w:szCs w:val="20"/>
        </w:rPr>
        <w:t xml:space="preserve">, Locarno e </w:t>
      </w:r>
      <w:proofErr w:type="spellStart"/>
      <w:r w:rsidRPr="003C0EAA">
        <w:rPr>
          <w:rFonts w:eastAsia="Calibri" w:cs="Arial"/>
          <w:sz w:val="24"/>
          <w:szCs w:val="20"/>
        </w:rPr>
        <w:t>Lavertezzo</w:t>
      </w:r>
      <w:proofErr w:type="spellEnd"/>
      <w:r w:rsidRPr="003C0EAA">
        <w:rPr>
          <w:rFonts w:eastAsia="Calibri" w:cs="Arial"/>
          <w:sz w:val="24"/>
          <w:szCs w:val="20"/>
        </w:rPr>
        <w:t xml:space="preserve"> e sono soggette a frane, colate detritiche e piene nei torrenti, si caratterizzano attualmente per la presenza di popolamenti boschivi relativamente omogenei e fitti, in parte con alberi troppo pesanti in zone scoscese e in generale con rinnovazione insufficiente. In passato si sono registrati disastrosi eventi di dissesto idrogeologico nel 1920, 1948 e 1950. Quale premunizione, già a partire dal 1925 e, successivamente, negli anni ’50, ’70 </w:t>
      </w:r>
      <w:proofErr w:type="gramStart"/>
      <w:r w:rsidRPr="003C0EAA">
        <w:rPr>
          <w:rFonts w:eastAsia="Calibri" w:cs="Arial"/>
          <w:sz w:val="24"/>
          <w:szCs w:val="20"/>
        </w:rPr>
        <w:t>e ’</w:t>
      </w:r>
      <w:proofErr w:type="gramEnd"/>
      <w:r w:rsidRPr="003C0EAA">
        <w:rPr>
          <w:rFonts w:eastAsia="Calibri" w:cs="Arial"/>
          <w:sz w:val="24"/>
          <w:szCs w:val="20"/>
        </w:rPr>
        <w:t>80, questi territori sono stati oggetto di progetti di rimboschimento; opere epiche, realizzate su versanti estremamente impervi e in parte rocciosi. Di questi progetti, oggi restano importanti boschi di protezione, che è però necessario gestire accuratamente per mantenerne la funzione di protezione diretta, nonché molti sentieri utilizzati in passato per accedere alle zone di messa a dimora dei giovani alberi. La manutenzione attiva delle piantagioni ha preso avvio nel 1990. È poi proseguita in modo più regolare fra il 2004 e il 2021 con un investimento complessivo di oltre 2,8 milioni di franchi. In questa regione vi è pure un’importante strada forestale (</w:t>
      </w:r>
      <w:proofErr w:type="spellStart"/>
      <w:r w:rsidRPr="003C0EAA">
        <w:rPr>
          <w:rFonts w:eastAsia="Calibri" w:cs="Arial"/>
          <w:sz w:val="24"/>
          <w:szCs w:val="20"/>
        </w:rPr>
        <w:t>Cantonaccio</w:t>
      </w:r>
      <w:proofErr w:type="spellEnd"/>
      <w:r w:rsidRPr="003C0EAA">
        <w:rPr>
          <w:rFonts w:eastAsia="Calibri" w:cs="Arial"/>
          <w:sz w:val="24"/>
          <w:szCs w:val="20"/>
        </w:rPr>
        <w:t xml:space="preserve">-Monti della Ganna), attualmente oggetto di un puntuale progetto di sistemazione e adeguamento alle mutate esigenze. La presenza in loco di importanti boschi di protezione ha indotto i vari attori a migliorare anche la lotta antincendio. Così, sono state realizzate due vasche per il pescaggio d’acqua: in Val </w:t>
      </w:r>
      <w:proofErr w:type="spellStart"/>
      <w:r w:rsidRPr="003C0EAA">
        <w:rPr>
          <w:rFonts w:eastAsia="Calibri" w:cs="Arial"/>
          <w:sz w:val="24"/>
          <w:szCs w:val="20"/>
        </w:rPr>
        <w:t>Ruscada</w:t>
      </w:r>
      <w:proofErr w:type="spellEnd"/>
      <w:r w:rsidRPr="003C0EAA">
        <w:rPr>
          <w:rFonts w:eastAsia="Calibri" w:cs="Arial"/>
          <w:sz w:val="24"/>
          <w:szCs w:val="20"/>
        </w:rPr>
        <w:t xml:space="preserve"> (anno 2014) e in zona Monti di </w:t>
      </w:r>
      <w:proofErr w:type="spellStart"/>
      <w:r w:rsidRPr="003C0EAA">
        <w:rPr>
          <w:rFonts w:eastAsia="Calibri" w:cs="Arial"/>
          <w:sz w:val="24"/>
          <w:szCs w:val="20"/>
        </w:rPr>
        <w:t>Ditto</w:t>
      </w:r>
      <w:proofErr w:type="spellEnd"/>
      <w:r w:rsidRPr="003C0EAA">
        <w:rPr>
          <w:rFonts w:eastAsia="Calibri" w:cs="Arial"/>
          <w:sz w:val="24"/>
          <w:szCs w:val="20"/>
        </w:rPr>
        <w:t xml:space="preserve"> (anno 2018). Prima di allora, eventuali interventi antincendio con elicotteri dovevano approvvigionarsi fino alla quota del Piano di </w:t>
      </w:r>
      <w:proofErr w:type="spellStart"/>
      <w:r w:rsidRPr="003C0EAA">
        <w:rPr>
          <w:rFonts w:eastAsia="Calibri" w:cs="Arial"/>
          <w:sz w:val="24"/>
          <w:szCs w:val="20"/>
        </w:rPr>
        <w:t>Magadino</w:t>
      </w:r>
      <w:proofErr w:type="spellEnd"/>
      <w:r w:rsidRPr="003C0EAA">
        <w:rPr>
          <w:rFonts w:eastAsia="Calibri" w:cs="Arial"/>
          <w:sz w:val="24"/>
          <w:szCs w:val="20"/>
        </w:rPr>
        <w:t xml:space="preserve"> o nel Lago Maggiore.</w:t>
      </w:r>
    </w:p>
    <w:p w:rsidR="003C0EAA" w:rsidRPr="003C0EAA" w:rsidRDefault="003C0EAA" w:rsidP="003C0EAA">
      <w:pPr>
        <w:rPr>
          <w:rFonts w:eastAsia="Calibri" w:cs="Arial"/>
          <w:sz w:val="24"/>
          <w:szCs w:val="20"/>
        </w:rPr>
      </w:pPr>
    </w:p>
    <w:p w:rsidR="003C0EAA" w:rsidRPr="003C0EAA" w:rsidRDefault="003C0EAA" w:rsidP="003C0EAA">
      <w:pPr>
        <w:rPr>
          <w:rFonts w:eastAsia="Calibri" w:cs="Arial"/>
          <w:sz w:val="24"/>
          <w:szCs w:val="20"/>
        </w:rPr>
      </w:pPr>
      <w:r w:rsidRPr="003C0EAA">
        <w:rPr>
          <w:rFonts w:eastAsia="Calibri" w:cs="Arial"/>
          <w:sz w:val="24"/>
          <w:szCs w:val="20"/>
        </w:rPr>
        <w:t xml:space="preserve">L’obiettivo del presente progetto è di proseguire i lavori di cura </w:t>
      </w:r>
      <w:proofErr w:type="spellStart"/>
      <w:r w:rsidRPr="003C0EAA">
        <w:rPr>
          <w:rFonts w:eastAsia="Calibri" w:cs="Arial"/>
          <w:sz w:val="24"/>
          <w:szCs w:val="20"/>
        </w:rPr>
        <w:t>selvicolturale</w:t>
      </w:r>
      <w:proofErr w:type="spellEnd"/>
      <w:r w:rsidRPr="003C0EAA">
        <w:rPr>
          <w:rFonts w:eastAsia="Calibri" w:cs="Arial"/>
          <w:sz w:val="24"/>
          <w:szCs w:val="20"/>
        </w:rPr>
        <w:t xml:space="preserve"> atti a garantire a lungo termine la funzione protettiva di questi boschi per gli abitati, le infrastrutture e le vie di comunicazione presenti in particolare sulle conoidi dei riali Pesta e </w:t>
      </w:r>
      <w:proofErr w:type="spellStart"/>
      <w:r w:rsidRPr="003C0EAA">
        <w:rPr>
          <w:rFonts w:eastAsia="Calibri" w:cs="Arial"/>
          <w:sz w:val="24"/>
          <w:szCs w:val="20"/>
        </w:rPr>
        <w:t>Riarena</w:t>
      </w:r>
      <w:proofErr w:type="spellEnd"/>
      <w:r w:rsidRPr="003C0EAA">
        <w:rPr>
          <w:rFonts w:eastAsia="Calibri" w:cs="Arial"/>
          <w:sz w:val="24"/>
          <w:szCs w:val="20"/>
        </w:rPr>
        <w:t>.</w:t>
      </w:r>
    </w:p>
    <w:p w:rsidR="003C0EAA" w:rsidRPr="003C0EAA" w:rsidRDefault="003C0EAA" w:rsidP="003C0EAA">
      <w:pPr>
        <w:rPr>
          <w:sz w:val="24"/>
          <w:szCs w:val="24"/>
        </w:rPr>
      </w:pPr>
    </w:p>
    <w:p w:rsidR="003C0EAA" w:rsidRDefault="003C0EAA" w:rsidP="003C0EAA">
      <w:pPr>
        <w:rPr>
          <w:sz w:val="24"/>
          <w:szCs w:val="24"/>
        </w:rPr>
      </w:pPr>
    </w:p>
    <w:p w:rsidR="00FA72DB" w:rsidRPr="003C0EAA" w:rsidRDefault="00FA72DB" w:rsidP="003C0EAA">
      <w:pPr>
        <w:rPr>
          <w:sz w:val="24"/>
          <w:szCs w:val="24"/>
        </w:rPr>
      </w:pPr>
    </w:p>
    <w:p w:rsidR="003C0EAA" w:rsidRPr="003C0EAA" w:rsidRDefault="003C0EAA" w:rsidP="003C0EAA">
      <w:pPr>
        <w:pStyle w:val="StandardRisoluzionedelConsigliodiStato"/>
        <w:tabs>
          <w:tab w:val="left" w:pos="567"/>
        </w:tabs>
        <w:spacing w:after="120"/>
        <w:rPr>
          <w:b/>
          <w:lang w:val="it-IT"/>
        </w:rPr>
      </w:pPr>
      <w:r w:rsidRPr="003C0EAA">
        <w:rPr>
          <w:b/>
          <w:lang w:val="it-IT"/>
        </w:rPr>
        <w:t>DESCRIZIONE DEL PROGETTO</w:t>
      </w:r>
    </w:p>
    <w:p w:rsidR="003C0EAA" w:rsidRPr="003C0EAA" w:rsidRDefault="003C0EAA" w:rsidP="003C0EAA">
      <w:pPr>
        <w:autoSpaceDE w:val="0"/>
        <w:autoSpaceDN w:val="0"/>
        <w:adjustRightInd w:val="0"/>
        <w:rPr>
          <w:rFonts w:eastAsia="Times New Roman" w:cs="Times New Roman"/>
          <w:sz w:val="24"/>
          <w:szCs w:val="20"/>
          <w:lang w:val="it-IT" w:eastAsia="it-IT"/>
        </w:rPr>
      </w:pPr>
      <w:r w:rsidRPr="003C0EAA">
        <w:rPr>
          <w:rFonts w:eastAsia="Times New Roman" w:cs="Times New Roman"/>
          <w:sz w:val="24"/>
          <w:szCs w:val="20"/>
          <w:lang w:val="it-IT" w:eastAsia="it-IT"/>
        </w:rPr>
        <w:t xml:space="preserve">In sintesi, il progetto, prevede i seguenti interventi su 180 ettari di boschi di protezione della zona, in grandissima parte di proprietà del Patriziato di </w:t>
      </w:r>
      <w:proofErr w:type="spellStart"/>
      <w:r w:rsidRPr="003C0EAA">
        <w:rPr>
          <w:rFonts w:eastAsia="Times New Roman" w:cs="Times New Roman"/>
          <w:sz w:val="24"/>
          <w:szCs w:val="20"/>
          <w:lang w:val="it-IT" w:eastAsia="it-IT"/>
        </w:rPr>
        <w:t>Cugnasco-Gerra</w:t>
      </w:r>
      <w:proofErr w:type="spellEnd"/>
      <w:r w:rsidRPr="003C0EAA">
        <w:rPr>
          <w:rFonts w:eastAsia="Times New Roman" w:cs="Times New Roman"/>
          <w:sz w:val="24"/>
          <w:szCs w:val="20"/>
          <w:lang w:val="it-IT" w:eastAsia="it-IT"/>
        </w:rPr>
        <w:t>:</w:t>
      </w:r>
    </w:p>
    <w:p w:rsidR="003C0EAA" w:rsidRPr="003C0EAA" w:rsidRDefault="003C0EAA" w:rsidP="003C0EAA">
      <w:pPr>
        <w:numPr>
          <w:ilvl w:val="0"/>
          <w:numId w:val="18"/>
        </w:numPr>
        <w:autoSpaceDE w:val="0"/>
        <w:autoSpaceDN w:val="0"/>
        <w:adjustRightInd w:val="0"/>
        <w:spacing w:before="120"/>
        <w:ind w:left="284" w:hanging="284"/>
        <w:rPr>
          <w:rFonts w:eastAsia="Times New Roman" w:cs="Times New Roman"/>
          <w:sz w:val="24"/>
          <w:szCs w:val="20"/>
          <w:lang w:val="it-IT" w:eastAsia="it-IT"/>
        </w:rPr>
      </w:pPr>
      <w:r w:rsidRPr="003C0EAA">
        <w:rPr>
          <w:rFonts w:eastAsia="Times New Roman" w:cs="Times New Roman"/>
          <w:sz w:val="24"/>
          <w:szCs w:val="20"/>
          <w:lang w:val="it-IT" w:eastAsia="it-IT"/>
        </w:rPr>
        <w:t xml:space="preserve">Interventi </w:t>
      </w:r>
      <w:proofErr w:type="spellStart"/>
      <w:r w:rsidRPr="003C0EAA">
        <w:rPr>
          <w:rFonts w:eastAsia="Times New Roman" w:cs="Times New Roman"/>
          <w:sz w:val="24"/>
          <w:szCs w:val="20"/>
          <w:lang w:val="it-IT" w:eastAsia="it-IT"/>
        </w:rPr>
        <w:t>selvicolturali</w:t>
      </w:r>
      <w:proofErr w:type="spellEnd"/>
      <w:r w:rsidRPr="003C0EAA">
        <w:rPr>
          <w:rFonts w:eastAsia="Times New Roman" w:cs="Times New Roman"/>
          <w:sz w:val="24"/>
          <w:szCs w:val="20"/>
          <w:lang w:val="it-IT" w:eastAsia="it-IT"/>
        </w:rPr>
        <w:t xml:space="preserve"> di varia natura, suddivisi in 9 Unità di trattamento e i cui dettagli come pure le priorità di intervento sono indicati nel messaggio e nel progetto. In generale questi interventi sono atti a garantire la stabilità duratura dei popolamenti tramite un tipo di bosco con popolamenti misti e non troppo chiusi, strutturati in senso verticale e orizzontale, con alberi stabili, con un’adeguata distribuzione del ringiovanimento. Il rinnovamento dei popolamenti è previsto principalmente con ringiovanimento naturale, tramite la formazione di nuove aperture e l’ampliamento di quelle eseguite in passato. Si cercherà di favorire le latifoglie rispetto all’abete rosso per favorire la giusta mescolanza e per tenere conto degli effetti dei cambiamenti climatici su alcune specie arboree. Inoltre, unicamente nella parte alta dei bacini imbriferi si prevede la piantagione di circa 1'600 piantine di specie poco presenti con la funzione a lungo termine di diventare alberi da seme. Sarà necessario anche ripristinare le recinzioni realizzate in passato e attuare una protezione chimica della gemma terminale delle piantine messe a dimora; questo a causa del sistematico </w:t>
      </w:r>
      <w:proofErr w:type="spellStart"/>
      <w:r w:rsidRPr="003C0EAA">
        <w:rPr>
          <w:rFonts w:eastAsia="Times New Roman" w:cs="Times New Roman"/>
          <w:sz w:val="24"/>
          <w:szCs w:val="20"/>
          <w:lang w:val="it-IT" w:eastAsia="it-IT"/>
        </w:rPr>
        <w:t>brucamento</w:t>
      </w:r>
      <w:proofErr w:type="spellEnd"/>
      <w:r w:rsidRPr="003C0EAA">
        <w:rPr>
          <w:rFonts w:eastAsia="Times New Roman" w:cs="Times New Roman"/>
          <w:sz w:val="24"/>
          <w:szCs w:val="20"/>
          <w:lang w:val="it-IT" w:eastAsia="it-IT"/>
        </w:rPr>
        <w:t xml:space="preserve"> da parte della selvaggina presente in sovrannumero. Infine, si interverrà puntualmente su alcuni </w:t>
      </w:r>
      <w:r w:rsidRPr="003C0EAA">
        <w:rPr>
          <w:rFonts w:eastAsia="Times New Roman" w:cs="Times New Roman"/>
          <w:sz w:val="24"/>
          <w:szCs w:val="20"/>
          <w:lang w:val="it-IT" w:eastAsia="it-IT"/>
        </w:rPr>
        <w:lastRenderedPageBreak/>
        <w:t>dissesti con la messa in sicurezza di ceppaie o sassi pericolanti e si appronterà una puntuale lotta contro la Paulonia, una neofita invasiva limitatamente presente.</w:t>
      </w:r>
    </w:p>
    <w:p w:rsidR="003C0EAA" w:rsidRPr="003C0EAA" w:rsidRDefault="003C0EAA" w:rsidP="003C0EAA">
      <w:pPr>
        <w:numPr>
          <w:ilvl w:val="0"/>
          <w:numId w:val="18"/>
        </w:numPr>
        <w:autoSpaceDE w:val="0"/>
        <w:autoSpaceDN w:val="0"/>
        <w:adjustRightInd w:val="0"/>
        <w:spacing w:before="120"/>
        <w:ind w:left="284" w:hanging="284"/>
        <w:rPr>
          <w:rFonts w:eastAsia="Times New Roman" w:cs="Times New Roman"/>
          <w:sz w:val="24"/>
          <w:szCs w:val="24"/>
          <w:lang w:val="it-IT" w:eastAsia="it-IT"/>
        </w:rPr>
      </w:pPr>
      <w:r w:rsidRPr="003C0EAA">
        <w:rPr>
          <w:rFonts w:eastAsia="Times New Roman" w:cs="Times New Roman"/>
          <w:sz w:val="24"/>
          <w:szCs w:val="20"/>
          <w:lang w:val="it-IT" w:eastAsia="it-IT"/>
        </w:rPr>
        <w:t>Formazione di 8 piazzuole distribuite nelle piantagioni consortili quali punti di atterraggio per la posa di vasche di pescaggio mobili per elicotteri a complemento delle importanti infrastrutture di lotta antincendio già realizzate.</w:t>
      </w:r>
    </w:p>
    <w:p w:rsidR="003C0EAA" w:rsidRPr="003C0EAA" w:rsidRDefault="003C0EAA" w:rsidP="003C0EAA">
      <w:pPr>
        <w:numPr>
          <w:ilvl w:val="0"/>
          <w:numId w:val="18"/>
        </w:numPr>
        <w:autoSpaceDE w:val="0"/>
        <w:autoSpaceDN w:val="0"/>
        <w:adjustRightInd w:val="0"/>
        <w:spacing w:before="120"/>
        <w:ind w:left="284" w:hanging="284"/>
        <w:rPr>
          <w:rFonts w:eastAsia="Times New Roman" w:cs="Times New Roman"/>
          <w:sz w:val="24"/>
          <w:szCs w:val="24"/>
          <w:lang w:val="it-IT" w:eastAsia="it-IT"/>
        </w:rPr>
      </w:pPr>
      <w:r w:rsidRPr="003C0EAA">
        <w:rPr>
          <w:rFonts w:eastAsia="Times New Roman" w:cs="Times New Roman"/>
          <w:sz w:val="24"/>
          <w:szCs w:val="20"/>
          <w:lang w:val="it-IT" w:eastAsia="it-IT"/>
        </w:rPr>
        <w:t>Sistemazione dei vecchi sentieri di accesso alle piantagioni. Questi interventi saranno limitati al necessario, poiché grazie alla costante manutenzione assicurata dal consorzio, la fitta rete di 25 km di sentieri è relativamente in buono stato.</w:t>
      </w:r>
    </w:p>
    <w:p w:rsidR="003C0EAA" w:rsidRPr="003C0EAA" w:rsidRDefault="003C0EAA" w:rsidP="003C0EAA">
      <w:pPr>
        <w:autoSpaceDE w:val="0"/>
        <w:autoSpaceDN w:val="0"/>
        <w:adjustRightInd w:val="0"/>
        <w:ind w:left="360"/>
        <w:rPr>
          <w:rFonts w:eastAsia="Calibri" w:cs="Arial"/>
          <w:color w:val="000000"/>
          <w:sz w:val="24"/>
          <w:szCs w:val="20"/>
          <w:lang w:eastAsia="it-CH"/>
        </w:rPr>
      </w:pPr>
    </w:p>
    <w:p w:rsidR="003C0EAA" w:rsidRPr="003C0EAA" w:rsidRDefault="003C0EAA" w:rsidP="003C0EAA">
      <w:pPr>
        <w:rPr>
          <w:rFonts w:eastAsia="Calibri" w:cs="Arial"/>
          <w:sz w:val="24"/>
          <w:szCs w:val="20"/>
        </w:rPr>
      </w:pPr>
      <w:r w:rsidRPr="003C0EAA">
        <w:rPr>
          <w:rFonts w:eastAsia="Calibri" w:cs="Arial"/>
          <w:sz w:val="24"/>
          <w:szCs w:val="20"/>
        </w:rPr>
        <w:t xml:space="preserve">Operativamente, il committente del progetto sarà il Consorzio forestale Valli Pesta e </w:t>
      </w:r>
      <w:proofErr w:type="spellStart"/>
      <w:r w:rsidRPr="003C0EAA">
        <w:rPr>
          <w:rFonts w:eastAsia="Calibri" w:cs="Arial"/>
          <w:sz w:val="24"/>
          <w:szCs w:val="20"/>
        </w:rPr>
        <w:t>Riarena</w:t>
      </w:r>
      <w:proofErr w:type="spellEnd"/>
      <w:r w:rsidRPr="003C0EAA">
        <w:rPr>
          <w:rFonts w:eastAsia="Calibri" w:cs="Arial"/>
          <w:sz w:val="24"/>
          <w:szCs w:val="20"/>
        </w:rPr>
        <w:t xml:space="preserve"> (CFVPR), formato oltre che da enti pubblici comunali, patriziali e cantonali, anche dalle FFS, da alcune aziende elettriche e di telecomunicazione e da </w:t>
      </w:r>
      <w:proofErr w:type="spellStart"/>
      <w:r w:rsidRPr="003C0EAA">
        <w:rPr>
          <w:rFonts w:eastAsia="Calibri" w:cs="Arial"/>
          <w:sz w:val="24"/>
          <w:szCs w:val="20"/>
        </w:rPr>
        <w:t>Armasuisse</w:t>
      </w:r>
      <w:proofErr w:type="spellEnd"/>
      <w:r w:rsidRPr="003C0EAA">
        <w:rPr>
          <w:rFonts w:eastAsia="Calibri" w:cs="Arial"/>
          <w:sz w:val="24"/>
          <w:szCs w:val="20"/>
        </w:rPr>
        <w:t>, mentre la direzione lavori sarà assicurata dalla Sezione forestale per il tramite dell’Ufficio forestale del 9° Circondario coinvolgendo se del caso i partner tecnici per un supporto.</w:t>
      </w:r>
    </w:p>
    <w:p w:rsidR="003C0EAA" w:rsidRPr="003C0EAA" w:rsidRDefault="003C0EAA" w:rsidP="003C0EAA">
      <w:pPr>
        <w:rPr>
          <w:rFonts w:eastAsia="Calibri" w:cs="Arial"/>
          <w:sz w:val="24"/>
          <w:szCs w:val="20"/>
        </w:rPr>
      </w:pPr>
    </w:p>
    <w:p w:rsidR="003C0EAA" w:rsidRDefault="003C0EAA" w:rsidP="003C0EAA">
      <w:pPr>
        <w:rPr>
          <w:rFonts w:eastAsia="Calibri" w:cs="Arial"/>
          <w:sz w:val="24"/>
          <w:szCs w:val="20"/>
        </w:rPr>
      </w:pPr>
    </w:p>
    <w:p w:rsidR="00FA72DB" w:rsidRPr="003C0EAA" w:rsidRDefault="00FA72DB" w:rsidP="003C0EAA">
      <w:pPr>
        <w:rPr>
          <w:rFonts w:eastAsia="Calibri" w:cs="Arial"/>
          <w:sz w:val="24"/>
          <w:szCs w:val="20"/>
        </w:rPr>
      </w:pPr>
    </w:p>
    <w:p w:rsidR="003C0EAA" w:rsidRPr="003C0EAA" w:rsidRDefault="003C0EAA" w:rsidP="003C0EAA">
      <w:pPr>
        <w:pStyle w:val="StandardRisoluzionedelConsigliodiStato"/>
        <w:tabs>
          <w:tab w:val="left" w:pos="567"/>
        </w:tabs>
        <w:spacing w:after="120"/>
        <w:rPr>
          <w:b/>
          <w:lang w:val="it-IT"/>
        </w:rPr>
      </w:pPr>
      <w:r w:rsidRPr="003C0EAA">
        <w:rPr>
          <w:b/>
          <w:lang w:val="it-IT"/>
        </w:rPr>
        <w:t>ASPETTI FINANZIARI</w:t>
      </w:r>
    </w:p>
    <w:p w:rsidR="003C0EAA" w:rsidRPr="003C0EAA" w:rsidRDefault="003C0EAA" w:rsidP="003C0EAA">
      <w:pPr>
        <w:rPr>
          <w:rFonts w:eastAsia="Calibri" w:cs="Arial"/>
          <w:sz w:val="24"/>
          <w:szCs w:val="20"/>
        </w:rPr>
      </w:pPr>
      <w:r w:rsidRPr="003C0EAA">
        <w:rPr>
          <w:rFonts w:eastAsia="Calibri" w:cs="Arial"/>
          <w:sz w:val="24"/>
          <w:szCs w:val="20"/>
        </w:rPr>
        <w:t xml:space="preserve">Il messaggio in oggetto chiede di autorizzare il Cantone a concedere al </w:t>
      </w:r>
      <w:r w:rsidRPr="003C0EAA">
        <w:rPr>
          <w:sz w:val="24"/>
          <w:szCs w:val="24"/>
        </w:rPr>
        <w:t xml:space="preserve">Consorzio forestale Valli Pesta e </w:t>
      </w:r>
      <w:proofErr w:type="spellStart"/>
      <w:r w:rsidRPr="003C0EAA">
        <w:rPr>
          <w:sz w:val="24"/>
          <w:szCs w:val="24"/>
        </w:rPr>
        <w:t>Riarena</w:t>
      </w:r>
      <w:proofErr w:type="spellEnd"/>
      <w:r w:rsidRPr="003C0EAA">
        <w:rPr>
          <w:sz w:val="24"/>
          <w:szCs w:val="24"/>
        </w:rPr>
        <w:t xml:space="preserve"> (CFVPR)</w:t>
      </w:r>
      <w:r w:rsidRPr="003C0EAA">
        <w:rPr>
          <w:rFonts w:eastAsia="Calibri" w:cs="Arial"/>
          <w:sz w:val="24"/>
          <w:szCs w:val="20"/>
        </w:rPr>
        <w:t xml:space="preserve"> un sussidio di</w:t>
      </w:r>
      <w:r w:rsidRPr="003C0EAA">
        <w:rPr>
          <w:sz w:val="24"/>
          <w:szCs w:val="24"/>
        </w:rPr>
        <w:t xml:space="preserve"> CHF 2'360'</w:t>
      </w:r>
      <w:proofErr w:type="gramStart"/>
      <w:r w:rsidRPr="003C0EAA">
        <w:rPr>
          <w:sz w:val="24"/>
          <w:szCs w:val="24"/>
        </w:rPr>
        <w:t>000.--</w:t>
      </w:r>
      <w:proofErr w:type="gramEnd"/>
      <w:r w:rsidRPr="003C0EAA">
        <w:rPr>
          <w:rFonts w:eastAsia="Calibri" w:cs="Arial"/>
          <w:sz w:val="24"/>
          <w:szCs w:val="20"/>
        </w:rPr>
        <w:t xml:space="preserve">, di cui </w:t>
      </w:r>
      <w:r w:rsidRPr="003C0EAA">
        <w:rPr>
          <w:sz w:val="24"/>
          <w:szCs w:val="24"/>
        </w:rPr>
        <w:t xml:space="preserve">CHF 1'460'000.-- </w:t>
      </w:r>
      <w:r w:rsidRPr="003C0EAA">
        <w:rPr>
          <w:rFonts w:eastAsia="Calibri" w:cs="Arial"/>
          <w:sz w:val="24"/>
          <w:szCs w:val="20"/>
        </w:rPr>
        <w:t xml:space="preserve">quale sussidio netto cantonale e CHF 900’000.-- quale sussidio massimo federale per la realizzazione del progetto </w:t>
      </w:r>
      <w:proofErr w:type="spellStart"/>
      <w:r w:rsidRPr="003C0EAA">
        <w:rPr>
          <w:rFonts w:eastAsia="Calibri" w:cs="Arial"/>
          <w:sz w:val="24"/>
          <w:szCs w:val="20"/>
        </w:rPr>
        <w:t>selvicolturale</w:t>
      </w:r>
      <w:proofErr w:type="spellEnd"/>
      <w:r w:rsidRPr="003C0EAA">
        <w:rPr>
          <w:rFonts w:eastAsia="Calibri" w:cs="Arial"/>
          <w:sz w:val="24"/>
          <w:szCs w:val="20"/>
        </w:rPr>
        <w:t xml:space="preserve"> di gestione dei boschi di protezione nel comprensorio boschivo delle Valli Pesta e </w:t>
      </w:r>
      <w:proofErr w:type="spellStart"/>
      <w:r w:rsidRPr="003C0EAA">
        <w:rPr>
          <w:rFonts w:eastAsia="Calibri" w:cs="Arial"/>
          <w:sz w:val="24"/>
          <w:szCs w:val="20"/>
        </w:rPr>
        <w:t>Riarena</w:t>
      </w:r>
      <w:proofErr w:type="spellEnd"/>
      <w:r w:rsidRPr="003C0EAA">
        <w:rPr>
          <w:rFonts w:eastAsia="Calibri" w:cs="Arial"/>
          <w:sz w:val="24"/>
          <w:szCs w:val="20"/>
        </w:rPr>
        <w:t xml:space="preserve"> nel Comune di </w:t>
      </w:r>
      <w:proofErr w:type="spellStart"/>
      <w:r w:rsidRPr="003C0EAA">
        <w:rPr>
          <w:rFonts w:eastAsia="Calibri" w:cs="Arial"/>
          <w:sz w:val="24"/>
          <w:szCs w:val="20"/>
        </w:rPr>
        <w:t>Cugnasco-Gerra</w:t>
      </w:r>
      <w:proofErr w:type="spellEnd"/>
      <w:r w:rsidRPr="003C0EAA">
        <w:rPr>
          <w:rFonts w:eastAsia="Calibri" w:cs="Arial"/>
          <w:sz w:val="24"/>
          <w:szCs w:val="20"/>
        </w:rPr>
        <w:t>.</w:t>
      </w:r>
    </w:p>
    <w:p w:rsidR="003C0EAA" w:rsidRPr="003C0EAA" w:rsidRDefault="003C0EAA" w:rsidP="003C0EAA">
      <w:pPr>
        <w:rPr>
          <w:rFonts w:cs="Arial"/>
          <w:sz w:val="24"/>
          <w:szCs w:val="24"/>
        </w:rPr>
      </w:pPr>
    </w:p>
    <w:p w:rsidR="003C0EAA" w:rsidRDefault="003C0EAA" w:rsidP="003C0EAA">
      <w:pPr>
        <w:rPr>
          <w:rFonts w:cs="Arial"/>
          <w:sz w:val="24"/>
          <w:szCs w:val="24"/>
        </w:rPr>
      </w:pPr>
      <w:r w:rsidRPr="003C0EAA">
        <w:rPr>
          <w:rFonts w:cs="Arial"/>
          <w:sz w:val="24"/>
          <w:szCs w:val="24"/>
        </w:rPr>
        <w:t>Il messaggio riporta i dati finanziari del progetto e il relativo piano di finanziamento, i cui dettagli sono indicati nelle seguenti tabelle:</w:t>
      </w:r>
    </w:p>
    <w:p w:rsidR="003C0EAA" w:rsidRDefault="003C0EAA" w:rsidP="003C0EAA">
      <w:pPr>
        <w:rPr>
          <w:rFonts w:cs="Arial"/>
          <w:sz w:val="24"/>
          <w:szCs w:val="24"/>
        </w:rPr>
      </w:pPr>
    </w:p>
    <w:p w:rsidR="003C0EAA" w:rsidRPr="003C0EAA" w:rsidRDefault="003C0EAA" w:rsidP="003C0EAA">
      <w:pPr>
        <w:rPr>
          <w:rFonts w:cs="Arial"/>
          <w:sz w:val="24"/>
          <w:szCs w:val="24"/>
        </w:rPr>
      </w:pPr>
      <w:r w:rsidRPr="003C0EAA">
        <w:rPr>
          <w:rFonts w:cs="Arial"/>
          <w:b/>
          <w:sz w:val="24"/>
          <w:szCs w:val="24"/>
        </w:rPr>
        <w:t xml:space="preserve">Tabella “Costi progetto </w:t>
      </w:r>
      <w:proofErr w:type="spellStart"/>
      <w:r w:rsidRPr="003C0EAA">
        <w:rPr>
          <w:rFonts w:cs="Arial"/>
          <w:b/>
          <w:sz w:val="24"/>
          <w:szCs w:val="24"/>
        </w:rPr>
        <w:t>selvicolturale</w:t>
      </w:r>
      <w:proofErr w:type="spellEnd"/>
      <w:r w:rsidRPr="003C0EAA">
        <w:rPr>
          <w:rFonts w:cs="Arial"/>
          <w:b/>
          <w:sz w:val="24"/>
          <w:szCs w:val="24"/>
        </w:rPr>
        <w:t xml:space="preserve"> bosco di protezione Valli Pesta e </w:t>
      </w:r>
      <w:proofErr w:type="spellStart"/>
      <w:r w:rsidRPr="003C0EAA">
        <w:rPr>
          <w:rFonts w:cs="Arial"/>
          <w:b/>
          <w:sz w:val="24"/>
          <w:szCs w:val="24"/>
        </w:rPr>
        <w:t>Riarena</w:t>
      </w:r>
      <w:proofErr w:type="spellEnd"/>
      <w:r w:rsidRPr="003C0EAA">
        <w:rPr>
          <w:rFonts w:cs="Arial"/>
          <w:b/>
          <w:sz w:val="24"/>
          <w:szCs w:val="24"/>
        </w:rPr>
        <w:t>”</w:t>
      </w:r>
    </w:p>
    <w:p w:rsidR="003C0EAA" w:rsidRPr="003C0EAA" w:rsidRDefault="003C0EAA" w:rsidP="003C0EAA">
      <w:pPr>
        <w:tabs>
          <w:tab w:val="left" w:pos="4536"/>
          <w:tab w:val="left" w:pos="7371"/>
        </w:tabs>
        <w:rPr>
          <w:rFonts w:eastAsia="Times New Roman" w:cs="Times New Roman"/>
          <w:sz w:val="24"/>
          <w:szCs w:val="20"/>
          <w:lang w:val="it-IT" w:eastAsia="it-IT"/>
        </w:rPr>
      </w:pPr>
    </w:p>
    <w:tbl>
      <w:tblPr>
        <w:tblStyle w:val="Grigliatabella2"/>
        <w:tblW w:w="0" w:type="auto"/>
        <w:jc w:val="center"/>
        <w:tblLook w:val="01E0" w:firstRow="1" w:lastRow="1" w:firstColumn="1" w:lastColumn="1" w:noHBand="0" w:noVBand="0"/>
      </w:tblPr>
      <w:tblGrid>
        <w:gridCol w:w="4889"/>
        <w:gridCol w:w="628"/>
        <w:gridCol w:w="1620"/>
      </w:tblGrid>
      <w:tr w:rsidR="003C0EAA" w:rsidRPr="003C0EAA" w:rsidTr="009F51C5">
        <w:trPr>
          <w:jc w:val="center"/>
        </w:trPr>
        <w:tc>
          <w:tcPr>
            <w:tcW w:w="4889" w:type="dxa"/>
            <w:tcBorders>
              <w:left w:val="nil"/>
              <w:bottom w:val="dotted" w:sz="4" w:space="0" w:color="auto"/>
              <w:right w:val="nil"/>
            </w:tcBorders>
          </w:tcPr>
          <w:p w:rsidR="003C0EAA" w:rsidRPr="003C0EAA" w:rsidRDefault="003C0EAA" w:rsidP="003C0EAA">
            <w:pPr>
              <w:tabs>
                <w:tab w:val="left" w:pos="567"/>
                <w:tab w:val="left" w:pos="1134"/>
              </w:tabs>
              <w:rPr>
                <w:b/>
                <w:lang w:val="it-IT" w:eastAsia="it-IT"/>
              </w:rPr>
            </w:pPr>
            <w:r w:rsidRPr="003C0EAA">
              <w:rPr>
                <w:b/>
                <w:lang w:val="it-IT" w:eastAsia="it-IT"/>
              </w:rPr>
              <w:t>Descrizione</w:t>
            </w:r>
          </w:p>
        </w:tc>
        <w:tc>
          <w:tcPr>
            <w:tcW w:w="2248" w:type="dxa"/>
            <w:gridSpan w:val="2"/>
            <w:tcBorders>
              <w:left w:val="nil"/>
              <w:bottom w:val="dotted" w:sz="4" w:space="0" w:color="auto"/>
              <w:right w:val="nil"/>
            </w:tcBorders>
          </w:tcPr>
          <w:p w:rsidR="003C0EAA" w:rsidRPr="003C0EAA" w:rsidRDefault="003C0EAA" w:rsidP="003C0EAA">
            <w:pPr>
              <w:tabs>
                <w:tab w:val="left" w:pos="567"/>
                <w:tab w:val="left" w:pos="1134"/>
              </w:tabs>
              <w:jc w:val="center"/>
              <w:rPr>
                <w:b/>
                <w:lang w:val="it-IT" w:eastAsia="it-IT"/>
              </w:rPr>
            </w:pPr>
            <w:r w:rsidRPr="003C0EAA">
              <w:rPr>
                <w:b/>
                <w:lang w:val="it-IT" w:eastAsia="it-IT"/>
              </w:rPr>
              <w:t>Importi</w:t>
            </w:r>
          </w:p>
        </w:tc>
      </w:tr>
      <w:tr w:rsidR="003C0EAA" w:rsidRPr="003C0EAA" w:rsidTr="009F51C5">
        <w:trPr>
          <w:jc w:val="center"/>
        </w:trPr>
        <w:tc>
          <w:tcPr>
            <w:tcW w:w="4889" w:type="dxa"/>
            <w:tcBorders>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Installazione cantiere</w:t>
            </w:r>
          </w:p>
        </w:tc>
        <w:tc>
          <w:tcPr>
            <w:tcW w:w="628" w:type="dxa"/>
            <w:tcBorders>
              <w:left w:val="nil"/>
              <w:bottom w:val="dotted" w:sz="4" w:space="0" w:color="auto"/>
              <w:right w:val="nil"/>
            </w:tcBorders>
          </w:tcPr>
          <w:p w:rsidR="003C0EAA" w:rsidRPr="003C0EAA" w:rsidRDefault="003C0EAA" w:rsidP="003C0EAA">
            <w:pPr>
              <w:tabs>
                <w:tab w:val="left" w:pos="567"/>
                <w:tab w:val="left" w:pos="1134"/>
              </w:tabs>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110'000.00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Creazione della foresta</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44’000.00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Protezione della rinnovazione</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153’000.00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 xml:space="preserve">Cure </w:t>
            </w:r>
            <w:proofErr w:type="spellStart"/>
            <w:r w:rsidRPr="003C0EAA">
              <w:rPr>
                <w:lang w:val="it-IT" w:eastAsia="it-IT"/>
              </w:rPr>
              <w:t>selvicolturali</w:t>
            </w:r>
            <w:proofErr w:type="spellEnd"/>
          </w:p>
        </w:tc>
        <w:tc>
          <w:tcPr>
            <w:tcW w:w="628" w:type="dxa"/>
            <w:tcBorders>
              <w:top w:val="dotted" w:sz="4" w:space="0" w:color="auto"/>
              <w:left w:val="nil"/>
              <w:bottom w:val="dotted" w:sz="4" w:space="0" w:color="auto"/>
              <w:right w:val="nil"/>
            </w:tcBorders>
          </w:tcPr>
          <w:p w:rsidR="003C0EAA" w:rsidRPr="003C0EAA" w:rsidRDefault="003C0EAA" w:rsidP="003C0EAA">
            <w:pPr>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60’200.00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Taglio del bosco</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742’200.00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Esbosco del legname</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534’000.00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Lavorazione del legname sul piazzale d’esbosco</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69’000.00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Trasporto fino al piazzale di deposito finale</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42’000.00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Opere tecniche</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382’500.00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Rincaro periodo 2022-2032 (3%)</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64'107.00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Imprevisti (10%)</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220'100.00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Indennità intemperie (1%)</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24'211.00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IVA per opere da impresario forestale (7.7%)</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188'289.00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Progettazione e direzione lavori (12%)</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290'532.00</w:t>
            </w:r>
          </w:p>
        </w:tc>
      </w:tr>
      <w:tr w:rsidR="003C0EAA" w:rsidRPr="003C0EAA" w:rsidTr="009F51C5">
        <w:trPr>
          <w:jc w:val="center"/>
        </w:trPr>
        <w:tc>
          <w:tcPr>
            <w:tcW w:w="4889"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IVA per progettazione e direzione lavori (7.7%)</w:t>
            </w:r>
          </w:p>
        </w:tc>
        <w:tc>
          <w:tcPr>
            <w:tcW w:w="628" w:type="dxa"/>
            <w:tcBorders>
              <w:top w:val="dotted" w:sz="4" w:space="0" w:color="auto"/>
              <w:left w:val="nil"/>
              <w:bottom w:val="dotted"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dotted"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22'371.00</w:t>
            </w:r>
          </w:p>
        </w:tc>
      </w:tr>
      <w:tr w:rsidR="003C0EAA" w:rsidRPr="003C0EAA" w:rsidTr="009F51C5">
        <w:trPr>
          <w:jc w:val="center"/>
        </w:trPr>
        <w:tc>
          <w:tcPr>
            <w:tcW w:w="4889" w:type="dxa"/>
            <w:tcBorders>
              <w:top w:val="dotted" w:sz="4" w:space="0" w:color="auto"/>
              <w:left w:val="nil"/>
              <w:bottom w:val="single" w:sz="4" w:space="0" w:color="auto"/>
              <w:right w:val="nil"/>
            </w:tcBorders>
          </w:tcPr>
          <w:p w:rsidR="003C0EAA" w:rsidRPr="003C0EAA" w:rsidRDefault="003C0EAA" w:rsidP="003C0EAA">
            <w:pPr>
              <w:tabs>
                <w:tab w:val="left" w:pos="567"/>
                <w:tab w:val="left" w:pos="1134"/>
              </w:tabs>
              <w:rPr>
                <w:lang w:val="it-IT" w:eastAsia="it-IT"/>
              </w:rPr>
            </w:pPr>
            <w:r w:rsidRPr="003C0EAA">
              <w:rPr>
                <w:lang w:val="it-IT" w:eastAsia="it-IT"/>
              </w:rPr>
              <w:t>Arrotondamento</w:t>
            </w:r>
          </w:p>
        </w:tc>
        <w:tc>
          <w:tcPr>
            <w:tcW w:w="628" w:type="dxa"/>
            <w:tcBorders>
              <w:top w:val="dotted" w:sz="4" w:space="0" w:color="auto"/>
              <w:left w:val="nil"/>
              <w:bottom w:val="single" w:sz="4" w:space="0" w:color="auto"/>
              <w:right w:val="nil"/>
            </w:tcBorders>
          </w:tcPr>
          <w:p w:rsidR="003C0EAA" w:rsidRPr="003C0EAA" w:rsidRDefault="003C0EAA" w:rsidP="003C0EAA">
            <w:pPr>
              <w:jc w:val="center"/>
              <w:rPr>
                <w:sz w:val="24"/>
                <w:lang w:val="it-IT" w:eastAsia="it-IT"/>
              </w:rPr>
            </w:pPr>
            <w:proofErr w:type="spellStart"/>
            <w:r w:rsidRPr="003C0EAA">
              <w:rPr>
                <w:lang w:val="it-IT" w:eastAsia="it-IT"/>
              </w:rPr>
              <w:t>fr</w:t>
            </w:r>
            <w:proofErr w:type="spellEnd"/>
            <w:r w:rsidRPr="003C0EAA">
              <w:rPr>
                <w:lang w:val="it-IT" w:eastAsia="it-IT"/>
              </w:rPr>
              <w:t>.</w:t>
            </w:r>
          </w:p>
        </w:tc>
        <w:tc>
          <w:tcPr>
            <w:tcW w:w="1620" w:type="dxa"/>
            <w:tcBorders>
              <w:top w:val="dotted" w:sz="4" w:space="0" w:color="auto"/>
              <w:left w:val="nil"/>
              <w:bottom w:val="single" w:sz="4" w:space="0" w:color="auto"/>
              <w:right w:val="nil"/>
            </w:tcBorders>
          </w:tcPr>
          <w:p w:rsidR="003C0EAA" w:rsidRPr="003C0EAA" w:rsidRDefault="003C0EAA" w:rsidP="003C0EAA">
            <w:pPr>
              <w:tabs>
                <w:tab w:val="left" w:pos="567"/>
                <w:tab w:val="left" w:pos="1134"/>
              </w:tabs>
              <w:jc w:val="right"/>
              <w:rPr>
                <w:lang w:val="it-IT" w:eastAsia="it-IT"/>
              </w:rPr>
            </w:pPr>
            <w:r w:rsidRPr="003C0EAA">
              <w:rPr>
                <w:lang w:val="it-IT" w:eastAsia="it-IT"/>
              </w:rPr>
              <w:t>+3'487.00</w:t>
            </w:r>
          </w:p>
        </w:tc>
      </w:tr>
      <w:tr w:rsidR="003C0EAA" w:rsidRPr="003C0EAA" w:rsidTr="009F51C5">
        <w:trPr>
          <w:jc w:val="center"/>
        </w:trPr>
        <w:tc>
          <w:tcPr>
            <w:tcW w:w="4889" w:type="dxa"/>
            <w:tcBorders>
              <w:left w:val="nil"/>
              <w:right w:val="nil"/>
            </w:tcBorders>
            <w:shd w:val="pct15" w:color="auto" w:fill="auto"/>
          </w:tcPr>
          <w:p w:rsidR="003C0EAA" w:rsidRPr="003C0EAA" w:rsidRDefault="003C0EAA" w:rsidP="003C0EAA">
            <w:pPr>
              <w:tabs>
                <w:tab w:val="left" w:pos="567"/>
                <w:tab w:val="left" w:pos="1134"/>
              </w:tabs>
              <w:rPr>
                <w:b/>
                <w:lang w:val="it-IT" w:eastAsia="it-IT"/>
              </w:rPr>
            </w:pPr>
            <w:r w:rsidRPr="003C0EAA">
              <w:rPr>
                <w:b/>
                <w:lang w:val="it-IT" w:eastAsia="it-IT"/>
              </w:rPr>
              <w:t>Totale</w:t>
            </w:r>
          </w:p>
        </w:tc>
        <w:tc>
          <w:tcPr>
            <w:tcW w:w="628" w:type="dxa"/>
            <w:tcBorders>
              <w:left w:val="nil"/>
              <w:right w:val="nil"/>
            </w:tcBorders>
            <w:shd w:val="pct15" w:color="auto" w:fill="auto"/>
          </w:tcPr>
          <w:p w:rsidR="003C0EAA" w:rsidRPr="003C0EAA" w:rsidRDefault="003C0EAA" w:rsidP="003C0EAA">
            <w:pPr>
              <w:jc w:val="center"/>
              <w:rPr>
                <w:b/>
                <w:sz w:val="24"/>
                <w:lang w:val="it-IT" w:eastAsia="it-IT"/>
              </w:rPr>
            </w:pPr>
            <w:proofErr w:type="spellStart"/>
            <w:r w:rsidRPr="003C0EAA">
              <w:rPr>
                <w:b/>
                <w:lang w:val="it-IT" w:eastAsia="it-IT"/>
              </w:rPr>
              <w:t>fr</w:t>
            </w:r>
            <w:proofErr w:type="spellEnd"/>
            <w:r w:rsidRPr="003C0EAA">
              <w:rPr>
                <w:b/>
                <w:lang w:val="it-IT" w:eastAsia="it-IT"/>
              </w:rPr>
              <w:t>.</w:t>
            </w:r>
          </w:p>
        </w:tc>
        <w:tc>
          <w:tcPr>
            <w:tcW w:w="1620" w:type="dxa"/>
            <w:tcBorders>
              <w:left w:val="nil"/>
              <w:right w:val="nil"/>
            </w:tcBorders>
            <w:shd w:val="pct15" w:color="auto" w:fill="auto"/>
          </w:tcPr>
          <w:p w:rsidR="003C0EAA" w:rsidRPr="003C0EAA" w:rsidRDefault="003C0EAA" w:rsidP="003C0EAA">
            <w:pPr>
              <w:tabs>
                <w:tab w:val="left" w:pos="567"/>
                <w:tab w:val="left" w:pos="1134"/>
              </w:tabs>
              <w:jc w:val="right"/>
              <w:rPr>
                <w:b/>
                <w:lang w:val="it-IT" w:eastAsia="it-IT"/>
              </w:rPr>
            </w:pPr>
            <w:r w:rsidRPr="003C0EAA">
              <w:rPr>
                <w:b/>
                <w:lang w:val="it-IT" w:eastAsia="it-IT"/>
              </w:rPr>
              <w:t>2’950’000.00</w:t>
            </w:r>
          </w:p>
        </w:tc>
      </w:tr>
    </w:tbl>
    <w:p w:rsidR="003C0EAA" w:rsidRDefault="003C0EAA" w:rsidP="003C0EAA">
      <w:pPr>
        <w:tabs>
          <w:tab w:val="left" w:pos="4536"/>
          <w:tab w:val="left" w:pos="7371"/>
        </w:tabs>
        <w:spacing w:before="120"/>
        <w:ind w:left="255" w:hanging="227"/>
        <w:rPr>
          <w:rFonts w:eastAsia="Times New Roman" w:cs="Times New Roman"/>
          <w:sz w:val="20"/>
          <w:szCs w:val="20"/>
          <w:lang w:val="it-IT" w:eastAsia="it-IT"/>
        </w:rPr>
      </w:pPr>
      <w:r w:rsidRPr="003C0EAA">
        <w:rPr>
          <w:rFonts w:eastAsia="Times New Roman" w:cs="Times New Roman"/>
          <w:sz w:val="20"/>
          <w:szCs w:val="20"/>
          <w:lang w:val="it-IT" w:eastAsia="it-IT"/>
        </w:rPr>
        <w:t>*) L’aumento dell’aliquota IVA (+0.4%) che entrerà in vigore il 1° gennaio 2024 è compreso negli imprevisti</w:t>
      </w:r>
    </w:p>
    <w:p w:rsidR="00056A1B" w:rsidRDefault="00056A1B">
      <w:pPr>
        <w:rPr>
          <w:rFonts w:cs="Arial"/>
          <w:b/>
          <w:sz w:val="24"/>
          <w:szCs w:val="24"/>
        </w:rPr>
      </w:pPr>
      <w:r>
        <w:rPr>
          <w:rFonts w:cs="Arial"/>
          <w:b/>
          <w:sz w:val="24"/>
          <w:szCs w:val="24"/>
        </w:rPr>
        <w:br w:type="page"/>
      </w:r>
    </w:p>
    <w:p w:rsidR="003C0EAA" w:rsidRPr="003C0EAA" w:rsidRDefault="003C0EAA" w:rsidP="003C0EAA">
      <w:pPr>
        <w:tabs>
          <w:tab w:val="left" w:pos="4536"/>
          <w:tab w:val="left" w:pos="7371"/>
        </w:tabs>
        <w:spacing w:before="120"/>
        <w:ind w:firstLine="28"/>
        <w:rPr>
          <w:rFonts w:eastAsia="Times New Roman" w:cs="Times New Roman"/>
          <w:sz w:val="20"/>
          <w:szCs w:val="20"/>
          <w:lang w:val="it-IT" w:eastAsia="it-IT"/>
        </w:rPr>
      </w:pPr>
      <w:r w:rsidRPr="003C0EAA">
        <w:rPr>
          <w:rFonts w:cs="Arial"/>
          <w:b/>
          <w:sz w:val="24"/>
          <w:szCs w:val="24"/>
        </w:rPr>
        <w:lastRenderedPageBreak/>
        <w:t>Tabella “Piano di finanziamento del Progetto di gestione</w:t>
      </w:r>
      <w:r>
        <w:rPr>
          <w:rFonts w:eastAsia="Times New Roman" w:cs="Times New Roman"/>
          <w:sz w:val="20"/>
          <w:szCs w:val="20"/>
          <w:lang w:val="it-IT" w:eastAsia="it-IT"/>
        </w:rPr>
        <w:t xml:space="preserve"> </w:t>
      </w:r>
      <w:r w:rsidRPr="003C0EAA">
        <w:rPr>
          <w:rFonts w:cs="Arial"/>
          <w:b/>
          <w:sz w:val="24"/>
          <w:szCs w:val="24"/>
        </w:rPr>
        <w:t xml:space="preserve">del bosco di protezione delle Valli Pesta e </w:t>
      </w:r>
      <w:proofErr w:type="spellStart"/>
      <w:r w:rsidRPr="003C0EAA">
        <w:rPr>
          <w:rFonts w:cs="Arial"/>
          <w:b/>
          <w:sz w:val="24"/>
          <w:szCs w:val="24"/>
        </w:rPr>
        <w:t>Riarena</w:t>
      </w:r>
      <w:proofErr w:type="spellEnd"/>
      <w:r w:rsidRPr="003C0EAA">
        <w:rPr>
          <w:rFonts w:cs="Arial"/>
          <w:b/>
          <w:sz w:val="24"/>
          <w:szCs w:val="24"/>
        </w:rPr>
        <w:t>”</w:t>
      </w:r>
    </w:p>
    <w:p w:rsidR="003C0EAA" w:rsidRPr="003C0EAA" w:rsidRDefault="003C0EAA" w:rsidP="003C0EAA">
      <w:pPr>
        <w:rPr>
          <w:rFonts w:cs="Arial"/>
          <w:sz w:val="24"/>
          <w:szCs w:val="24"/>
        </w:rPr>
      </w:pPr>
    </w:p>
    <w:tbl>
      <w:tblPr>
        <w:tblStyle w:val="Grigliatabella"/>
        <w:tblW w:w="0" w:type="auto"/>
        <w:jc w:val="center"/>
        <w:tblLayout w:type="fixed"/>
        <w:tblLook w:val="04A0" w:firstRow="1" w:lastRow="0" w:firstColumn="1" w:lastColumn="0" w:noHBand="0" w:noVBand="1"/>
      </w:tblPr>
      <w:tblGrid>
        <w:gridCol w:w="4592"/>
        <w:gridCol w:w="1656"/>
        <w:gridCol w:w="1657"/>
      </w:tblGrid>
      <w:tr w:rsidR="003C0EAA" w:rsidRPr="003C0EAA" w:rsidTr="009F51C5">
        <w:trPr>
          <w:jc w:val="center"/>
        </w:trPr>
        <w:tc>
          <w:tcPr>
            <w:tcW w:w="4592" w:type="dxa"/>
            <w:tcBorders>
              <w:top w:val="single" w:sz="12" w:space="0" w:color="auto"/>
              <w:left w:val="single" w:sz="12" w:space="0" w:color="auto"/>
              <w:bottom w:val="nil"/>
              <w:right w:val="single" w:sz="12" w:space="0" w:color="auto"/>
            </w:tcBorders>
          </w:tcPr>
          <w:p w:rsidR="003C0EAA" w:rsidRPr="003C0EAA" w:rsidRDefault="003C0EAA" w:rsidP="003C0EAA">
            <w:pPr>
              <w:rPr>
                <w:rFonts w:cs="Arial"/>
              </w:rPr>
            </w:pPr>
          </w:p>
        </w:tc>
        <w:tc>
          <w:tcPr>
            <w:tcW w:w="3313" w:type="dxa"/>
            <w:gridSpan w:val="2"/>
            <w:tcBorders>
              <w:top w:val="single" w:sz="12" w:space="0" w:color="auto"/>
              <w:left w:val="single" w:sz="12" w:space="0" w:color="auto"/>
              <w:bottom w:val="single" w:sz="12" w:space="0" w:color="auto"/>
              <w:right w:val="single" w:sz="12" w:space="0" w:color="auto"/>
            </w:tcBorders>
          </w:tcPr>
          <w:p w:rsidR="003C0EAA" w:rsidRPr="003C0EAA" w:rsidRDefault="003C0EAA" w:rsidP="003C0EAA">
            <w:pPr>
              <w:jc w:val="center"/>
              <w:rPr>
                <w:rFonts w:cs="Arial"/>
                <w:b/>
              </w:rPr>
            </w:pPr>
            <w:r w:rsidRPr="003C0EAA">
              <w:rPr>
                <w:rFonts w:cs="Arial"/>
                <w:b/>
              </w:rPr>
              <w:t>Selvicoltura</w:t>
            </w:r>
          </w:p>
        </w:tc>
      </w:tr>
      <w:tr w:rsidR="003C0EAA" w:rsidRPr="003C0EAA" w:rsidTr="009F51C5">
        <w:trPr>
          <w:jc w:val="center"/>
        </w:trPr>
        <w:tc>
          <w:tcPr>
            <w:tcW w:w="4592" w:type="dxa"/>
            <w:tcBorders>
              <w:top w:val="nil"/>
              <w:left w:val="single" w:sz="12" w:space="0" w:color="auto"/>
              <w:bottom w:val="single" w:sz="12" w:space="0" w:color="auto"/>
              <w:right w:val="single" w:sz="12" w:space="0" w:color="auto"/>
            </w:tcBorders>
          </w:tcPr>
          <w:p w:rsidR="003C0EAA" w:rsidRPr="003C0EAA" w:rsidRDefault="003C0EAA" w:rsidP="003C0EAA">
            <w:pPr>
              <w:rPr>
                <w:rFonts w:cs="Arial"/>
              </w:rPr>
            </w:pPr>
          </w:p>
        </w:tc>
        <w:tc>
          <w:tcPr>
            <w:tcW w:w="1656" w:type="dxa"/>
            <w:tcBorders>
              <w:top w:val="single" w:sz="12" w:space="0" w:color="auto"/>
              <w:left w:val="single" w:sz="12" w:space="0" w:color="auto"/>
              <w:bottom w:val="single" w:sz="12" w:space="0" w:color="auto"/>
              <w:right w:val="single" w:sz="12" w:space="0" w:color="auto"/>
            </w:tcBorders>
          </w:tcPr>
          <w:p w:rsidR="003C0EAA" w:rsidRPr="003C0EAA" w:rsidRDefault="003C0EAA" w:rsidP="003C0EAA">
            <w:pPr>
              <w:jc w:val="center"/>
              <w:rPr>
                <w:rFonts w:cs="Arial"/>
                <w:b/>
              </w:rPr>
            </w:pPr>
            <w:r w:rsidRPr="003C0EAA">
              <w:rPr>
                <w:rFonts w:cs="Arial"/>
                <w:b/>
              </w:rPr>
              <w:t>[</w:t>
            </w:r>
            <w:proofErr w:type="spellStart"/>
            <w:r w:rsidRPr="003C0EAA">
              <w:rPr>
                <w:rFonts w:cs="Arial"/>
                <w:b/>
              </w:rPr>
              <w:t>fr</w:t>
            </w:r>
            <w:proofErr w:type="spellEnd"/>
            <w:r w:rsidRPr="003C0EAA">
              <w:rPr>
                <w:rFonts w:cs="Arial"/>
                <w:b/>
              </w:rPr>
              <w:t>.]</w:t>
            </w:r>
          </w:p>
        </w:tc>
        <w:tc>
          <w:tcPr>
            <w:tcW w:w="1657" w:type="dxa"/>
            <w:tcBorders>
              <w:top w:val="single" w:sz="12" w:space="0" w:color="auto"/>
              <w:left w:val="single" w:sz="12" w:space="0" w:color="auto"/>
              <w:bottom w:val="single" w:sz="12" w:space="0" w:color="auto"/>
              <w:right w:val="single" w:sz="12" w:space="0" w:color="auto"/>
            </w:tcBorders>
          </w:tcPr>
          <w:p w:rsidR="003C0EAA" w:rsidRPr="003C0EAA" w:rsidRDefault="003C0EAA" w:rsidP="003C0EAA">
            <w:pPr>
              <w:jc w:val="center"/>
              <w:rPr>
                <w:rFonts w:cs="Arial"/>
                <w:b/>
              </w:rPr>
            </w:pPr>
            <w:r w:rsidRPr="003C0EAA">
              <w:rPr>
                <w:rFonts w:cs="Arial"/>
                <w:b/>
              </w:rPr>
              <w:t>[%]</w:t>
            </w:r>
          </w:p>
        </w:tc>
      </w:tr>
      <w:tr w:rsidR="003C0EAA" w:rsidRPr="003C0EAA" w:rsidTr="009F51C5">
        <w:trPr>
          <w:jc w:val="center"/>
        </w:trPr>
        <w:tc>
          <w:tcPr>
            <w:tcW w:w="4592" w:type="dxa"/>
            <w:tcBorders>
              <w:top w:val="single" w:sz="12" w:space="0" w:color="auto"/>
              <w:left w:val="single" w:sz="12" w:space="0" w:color="auto"/>
              <w:right w:val="single" w:sz="12" w:space="0" w:color="auto"/>
            </w:tcBorders>
          </w:tcPr>
          <w:p w:rsidR="003C0EAA" w:rsidRPr="003C0EAA" w:rsidRDefault="003C0EAA" w:rsidP="003C0EAA">
            <w:pPr>
              <w:rPr>
                <w:rFonts w:cs="Arial"/>
              </w:rPr>
            </w:pPr>
            <w:r w:rsidRPr="003C0EAA">
              <w:rPr>
                <w:rFonts w:cs="Arial"/>
              </w:rPr>
              <w:t>Cantone</w:t>
            </w:r>
          </w:p>
        </w:tc>
        <w:tc>
          <w:tcPr>
            <w:tcW w:w="1656" w:type="dxa"/>
            <w:tcBorders>
              <w:top w:val="single" w:sz="12" w:space="0" w:color="auto"/>
              <w:left w:val="single" w:sz="12" w:space="0" w:color="auto"/>
              <w:right w:val="single" w:sz="12" w:space="0" w:color="auto"/>
            </w:tcBorders>
          </w:tcPr>
          <w:p w:rsidR="003C0EAA" w:rsidRPr="003C0EAA" w:rsidRDefault="003C0EAA" w:rsidP="003C0EAA">
            <w:pPr>
              <w:jc w:val="right"/>
              <w:rPr>
                <w:rFonts w:cs="Arial"/>
              </w:rPr>
            </w:pPr>
            <w:r w:rsidRPr="003C0EAA">
              <w:rPr>
                <w:rFonts w:cs="Arial"/>
              </w:rPr>
              <w:t>1'460'000.00</w:t>
            </w:r>
          </w:p>
        </w:tc>
        <w:tc>
          <w:tcPr>
            <w:tcW w:w="1657" w:type="dxa"/>
            <w:tcBorders>
              <w:top w:val="single" w:sz="12" w:space="0" w:color="auto"/>
              <w:left w:val="single" w:sz="12" w:space="0" w:color="auto"/>
              <w:right w:val="single" w:sz="12" w:space="0" w:color="auto"/>
            </w:tcBorders>
          </w:tcPr>
          <w:p w:rsidR="003C0EAA" w:rsidRPr="003C0EAA" w:rsidRDefault="003C0EAA" w:rsidP="003C0EAA">
            <w:pPr>
              <w:jc w:val="right"/>
              <w:rPr>
                <w:rFonts w:cs="Arial"/>
              </w:rPr>
            </w:pPr>
            <w:r w:rsidRPr="003C0EAA">
              <w:rPr>
                <w:rFonts w:cs="Arial"/>
              </w:rPr>
              <w:t>49.49%</w:t>
            </w:r>
          </w:p>
        </w:tc>
      </w:tr>
      <w:tr w:rsidR="003C0EAA" w:rsidRPr="003C0EAA" w:rsidTr="009F51C5">
        <w:trPr>
          <w:jc w:val="center"/>
        </w:trPr>
        <w:tc>
          <w:tcPr>
            <w:tcW w:w="4592" w:type="dxa"/>
            <w:tcBorders>
              <w:left w:val="single" w:sz="12" w:space="0" w:color="auto"/>
              <w:right w:val="single" w:sz="12" w:space="0" w:color="auto"/>
            </w:tcBorders>
          </w:tcPr>
          <w:p w:rsidR="003C0EAA" w:rsidRPr="003C0EAA" w:rsidRDefault="003C0EAA" w:rsidP="003C0EAA">
            <w:pPr>
              <w:rPr>
                <w:rFonts w:cs="Arial"/>
              </w:rPr>
            </w:pPr>
            <w:r w:rsidRPr="003C0EAA">
              <w:rPr>
                <w:rFonts w:cs="Arial"/>
              </w:rPr>
              <w:t>Confederazione</w:t>
            </w:r>
          </w:p>
        </w:tc>
        <w:tc>
          <w:tcPr>
            <w:tcW w:w="1656" w:type="dxa"/>
            <w:tcBorders>
              <w:left w:val="single" w:sz="12" w:space="0" w:color="auto"/>
              <w:right w:val="single" w:sz="12" w:space="0" w:color="auto"/>
            </w:tcBorders>
          </w:tcPr>
          <w:p w:rsidR="003C0EAA" w:rsidRPr="003C0EAA" w:rsidRDefault="003C0EAA" w:rsidP="003C0EAA">
            <w:pPr>
              <w:jc w:val="right"/>
              <w:rPr>
                <w:rFonts w:cs="Arial"/>
              </w:rPr>
            </w:pPr>
            <w:r w:rsidRPr="003C0EAA">
              <w:rPr>
                <w:rFonts w:cs="Arial"/>
              </w:rPr>
              <w:t>900'000.00</w:t>
            </w:r>
          </w:p>
        </w:tc>
        <w:tc>
          <w:tcPr>
            <w:tcW w:w="1657" w:type="dxa"/>
            <w:tcBorders>
              <w:left w:val="single" w:sz="12" w:space="0" w:color="auto"/>
              <w:right w:val="single" w:sz="12" w:space="0" w:color="auto"/>
            </w:tcBorders>
          </w:tcPr>
          <w:p w:rsidR="003C0EAA" w:rsidRPr="003C0EAA" w:rsidRDefault="003C0EAA" w:rsidP="003C0EAA">
            <w:pPr>
              <w:jc w:val="right"/>
              <w:rPr>
                <w:rFonts w:cs="Arial"/>
              </w:rPr>
            </w:pPr>
            <w:r w:rsidRPr="003C0EAA">
              <w:rPr>
                <w:rFonts w:cs="Arial"/>
              </w:rPr>
              <w:t>30.51%</w:t>
            </w:r>
          </w:p>
        </w:tc>
      </w:tr>
      <w:tr w:rsidR="003C0EAA" w:rsidRPr="003C0EAA" w:rsidTr="009F51C5">
        <w:trPr>
          <w:jc w:val="center"/>
        </w:trPr>
        <w:tc>
          <w:tcPr>
            <w:tcW w:w="4592" w:type="dxa"/>
            <w:tcBorders>
              <w:left w:val="single" w:sz="12" w:space="0" w:color="auto"/>
              <w:right w:val="single" w:sz="12" w:space="0" w:color="auto"/>
            </w:tcBorders>
          </w:tcPr>
          <w:p w:rsidR="003C0EAA" w:rsidRPr="003C0EAA" w:rsidRDefault="003C0EAA" w:rsidP="003C0EAA">
            <w:pPr>
              <w:rPr>
                <w:rFonts w:cs="Arial"/>
              </w:rPr>
            </w:pPr>
            <w:r w:rsidRPr="003C0EAA">
              <w:rPr>
                <w:rFonts w:cs="Arial"/>
              </w:rPr>
              <w:t xml:space="preserve">Consorzio forestale Valli Pesta e </w:t>
            </w:r>
            <w:proofErr w:type="spellStart"/>
            <w:r w:rsidRPr="003C0EAA">
              <w:rPr>
                <w:rFonts w:cs="Arial"/>
              </w:rPr>
              <w:t>Riarena</w:t>
            </w:r>
            <w:proofErr w:type="spellEnd"/>
          </w:p>
        </w:tc>
        <w:tc>
          <w:tcPr>
            <w:tcW w:w="1656" w:type="dxa"/>
            <w:tcBorders>
              <w:left w:val="single" w:sz="12" w:space="0" w:color="auto"/>
              <w:right w:val="single" w:sz="12" w:space="0" w:color="auto"/>
            </w:tcBorders>
          </w:tcPr>
          <w:p w:rsidR="003C0EAA" w:rsidRPr="003C0EAA" w:rsidRDefault="003C0EAA" w:rsidP="003C0EAA">
            <w:pPr>
              <w:jc w:val="right"/>
              <w:rPr>
                <w:rFonts w:cs="Arial"/>
              </w:rPr>
            </w:pPr>
            <w:r w:rsidRPr="003C0EAA">
              <w:rPr>
                <w:rFonts w:cs="Arial"/>
              </w:rPr>
              <w:t>408'500.00</w:t>
            </w:r>
          </w:p>
        </w:tc>
        <w:tc>
          <w:tcPr>
            <w:tcW w:w="1657" w:type="dxa"/>
            <w:tcBorders>
              <w:left w:val="single" w:sz="12" w:space="0" w:color="auto"/>
              <w:right w:val="single" w:sz="12" w:space="0" w:color="auto"/>
            </w:tcBorders>
          </w:tcPr>
          <w:p w:rsidR="003C0EAA" w:rsidRPr="003C0EAA" w:rsidRDefault="003C0EAA" w:rsidP="003C0EAA">
            <w:pPr>
              <w:jc w:val="right"/>
              <w:rPr>
                <w:rFonts w:cs="Arial"/>
              </w:rPr>
            </w:pPr>
            <w:r w:rsidRPr="003C0EAA">
              <w:rPr>
                <w:rFonts w:cs="Arial"/>
              </w:rPr>
              <w:t>13.85%</w:t>
            </w:r>
          </w:p>
        </w:tc>
      </w:tr>
      <w:tr w:rsidR="003C0EAA" w:rsidRPr="003C0EAA" w:rsidTr="009F51C5">
        <w:trPr>
          <w:jc w:val="center"/>
        </w:trPr>
        <w:tc>
          <w:tcPr>
            <w:tcW w:w="4592" w:type="dxa"/>
            <w:tcBorders>
              <w:left w:val="single" w:sz="12" w:space="0" w:color="auto"/>
              <w:bottom w:val="single" w:sz="12" w:space="0" w:color="auto"/>
              <w:right w:val="single" w:sz="12" w:space="0" w:color="auto"/>
            </w:tcBorders>
          </w:tcPr>
          <w:p w:rsidR="003C0EAA" w:rsidRPr="003C0EAA" w:rsidRDefault="003C0EAA" w:rsidP="003C0EAA">
            <w:pPr>
              <w:rPr>
                <w:rFonts w:cs="Arial"/>
              </w:rPr>
            </w:pPr>
            <w:r w:rsidRPr="003C0EAA">
              <w:rPr>
                <w:rFonts w:cs="Arial"/>
              </w:rPr>
              <w:t>Ricavo forfettario legname</w:t>
            </w:r>
          </w:p>
        </w:tc>
        <w:tc>
          <w:tcPr>
            <w:tcW w:w="1656" w:type="dxa"/>
            <w:tcBorders>
              <w:left w:val="single" w:sz="12" w:space="0" w:color="auto"/>
              <w:bottom w:val="single" w:sz="12" w:space="0" w:color="auto"/>
              <w:right w:val="single" w:sz="12" w:space="0" w:color="auto"/>
            </w:tcBorders>
          </w:tcPr>
          <w:p w:rsidR="003C0EAA" w:rsidRPr="003C0EAA" w:rsidRDefault="003C0EAA" w:rsidP="003C0EAA">
            <w:pPr>
              <w:jc w:val="right"/>
              <w:rPr>
                <w:rFonts w:cs="Arial"/>
              </w:rPr>
            </w:pPr>
            <w:r w:rsidRPr="003C0EAA">
              <w:rPr>
                <w:rFonts w:cs="Arial"/>
              </w:rPr>
              <w:t>181'500.00</w:t>
            </w:r>
          </w:p>
        </w:tc>
        <w:tc>
          <w:tcPr>
            <w:tcW w:w="1657" w:type="dxa"/>
            <w:tcBorders>
              <w:left w:val="single" w:sz="12" w:space="0" w:color="auto"/>
              <w:bottom w:val="single" w:sz="12" w:space="0" w:color="auto"/>
              <w:right w:val="single" w:sz="12" w:space="0" w:color="auto"/>
            </w:tcBorders>
          </w:tcPr>
          <w:p w:rsidR="003C0EAA" w:rsidRPr="003C0EAA" w:rsidRDefault="003C0EAA" w:rsidP="003C0EAA">
            <w:pPr>
              <w:jc w:val="right"/>
              <w:rPr>
                <w:rFonts w:cs="Arial"/>
              </w:rPr>
            </w:pPr>
            <w:r w:rsidRPr="003C0EAA">
              <w:rPr>
                <w:rFonts w:cs="Arial"/>
              </w:rPr>
              <w:t>6.15%</w:t>
            </w:r>
          </w:p>
        </w:tc>
      </w:tr>
      <w:tr w:rsidR="003C0EAA" w:rsidRPr="003C0EAA" w:rsidTr="009F51C5">
        <w:trPr>
          <w:jc w:val="center"/>
        </w:trPr>
        <w:tc>
          <w:tcPr>
            <w:tcW w:w="4592" w:type="dxa"/>
            <w:tcBorders>
              <w:top w:val="single" w:sz="12" w:space="0" w:color="auto"/>
              <w:left w:val="single" w:sz="12" w:space="0" w:color="auto"/>
              <w:bottom w:val="single" w:sz="12" w:space="0" w:color="auto"/>
              <w:right w:val="single" w:sz="12" w:space="0" w:color="auto"/>
            </w:tcBorders>
            <w:shd w:val="clear" w:color="auto" w:fill="auto"/>
          </w:tcPr>
          <w:p w:rsidR="003C0EAA" w:rsidRPr="003C0EAA" w:rsidRDefault="003C0EAA" w:rsidP="003C0EAA">
            <w:pPr>
              <w:rPr>
                <w:rFonts w:cs="Arial"/>
                <w:b/>
              </w:rPr>
            </w:pPr>
            <w:r w:rsidRPr="003C0EAA">
              <w:rPr>
                <w:rFonts w:cs="Arial"/>
                <w:b/>
              </w:rPr>
              <w:t>Totale</w:t>
            </w:r>
          </w:p>
        </w:tc>
        <w:tc>
          <w:tcPr>
            <w:tcW w:w="1656" w:type="dxa"/>
            <w:tcBorders>
              <w:top w:val="single" w:sz="12" w:space="0" w:color="auto"/>
              <w:left w:val="single" w:sz="12" w:space="0" w:color="auto"/>
              <w:bottom w:val="single" w:sz="12" w:space="0" w:color="auto"/>
              <w:right w:val="single" w:sz="12" w:space="0" w:color="auto"/>
            </w:tcBorders>
            <w:shd w:val="clear" w:color="auto" w:fill="auto"/>
          </w:tcPr>
          <w:p w:rsidR="003C0EAA" w:rsidRPr="003C0EAA" w:rsidRDefault="003C0EAA" w:rsidP="003C0EAA">
            <w:pPr>
              <w:jc w:val="right"/>
              <w:rPr>
                <w:rFonts w:cs="Arial"/>
                <w:b/>
              </w:rPr>
            </w:pPr>
            <w:r w:rsidRPr="003C0EAA">
              <w:rPr>
                <w:rFonts w:cs="Arial"/>
                <w:b/>
              </w:rPr>
              <w:t>2'950'000.00</w:t>
            </w:r>
          </w:p>
        </w:tc>
        <w:tc>
          <w:tcPr>
            <w:tcW w:w="1657" w:type="dxa"/>
            <w:tcBorders>
              <w:top w:val="single" w:sz="12" w:space="0" w:color="auto"/>
              <w:left w:val="single" w:sz="12" w:space="0" w:color="auto"/>
              <w:bottom w:val="single" w:sz="12" w:space="0" w:color="auto"/>
              <w:right w:val="single" w:sz="12" w:space="0" w:color="auto"/>
            </w:tcBorders>
            <w:shd w:val="clear" w:color="auto" w:fill="auto"/>
          </w:tcPr>
          <w:p w:rsidR="003C0EAA" w:rsidRPr="003C0EAA" w:rsidRDefault="003C0EAA" w:rsidP="003C0EAA">
            <w:pPr>
              <w:jc w:val="right"/>
              <w:rPr>
                <w:rFonts w:cs="Arial"/>
                <w:b/>
              </w:rPr>
            </w:pPr>
            <w:r w:rsidRPr="003C0EAA">
              <w:rPr>
                <w:rFonts w:cs="Arial"/>
                <w:b/>
              </w:rPr>
              <w:t>100.00%</w:t>
            </w:r>
          </w:p>
        </w:tc>
      </w:tr>
    </w:tbl>
    <w:p w:rsidR="003C0EAA" w:rsidRPr="003C0EAA" w:rsidRDefault="003C0EAA" w:rsidP="003C0EAA">
      <w:pPr>
        <w:rPr>
          <w:rFonts w:cs="Arial"/>
          <w:sz w:val="24"/>
          <w:szCs w:val="24"/>
        </w:rPr>
      </w:pPr>
    </w:p>
    <w:p w:rsidR="003C0EAA" w:rsidRDefault="003C0EAA" w:rsidP="003C0EAA">
      <w:pPr>
        <w:rPr>
          <w:rFonts w:cs="Arial"/>
          <w:sz w:val="24"/>
          <w:szCs w:val="24"/>
        </w:rPr>
      </w:pPr>
    </w:p>
    <w:p w:rsidR="00FA72DB" w:rsidRPr="003C0EAA" w:rsidRDefault="00FA72DB" w:rsidP="003C0EAA">
      <w:pPr>
        <w:rPr>
          <w:rFonts w:cs="Arial"/>
          <w:sz w:val="24"/>
          <w:szCs w:val="24"/>
        </w:rPr>
      </w:pPr>
    </w:p>
    <w:p w:rsidR="003C0EAA" w:rsidRPr="003C0EAA" w:rsidRDefault="003C0EAA" w:rsidP="003C0EAA">
      <w:pPr>
        <w:pStyle w:val="StandardRisoluzionedelConsigliodiStato"/>
        <w:tabs>
          <w:tab w:val="left" w:pos="567"/>
        </w:tabs>
        <w:spacing w:after="120"/>
        <w:rPr>
          <w:b/>
          <w:lang w:val="it-IT"/>
        </w:rPr>
      </w:pPr>
      <w:r w:rsidRPr="003C0EAA">
        <w:rPr>
          <w:b/>
          <w:lang w:val="it-IT"/>
        </w:rPr>
        <w:t>ANALISI COMMISSIONALE</w:t>
      </w:r>
    </w:p>
    <w:p w:rsidR="003C0EAA" w:rsidRPr="003C0EAA" w:rsidRDefault="003C0EAA" w:rsidP="003C0EAA">
      <w:pPr>
        <w:rPr>
          <w:rFonts w:cs="Arial"/>
          <w:sz w:val="24"/>
          <w:szCs w:val="24"/>
        </w:rPr>
      </w:pPr>
      <w:r w:rsidRPr="003C0EAA">
        <w:rPr>
          <w:rFonts w:cs="Arial"/>
          <w:sz w:val="24"/>
          <w:szCs w:val="24"/>
        </w:rPr>
        <w:t xml:space="preserve">Nell’esaminare il messaggio, la Commissione ambiente, territorio ed energia evidenzia come esso sia ben strutturato e completo di ogni informazione necessaria. Oltre al messaggio, sono stati messi a disposizione il Progetto generale su cui si basa la presente richiesta di credito (2024-2033), corredati dai relativi Piani e dagli Allegati. Per quanto riguarda gli aspetti formali, la realizzazione del progetto, oltre che alla decisione del Gran Consiglio, sottostà alle procedure formali interne del Consorzio CFVPR. Per valutare il messaggio è pure stato esperito un sopralluogo in data giovedì 8 febbraio 2024 alla presenza, oltre che del relatore, dell’ing. Martino </w:t>
      </w:r>
      <w:proofErr w:type="spellStart"/>
      <w:r w:rsidRPr="003C0EAA">
        <w:rPr>
          <w:rFonts w:cs="Arial"/>
          <w:sz w:val="24"/>
          <w:szCs w:val="24"/>
        </w:rPr>
        <w:t>Bonardi</w:t>
      </w:r>
      <w:proofErr w:type="spellEnd"/>
      <w:r w:rsidRPr="003C0EAA">
        <w:rPr>
          <w:rFonts w:cs="Arial"/>
          <w:sz w:val="24"/>
          <w:szCs w:val="24"/>
        </w:rPr>
        <w:t xml:space="preserve"> e del forestale Michele </w:t>
      </w:r>
      <w:proofErr w:type="spellStart"/>
      <w:r w:rsidRPr="003C0EAA">
        <w:rPr>
          <w:rFonts w:cs="Arial"/>
          <w:sz w:val="24"/>
          <w:szCs w:val="24"/>
        </w:rPr>
        <w:t>Peverelli</w:t>
      </w:r>
      <w:proofErr w:type="spellEnd"/>
      <w:r w:rsidRPr="003C0EAA">
        <w:rPr>
          <w:rFonts w:cs="Arial"/>
          <w:sz w:val="24"/>
          <w:szCs w:val="24"/>
        </w:rPr>
        <w:t xml:space="preserve">. In occasione dell’incontro, si sono potuti appurare diversi aspetti tecnici e formali e i benefici ambientali, climatici e per la sicurezza di questo progetto. Inoltre, si sono potuti verificare gli interventi di manutenzione del bosco effettuati col precedente progetto e la positiva realizzazione dell’importante vasca di pescaggio per elicotteri realizzata nel 2018 ai Monti di </w:t>
      </w:r>
      <w:proofErr w:type="spellStart"/>
      <w:r w:rsidRPr="003C0EAA">
        <w:rPr>
          <w:rFonts w:cs="Arial"/>
          <w:sz w:val="24"/>
          <w:szCs w:val="24"/>
        </w:rPr>
        <w:t>Ditto</w:t>
      </w:r>
      <w:proofErr w:type="spellEnd"/>
      <w:r w:rsidRPr="003C0EAA">
        <w:rPr>
          <w:rFonts w:cs="Arial"/>
          <w:sz w:val="24"/>
          <w:szCs w:val="24"/>
        </w:rPr>
        <w:t xml:space="preserve">. Particolare preoccupazione desta la presenza fuori controllo e in sovrannumero di ungulati, che vanno a pregiudicare il ringiovanimento naturale del bosco. Pertanto si auspicano interventi risolutivi per riequilibrare la situazione. </w:t>
      </w:r>
      <w:r>
        <w:rPr>
          <w:rFonts w:cs="Arial"/>
          <w:sz w:val="24"/>
          <w:szCs w:val="24"/>
        </w:rPr>
        <w:t>La C</w:t>
      </w:r>
      <w:r w:rsidRPr="003C0EAA">
        <w:rPr>
          <w:rFonts w:cs="Arial"/>
          <w:sz w:val="24"/>
          <w:szCs w:val="24"/>
        </w:rPr>
        <w:t>ommissione sottolinea, infine, la professionalità riscontrata nelle persone coinvolte nel progetto.</w:t>
      </w:r>
    </w:p>
    <w:p w:rsidR="003C0EAA" w:rsidRPr="003C0EAA" w:rsidRDefault="003C0EAA" w:rsidP="003C0EAA">
      <w:pPr>
        <w:rPr>
          <w:sz w:val="24"/>
          <w:szCs w:val="24"/>
        </w:rPr>
      </w:pPr>
    </w:p>
    <w:p w:rsidR="003C0EAA" w:rsidRDefault="003C0EAA" w:rsidP="003C0EAA">
      <w:pPr>
        <w:rPr>
          <w:sz w:val="24"/>
          <w:szCs w:val="24"/>
        </w:rPr>
      </w:pPr>
    </w:p>
    <w:p w:rsidR="00FA72DB" w:rsidRPr="003C0EAA" w:rsidRDefault="00FA72DB" w:rsidP="003C0EAA">
      <w:pPr>
        <w:rPr>
          <w:sz w:val="24"/>
          <w:szCs w:val="24"/>
        </w:rPr>
      </w:pPr>
    </w:p>
    <w:p w:rsidR="003C0EAA" w:rsidRPr="003C0EAA" w:rsidRDefault="003C0EAA" w:rsidP="003C0EAA">
      <w:pPr>
        <w:pStyle w:val="StandardRisoluzionedelConsigliodiStato"/>
        <w:tabs>
          <w:tab w:val="left" w:pos="567"/>
        </w:tabs>
        <w:spacing w:after="120"/>
        <w:rPr>
          <w:b/>
          <w:lang w:val="it-IT"/>
        </w:rPr>
      </w:pPr>
      <w:r w:rsidRPr="003C0EAA">
        <w:rPr>
          <w:b/>
          <w:lang w:val="it-IT"/>
        </w:rPr>
        <w:t>CONCLUSIONI</w:t>
      </w:r>
    </w:p>
    <w:p w:rsidR="003C0EAA" w:rsidRPr="003C0EAA" w:rsidRDefault="003C0EAA" w:rsidP="003C0EAA">
      <w:pPr>
        <w:rPr>
          <w:rFonts w:eastAsia="Calibri" w:cs="Arial"/>
          <w:bCs/>
          <w:iCs/>
          <w:sz w:val="24"/>
          <w:szCs w:val="24"/>
        </w:rPr>
      </w:pPr>
      <w:r w:rsidRPr="003C0EAA">
        <w:rPr>
          <w:rFonts w:eastAsia="Calibri" w:cs="Arial"/>
          <w:bCs/>
          <w:iCs/>
          <w:sz w:val="24"/>
          <w:szCs w:val="24"/>
        </w:rPr>
        <w:t xml:space="preserve">Considerati tutti gli aspetti e ritenuti esaurienti il messaggio e tutti i documenti ad esso allegati, la Commissione raccomanda al Gran Consiglio l’approvazione del messaggio, del presente rapporto e del decreto legislativo annesso al messaggio, ricordando che per la sua approvazione è necessaria </w:t>
      </w:r>
      <w:r w:rsidR="007B1388">
        <w:rPr>
          <w:rFonts w:eastAsia="Calibri" w:cs="Arial"/>
          <w:bCs/>
          <w:iCs/>
          <w:sz w:val="24"/>
          <w:szCs w:val="24"/>
        </w:rPr>
        <w:t>l’adesione della maggioranza assoluta dei membri del Gran Consiglio, ossia di almeno 46 deputati.</w:t>
      </w:r>
    </w:p>
    <w:p w:rsidR="003C0EAA" w:rsidRDefault="003C0EAA" w:rsidP="003C0EAA">
      <w:pPr>
        <w:rPr>
          <w:rFonts w:asciiTheme="minorHAnsi" w:eastAsiaTheme="minorEastAsia" w:hAnsiTheme="minorHAnsi"/>
          <w:sz w:val="24"/>
          <w:szCs w:val="24"/>
        </w:rPr>
      </w:pPr>
    </w:p>
    <w:p w:rsidR="007B1388" w:rsidRPr="003C0EAA" w:rsidRDefault="007B1388" w:rsidP="003C0EAA">
      <w:pPr>
        <w:rPr>
          <w:rFonts w:asciiTheme="minorHAnsi" w:eastAsiaTheme="minorEastAsia" w:hAnsiTheme="minorHAnsi"/>
          <w:sz w:val="24"/>
          <w:szCs w:val="24"/>
        </w:rPr>
      </w:pPr>
    </w:p>
    <w:p w:rsidR="003C0EAA" w:rsidRPr="003C0EAA" w:rsidRDefault="003C0EAA" w:rsidP="003C0EAA">
      <w:pPr>
        <w:rPr>
          <w:rFonts w:eastAsia="Calibri" w:cs="Arial"/>
          <w:sz w:val="24"/>
          <w:szCs w:val="24"/>
        </w:rPr>
      </w:pPr>
      <w:r w:rsidRPr="003C0EAA">
        <w:rPr>
          <w:rFonts w:eastAsia="Calibri" w:cs="Arial"/>
          <w:sz w:val="24"/>
          <w:szCs w:val="24"/>
        </w:rPr>
        <w:t>Per la Commissione ambiente, territorio ed energia:</w:t>
      </w:r>
    </w:p>
    <w:p w:rsidR="003C0EAA" w:rsidRPr="003C0EAA" w:rsidRDefault="003C0EAA" w:rsidP="003C0EAA">
      <w:pPr>
        <w:spacing w:before="120"/>
        <w:rPr>
          <w:rFonts w:eastAsia="Calibri" w:cs="Arial"/>
          <w:sz w:val="24"/>
          <w:szCs w:val="24"/>
        </w:rPr>
      </w:pPr>
      <w:r w:rsidRPr="003C0EAA">
        <w:rPr>
          <w:rFonts w:eastAsia="Calibri" w:cs="Arial"/>
          <w:sz w:val="24"/>
          <w:szCs w:val="24"/>
        </w:rPr>
        <w:t>Giovanni Berardi, relatore</w:t>
      </w:r>
    </w:p>
    <w:p w:rsidR="0080013F" w:rsidRDefault="0080013F" w:rsidP="00D33940">
      <w:pPr>
        <w:pStyle w:val="StandardRisoluzionedelConsigliodiStato"/>
        <w:ind w:right="-1"/>
      </w:pPr>
      <w:r>
        <w:t xml:space="preserve">Bühler - Buzzi - Cedraschi - Ermotti-Lepori - </w:t>
      </w:r>
    </w:p>
    <w:p w:rsidR="00556B7A" w:rsidRDefault="0080013F" w:rsidP="00D33940">
      <w:pPr>
        <w:pStyle w:val="StandardRisoluzionedelConsigliodiStato"/>
        <w:ind w:right="-1"/>
      </w:pPr>
      <w:r>
        <w:t xml:space="preserve">Genini Sem - Mobiglia - Padlina - Pasi </w:t>
      </w:r>
      <w:r w:rsidR="00556B7A">
        <w:t>-</w:t>
      </w:r>
      <w:r>
        <w:t xml:space="preserve"> </w:t>
      </w:r>
    </w:p>
    <w:p w:rsidR="00556B7A" w:rsidRDefault="0080013F" w:rsidP="00D33940">
      <w:pPr>
        <w:pStyle w:val="StandardRisoluzionedelConsigliodiStato"/>
        <w:ind w:right="-1"/>
      </w:pPr>
      <w:r>
        <w:t xml:space="preserve">Piccaluga - Renzetti - Rigamonti - Schnellmann </w:t>
      </w:r>
      <w:r w:rsidR="00556B7A">
        <w:t>-</w:t>
      </w:r>
      <w:bookmarkStart w:id="0" w:name="_GoBack"/>
      <w:bookmarkEnd w:id="0"/>
      <w:r>
        <w:t xml:space="preserve"> </w:t>
      </w:r>
    </w:p>
    <w:p w:rsidR="0080013F" w:rsidRPr="003C0EAA" w:rsidRDefault="0080013F" w:rsidP="00D33940">
      <w:pPr>
        <w:pStyle w:val="StandardRisoluzionedelConsigliodiStato"/>
        <w:ind w:right="-1"/>
      </w:pPr>
      <w:r>
        <w:t>Terraneo - Tricarico – Zanini-Barzaghi</w:t>
      </w:r>
    </w:p>
    <w:sectPr w:rsidR="0080013F" w:rsidRPr="003C0EAA"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AA" w:rsidRDefault="003C0EAA" w:rsidP="00F657BF">
      <w:r>
        <w:separator/>
      </w:r>
    </w:p>
  </w:endnote>
  <w:endnote w:type="continuationSeparator" w:id="0">
    <w:p w:rsidR="003C0EAA" w:rsidRDefault="003C0EA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811AF" w:rsidP="00912E34">
          <w:pPr>
            <w:tabs>
              <w:tab w:val="center" w:pos="2382"/>
            </w:tabs>
          </w:pPr>
        </w:p>
      </w:tc>
      <w:tc>
        <w:tcPr>
          <w:tcW w:w="721" w:type="dxa"/>
        </w:tcPr>
        <w:p w:rsidR="00912E34" w:rsidRPr="003D1008" w:rsidRDefault="0087699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7699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811A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811A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AA" w:rsidRDefault="003C0EAA" w:rsidP="00F657BF">
      <w:r>
        <w:separator/>
      </w:r>
    </w:p>
  </w:footnote>
  <w:footnote w:type="continuationSeparator" w:id="0">
    <w:p w:rsidR="003C0EAA" w:rsidRDefault="003C0EAA"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811AF"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D216FB1-6193-4FE0-B6BE-BB58AF2ACBB5}"/>
              <w:text w:multiLine="1"/>
            </w:sdtPr>
            <w:sdtEndPr/>
            <w:sdtContent>
              <w:r w:rsidR="00876995">
                <w:rPr>
                  <w:rFonts w:ascii="Gill Alt One MT Light" w:hAnsi="Gill Alt One MT Light"/>
                  <w:sz w:val="16"/>
                  <w:szCs w:val="16"/>
                </w:rPr>
                <w:t>Repubblica e Cantone Ticino</w:t>
              </w:r>
            </w:sdtContent>
          </w:sdt>
        </w:p>
        <w:p w:rsidR="005012EC" w:rsidRPr="00E8185F" w:rsidRDefault="009811AF"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D216FB1-6193-4FE0-B6BE-BB58AF2ACBB5}"/>
              <w:text w:multiLine="1"/>
            </w:sdtPr>
            <w:sdtEndPr/>
            <w:sdtContent>
              <w:r w:rsidR="004C4940">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87699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718C8">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718C8">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D216FB1-6193-4FE0-B6BE-BB58AF2ACBB5}"/>
          <w:text w:multiLine="1"/>
        </w:sdtPr>
        <w:sdtEndPr/>
        <w:sdtContent>
          <w:tc>
            <w:tcPr>
              <w:tcW w:w="8383" w:type="dxa"/>
              <w:tcBorders>
                <w:left w:val="single" w:sz="4" w:space="0" w:color="auto"/>
              </w:tcBorders>
              <w:tcMar>
                <w:top w:w="0" w:type="dxa"/>
                <w:left w:w="142" w:type="dxa"/>
              </w:tcMar>
            </w:tcPr>
            <w:p w:rsidR="005012EC" w:rsidRPr="003C0EAA" w:rsidRDefault="004C494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8345 R del 21 marzo 2024</w:t>
              </w:r>
            </w:p>
          </w:tc>
        </w:sdtContent>
      </w:sdt>
      <w:tc>
        <w:tcPr>
          <w:tcW w:w="1710" w:type="dxa"/>
          <w:tcBorders>
            <w:top w:val="single" w:sz="4" w:space="0" w:color="auto"/>
          </w:tcBorders>
        </w:tcPr>
        <w:p w:rsidR="005012EC" w:rsidRPr="003C0EAA" w:rsidRDefault="009811AF" w:rsidP="00662409">
          <w:pPr>
            <w:pStyle w:val="InvisibleLine"/>
            <w:rPr>
              <w:lang w:val="it-CH"/>
            </w:rPr>
          </w:pPr>
        </w:p>
      </w:tc>
    </w:tr>
  </w:tbl>
  <w:p w:rsidR="00F657BF" w:rsidRPr="00980362" w:rsidRDefault="0087699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D216FB1-6193-4FE0-B6BE-BB58AF2ACBB5}"/>
                            <w:text w:multiLine="1"/>
                          </w:sdtPr>
                          <w:sdtEndPr/>
                          <w:sdtContent>
                            <w:p w:rsidR="008065E8" w:rsidRPr="00411371" w:rsidRDefault="0087699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6B2E23F-660A-4B09-A56A-533A6F32BA9B}"/>
                      <w:text w:multiLine="1"/>
                    </w:sdtPr>
                    <w:sdtEndPr/>
                    <w:sdtContent>
                      <w:p w:rsidR="008065E8" w:rsidRPr="00411371" w:rsidRDefault="0087699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811AF" w:rsidP="00932E26">
          <w:pPr>
            <w:pStyle w:val="InvisibleLine"/>
            <w:spacing w:line="240" w:lineRule="auto"/>
            <w:ind w:left="15"/>
            <w:rPr>
              <w:rFonts w:ascii="Gill Alt One MT Light" w:hAnsi="Gill Alt One MT Light"/>
              <w:sz w:val="16"/>
              <w:lang w:val="it-CH"/>
            </w:rPr>
          </w:pPr>
        </w:p>
        <w:p w:rsidR="00CD5F73" w:rsidRDefault="0087699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811A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811AF" w:rsidP="00D07D6E">
          <w:pPr>
            <w:pStyle w:val="Level"/>
            <w:ind w:left="150"/>
            <w:rPr>
              <w:sz w:val="16"/>
            </w:rPr>
          </w:pPr>
        </w:p>
      </w:tc>
      <w:tc>
        <w:tcPr>
          <w:tcW w:w="209" w:type="pct"/>
          <w:tcBorders>
            <w:top w:val="nil"/>
            <w:bottom w:val="single" w:sz="4" w:space="0" w:color="auto"/>
          </w:tcBorders>
        </w:tcPr>
        <w:p w:rsidR="00662409" w:rsidRDefault="0087699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2249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7699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718C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718C8">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D216FB1-6193-4FE0-B6BE-BB58AF2ACBB5}"/>
          <w:text w:multiLine="1"/>
        </w:sdtPr>
        <w:sdtEndPr/>
        <w:sdtContent>
          <w:tc>
            <w:tcPr>
              <w:tcW w:w="5000" w:type="pct"/>
              <w:gridSpan w:val="6"/>
              <w:tcBorders>
                <w:left w:val="nil"/>
                <w:right w:val="nil"/>
              </w:tcBorders>
              <w:noWrap/>
              <w:tcMar>
                <w:top w:w="0" w:type="dxa"/>
              </w:tcMar>
              <w:vAlign w:val="bottom"/>
            </w:tcPr>
            <w:p w:rsidR="00662409" w:rsidRPr="008C03B5" w:rsidRDefault="004C494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7699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811A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7699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811A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7699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811A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811A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D216FB1-6193-4FE0-B6BE-BB58AF2ACBB5}"/>
              <w:text w:multiLine="1"/>
            </w:sdtPr>
            <w:sdtEndPr/>
            <w:sdtContent>
              <w:r w:rsidR="004C4940">
                <w:rPr>
                  <w:rFonts w:cstheme="minorHAnsi"/>
                  <w:b/>
                  <w:sz w:val="24"/>
                  <w:szCs w:val="24"/>
                </w:rPr>
                <w:t>8345 R</w:t>
              </w:r>
            </w:sdtContent>
          </w:sdt>
        </w:p>
      </w:tc>
      <w:sdt>
        <w:sdtPr>
          <w:rPr>
            <w:sz w:val="24"/>
          </w:rPr>
          <w:alias w:val="DocParam.Date"/>
          <w:id w:val="-464426178"/>
          <w:dataBinding w:xpath="//DateTime[@id='DocParam.Date']" w:storeItemID="{CD216FB1-6193-4FE0-B6BE-BB58AF2ACBB5}"/>
          <w:date w:fullDate="2024-03-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C4940" w:rsidP="00A532F6">
              <w:pPr>
                <w:pStyle w:val="Data"/>
              </w:pPr>
              <w:r>
                <w:rPr>
                  <w:sz w:val="24"/>
                </w:rPr>
                <w:t>21 marzo 2024</w:t>
              </w:r>
            </w:p>
          </w:tc>
        </w:sdtContent>
      </w:sdt>
      <w:tc>
        <w:tcPr>
          <w:tcW w:w="3218" w:type="pct"/>
          <w:gridSpan w:val="4"/>
          <w:tcBorders>
            <w:top w:val="nil"/>
            <w:left w:val="nil"/>
            <w:bottom w:val="nil"/>
            <w:right w:val="nil"/>
          </w:tcBorders>
        </w:tcPr>
        <w:p w:rsidR="008C03B5" w:rsidRPr="00BE22A2" w:rsidRDefault="009811A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D216FB1-6193-4FE0-B6BE-BB58AF2ACBB5}"/>
              <w:text w:multiLine="1"/>
            </w:sdtPr>
            <w:sdtEndPr/>
            <w:sdtContent>
              <w:r w:rsidR="004C4940">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811AF" w:rsidP="00D07D6E">
          <w:pPr>
            <w:pStyle w:val="Level"/>
            <w:ind w:left="150"/>
            <w:rPr>
              <w:rFonts w:ascii="Gill Alt One MT Light" w:hAnsi="Gill Alt One MT Light"/>
              <w:sz w:val="16"/>
              <w:szCs w:val="16"/>
            </w:rPr>
          </w:pPr>
        </w:p>
      </w:tc>
    </w:tr>
  </w:tbl>
  <w:p w:rsidR="00F657BF" w:rsidRPr="00DA2879" w:rsidRDefault="0087699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8993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D216FB1-6193-4FE0-B6BE-BB58AF2ACBB5}"/>
                            <w:text w:multiLine="1"/>
                          </w:sdtPr>
                          <w:sdtEndPr/>
                          <w:sdtContent>
                            <w:p w:rsidR="00E93620" w:rsidRPr="00411371" w:rsidRDefault="0087699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6B2E23F-660A-4B09-A56A-533A6F32BA9B}"/>
                      <w:text w:multiLine="1"/>
                    </w:sdtPr>
                    <w:sdtEndPr/>
                    <w:sdtContent>
                      <w:p w:rsidR="00E93620" w:rsidRPr="00411371" w:rsidRDefault="0087699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76A66"/>
    <w:multiLevelType w:val="hybridMultilevel"/>
    <w:tmpl w:val="5178BC12"/>
    <w:lvl w:ilvl="0" w:tplc="0810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AA"/>
    <w:rsid w:val="00056A1B"/>
    <w:rsid w:val="000867CE"/>
    <w:rsid w:val="000C113C"/>
    <w:rsid w:val="001026C5"/>
    <w:rsid w:val="00162676"/>
    <w:rsid w:val="00182CA0"/>
    <w:rsid w:val="001E325F"/>
    <w:rsid w:val="00222D3A"/>
    <w:rsid w:val="00251DC7"/>
    <w:rsid w:val="002B5D9F"/>
    <w:rsid w:val="003718C8"/>
    <w:rsid w:val="003B756D"/>
    <w:rsid w:val="003C0EAA"/>
    <w:rsid w:val="00403ADB"/>
    <w:rsid w:val="004C4940"/>
    <w:rsid w:val="004F5B82"/>
    <w:rsid w:val="00556B7A"/>
    <w:rsid w:val="005636B8"/>
    <w:rsid w:val="00570974"/>
    <w:rsid w:val="00572FD3"/>
    <w:rsid w:val="005731D7"/>
    <w:rsid w:val="007B1388"/>
    <w:rsid w:val="007B5DF8"/>
    <w:rsid w:val="007D59FA"/>
    <w:rsid w:val="0080013F"/>
    <w:rsid w:val="008720C4"/>
    <w:rsid w:val="00876995"/>
    <w:rsid w:val="008F52AF"/>
    <w:rsid w:val="009811AF"/>
    <w:rsid w:val="009C5E5A"/>
    <w:rsid w:val="00AA7F86"/>
    <w:rsid w:val="00AF0268"/>
    <w:rsid w:val="00B549F0"/>
    <w:rsid w:val="00B8450B"/>
    <w:rsid w:val="00BF0A1F"/>
    <w:rsid w:val="00C40391"/>
    <w:rsid w:val="00C55323"/>
    <w:rsid w:val="00C84C0C"/>
    <w:rsid w:val="00D034CA"/>
    <w:rsid w:val="00D33940"/>
    <w:rsid w:val="00D600FD"/>
    <w:rsid w:val="00D649A8"/>
    <w:rsid w:val="00E20028"/>
    <w:rsid w:val="00E63915"/>
    <w:rsid w:val="00EB088A"/>
    <w:rsid w:val="00F657BF"/>
    <w:rsid w:val="00F77DDA"/>
    <w:rsid w:val="00FA72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9CE39"/>
  <w15:docId w15:val="{6F65FA72-F46E-4B88-B5A4-FD9FF520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table" w:styleId="Grigliatabella">
    <w:name w:val="Table Grid"/>
    <w:basedOn w:val="Tabellanormale"/>
    <w:uiPriority w:val="59"/>
    <w:rsid w:val="003C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C0EAA"/>
    <w:pPr>
      <w:jc w:val="left"/>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403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039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8402546-e800-4ee0-9544-5e3c91ea774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1622494765</Id>
      <Width>0</Width>
      <Height>0</Height>
      <XPath>//Image[@id='Profile.Org.WappenSW']</XPath>
      <ImageHash>02f1c0cdac6aeac316213b2e7cb733a0</ImageHash>
    </ImageSizeDefinition>
    <ImageSizeDefinition>
      <Id>1189932442</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6 6 f 6 f 5 2 5 - e 1 6 8 - 4 9 6 8 - 8 2 0 2 - 0 6 b 1 0 f 3 6 5 0 f 3 "   t I d = " a 3 6 2 a 5 d 4 - 9 5 8 9 - 4 1 b f - a 4 e 6 - 4 f 8 7 c 4 e 4 1 2 3 9 "   i n t e r n a l T I d = " 9 0 6 4 c c 7 f - 3 1 6 d - 4 6 b 1 - a 4 a c - 7 4 8 6 0 c 3 f 8 a 5 b "   m t I d = " 2 7 5 a f 3 2 e - b c 4 0 - 4 5 c 2 - 8 5 b 7 - a f b 1 c 0 3 8 2 6 5 3 "   r e v i s i o n = " 0 "   c r e a t e d m a j o r v e r s i o n = " 0 "   c r e a t e d m i n o r v e r s i o n = " 0 "   c r e a t e d = " 2 0 2 4 - 0 3 - 2 6 T 1 0 : 1 5 : 2 8 . 3 6 0 7 1 5 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 2 0 2 4 - 0 3 - 2 1 T 0 0 : 0 0 : 0 0 Z < / D a t e T i m e >  
                 < T e x t   i d = " D o c P a r a m . N u m b e r " > < ! [ C D A T A [ 8 3 4 5 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4 5   R   d e l   2 1   m a r z 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4 5   R   d e l   2 1   m a r z 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3FF15DFC-6F62-41DB-B09D-2C97C45E765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D216FB1-6193-4FE0-B6BE-BB58AF2ACBB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98402546-e800-4ee0-9544-5e3c91ea774b.dotx</Template>
  <TotalTime>39</TotalTime>
  <Pages>4</Pages>
  <Words>1715</Words>
  <Characters>9778</Characters>
  <Application>Microsoft Office Word</Application>
  <DocSecurity>0</DocSecurity>
  <Lines>81</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32</cp:revision>
  <cp:lastPrinted>2024-04-02T08:48:00Z</cp:lastPrinted>
  <dcterms:created xsi:type="dcterms:W3CDTF">2024-03-26T10:15:00Z</dcterms:created>
  <dcterms:modified xsi:type="dcterms:W3CDTF">2024-04-02T08:50:00Z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