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EA" w:rsidRDefault="00162DEA" w:rsidP="00D33940">
      <w:pPr>
        <w:pStyle w:val="StandardRisoluzionedelConsigliodiStato"/>
        <w:ind w:right="-1"/>
        <w:rPr>
          <w:b/>
          <w:sz w:val="28"/>
          <w:szCs w:val="28"/>
        </w:rPr>
      </w:pPr>
      <w:r>
        <w:rPr>
          <w:b/>
          <w:sz w:val="28"/>
          <w:szCs w:val="28"/>
        </w:rPr>
        <w:t>della Commissione giustizia e diritti</w:t>
      </w:r>
    </w:p>
    <w:p w:rsidR="00D649A8" w:rsidRDefault="00162DEA" w:rsidP="00D33940">
      <w:pPr>
        <w:pStyle w:val="StandardRisoluzionedelConsigliodiStato"/>
        <w:ind w:right="-1"/>
        <w:rPr>
          <w:b/>
          <w:sz w:val="28"/>
          <w:szCs w:val="28"/>
        </w:rPr>
      </w:pPr>
      <w:r w:rsidRPr="00162DEA">
        <w:rPr>
          <w:b/>
          <w:sz w:val="28"/>
          <w:szCs w:val="28"/>
        </w:rPr>
        <w:t xml:space="preserve">sull’iniziativa parlamentare 22 novembre 2021 </w:t>
      </w:r>
      <w:r>
        <w:rPr>
          <w:b/>
          <w:sz w:val="28"/>
          <w:szCs w:val="28"/>
        </w:rPr>
        <w:t xml:space="preserve">presentata </w:t>
      </w:r>
      <w:r w:rsidRPr="00162DEA">
        <w:rPr>
          <w:b/>
          <w:sz w:val="28"/>
          <w:szCs w:val="28"/>
        </w:rPr>
        <w:t xml:space="preserve">nella forma elaborata da Fiorenzo Dadò e Sabrina Aldi per la modifica della Legge sull’ordine pubblico (Inserimento della contravvenzione di associazione per delinquere o di tipo mafioso nella </w:t>
      </w:r>
      <w:proofErr w:type="spellStart"/>
      <w:r w:rsidRPr="00162DEA">
        <w:rPr>
          <w:b/>
          <w:sz w:val="28"/>
          <w:szCs w:val="28"/>
        </w:rPr>
        <w:t>LOrP</w:t>
      </w:r>
      <w:proofErr w:type="spellEnd"/>
      <w:r w:rsidRPr="00162DEA">
        <w:rPr>
          <w:b/>
          <w:sz w:val="28"/>
          <w:szCs w:val="28"/>
        </w:rPr>
        <w:t>)</w:t>
      </w:r>
    </w:p>
    <w:p w:rsidR="00162DEA" w:rsidRDefault="008A09FE" w:rsidP="00162DEA">
      <w:pPr>
        <w:pStyle w:val="StandardRisoluzionedelConsigliodiStato"/>
        <w:spacing w:before="120"/>
        <w:rPr>
          <w:b/>
          <w:sz w:val="26"/>
          <w:szCs w:val="26"/>
        </w:rPr>
      </w:pPr>
      <w:r>
        <w:rPr>
          <w:b/>
          <w:sz w:val="26"/>
          <w:szCs w:val="26"/>
        </w:rPr>
        <w:t>(v. messaggio n. 818</w:t>
      </w:r>
      <w:r w:rsidR="00162DEA" w:rsidRPr="00162DEA">
        <w:rPr>
          <w:b/>
          <w:sz w:val="26"/>
          <w:szCs w:val="26"/>
        </w:rPr>
        <w:t>6 del 7 settembre 2022)</w:t>
      </w:r>
    </w:p>
    <w:p w:rsidR="00162DEA" w:rsidRPr="00162DEA" w:rsidRDefault="00162DEA" w:rsidP="00162DEA">
      <w:pPr>
        <w:pStyle w:val="StandardRisoluzionedelConsigliodiStato"/>
        <w:spacing w:before="120"/>
        <w:rPr>
          <w:b/>
          <w:szCs w:val="24"/>
        </w:rPr>
      </w:pPr>
    </w:p>
    <w:p w:rsidR="00162DEA" w:rsidRPr="00162DEA" w:rsidRDefault="00162DEA" w:rsidP="00162DEA">
      <w:pPr>
        <w:pStyle w:val="StandardRisoluzionedelConsigliodiStato"/>
        <w:spacing w:before="120"/>
        <w:rPr>
          <w:b/>
          <w:szCs w:val="24"/>
        </w:rPr>
      </w:pPr>
    </w:p>
    <w:p w:rsidR="00162DEA" w:rsidRPr="00162DEA" w:rsidRDefault="00162DEA" w:rsidP="00162DEA">
      <w:pPr>
        <w:pStyle w:val="Titolo1"/>
        <w:tabs>
          <w:tab w:val="left" w:pos="567"/>
        </w:tabs>
        <w:spacing w:before="0"/>
        <w:ind w:left="567" w:hanging="567"/>
        <w:jc w:val="both"/>
        <w:rPr>
          <w:rFonts w:eastAsia="Calibri" w:cs="Times New Roman"/>
          <w:caps/>
          <w:sz w:val="24"/>
          <w:szCs w:val="24"/>
          <w:lang w:val="it-IT" w:eastAsia="it-IT"/>
        </w:rPr>
      </w:pPr>
      <w:r w:rsidRPr="00162DEA">
        <w:rPr>
          <w:rFonts w:eastAsia="Calibri" w:cs="Times New Roman"/>
          <w:caps/>
          <w:sz w:val="24"/>
          <w:szCs w:val="24"/>
          <w:lang w:val="it-IT" w:eastAsia="it-IT"/>
        </w:rPr>
        <w:t>INIZIATIVA</w:t>
      </w:r>
    </w:p>
    <w:p w:rsidR="00162DEA" w:rsidRDefault="00162DEA" w:rsidP="00162DEA">
      <w:pPr>
        <w:contextualSpacing/>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Le A</w:t>
      </w:r>
      <w:r w:rsidRPr="00162DEA">
        <w:rPr>
          <w:rFonts w:asciiTheme="minorHAnsi" w:eastAsia="Times New Roman" w:hAnsiTheme="minorHAnsi" w:cstheme="minorHAnsi"/>
          <w:sz w:val="24"/>
          <w:szCs w:val="24"/>
          <w:lang w:val="it-IT" w:eastAsia="it-IT"/>
        </w:rPr>
        <w:t>utorità ci segnalano, sia a livello nazionale che del Cantone Ticino, l’aumento di infiltrazioni mafiose e di associazioni a delinquere definite secondo gli articoli</w:t>
      </w:r>
      <w:r w:rsidRPr="00162DEA">
        <w:rPr>
          <w:rFonts w:asciiTheme="minorHAnsi" w:eastAsia="Times New Roman" w:hAnsiTheme="minorHAnsi" w:cstheme="minorHAnsi"/>
          <w:color w:val="0070C0"/>
          <w:sz w:val="24"/>
          <w:szCs w:val="24"/>
          <w:lang w:val="it-IT" w:eastAsia="it-IT"/>
        </w:rPr>
        <w:t xml:space="preserve"> </w:t>
      </w:r>
      <w:r w:rsidRPr="00162DEA">
        <w:rPr>
          <w:rFonts w:asciiTheme="minorHAnsi" w:eastAsia="Times New Roman" w:hAnsiTheme="minorHAnsi" w:cstheme="minorHAnsi"/>
          <w:sz w:val="24"/>
          <w:szCs w:val="24"/>
          <w:lang w:val="it-IT" w:eastAsia="it-IT"/>
        </w:rPr>
        <w:t>del</w:t>
      </w:r>
      <w:r w:rsidRPr="00162DEA">
        <w:rPr>
          <w:rFonts w:asciiTheme="minorHAnsi" w:eastAsia="Times New Roman" w:hAnsiTheme="minorHAnsi" w:cstheme="minorHAnsi"/>
          <w:color w:val="FF0000"/>
          <w:sz w:val="24"/>
          <w:szCs w:val="24"/>
          <w:lang w:val="it-IT" w:eastAsia="it-IT"/>
        </w:rPr>
        <w:t xml:space="preserve"> </w:t>
      </w:r>
      <w:r w:rsidRPr="00162DEA">
        <w:rPr>
          <w:rFonts w:asciiTheme="minorHAnsi" w:eastAsia="Times New Roman" w:hAnsiTheme="minorHAnsi" w:cstheme="minorHAnsi"/>
          <w:sz w:val="24"/>
          <w:szCs w:val="24"/>
          <w:lang w:val="it-IT" w:eastAsia="it-IT"/>
        </w:rPr>
        <w:t>Codice penale italiano (art. 416 e 416bis). Il fenomeno si può rilevare anche da vari articoli apparsi sulla stampa in merito.</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Gli </w:t>
      </w:r>
      <w:proofErr w:type="spellStart"/>
      <w:r w:rsidRPr="00162DEA">
        <w:rPr>
          <w:rFonts w:asciiTheme="minorHAnsi" w:eastAsia="Times New Roman" w:hAnsiTheme="minorHAnsi" w:cstheme="minorHAnsi"/>
          <w:sz w:val="24"/>
          <w:szCs w:val="24"/>
          <w:lang w:val="it-IT" w:eastAsia="it-IT"/>
        </w:rPr>
        <w:t>iniziativisti</w:t>
      </w:r>
      <w:proofErr w:type="spellEnd"/>
      <w:r w:rsidRPr="00162DEA">
        <w:rPr>
          <w:rFonts w:asciiTheme="minorHAnsi" w:eastAsia="Times New Roman" w:hAnsiTheme="minorHAnsi" w:cstheme="minorHAnsi"/>
          <w:sz w:val="24"/>
          <w:szCs w:val="24"/>
          <w:lang w:val="it-IT" w:eastAsia="it-IT"/>
        </w:rPr>
        <w:t xml:space="preserve"> sottolineano quanto la situazione sia allarmante e fanno presente i limiti del diritto penale svizzero nel combatterla.</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spacing w:after="120"/>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L’art. 260ter del Codice penale: “</w:t>
      </w:r>
      <w:hyperlink r:id="rId11" w:anchor="book_2/tit_12/lvl_u5" w:history="1">
        <w:r w:rsidRPr="00162DEA">
          <w:rPr>
            <w:rFonts w:asciiTheme="minorHAnsi" w:eastAsia="Times New Roman" w:hAnsiTheme="minorHAnsi" w:cstheme="minorHAnsi"/>
            <w:sz w:val="24"/>
            <w:szCs w:val="24"/>
            <w:u w:val="single"/>
            <w:lang w:val="it-IT" w:eastAsia="it-IT"/>
          </w:rPr>
          <w:t>Organizzazioni criminali e terroristiche</w:t>
        </w:r>
      </w:hyperlink>
      <w:r w:rsidRPr="00162DEA">
        <w:rPr>
          <w:rFonts w:asciiTheme="minorHAnsi" w:eastAsia="Times New Roman" w:hAnsiTheme="minorHAnsi" w:cstheme="minorHAnsi"/>
          <w:sz w:val="24"/>
          <w:szCs w:val="24"/>
          <w:u w:val="single"/>
          <w:lang w:val="it-IT" w:eastAsia="it-IT"/>
        </w:rPr>
        <w:t>”</w:t>
      </w:r>
      <w:r w:rsidRPr="00162DEA">
        <w:rPr>
          <w:rFonts w:asciiTheme="minorHAnsi" w:eastAsia="Times New Roman" w:hAnsiTheme="minorHAnsi" w:cstheme="minorHAnsi"/>
          <w:sz w:val="24"/>
          <w:szCs w:val="24"/>
          <w:lang w:val="it-IT" w:eastAsia="it-IT"/>
        </w:rPr>
        <w:t>, recita:</w:t>
      </w:r>
    </w:p>
    <w:p w:rsidR="00162DEA" w:rsidRPr="00162DEA" w:rsidRDefault="00162DEA" w:rsidP="00162DEA">
      <w:pPr>
        <w:contextualSpacing/>
        <w:rPr>
          <w:rFonts w:asciiTheme="minorHAnsi" w:eastAsia="Times New Roman" w:hAnsiTheme="minorHAnsi" w:cstheme="minorHAnsi"/>
          <w:i/>
          <w:sz w:val="24"/>
          <w:szCs w:val="24"/>
          <w:lang w:val="it-IT" w:eastAsia="it-IT"/>
        </w:rPr>
      </w:pPr>
      <w:bookmarkStart w:id="0" w:name="a260ter"/>
      <w:bookmarkEnd w:id="0"/>
      <w:r w:rsidRPr="00162DEA">
        <w:rPr>
          <w:rFonts w:asciiTheme="minorHAnsi" w:eastAsia="Times New Roman" w:hAnsiTheme="minorHAnsi" w:cstheme="minorHAnsi"/>
          <w:i/>
          <w:sz w:val="24"/>
          <w:szCs w:val="24"/>
          <w:lang w:val="it-IT" w:eastAsia="it-IT"/>
        </w:rPr>
        <w:t>1. È punito con una pena detentiva sino a dieci anni o con una pena pecuniaria chiunque:</w:t>
      </w:r>
    </w:p>
    <w:p w:rsidR="00162DEA" w:rsidRPr="00162DEA" w:rsidRDefault="00162DEA" w:rsidP="00162DEA">
      <w:pPr>
        <w:spacing w:before="60"/>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a. partecipa a un’organizzazione che ha lo scopo di:</w:t>
      </w:r>
    </w:p>
    <w:p w:rsidR="00162DEA" w:rsidRPr="00162DEA" w:rsidRDefault="00162DEA" w:rsidP="00162DEA">
      <w:pPr>
        <w:ind w:left="284"/>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1. commettere atti di violenza criminali o di arricchirsi con mezzi criminali, o</w:t>
      </w:r>
    </w:p>
    <w:p w:rsidR="00162DEA" w:rsidRPr="00162DEA" w:rsidRDefault="00162DEA" w:rsidP="00162DEA">
      <w:pPr>
        <w:tabs>
          <w:tab w:val="left" w:pos="567"/>
        </w:tabs>
        <w:ind w:left="284"/>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 xml:space="preserve">2. commettere atti di violenza criminali volti a intimidire la popolazione o a costringere </w:t>
      </w:r>
      <w:r>
        <w:rPr>
          <w:rFonts w:asciiTheme="minorHAnsi" w:eastAsia="Times New Roman" w:hAnsiTheme="minorHAnsi" w:cstheme="minorHAnsi"/>
          <w:i/>
          <w:sz w:val="24"/>
          <w:szCs w:val="24"/>
          <w:lang w:val="it-IT" w:eastAsia="it-IT"/>
        </w:rPr>
        <w:tab/>
      </w:r>
      <w:r w:rsidRPr="00162DEA">
        <w:rPr>
          <w:rFonts w:asciiTheme="minorHAnsi" w:eastAsia="Times New Roman" w:hAnsiTheme="minorHAnsi" w:cstheme="minorHAnsi"/>
          <w:i/>
          <w:sz w:val="24"/>
          <w:szCs w:val="24"/>
          <w:lang w:val="it-IT" w:eastAsia="it-IT"/>
        </w:rPr>
        <w:t>uno Stato o un’organizzazione internazionale a fare o ad omettere un atto; o</w:t>
      </w:r>
    </w:p>
    <w:p w:rsidR="00162DEA" w:rsidRPr="00162DEA" w:rsidRDefault="00162DEA" w:rsidP="00162DEA">
      <w:pPr>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b. sostiene una tale organizzazione nella sua attività.</w:t>
      </w:r>
    </w:p>
    <w:p w:rsidR="00162DEA" w:rsidRPr="00162DEA" w:rsidRDefault="00162DEA" w:rsidP="00162DEA">
      <w:pPr>
        <w:contextualSpacing/>
        <w:rPr>
          <w:rFonts w:asciiTheme="minorHAnsi" w:eastAsia="Times New Roman" w:hAnsiTheme="minorHAnsi" w:cstheme="minorHAnsi"/>
          <w:i/>
          <w:sz w:val="24"/>
          <w:szCs w:val="24"/>
          <w:lang w:val="it-IT" w:eastAsia="it-IT"/>
        </w:rPr>
      </w:pPr>
    </w:p>
    <w:p w:rsidR="00162DEA" w:rsidRDefault="00162DEA" w:rsidP="00162DEA">
      <w:pPr>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2. Il capoverso 1 lettera b non si applica ai servizi umanitari forniti da un’organizzazione umanitaria imparziale, quale il Comitato internazionale della Croce Rossa, conformemente all’articolo 3 comune alle Convenzioni di Ginevra del 12 agosto 1949</w:t>
      </w:r>
      <w:hyperlink r:id="rId12" w:anchor="fn-d8e10796" w:history="1">
        <w:r w:rsidRPr="00162DEA">
          <w:rPr>
            <w:rFonts w:asciiTheme="minorHAnsi" w:eastAsia="Times New Roman" w:hAnsiTheme="minorHAnsi" w:cstheme="minorHAnsi"/>
            <w:i/>
            <w:sz w:val="24"/>
            <w:szCs w:val="24"/>
            <w:lang w:val="it-IT" w:eastAsia="it-IT"/>
          </w:rPr>
          <w:t>326</w:t>
        </w:r>
      </w:hyperlink>
      <w:r w:rsidRPr="00162DEA">
        <w:rPr>
          <w:rFonts w:asciiTheme="minorHAnsi" w:eastAsia="Times New Roman" w:hAnsiTheme="minorHAnsi" w:cstheme="minorHAnsi"/>
          <w:i/>
          <w:sz w:val="24"/>
          <w:szCs w:val="24"/>
          <w:lang w:val="it-IT" w:eastAsia="it-IT"/>
        </w:rPr>
        <w:t>. </w:t>
      </w:r>
    </w:p>
    <w:p w:rsidR="00162DEA" w:rsidRPr="00162DEA" w:rsidRDefault="00162DEA" w:rsidP="00162DEA">
      <w:pPr>
        <w:contextualSpacing/>
        <w:rPr>
          <w:rFonts w:asciiTheme="minorHAnsi" w:eastAsia="Times New Roman" w:hAnsiTheme="minorHAnsi" w:cstheme="minorHAnsi"/>
          <w:i/>
          <w:sz w:val="24"/>
          <w:szCs w:val="24"/>
          <w:lang w:val="it-IT" w:eastAsia="it-IT"/>
        </w:rPr>
      </w:pPr>
    </w:p>
    <w:p w:rsidR="00162DEA" w:rsidRDefault="00162DEA" w:rsidP="00162DEA">
      <w:pPr>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3. Se esercita un’influenza determinante all’interno dell’organizzazione, l’autore è punito con una pena detentiva non inferiore a tre anni.</w:t>
      </w:r>
    </w:p>
    <w:p w:rsidR="00162DEA" w:rsidRPr="00162DEA" w:rsidRDefault="00162DEA" w:rsidP="00162DEA">
      <w:pPr>
        <w:contextualSpacing/>
        <w:rPr>
          <w:rFonts w:asciiTheme="minorHAnsi" w:eastAsia="Times New Roman" w:hAnsiTheme="minorHAnsi" w:cstheme="minorHAnsi"/>
          <w:i/>
          <w:sz w:val="24"/>
          <w:szCs w:val="24"/>
          <w:lang w:val="it-IT" w:eastAsia="it-IT"/>
        </w:rPr>
      </w:pPr>
    </w:p>
    <w:p w:rsidR="00162DEA" w:rsidRDefault="00162DEA" w:rsidP="00162DEA">
      <w:pPr>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4. Il giudice può attenuare la pena (art. 48a) se l’autore si sforza di impedire la prosecuzione dell’attività dell’organizzazione. </w:t>
      </w:r>
    </w:p>
    <w:p w:rsidR="00162DEA" w:rsidRPr="00162DEA" w:rsidRDefault="00162DEA" w:rsidP="00162DEA">
      <w:pPr>
        <w:contextualSpacing/>
        <w:rPr>
          <w:rFonts w:asciiTheme="minorHAnsi" w:eastAsia="Times New Roman" w:hAnsiTheme="minorHAnsi" w:cstheme="minorHAnsi"/>
          <w:i/>
          <w:sz w:val="24"/>
          <w:szCs w:val="24"/>
          <w:lang w:val="it-IT" w:eastAsia="it-IT"/>
        </w:rPr>
      </w:pPr>
    </w:p>
    <w:p w:rsidR="00162DEA" w:rsidRDefault="00162DEA" w:rsidP="00162DEA">
      <w:pPr>
        <w:contextualSpacing/>
        <w:rPr>
          <w:rFonts w:asciiTheme="minorHAnsi" w:eastAsia="Times New Roman" w:hAnsiTheme="minorHAnsi" w:cstheme="minorHAnsi"/>
          <w:i/>
          <w:sz w:val="24"/>
          <w:szCs w:val="24"/>
          <w:lang w:val="it-IT" w:eastAsia="it-IT"/>
        </w:rPr>
      </w:pPr>
      <w:r w:rsidRPr="00162DEA">
        <w:rPr>
          <w:rFonts w:asciiTheme="minorHAnsi" w:eastAsia="Times New Roman" w:hAnsiTheme="minorHAnsi" w:cstheme="minorHAnsi"/>
          <w:i/>
          <w:sz w:val="24"/>
          <w:szCs w:val="24"/>
          <w:lang w:val="it-IT" w:eastAsia="it-IT"/>
        </w:rPr>
        <w:t>5. È punibile anche chi commette il reato all’estero, se l’organizzazione esercita o intende esercitare l’attività criminale in tutto o in parte in Svizzera. L’articolo 7 capoversi 4 e 5 è applicabile.</w:t>
      </w:r>
    </w:p>
    <w:p w:rsidR="00162DEA" w:rsidRPr="00162DEA" w:rsidRDefault="00162DEA" w:rsidP="00162DEA">
      <w:pPr>
        <w:contextualSpacing/>
        <w:rPr>
          <w:rFonts w:asciiTheme="minorHAnsi" w:eastAsia="Times New Roman" w:hAnsiTheme="minorHAnsi" w:cstheme="minorHAnsi"/>
          <w: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lastRenderedPageBreak/>
        <w:t>Da un’attenta lettura dell’art. 260ter si comprende che dimostrare l’appartenenza o la partecipazione ad un gruppo mafioso non è sufficiente per procedere penalmente. Occorre infatti provare che sia stato commesso un atto criminale, cosa che comporta inchieste complesse.</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Infatti, a differenza di quanto previsto dal Codice penale italiano, in Svizzera occorre provare per lo meno l’esistenza di “un’organizzazione che tiene segreti la struttura e i suoi componenti e che ha lo scopo di commettere atti di violenza criminali o di arricchirsi con mezzi criminali”.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Come è noto il diritto penale è di competenza prevalente della Confederazione. A livello Cantonale</w:t>
      </w:r>
      <w:r w:rsidRPr="00162DEA">
        <w:rPr>
          <w:rFonts w:asciiTheme="minorHAnsi" w:eastAsia="Times New Roman" w:hAnsiTheme="minorHAnsi" w:cstheme="minorHAnsi"/>
          <w:color w:val="4F81BD" w:themeColor="accent1"/>
          <w:sz w:val="24"/>
          <w:szCs w:val="24"/>
          <w:lang w:val="it-IT" w:eastAsia="it-IT"/>
        </w:rPr>
        <w:t xml:space="preserve"> </w:t>
      </w:r>
      <w:r w:rsidRPr="00162DEA">
        <w:rPr>
          <w:rFonts w:asciiTheme="minorHAnsi" w:eastAsia="Times New Roman" w:hAnsiTheme="minorHAnsi" w:cstheme="minorHAnsi"/>
          <w:sz w:val="24"/>
          <w:szCs w:val="24"/>
          <w:lang w:val="it-IT" w:eastAsia="it-IT"/>
        </w:rPr>
        <w:t>è possibile introdurre e valutare eventuali contravvenzioni di polizia quando non regolate a livello federale al fine di punire l’associazione a delinquere e di tipo mafioso.</w:t>
      </w: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Ed in questo senso gli </w:t>
      </w:r>
      <w:proofErr w:type="spellStart"/>
      <w:r w:rsidRPr="00162DEA">
        <w:rPr>
          <w:rFonts w:asciiTheme="minorHAnsi" w:eastAsia="Times New Roman" w:hAnsiTheme="minorHAnsi" w:cstheme="minorHAnsi"/>
          <w:sz w:val="24"/>
          <w:szCs w:val="24"/>
          <w:lang w:val="it-IT" w:eastAsia="it-IT"/>
        </w:rPr>
        <w:t>iniziativisti</w:t>
      </w:r>
      <w:proofErr w:type="spellEnd"/>
      <w:r w:rsidRPr="00162DEA">
        <w:rPr>
          <w:rFonts w:asciiTheme="minorHAnsi" w:eastAsia="Times New Roman" w:hAnsiTheme="minorHAnsi" w:cstheme="minorHAnsi"/>
          <w:sz w:val="24"/>
          <w:szCs w:val="24"/>
          <w:lang w:val="it-IT" w:eastAsia="it-IT"/>
        </w:rPr>
        <w:t xml:space="preserve"> hanno proposto la modifica dell’art. 3, 3a e 3b della legge sull’ordine pubblico </w:t>
      </w:r>
      <w:proofErr w:type="spellStart"/>
      <w:r w:rsidRPr="00162DEA">
        <w:rPr>
          <w:rFonts w:asciiTheme="minorHAnsi" w:eastAsia="Times New Roman" w:hAnsiTheme="minorHAnsi" w:cstheme="minorHAnsi"/>
          <w:sz w:val="24"/>
          <w:szCs w:val="24"/>
          <w:lang w:val="it-IT" w:eastAsia="it-IT"/>
        </w:rPr>
        <w:t>LorP</w:t>
      </w:r>
      <w:proofErr w:type="spellEnd"/>
      <w:r w:rsidRPr="00162DEA">
        <w:rPr>
          <w:rFonts w:asciiTheme="minorHAnsi" w:eastAsia="Times New Roman" w:hAnsiTheme="minorHAnsi" w:cstheme="minorHAnsi"/>
          <w:sz w:val="24"/>
          <w:szCs w:val="24"/>
          <w:lang w:val="it-IT" w:eastAsia="it-IT"/>
        </w:rPr>
        <w:t>.</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Contemporaneamente si chiede che venga presentata un’iniziativa cantonale alle Camere federali per migliorare il diritto penale nell’ambito descritto.</w:t>
      </w:r>
    </w:p>
    <w:p w:rsid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pStyle w:val="Titolo1"/>
        <w:tabs>
          <w:tab w:val="left" w:pos="567"/>
        </w:tabs>
        <w:spacing w:before="0"/>
        <w:ind w:left="567" w:hanging="567"/>
        <w:jc w:val="both"/>
        <w:rPr>
          <w:rFonts w:eastAsia="Calibri" w:cs="Times New Roman"/>
          <w:caps/>
          <w:sz w:val="24"/>
          <w:szCs w:val="24"/>
          <w:lang w:val="it-IT" w:eastAsia="it-IT"/>
        </w:rPr>
      </w:pPr>
      <w:r w:rsidRPr="00162DEA">
        <w:rPr>
          <w:rFonts w:eastAsia="Calibri" w:cs="Times New Roman"/>
          <w:caps/>
          <w:sz w:val="24"/>
          <w:szCs w:val="24"/>
          <w:lang w:val="it-IT" w:eastAsia="it-IT"/>
        </w:rPr>
        <w:t xml:space="preserve">MESSAGGIO </w:t>
      </w:r>
      <w:r>
        <w:rPr>
          <w:rFonts w:eastAsia="Calibri" w:cs="Times New Roman"/>
          <w:caps/>
          <w:sz w:val="24"/>
          <w:szCs w:val="24"/>
          <w:lang w:val="it-IT" w:eastAsia="it-IT"/>
        </w:rPr>
        <w:t xml:space="preserve">n. </w:t>
      </w:r>
      <w:r w:rsidRPr="00162DEA">
        <w:rPr>
          <w:rFonts w:eastAsia="Calibri" w:cs="Times New Roman"/>
          <w:caps/>
          <w:sz w:val="24"/>
          <w:szCs w:val="24"/>
          <w:lang w:val="it-IT" w:eastAsia="it-IT"/>
        </w:rPr>
        <w:t>8186</w:t>
      </w: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Il Consiglio di Stato ha pre</w:t>
      </w:r>
      <w:r>
        <w:rPr>
          <w:rFonts w:asciiTheme="minorHAnsi" w:eastAsia="Times New Roman" w:hAnsiTheme="minorHAnsi" w:cstheme="minorHAnsi"/>
          <w:sz w:val="24"/>
          <w:szCs w:val="24"/>
          <w:lang w:val="it-IT" w:eastAsia="it-IT"/>
        </w:rPr>
        <w:t>sentato il 7 settembre 2022 il m</w:t>
      </w:r>
      <w:r w:rsidRPr="00162DEA">
        <w:rPr>
          <w:rFonts w:asciiTheme="minorHAnsi" w:eastAsia="Times New Roman" w:hAnsiTheme="minorHAnsi" w:cstheme="minorHAnsi"/>
          <w:sz w:val="24"/>
          <w:szCs w:val="24"/>
          <w:lang w:val="it-IT" w:eastAsia="it-IT"/>
        </w:rPr>
        <w:t>essaggio che analizza la situazione in vigore citando le pene attualmente contemplate nel Codice penale federale come pure quelle della legge sul riciclaggio di denaro.</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Analizza pure la situazione degli altri Cantoni della Svizzera dove con la  </w:t>
      </w:r>
      <w:proofErr w:type="spellStart"/>
      <w:r w:rsidRPr="00162DEA">
        <w:rPr>
          <w:rFonts w:asciiTheme="minorHAnsi" w:eastAsia="Times New Roman" w:hAnsiTheme="minorHAnsi" w:cstheme="minorHAnsi"/>
          <w:sz w:val="24"/>
          <w:szCs w:val="24"/>
          <w:lang w:val="it-IT" w:eastAsia="it-IT"/>
        </w:rPr>
        <w:t>LorP</w:t>
      </w:r>
      <w:proofErr w:type="spellEnd"/>
      <w:r w:rsidRPr="00162DEA">
        <w:rPr>
          <w:rFonts w:asciiTheme="minorHAnsi" w:eastAsia="Times New Roman" w:hAnsiTheme="minorHAnsi" w:cstheme="minorHAnsi"/>
          <w:sz w:val="24"/>
          <w:szCs w:val="24"/>
          <w:lang w:val="it-IT" w:eastAsia="it-IT"/>
        </w:rPr>
        <w:t xml:space="preserve"> vengono repressi, soprattutto in via contravvenzionale, reati minori dei più disparati, quali l’accattonaggio, il disturbo alla quiete pubblica, l’omissione di ingiunzioni di autorità cantonali, il danneggiamento della proprietà altrui, la messa in pericolo tramite animali vaganti, la fabbricazione illecita di timbri o ancora l’adescamento sulla pubblica via, tutte infrazioni non espressamente oppure non esclusivamente regolate dal Codice penale o da altre leggi federali.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Il Governo, dopo aver sentito in consultazione le Autorità penali, la Polizia cantonale nonché l’Osservatorio ticinese sulla criminalità organizzata dell’Università della Svizzera italiana, invita il Gran Consiglio a respingere l’atto parlamentare in esame, non ritenendo opportuno introdurre nell’impianto normativo cantonale delle contravvenzioni di associazione per delinquere e associazione di stampo mafioso o di riciclaggio di denaro di lieve entità, come dettagliatamente motivato nel messaggio.</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In particolare, il Consiglio di Stato richiama che l’introduzione di una norma repressiva limitata al solo Canton Ticino fondata sul diritto contravvenzionale, che quindi</w:t>
      </w:r>
      <w:r w:rsidRPr="00162DEA">
        <w:rPr>
          <w:rFonts w:asciiTheme="minorHAnsi" w:eastAsia="Times New Roman" w:hAnsiTheme="minorHAnsi" w:cstheme="minorHAnsi"/>
          <w:color w:val="FF0000"/>
          <w:sz w:val="24"/>
          <w:szCs w:val="24"/>
          <w:lang w:val="it-IT" w:eastAsia="it-IT"/>
        </w:rPr>
        <w:t xml:space="preserve"> </w:t>
      </w:r>
      <w:r w:rsidRPr="00162DEA">
        <w:rPr>
          <w:rFonts w:asciiTheme="minorHAnsi" w:eastAsia="Times New Roman" w:hAnsiTheme="minorHAnsi" w:cstheme="minorHAnsi"/>
          <w:sz w:val="24"/>
          <w:szCs w:val="24"/>
          <w:lang w:val="it-IT" w:eastAsia="it-IT"/>
        </w:rPr>
        <w:t xml:space="preserve">sanzionerebbe il reato di associazione per delinquere solamente con delle multe, sarebbe in ogni caso in contrasto con una disposizione di diritto superiore come l’art. 260ter CP che prevede per la partecipazione o il sostegno a organizzazioni criminali delle significative pene privative della libertà.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lastRenderedPageBreak/>
        <w:t xml:space="preserve">Il Consiglio di Stato ritiene pure che modifica della </w:t>
      </w:r>
      <w:proofErr w:type="spellStart"/>
      <w:r w:rsidRPr="00162DEA">
        <w:rPr>
          <w:rFonts w:asciiTheme="minorHAnsi" w:eastAsia="Times New Roman" w:hAnsiTheme="minorHAnsi" w:cstheme="minorHAnsi"/>
          <w:sz w:val="24"/>
          <w:szCs w:val="24"/>
          <w:lang w:val="it-IT" w:eastAsia="it-IT"/>
        </w:rPr>
        <w:t>LOrP</w:t>
      </w:r>
      <w:proofErr w:type="spellEnd"/>
      <w:r w:rsidRPr="00162DEA">
        <w:rPr>
          <w:rFonts w:asciiTheme="minorHAnsi" w:eastAsia="Times New Roman" w:hAnsiTheme="minorHAnsi" w:cstheme="minorHAnsi"/>
          <w:sz w:val="24"/>
          <w:szCs w:val="24"/>
          <w:lang w:val="it-IT" w:eastAsia="it-IT"/>
        </w:rPr>
        <w:t xml:space="preserve">, non sarebbe adatta né idonea a raggiungere gli scopi prefissati dall’iniziativa;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i/>
          <w:iCs/>
          <w:sz w:val="24"/>
          <w:szCs w:val="24"/>
          <w:lang w:val="it-IT" w:eastAsia="it-IT"/>
        </w:rPr>
      </w:pPr>
      <w:r w:rsidRPr="00162DEA">
        <w:rPr>
          <w:rFonts w:asciiTheme="minorHAnsi" w:eastAsia="Times New Roman" w:hAnsiTheme="minorHAnsi" w:cstheme="minorHAnsi"/>
          <w:i/>
          <w:iCs/>
          <w:sz w:val="24"/>
          <w:szCs w:val="24"/>
          <w:lang w:val="it-IT" w:eastAsia="it-IT"/>
        </w:rPr>
        <w:t xml:space="preserve"> “questa modifica potrebbe anzi configurare un tentativo di aggiramento dell’attuale, chiara, ripartizione delle competenze (federali e cantonali) in materia penale, andando a costruire un doppio binario normativo con inopportuni spazi di sovrapposizione e difficoltà di coordinamento. Dal profilo puramente procedurale, giova infine osservare che la commissione del reato di cui al proposto nuovo art. 3a </w:t>
      </w:r>
      <w:proofErr w:type="spellStart"/>
      <w:r w:rsidRPr="00162DEA">
        <w:rPr>
          <w:rFonts w:asciiTheme="minorHAnsi" w:eastAsia="Times New Roman" w:hAnsiTheme="minorHAnsi" w:cstheme="minorHAnsi"/>
          <w:i/>
          <w:iCs/>
          <w:sz w:val="24"/>
          <w:szCs w:val="24"/>
          <w:lang w:val="it-IT" w:eastAsia="it-IT"/>
        </w:rPr>
        <w:t>LOrP</w:t>
      </w:r>
      <w:proofErr w:type="spellEnd"/>
      <w:r w:rsidRPr="00162DEA">
        <w:rPr>
          <w:rFonts w:asciiTheme="minorHAnsi" w:eastAsia="Times New Roman" w:hAnsiTheme="minorHAnsi" w:cstheme="minorHAnsi"/>
          <w:i/>
          <w:iCs/>
          <w:sz w:val="24"/>
          <w:szCs w:val="24"/>
          <w:lang w:val="it-IT" w:eastAsia="it-IT"/>
        </w:rPr>
        <w:t xml:space="preserve"> sarebbe tacitata con un decreto di accusa e giudicata, in caso di opposizione, dalla Pretura penale, che si occupa esclusivamente del cosiddetto penale “minore”;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Ed inoltre ritiene che:</w:t>
      </w:r>
    </w:p>
    <w:p w:rsidR="00162DEA" w:rsidRPr="00162DEA" w:rsidRDefault="00162DEA" w:rsidP="00162DEA">
      <w:pPr>
        <w:contextualSpacing/>
        <w:rPr>
          <w:rFonts w:asciiTheme="minorHAnsi" w:hAnsiTheme="minorHAnsi" w:cstheme="minorHAnsi"/>
          <w:i/>
          <w:iCs/>
          <w:sz w:val="24"/>
          <w:szCs w:val="24"/>
          <w:lang w:val="it-IT"/>
        </w:rPr>
      </w:pPr>
    </w:p>
    <w:p w:rsidR="00162DEA" w:rsidRPr="00162DEA" w:rsidRDefault="00162DEA" w:rsidP="00162DEA">
      <w:pPr>
        <w:contextualSpacing/>
        <w:rPr>
          <w:rFonts w:asciiTheme="minorHAnsi" w:hAnsiTheme="minorHAnsi" w:cstheme="minorHAnsi"/>
          <w:i/>
          <w:iCs/>
          <w:sz w:val="24"/>
          <w:szCs w:val="24"/>
          <w:lang w:val="it-IT"/>
        </w:rPr>
      </w:pPr>
      <w:r w:rsidRPr="00162DEA">
        <w:rPr>
          <w:rFonts w:asciiTheme="minorHAnsi" w:hAnsiTheme="minorHAnsi" w:cstheme="minorHAnsi"/>
          <w:i/>
          <w:iCs/>
          <w:sz w:val="24"/>
          <w:szCs w:val="24"/>
          <w:lang w:val="it-IT"/>
        </w:rPr>
        <w:t xml:space="preserve">“visto il serio pericolo sociale e di ordine pubblico posto dalle organizzazioni criminali (non solo in Italia), e la loro trasposizione in un’infrazione contravvenzionale corrisponderebbe a </w:t>
      </w:r>
      <w:proofErr w:type="spellStart"/>
      <w:r w:rsidRPr="00162DEA">
        <w:rPr>
          <w:rFonts w:asciiTheme="minorHAnsi" w:hAnsiTheme="minorHAnsi" w:cstheme="minorHAnsi"/>
          <w:i/>
          <w:iCs/>
          <w:sz w:val="24"/>
          <w:szCs w:val="24"/>
          <w:lang w:val="it-IT"/>
        </w:rPr>
        <w:t>banalizzare</w:t>
      </w:r>
      <w:proofErr w:type="spellEnd"/>
      <w:r w:rsidRPr="00162DEA">
        <w:rPr>
          <w:rFonts w:asciiTheme="minorHAnsi" w:hAnsiTheme="minorHAnsi" w:cstheme="minorHAnsi"/>
          <w:i/>
          <w:iCs/>
          <w:sz w:val="24"/>
          <w:szCs w:val="24"/>
          <w:lang w:val="it-IT"/>
        </w:rPr>
        <w:t xml:space="preserve"> un fenomeno particolarmente grave con conseguente danno dell’immagine dello Stato, segnatamente del Canton Ticino;”</w:t>
      </w:r>
    </w:p>
    <w:p w:rsidR="00162DEA" w:rsidRPr="00162DEA" w:rsidRDefault="00162DEA" w:rsidP="00162DEA">
      <w:pPr>
        <w:contextualSpacing/>
        <w:rPr>
          <w:rFonts w:asciiTheme="minorHAnsi" w:hAnsiTheme="minorHAnsi" w:cstheme="minorHAnsi"/>
          <w:i/>
          <w:iCs/>
          <w:sz w:val="24"/>
          <w:szCs w:val="24"/>
          <w:lang w:val="it-IT"/>
        </w:rPr>
      </w:pPr>
    </w:p>
    <w:p w:rsidR="00162DEA" w:rsidRPr="00162DEA" w:rsidRDefault="00515988" w:rsidP="00162DEA">
      <w:pPr>
        <w:contextualSpacing/>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il Consiglio di Stato infine</w:t>
      </w:r>
      <w:r w:rsidR="00162DEA" w:rsidRPr="00162DEA">
        <w:rPr>
          <w:rFonts w:asciiTheme="minorHAnsi" w:eastAsia="Times New Roman" w:hAnsiTheme="minorHAnsi" w:cstheme="minorHAnsi"/>
          <w:sz w:val="24"/>
          <w:szCs w:val="24"/>
          <w:lang w:val="it-IT" w:eastAsia="it-IT"/>
        </w:rPr>
        <w:t xml:space="preserve"> </w:t>
      </w:r>
      <w:r w:rsidR="00162DEA" w:rsidRPr="00162DEA">
        <w:rPr>
          <w:rFonts w:asciiTheme="minorHAnsi" w:eastAsia="Times New Roman" w:hAnsiTheme="minorHAnsi" w:cstheme="minorHAnsi"/>
          <w:i/>
          <w:sz w:val="24"/>
          <w:szCs w:val="24"/>
          <w:lang w:val="it-IT" w:eastAsia="it-IT"/>
        </w:rPr>
        <w:t xml:space="preserve">“non reputa necessario introdurre nella </w:t>
      </w:r>
      <w:proofErr w:type="spellStart"/>
      <w:r w:rsidR="00162DEA" w:rsidRPr="00162DEA">
        <w:rPr>
          <w:rFonts w:asciiTheme="minorHAnsi" w:eastAsia="Times New Roman" w:hAnsiTheme="minorHAnsi" w:cstheme="minorHAnsi"/>
          <w:i/>
          <w:sz w:val="24"/>
          <w:szCs w:val="24"/>
          <w:lang w:val="it-IT" w:eastAsia="it-IT"/>
        </w:rPr>
        <w:t>LOrP</w:t>
      </w:r>
      <w:proofErr w:type="spellEnd"/>
      <w:r w:rsidR="00162DEA" w:rsidRPr="00162DEA">
        <w:rPr>
          <w:rFonts w:asciiTheme="minorHAnsi" w:eastAsia="Times New Roman" w:hAnsiTheme="minorHAnsi" w:cstheme="minorHAnsi"/>
          <w:i/>
          <w:sz w:val="24"/>
          <w:szCs w:val="24"/>
          <w:lang w:val="it-IT" w:eastAsia="it-IT"/>
        </w:rPr>
        <w:t xml:space="preserve"> le contravvenzioni di associazione per delinquere e associazione di stampo mafioso o di riciclaggio di denaro di lieve entità e pertanto invita il Gran Consiglio a</w:t>
      </w:r>
      <w:r>
        <w:rPr>
          <w:rFonts w:asciiTheme="minorHAnsi" w:eastAsia="Times New Roman" w:hAnsiTheme="minorHAnsi" w:cstheme="minorHAnsi"/>
          <w:i/>
          <w:sz w:val="24"/>
          <w:szCs w:val="24"/>
          <w:lang w:val="it-IT" w:eastAsia="it-IT"/>
        </w:rPr>
        <w:t xml:space="preserve"> respingere l’atto parlamentare</w:t>
      </w:r>
      <w:r w:rsidR="00162DEA" w:rsidRPr="00162DEA">
        <w:rPr>
          <w:rFonts w:asciiTheme="minorHAnsi" w:eastAsia="Times New Roman" w:hAnsiTheme="minorHAnsi" w:cstheme="minorHAnsi"/>
          <w:i/>
          <w:sz w:val="24"/>
          <w:szCs w:val="24"/>
          <w:lang w:val="it-IT" w:eastAsia="it-IT"/>
        </w:rPr>
        <w:t>”</w:t>
      </w:r>
      <w:r>
        <w:rPr>
          <w:rFonts w:asciiTheme="minorHAnsi" w:eastAsia="Times New Roman" w:hAnsiTheme="minorHAnsi" w:cstheme="minorHAnsi"/>
          <w:i/>
          <w:sz w:val="24"/>
          <w:szCs w:val="24"/>
          <w:lang w:val="it-IT" w:eastAsia="it-IT"/>
        </w:rPr>
        <w:t>.</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Per quanto riguarda la presentazione dell’iniziativa cantonale alle Camere federali ricorda che la competenza spetta al Gran Consiglio.</w:t>
      </w:r>
    </w:p>
    <w:p w:rsidR="00162DEA" w:rsidRDefault="00162DEA" w:rsidP="00162DEA">
      <w:pPr>
        <w:contextualSpacing/>
        <w:rPr>
          <w:rFonts w:asciiTheme="minorHAnsi" w:hAnsiTheme="minorHAnsi" w:cstheme="minorHAnsi"/>
          <w:sz w:val="24"/>
          <w:szCs w:val="24"/>
          <w:lang w:val="it-IT"/>
        </w:rPr>
      </w:pPr>
    </w:p>
    <w:p w:rsidR="00162DEA" w:rsidRDefault="00162DEA" w:rsidP="00162DEA">
      <w:pPr>
        <w:contextualSpacing/>
        <w:rPr>
          <w:rFonts w:asciiTheme="minorHAnsi" w:hAnsiTheme="minorHAnsi" w:cstheme="minorHAnsi"/>
          <w:sz w:val="24"/>
          <w:szCs w:val="24"/>
          <w:lang w:val="it-IT"/>
        </w:rPr>
      </w:pPr>
    </w:p>
    <w:p w:rsidR="00162DEA" w:rsidRPr="00162DEA" w:rsidRDefault="00162DEA" w:rsidP="00162DEA">
      <w:pPr>
        <w:contextualSpacing/>
        <w:rPr>
          <w:rFonts w:asciiTheme="minorHAnsi" w:hAnsiTheme="minorHAnsi" w:cstheme="minorHAnsi"/>
          <w:sz w:val="24"/>
          <w:szCs w:val="24"/>
          <w:lang w:val="it-IT"/>
        </w:rPr>
      </w:pPr>
    </w:p>
    <w:p w:rsidR="00162DEA" w:rsidRPr="00162DEA" w:rsidRDefault="00162DEA" w:rsidP="00162DEA">
      <w:pPr>
        <w:pStyle w:val="Titolo1"/>
        <w:tabs>
          <w:tab w:val="left" w:pos="567"/>
        </w:tabs>
        <w:spacing w:before="0"/>
        <w:ind w:left="567" w:hanging="567"/>
        <w:jc w:val="both"/>
        <w:rPr>
          <w:rFonts w:eastAsia="Calibri" w:cs="Times New Roman"/>
          <w:caps/>
          <w:sz w:val="24"/>
          <w:szCs w:val="24"/>
          <w:lang w:val="it-IT" w:eastAsia="it-IT"/>
        </w:rPr>
      </w:pPr>
      <w:r w:rsidRPr="00162DEA">
        <w:rPr>
          <w:rFonts w:eastAsia="Calibri" w:cs="Times New Roman"/>
          <w:caps/>
          <w:sz w:val="24"/>
          <w:szCs w:val="24"/>
          <w:lang w:val="it-IT" w:eastAsia="it-IT"/>
        </w:rPr>
        <w:t>APPROFONDIMENTI COMMISSIONALI</w:t>
      </w: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La commissione è preoccupata per il problema delle infiltrazioni mafiose. Su questo tema e con riferimento anche ad altri atti da evadere ha </w:t>
      </w:r>
      <w:proofErr w:type="spellStart"/>
      <w:r w:rsidRPr="00162DEA">
        <w:rPr>
          <w:rFonts w:asciiTheme="minorHAnsi" w:eastAsia="Times New Roman" w:hAnsiTheme="minorHAnsi" w:cstheme="minorHAnsi"/>
          <w:sz w:val="24"/>
          <w:szCs w:val="24"/>
          <w:lang w:val="it-IT" w:eastAsia="it-IT"/>
        </w:rPr>
        <w:t>audizionato</w:t>
      </w:r>
      <w:proofErr w:type="spellEnd"/>
      <w:r w:rsidRPr="00162DEA">
        <w:rPr>
          <w:rFonts w:asciiTheme="minorHAnsi" w:eastAsia="Times New Roman" w:hAnsiTheme="minorHAnsi" w:cstheme="minorHAnsi"/>
          <w:sz w:val="24"/>
          <w:szCs w:val="24"/>
          <w:lang w:val="it-IT" w:eastAsia="it-IT"/>
        </w:rPr>
        <w:t>:</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il 14 novembre 2022 il PG Andrea Pagani ha rilevato che il fenomeno mafioso non si limita ad essere presente </w:t>
      </w:r>
      <w:r w:rsidR="00515988">
        <w:rPr>
          <w:rFonts w:asciiTheme="minorHAnsi" w:eastAsia="Times New Roman" w:hAnsiTheme="minorHAnsi" w:cstheme="minorHAnsi"/>
          <w:sz w:val="24"/>
          <w:szCs w:val="24"/>
          <w:lang w:val="it-IT" w:eastAsia="it-IT"/>
        </w:rPr>
        <w:t>in un</w:t>
      </w:r>
      <w:r w:rsidRPr="00162DEA">
        <w:rPr>
          <w:rFonts w:asciiTheme="minorHAnsi" w:eastAsia="Times New Roman" w:hAnsiTheme="minorHAnsi" w:cstheme="minorHAnsi"/>
          <w:sz w:val="24"/>
          <w:szCs w:val="24"/>
          <w:lang w:val="it-IT" w:eastAsia="it-IT"/>
        </w:rPr>
        <w:t xml:space="preserve"> singolo Stato ma è transfrontaliero. Combatterlo richiede di conseguenza che le competenze di indagine siano organizzate a livello federale, anche per favorire la collaborazione con altri Stati. </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il 30 gennaio 2023 anche il Procuratore federale Sergio Mastroianni sottolinea l’opportunità che la competenza sia federale. Non esclude comunque che nel remoto caso si dimostrasse che un’organizzazione criminale operi prevalentemente in un cantone escludendo ogni collegamento internazionale, allora il caso potrebbe venire trattato nel cantone stesso. Situazione però che l’esperienza dimostra essere remota.</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Al delegato alle relazioni esterne, Francesco Quattrini, è stato infine richiesto un aggiornamento sugli sviluppi futuri previsti nei lavori parlamentari relativi alla lotta contro le organizzazioni criminali.</w:t>
      </w:r>
    </w:p>
    <w:p w:rsidR="00162DEA" w:rsidRPr="00162DEA" w:rsidRDefault="00162DEA" w:rsidP="00162DEA">
      <w:pPr>
        <w:rPr>
          <w:rFonts w:asciiTheme="minorHAnsi" w:eastAsia="Times New Roman" w:hAnsiTheme="minorHAnsi" w:cstheme="minorHAnsi"/>
          <w:b/>
          <w:sz w:val="24"/>
          <w:szCs w:val="24"/>
          <w:u w:val="single"/>
          <w:lang w:val="it-IT" w:eastAsia="it-IT"/>
        </w:rPr>
      </w:pPr>
      <w:r>
        <w:rPr>
          <w:rFonts w:asciiTheme="minorHAnsi" w:eastAsia="Times New Roman" w:hAnsiTheme="minorHAnsi" w:cstheme="minorHAnsi"/>
          <w:b/>
          <w:sz w:val="24"/>
          <w:szCs w:val="24"/>
          <w:u w:val="single"/>
          <w:lang w:val="it-IT" w:eastAsia="it-IT"/>
        </w:rPr>
        <w:br w:type="page"/>
      </w:r>
    </w:p>
    <w:p w:rsidR="00162DEA" w:rsidRPr="00162DEA" w:rsidRDefault="00162DEA" w:rsidP="00162DEA">
      <w:pPr>
        <w:pStyle w:val="Titolo1"/>
        <w:tabs>
          <w:tab w:val="left" w:pos="567"/>
        </w:tabs>
        <w:spacing w:before="0"/>
        <w:ind w:left="567" w:hanging="567"/>
        <w:jc w:val="both"/>
        <w:rPr>
          <w:rFonts w:eastAsia="Calibri" w:cs="Times New Roman"/>
          <w:caps/>
          <w:sz w:val="24"/>
          <w:szCs w:val="24"/>
          <w:lang w:val="it-IT" w:eastAsia="it-IT"/>
        </w:rPr>
      </w:pPr>
      <w:r w:rsidRPr="00162DEA">
        <w:rPr>
          <w:rFonts w:eastAsia="Calibri" w:cs="Times New Roman"/>
          <w:caps/>
          <w:sz w:val="24"/>
          <w:szCs w:val="24"/>
          <w:lang w:val="it-IT" w:eastAsia="it-IT"/>
        </w:rPr>
        <w:lastRenderedPageBreak/>
        <w:t>CONCLUSIONI</w:t>
      </w:r>
    </w:p>
    <w:p w:rsidR="00162DEA" w:rsidRDefault="00162DEA" w:rsidP="00162DEA">
      <w:pPr>
        <w:contextualSpacing/>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I membri della C</w:t>
      </w:r>
      <w:r w:rsidRPr="00162DEA">
        <w:rPr>
          <w:rFonts w:asciiTheme="minorHAnsi" w:eastAsia="Times New Roman" w:hAnsiTheme="minorHAnsi" w:cstheme="minorHAnsi"/>
          <w:sz w:val="24"/>
          <w:szCs w:val="24"/>
          <w:lang w:val="it-IT" w:eastAsia="it-IT"/>
        </w:rPr>
        <w:t>ommissione sono preoccupati per il fenomeno delle infiltrazi</w:t>
      </w:r>
      <w:r>
        <w:rPr>
          <w:rFonts w:asciiTheme="minorHAnsi" w:eastAsia="Times New Roman" w:hAnsiTheme="minorHAnsi" w:cstheme="minorHAnsi"/>
          <w:sz w:val="24"/>
          <w:szCs w:val="24"/>
          <w:lang w:val="it-IT" w:eastAsia="it-IT"/>
        </w:rPr>
        <w:t>oni mafiose nel nostro C</w:t>
      </w:r>
      <w:r w:rsidRPr="00162DEA">
        <w:rPr>
          <w:rFonts w:asciiTheme="minorHAnsi" w:eastAsia="Times New Roman" w:hAnsiTheme="minorHAnsi" w:cstheme="minorHAnsi"/>
          <w:sz w:val="24"/>
          <w:szCs w:val="24"/>
          <w:lang w:val="it-IT" w:eastAsia="it-IT"/>
        </w:rPr>
        <w:t>antone, dove si segnalano sospetti di presenza di gruppi organizzati a livello internazionale.</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 xml:space="preserve">Compresa che la competenza di indagine e di perseguimento è federale, concorda con il Consiglio di Stato che l’iniziativa parlamentare </w:t>
      </w:r>
      <w:r w:rsidR="00556C10">
        <w:rPr>
          <w:rFonts w:asciiTheme="minorHAnsi" w:eastAsia="Times New Roman" w:hAnsiTheme="minorHAnsi" w:cstheme="minorHAnsi"/>
          <w:sz w:val="24"/>
          <w:szCs w:val="24"/>
          <w:lang w:val="it-IT" w:eastAsia="it-IT"/>
        </w:rPr>
        <w:t xml:space="preserve">elaborata </w:t>
      </w:r>
      <w:r>
        <w:rPr>
          <w:rFonts w:asciiTheme="minorHAnsi" w:eastAsia="Times New Roman" w:hAnsiTheme="minorHAnsi" w:cstheme="minorHAnsi"/>
          <w:sz w:val="24"/>
          <w:szCs w:val="24"/>
          <w:lang w:val="it-IT" w:eastAsia="it-IT"/>
        </w:rPr>
        <w:t xml:space="preserve">n. </w:t>
      </w:r>
      <w:r w:rsidRPr="00162DEA">
        <w:rPr>
          <w:rFonts w:asciiTheme="minorHAnsi" w:eastAsia="Times New Roman" w:hAnsiTheme="minorHAnsi" w:cstheme="minorHAnsi"/>
          <w:sz w:val="24"/>
          <w:szCs w:val="24"/>
          <w:lang w:val="it-IT" w:eastAsia="it-IT"/>
        </w:rPr>
        <w:t>658 va respinta.</w:t>
      </w:r>
    </w:p>
    <w:p w:rsidR="00162DEA" w:rsidRPr="00162DEA" w:rsidRDefault="00162DEA" w:rsidP="00162DEA">
      <w:pPr>
        <w:contextualSpacing/>
        <w:rPr>
          <w:rFonts w:asciiTheme="minorHAnsi" w:eastAsia="Times New Roman" w:hAnsiTheme="minorHAnsi" w:cstheme="minorHAnsi"/>
          <w:sz w:val="24"/>
          <w:szCs w:val="24"/>
          <w:lang w:val="it-IT" w:eastAsia="it-IT"/>
        </w:rPr>
      </w:pPr>
    </w:p>
    <w:p w:rsidR="00162DEA" w:rsidRP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Proseguirà però nell’approfondimento del tema, anche in relazione ad altri atti da evadere, e valuterà se presentare un’iniziativa cantonale atta all’inserimento nel Codice penale dei reati di associazione a delinquere e di stampo mafioso. Iniziativa che è condivisa anche negli intenti dal Consiglio di Stato.</w:t>
      </w:r>
    </w:p>
    <w:p w:rsidR="00162DEA" w:rsidRDefault="00162DEA" w:rsidP="00162DEA">
      <w:pPr>
        <w:contextualSpacing/>
        <w:rPr>
          <w:rFonts w:asciiTheme="minorHAnsi" w:eastAsia="Times New Roman" w:hAnsiTheme="minorHAnsi" w:cstheme="minorHAnsi"/>
          <w:b/>
          <w:bCs/>
          <w:sz w:val="24"/>
          <w:szCs w:val="24"/>
          <w:lang w:val="it-IT" w:eastAsia="it-IT"/>
        </w:rPr>
      </w:pPr>
    </w:p>
    <w:p w:rsidR="00162DEA" w:rsidRPr="00162DEA" w:rsidRDefault="00162DEA" w:rsidP="00162DEA">
      <w:pPr>
        <w:contextualSpacing/>
        <w:rPr>
          <w:rFonts w:asciiTheme="minorHAnsi" w:eastAsia="Times New Roman" w:hAnsiTheme="minorHAnsi" w:cstheme="minorHAnsi"/>
          <w:b/>
          <w:bCs/>
          <w:sz w:val="24"/>
          <w:szCs w:val="24"/>
          <w:lang w:val="it-IT" w:eastAsia="it-IT"/>
        </w:rPr>
      </w:pPr>
    </w:p>
    <w:p w:rsidR="00162DEA" w:rsidRPr="00162DEA" w:rsidRDefault="00162DEA" w:rsidP="00162DEA">
      <w:pPr>
        <w:spacing w:after="120"/>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Per la C</w:t>
      </w:r>
      <w:r>
        <w:rPr>
          <w:rFonts w:asciiTheme="minorHAnsi" w:eastAsia="Times New Roman" w:hAnsiTheme="minorHAnsi" w:cstheme="minorHAnsi"/>
          <w:sz w:val="24"/>
          <w:szCs w:val="24"/>
          <w:lang w:val="it-IT" w:eastAsia="it-IT"/>
        </w:rPr>
        <w:t>ommissione giustizia e diritti:</w:t>
      </w:r>
    </w:p>
    <w:p w:rsidR="00162DEA" w:rsidRDefault="00162DEA" w:rsidP="00162DEA">
      <w:pPr>
        <w:contextualSpacing/>
        <w:rPr>
          <w:rFonts w:asciiTheme="minorHAnsi" w:eastAsia="Times New Roman" w:hAnsiTheme="minorHAnsi" w:cstheme="minorHAnsi"/>
          <w:sz w:val="24"/>
          <w:szCs w:val="24"/>
          <w:lang w:val="it-IT" w:eastAsia="it-IT"/>
        </w:rPr>
      </w:pPr>
      <w:r w:rsidRPr="00162DEA">
        <w:rPr>
          <w:rFonts w:asciiTheme="minorHAnsi" w:eastAsia="Times New Roman" w:hAnsiTheme="minorHAnsi" w:cstheme="minorHAnsi"/>
          <w:sz w:val="24"/>
          <w:szCs w:val="24"/>
          <w:lang w:val="it-IT" w:eastAsia="it-IT"/>
        </w:rPr>
        <w:t>Cristina Maderni</w:t>
      </w:r>
      <w:r>
        <w:rPr>
          <w:rFonts w:asciiTheme="minorHAnsi" w:eastAsia="Times New Roman" w:hAnsiTheme="minorHAnsi" w:cstheme="minorHAnsi"/>
          <w:sz w:val="24"/>
          <w:szCs w:val="24"/>
          <w:lang w:val="it-IT" w:eastAsia="it-IT"/>
        </w:rPr>
        <w:t>, relatrice</w:t>
      </w:r>
    </w:p>
    <w:p w:rsidR="00737DAD" w:rsidRDefault="00737DAD" w:rsidP="00C665D6">
      <w:pPr>
        <w:rPr>
          <w:rFonts w:eastAsia="Times New Roman" w:cs="Arial"/>
          <w:sz w:val="24"/>
          <w:szCs w:val="20"/>
          <w:lang w:val="it-IT" w:eastAsia="it-IT"/>
        </w:rPr>
      </w:pPr>
      <w:r>
        <w:rPr>
          <w:rFonts w:eastAsia="Times New Roman" w:cs="Arial"/>
          <w:sz w:val="24"/>
          <w:szCs w:val="20"/>
          <w:lang w:val="it-IT" w:eastAsia="it-IT"/>
        </w:rPr>
        <w:t>Aldi - Caccia - Dadò -</w:t>
      </w:r>
      <w:bookmarkStart w:id="1" w:name="_GoBack"/>
      <w:bookmarkEnd w:id="1"/>
      <w:r>
        <w:rPr>
          <w:rFonts w:eastAsia="Times New Roman" w:cs="Arial"/>
          <w:sz w:val="24"/>
          <w:szCs w:val="20"/>
          <w:lang w:val="it-IT" w:eastAsia="it-IT"/>
        </w:rPr>
        <w:t xml:space="preserve"> Demir - </w:t>
      </w:r>
      <w:r w:rsidR="00C665D6" w:rsidRPr="00E87176">
        <w:rPr>
          <w:rFonts w:eastAsia="Times New Roman" w:cs="Arial"/>
          <w:sz w:val="24"/>
          <w:szCs w:val="20"/>
          <w:lang w:val="it-IT" w:eastAsia="it-IT"/>
        </w:rPr>
        <w:t xml:space="preserve"> </w:t>
      </w:r>
    </w:p>
    <w:p w:rsidR="00C665D6" w:rsidRPr="00C665D6" w:rsidRDefault="00C665D6" w:rsidP="00C665D6">
      <w:pPr>
        <w:rPr>
          <w:rFonts w:eastAsia="Times New Roman" w:cs="Arial"/>
          <w:sz w:val="24"/>
          <w:szCs w:val="20"/>
          <w:lang w:val="it-IT" w:eastAsia="it-IT"/>
        </w:rPr>
      </w:pPr>
      <w:r w:rsidRPr="00E87176">
        <w:rPr>
          <w:rFonts w:eastAsia="Times New Roman" w:cs="Arial"/>
          <w:sz w:val="24"/>
          <w:szCs w:val="20"/>
          <w:lang w:val="it-IT" w:eastAsia="it-IT"/>
        </w:rPr>
        <w:t>Durisch -</w:t>
      </w:r>
      <w:r w:rsidR="00737DAD">
        <w:rPr>
          <w:rFonts w:eastAsia="Times New Roman" w:cs="Arial"/>
          <w:sz w:val="24"/>
          <w:szCs w:val="20"/>
          <w:lang w:val="it-IT" w:eastAsia="it-IT"/>
        </w:rPr>
        <w:t xml:space="preserve"> </w:t>
      </w:r>
      <w:r w:rsidRPr="00C665D6">
        <w:rPr>
          <w:rFonts w:eastAsia="Times New Roman" w:cs="Arial"/>
          <w:sz w:val="24"/>
          <w:szCs w:val="20"/>
          <w:lang w:val="it-IT" w:eastAsia="it-IT"/>
        </w:rPr>
        <w:t xml:space="preserve">Genini Simona - Lepori - </w:t>
      </w:r>
    </w:p>
    <w:p w:rsidR="00C665D6" w:rsidRDefault="00C665D6" w:rsidP="00C665D6">
      <w:pPr>
        <w:rPr>
          <w:rFonts w:eastAsia="Times New Roman" w:cs="Arial"/>
          <w:sz w:val="24"/>
          <w:szCs w:val="20"/>
          <w:lang w:val="it-IT" w:eastAsia="it-IT"/>
        </w:rPr>
      </w:pPr>
      <w:r w:rsidRPr="00C665D6">
        <w:rPr>
          <w:rFonts w:eastAsia="Times New Roman" w:cs="Arial"/>
          <w:sz w:val="24"/>
          <w:szCs w:val="20"/>
          <w:lang w:val="it-IT" w:eastAsia="it-IT"/>
        </w:rPr>
        <w:t xml:space="preserve">Mazzoleni - Minotti - Noi - Pasi </w:t>
      </w:r>
      <w:r>
        <w:rPr>
          <w:rFonts w:eastAsia="Times New Roman" w:cs="Arial"/>
          <w:sz w:val="24"/>
          <w:szCs w:val="20"/>
          <w:lang w:val="it-IT" w:eastAsia="it-IT"/>
        </w:rPr>
        <w:t>-</w:t>
      </w:r>
      <w:r w:rsidRPr="00C665D6">
        <w:rPr>
          <w:rFonts w:eastAsia="Times New Roman" w:cs="Arial"/>
          <w:sz w:val="24"/>
          <w:szCs w:val="20"/>
          <w:lang w:val="it-IT" w:eastAsia="it-IT"/>
        </w:rPr>
        <w:t xml:space="preserve"> </w:t>
      </w:r>
    </w:p>
    <w:p w:rsidR="00515988" w:rsidRPr="00162DEA" w:rsidRDefault="00C665D6" w:rsidP="00C665D6">
      <w:pPr>
        <w:rPr>
          <w:rFonts w:eastAsia="Times New Roman" w:cs="Arial"/>
          <w:sz w:val="24"/>
          <w:szCs w:val="20"/>
          <w:lang w:val="it-IT" w:eastAsia="it-IT"/>
        </w:rPr>
      </w:pPr>
      <w:r w:rsidRPr="00C665D6">
        <w:rPr>
          <w:rFonts w:eastAsia="Times New Roman" w:cs="Arial"/>
          <w:sz w:val="24"/>
          <w:szCs w:val="20"/>
          <w:lang w:val="it-IT" w:eastAsia="it-IT"/>
        </w:rPr>
        <w:t xml:space="preserve">Quadranti - Soldati - </w:t>
      </w:r>
      <w:r w:rsidRPr="008C48E2">
        <w:rPr>
          <w:rFonts w:eastAsia="Times New Roman" w:cs="Arial"/>
          <w:sz w:val="24"/>
          <w:szCs w:val="20"/>
          <w:lang w:val="it-IT" w:eastAsia="it-IT"/>
        </w:rPr>
        <w:t>Tenconi - Zanetti</w:t>
      </w:r>
    </w:p>
    <w:p w:rsidR="00162DEA" w:rsidRDefault="00162DEA" w:rsidP="00162DEA">
      <w:pPr>
        <w:pStyle w:val="StandardRisoluzionedelConsigliodiStato"/>
        <w:spacing w:before="120"/>
        <w:rPr>
          <w:b/>
          <w:sz w:val="26"/>
          <w:szCs w:val="26"/>
        </w:rPr>
      </w:pPr>
    </w:p>
    <w:p w:rsidR="00162DEA" w:rsidRPr="00162DEA" w:rsidRDefault="00162DEA" w:rsidP="00162DEA">
      <w:pPr>
        <w:pStyle w:val="StandardRisoluzionedelConsigliodiStato"/>
        <w:spacing w:before="120"/>
        <w:rPr>
          <w:b/>
          <w:sz w:val="26"/>
          <w:szCs w:val="26"/>
        </w:rPr>
      </w:pPr>
    </w:p>
    <w:p w:rsidR="00D649A8" w:rsidRPr="00162DEA" w:rsidRDefault="00D649A8" w:rsidP="00D33940">
      <w:pPr>
        <w:pStyle w:val="StandardRisoluzionedelConsigliodiStato"/>
        <w:ind w:right="-1"/>
      </w:pPr>
    </w:p>
    <w:sectPr w:rsidR="00D649A8" w:rsidRPr="00162DEA"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EA" w:rsidRDefault="00162DEA" w:rsidP="00F657BF">
      <w:r>
        <w:separator/>
      </w:r>
    </w:p>
  </w:endnote>
  <w:endnote w:type="continuationSeparator" w:id="0">
    <w:p w:rsidR="00162DEA" w:rsidRDefault="00162DE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30186" w:rsidP="00912E34">
          <w:pPr>
            <w:tabs>
              <w:tab w:val="center" w:pos="2382"/>
            </w:tabs>
          </w:pPr>
        </w:p>
      </w:tc>
      <w:tc>
        <w:tcPr>
          <w:tcW w:w="721" w:type="dxa"/>
        </w:tcPr>
        <w:p w:rsidR="00912E34" w:rsidRPr="003D1008" w:rsidRDefault="00832FE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32FE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30186"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3018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EA" w:rsidRDefault="00162DEA" w:rsidP="00F657BF">
      <w:r>
        <w:separator/>
      </w:r>
    </w:p>
  </w:footnote>
  <w:footnote w:type="continuationSeparator" w:id="0">
    <w:p w:rsidR="00162DEA" w:rsidRDefault="00162DE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D30186"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E00AC75-0BF2-4347-AD5C-6032E6EC4296}"/>
              <w:text w:multiLine="1"/>
            </w:sdtPr>
            <w:sdtEndPr/>
            <w:sdtContent>
              <w:r w:rsidR="00832FEE">
                <w:rPr>
                  <w:rFonts w:ascii="Gill Alt One MT Light" w:hAnsi="Gill Alt One MT Light"/>
                  <w:sz w:val="16"/>
                  <w:szCs w:val="16"/>
                </w:rPr>
                <w:t>Repubblica e Cantone Ticino</w:t>
              </w:r>
            </w:sdtContent>
          </w:sdt>
        </w:p>
        <w:p w:rsidR="005012EC" w:rsidRPr="00E8185F" w:rsidRDefault="00D30186"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E00AC75-0BF2-4347-AD5C-6032E6EC4296}"/>
              <w:text w:multiLine="1"/>
            </w:sdtPr>
            <w:sdtEndPr/>
            <w:sdtContent>
              <w:r w:rsidR="00DA503D">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832FE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E61C3">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E61C3">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E00AC75-0BF2-4347-AD5C-6032E6EC4296}"/>
          <w:text w:multiLine="1"/>
        </w:sdtPr>
        <w:sdtEndPr/>
        <w:sdtContent>
          <w:tc>
            <w:tcPr>
              <w:tcW w:w="8383" w:type="dxa"/>
              <w:tcBorders>
                <w:left w:val="single" w:sz="4" w:space="0" w:color="auto"/>
              </w:tcBorders>
              <w:tcMar>
                <w:top w:w="0" w:type="dxa"/>
                <w:left w:w="142" w:type="dxa"/>
              </w:tcMar>
            </w:tcPr>
            <w:p w:rsidR="005012EC" w:rsidRPr="00162DEA" w:rsidRDefault="00DA503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8186 R del 22 aprile 2024</w:t>
              </w:r>
            </w:p>
          </w:tc>
        </w:sdtContent>
      </w:sdt>
      <w:tc>
        <w:tcPr>
          <w:tcW w:w="1710" w:type="dxa"/>
          <w:tcBorders>
            <w:top w:val="single" w:sz="4" w:space="0" w:color="auto"/>
          </w:tcBorders>
        </w:tcPr>
        <w:p w:rsidR="005012EC" w:rsidRPr="00162DEA" w:rsidRDefault="00D30186" w:rsidP="00662409">
          <w:pPr>
            <w:pStyle w:val="InvisibleLine"/>
            <w:rPr>
              <w:lang w:val="it-CH"/>
            </w:rPr>
          </w:pPr>
        </w:p>
      </w:tc>
    </w:tr>
  </w:tbl>
  <w:p w:rsidR="00F657BF" w:rsidRPr="00980362" w:rsidRDefault="00832FE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E00AC75-0BF2-4347-AD5C-6032E6EC4296}"/>
                            <w:text w:multiLine="1"/>
                          </w:sdtPr>
                          <w:sdtEndPr/>
                          <w:sdtContent>
                            <w:p w:rsidR="008065E8" w:rsidRPr="00411371" w:rsidRDefault="00832FE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BD8D9B0-6702-4A98-A76D-C3A3AC7643E9}"/>
                      <w:text w:multiLine="1"/>
                    </w:sdtPr>
                    <w:sdtEndPr/>
                    <w:sdtContent>
                      <w:p w:rsidR="008065E8" w:rsidRPr="00411371" w:rsidRDefault="00832FE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D30186" w:rsidP="00932E26">
          <w:pPr>
            <w:pStyle w:val="InvisibleLine"/>
            <w:spacing w:line="240" w:lineRule="auto"/>
            <w:ind w:left="15"/>
            <w:rPr>
              <w:rFonts w:ascii="Gill Alt One MT Light" w:hAnsi="Gill Alt One MT Light"/>
              <w:sz w:val="16"/>
              <w:lang w:val="it-CH"/>
            </w:rPr>
          </w:pPr>
        </w:p>
        <w:p w:rsidR="00CD5F73" w:rsidRDefault="00832FEE"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D30186"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D30186" w:rsidP="00D07D6E">
          <w:pPr>
            <w:pStyle w:val="Level"/>
            <w:ind w:left="150"/>
            <w:rPr>
              <w:sz w:val="16"/>
            </w:rPr>
          </w:pPr>
        </w:p>
      </w:tc>
      <w:tc>
        <w:tcPr>
          <w:tcW w:w="209" w:type="pct"/>
          <w:tcBorders>
            <w:top w:val="nil"/>
            <w:bottom w:val="single" w:sz="4" w:space="0" w:color="auto"/>
          </w:tcBorders>
        </w:tcPr>
        <w:p w:rsidR="00662409" w:rsidRDefault="00832FE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8779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32FE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E61C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E61C3">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E00AC75-0BF2-4347-AD5C-6032E6EC4296}"/>
          <w:text w:multiLine="1"/>
        </w:sdtPr>
        <w:sdtEndPr/>
        <w:sdtContent>
          <w:tc>
            <w:tcPr>
              <w:tcW w:w="5000" w:type="pct"/>
              <w:gridSpan w:val="6"/>
              <w:tcBorders>
                <w:left w:val="nil"/>
                <w:right w:val="nil"/>
              </w:tcBorders>
              <w:noWrap/>
              <w:tcMar>
                <w:top w:w="0" w:type="dxa"/>
              </w:tcMar>
              <w:vAlign w:val="bottom"/>
            </w:tcPr>
            <w:p w:rsidR="00662409" w:rsidRPr="008C03B5" w:rsidRDefault="00DA503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32FE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3018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32FE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3018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32FE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3018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3018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E00AC75-0BF2-4347-AD5C-6032E6EC4296}"/>
              <w:text w:multiLine="1"/>
            </w:sdtPr>
            <w:sdtEndPr/>
            <w:sdtContent>
              <w:r w:rsidR="00DA503D">
                <w:rPr>
                  <w:rFonts w:cstheme="minorHAnsi"/>
                  <w:b/>
                  <w:sz w:val="24"/>
                  <w:szCs w:val="24"/>
                </w:rPr>
                <w:t>8186 R</w:t>
              </w:r>
            </w:sdtContent>
          </w:sdt>
        </w:p>
      </w:tc>
      <w:sdt>
        <w:sdtPr>
          <w:rPr>
            <w:sz w:val="24"/>
          </w:rPr>
          <w:alias w:val="DocParam.Date"/>
          <w:id w:val="-464426178"/>
          <w:dataBinding w:xpath="//DateTime[@id='DocParam.Date']" w:storeItemID="{3E00AC75-0BF2-4347-AD5C-6032E6EC4296}"/>
          <w:date w:fullDate="2024-04-2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A503D" w:rsidP="00A532F6">
              <w:pPr>
                <w:pStyle w:val="Data"/>
              </w:pPr>
              <w:r>
                <w:rPr>
                  <w:sz w:val="24"/>
                </w:rPr>
                <w:t>22 aprile 2024</w:t>
              </w:r>
            </w:p>
          </w:tc>
        </w:sdtContent>
      </w:sdt>
      <w:tc>
        <w:tcPr>
          <w:tcW w:w="3218" w:type="pct"/>
          <w:gridSpan w:val="4"/>
          <w:tcBorders>
            <w:top w:val="nil"/>
            <w:left w:val="nil"/>
            <w:bottom w:val="nil"/>
            <w:right w:val="nil"/>
          </w:tcBorders>
        </w:tcPr>
        <w:p w:rsidR="008C03B5" w:rsidRPr="00BE22A2" w:rsidRDefault="00D3018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E00AC75-0BF2-4347-AD5C-6032E6EC4296}"/>
              <w:text w:multiLine="1"/>
            </w:sdtPr>
            <w:sdtEndPr/>
            <w:sdtContent>
              <w:r w:rsidR="00DA503D">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30186" w:rsidP="00D07D6E">
          <w:pPr>
            <w:pStyle w:val="Level"/>
            <w:ind w:left="150"/>
            <w:rPr>
              <w:rFonts w:ascii="Gill Alt One MT Light" w:hAnsi="Gill Alt One MT Light"/>
              <w:sz w:val="16"/>
              <w:szCs w:val="16"/>
            </w:rPr>
          </w:pPr>
        </w:p>
      </w:tc>
    </w:tr>
  </w:tbl>
  <w:p w:rsidR="00F657BF" w:rsidRPr="00DA2879" w:rsidRDefault="00832FE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771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E00AC75-0BF2-4347-AD5C-6032E6EC4296}"/>
                            <w:text w:multiLine="1"/>
                          </w:sdtPr>
                          <w:sdtEndPr/>
                          <w:sdtContent>
                            <w:p w:rsidR="00E93620" w:rsidRPr="00411371" w:rsidRDefault="00832FE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BD8D9B0-6702-4A98-A76D-C3A3AC7643E9}"/>
                      <w:text w:multiLine="1"/>
                    </w:sdtPr>
                    <w:sdtEndPr/>
                    <w:sdtContent>
                      <w:p w:rsidR="00E93620" w:rsidRPr="00411371" w:rsidRDefault="00832FE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EA"/>
    <w:rsid w:val="00081E2C"/>
    <w:rsid w:val="000F7049"/>
    <w:rsid w:val="00104442"/>
    <w:rsid w:val="00162DEA"/>
    <w:rsid w:val="002B5D9F"/>
    <w:rsid w:val="003B756D"/>
    <w:rsid w:val="003F664E"/>
    <w:rsid w:val="00403ADB"/>
    <w:rsid w:val="00494413"/>
    <w:rsid w:val="005003C7"/>
    <w:rsid w:val="00515988"/>
    <w:rsid w:val="005202ED"/>
    <w:rsid w:val="00556C10"/>
    <w:rsid w:val="00572FD3"/>
    <w:rsid w:val="00601259"/>
    <w:rsid w:val="006955A5"/>
    <w:rsid w:val="00737DAD"/>
    <w:rsid w:val="00832FEE"/>
    <w:rsid w:val="008720C4"/>
    <w:rsid w:val="008A09FE"/>
    <w:rsid w:val="008C48E2"/>
    <w:rsid w:val="008F52AF"/>
    <w:rsid w:val="00936977"/>
    <w:rsid w:val="00940D2D"/>
    <w:rsid w:val="009C5E5A"/>
    <w:rsid w:val="00A70350"/>
    <w:rsid w:val="00AA4FC9"/>
    <w:rsid w:val="00AF0268"/>
    <w:rsid w:val="00B420A9"/>
    <w:rsid w:val="00BF0A1F"/>
    <w:rsid w:val="00BF6A0A"/>
    <w:rsid w:val="00C10DE3"/>
    <w:rsid w:val="00C665D6"/>
    <w:rsid w:val="00C76571"/>
    <w:rsid w:val="00C76B96"/>
    <w:rsid w:val="00C94280"/>
    <w:rsid w:val="00D07E5F"/>
    <w:rsid w:val="00D30186"/>
    <w:rsid w:val="00D33940"/>
    <w:rsid w:val="00D600FD"/>
    <w:rsid w:val="00D649A8"/>
    <w:rsid w:val="00DA2340"/>
    <w:rsid w:val="00DA503D"/>
    <w:rsid w:val="00DB6BFB"/>
    <w:rsid w:val="00E15BBC"/>
    <w:rsid w:val="00E87176"/>
    <w:rsid w:val="00EB088A"/>
    <w:rsid w:val="00EE61C3"/>
    <w:rsid w:val="00F064DB"/>
    <w:rsid w:val="00F422D8"/>
    <w:rsid w:val="00F657BF"/>
    <w:rsid w:val="00FB7D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9FD20"/>
  <w15:docId w15:val="{B521D497-0FBB-4C5A-A29A-0AA6A7C7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D07E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7E5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492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54/757_781_799/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54/757_781_799/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78731e0-6ef2-47f4-9a62-80bacf32109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1887792846</Id>
      <Width>0</Width>
      <Height>0</Height>
      <XPath>//Image[@id='Profile.Org.WappenSW']</XPath>
      <ImageHash>02f1c0cdac6aeac316213b2e7cb733a0</ImageHash>
    </ImageSizeDefinition>
    <ImageSizeDefinition>
      <Id>137712513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2 e b 9 3 9 6 - a 7 d c - 4 7 5 c - 8 5 b 3 - a f e 4 8 4 2 8 0 e a 5 "   t I d = " a 3 6 2 a 5 d 4 - 9 5 8 9 - 4 1 b f - a 4 e 6 - 4 f 8 7 c 4 e 4 1 2 3 9 "   i n t e r n a l T I d = " 9 0 6 4 c c 7 f - 3 1 6 d - 4 6 b 1 - a 4 a c - 7 4 8 6 0 c 3 f 8 a 5 b "   m t I d = " 2 7 5 a f 3 2 e - b c 4 0 - 4 5 c 2 - 8 5 b 7 - a f b 1 c 0 3 8 2 6 5 3 "   r e v i s i o n = " 0 "   c r e a t e d m a j o r v e r s i o n = " 0 "   c r e a t e d m i n o r v e r s i o n = " 0 "   c r e a t e d = " 2 0 2 4 - 0 4 - 2 2 T 1 4 : 0 4 : 3 6 . 5 4 1 0 7 9 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 2 0 2 4 - 0 4 - 2 2 T 0 0 : 0 0 : 0 0 Z < / D a t e T i m e >  
                 < T e x t   i d = " D o c P a r a m . N u m b e r " > < ! [ C D A T A [ 8 1 8 6 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8 1 8 6   R   d e l   2 2   a p r i l e 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1 8 6   R   d e l   2 2 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71DD44D6-E88C-4150-BB12-13CF7706395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E00AC75-0BF2-4347-AD5C-6032E6EC429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f78731e0-6ef2-47f4-9a62-80bacf321097.dotx</Template>
  <TotalTime>12</TotalTime>
  <Pages>4</Pages>
  <Words>1291</Words>
  <Characters>7360</Characters>
  <Application>Microsoft Office Word</Application>
  <DocSecurity>0</DocSecurity>
  <Lines>61</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25</cp:revision>
  <cp:lastPrinted>2024-04-23T08:52:00Z</cp:lastPrinted>
  <dcterms:created xsi:type="dcterms:W3CDTF">2024-04-22T14:21:00Z</dcterms:created>
  <dcterms:modified xsi:type="dcterms:W3CDTF">2024-04-23T08:52:00Z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