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5D" w:rsidRPr="0052035D" w:rsidRDefault="0052035D" w:rsidP="0052035D">
      <w:pPr>
        <w:rPr>
          <w:rFonts w:eastAsia="Arial" w:cs="Arial"/>
          <w:b/>
          <w:color w:val="000000"/>
          <w:sz w:val="28"/>
          <w:szCs w:val="28"/>
          <w:lang w:eastAsia="it-IT"/>
        </w:rPr>
      </w:pPr>
      <w:r w:rsidRPr="0052035D">
        <w:rPr>
          <w:rFonts w:eastAsia="Arial" w:cs="Arial"/>
          <w:b/>
          <w:color w:val="000000"/>
          <w:sz w:val="28"/>
          <w:szCs w:val="28"/>
          <w:lang w:eastAsia="it-IT"/>
        </w:rPr>
        <w:t>della Commissione gestione e finanze</w:t>
      </w:r>
    </w:p>
    <w:p w:rsidR="0052035D" w:rsidRPr="0052035D" w:rsidRDefault="0052035D" w:rsidP="0052035D">
      <w:pPr>
        <w:tabs>
          <w:tab w:val="left" w:pos="4820"/>
        </w:tabs>
        <w:rPr>
          <w:rFonts w:eastAsia="Arial" w:cs="Arial"/>
          <w:b/>
          <w:color w:val="000000"/>
          <w:sz w:val="28"/>
          <w:szCs w:val="28"/>
          <w:lang w:eastAsia="it-IT"/>
        </w:rPr>
      </w:pPr>
      <w:r w:rsidRPr="0052035D">
        <w:rPr>
          <w:rFonts w:eastAsia="Arial" w:cs="Arial"/>
          <w:b/>
          <w:color w:val="000000"/>
          <w:sz w:val="28"/>
          <w:szCs w:val="28"/>
          <w:lang w:eastAsia="it-IT"/>
        </w:rPr>
        <w:t>sul messaggio</w:t>
      </w:r>
      <w:r w:rsidRPr="0052035D">
        <w:rPr>
          <w:rFonts w:eastAsia="Arial" w:cs="Arial"/>
          <w:b/>
          <w:color w:val="000000"/>
          <w:sz w:val="26"/>
          <w:szCs w:val="26"/>
          <w:lang w:eastAsia="it-IT"/>
        </w:rPr>
        <w:t xml:space="preserve"> </w:t>
      </w:r>
      <w:r w:rsidRPr="0052035D">
        <w:rPr>
          <w:rFonts w:eastAsia="Arial" w:cs="Arial"/>
          <w:b/>
          <w:color w:val="000000"/>
          <w:sz w:val="28"/>
          <w:szCs w:val="28"/>
          <w:lang w:eastAsia="it-IT"/>
        </w:rPr>
        <w:t>24 gennaio 2024 concernente l’approvazione dei conti e della relazione annuale 2022 dell'Azienda cantonale dei rifiuti</w:t>
      </w:r>
    </w:p>
    <w:p w:rsidR="0052035D" w:rsidRPr="0052035D" w:rsidRDefault="0052035D" w:rsidP="0052035D">
      <w:pPr>
        <w:rPr>
          <w:rFonts w:eastAsia="Arial" w:cs="Arial"/>
          <w:color w:val="4F81BD"/>
          <w:sz w:val="24"/>
          <w:szCs w:val="24"/>
          <w:lang w:eastAsia="it-IT"/>
        </w:rPr>
      </w:pPr>
    </w:p>
    <w:p w:rsidR="0052035D" w:rsidRPr="0052035D" w:rsidRDefault="0052035D" w:rsidP="0052035D">
      <w:pPr>
        <w:rPr>
          <w:rFonts w:eastAsia="Arial" w:cs="Arial"/>
          <w:color w:val="4F81BD"/>
          <w:sz w:val="24"/>
          <w:szCs w:val="24"/>
          <w:lang w:eastAsia="it-IT"/>
        </w:rPr>
      </w:pPr>
      <w:bookmarkStart w:id="0" w:name="_GoBack"/>
      <w:bookmarkEnd w:id="0"/>
    </w:p>
    <w:p w:rsidR="0052035D" w:rsidRPr="0052035D" w:rsidRDefault="0052035D" w:rsidP="0052035D">
      <w:pPr>
        <w:rPr>
          <w:rFonts w:eastAsia="Arial" w:cs="Arial"/>
          <w:color w:val="4F81BD"/>
          <w:sz w:val="24"/>
          <w:szCs w:val="24"/>
          <w:lang w:eastAsia="it-IT"/>
        </w:rPr>
      </w:pPr>
    </w:p>
    <w:p w:rsidR="0052035D" w:rsidRPr="0052035D" w:rsidRDefault="0052035D" w:rsidP="0052035D">
      <w:pPr>
        <w:keepNext/>
        <w:widowControl w:val="0"/>
        <w:numPr>
          <w:ilvl w:val="0"/>
          <w:numId w:val="18"/>
        </w:numPr>
        <w:tabs>
          <w:tab w:val="left" w:pos="567"/>
        </w:tabs>
        <w:suppressAutoHyphens/>
        <w:autoSpaceDN w:val="0"/>
        <w:spacing w:after="120"/>
        <w:jc w:val="left"/>
        <w:textAlignment w:val="baseline"/>
        <w:outlineLvl w:val="0"/>
        <w:rPr>
          <w:rFonts w:eastAsia="Arial" w:cs="Arial"/>
          <w:b/>
          <w:caps/>
          <w:color w:val="000000"/>
          <w:sz w:val="24"/>
          <w:szCs w:val="24"/>
          <w:lang w:val="it-IT" w:eastAsia="it-IT"/>
        </w:rPr>
      </w:pPr>
      <w:bookmarkStart w:id="1" w:name="_heading=h.gjdgxs" w:colFirst="0" w:colLast="0"/>
      <w:bookmarkEnd w:id="1"/>
      <w:r w:rsidRPr="0052035D">
        <w:rPr>
          <w:rFonts w:eastAsia="Arial" w:cs="Arial"/>
          <w:b/>
          <w:caps/>
          <w:color w:val="000000"/>
          <w:sz w:val="24"/>
          <w:szCs w:val="24"/>
          <w:lang w:val="it-IT" w:eastAsia="it-IT"/>
        </w:rPr>
        <w:t>PREMESSA</w:t>
      </w:r>
    </w:p>
    <w:p w:rsidR="0052035D" w:rsidRPr="0052035D" w:rsidRDefault="0052035D" w:rsidP="0052035D">
      <w:pPr>
        <w:rPr>
          <w:rFonts w:eastAsia="Arial" w:cs="Arial"/>
          <w:color w:val="4F81BD"/>
          <w:sz w:val="24"/>
          <w:szCs w:val="24"/>
          <w:lang w:eastAsia="it-IT"/>
        </w:rPr>
      </w:pPr>
      <w:r w:rsidRPr="0052035D">
        <w:rPr>
          <w:rFonts w:eastAsia="Arial" w:cs="Arial"/>
          <w:color w:val="000000"/>
          <w:sz w:val="24"/>
          <w:szCs w:val="24"/>
          <w:lang w:eastAsia="it-IT"/>
        </w:rPr>
        <w:t>L’Azienda Cantonale dei Rifiuti (ACR) è un ente autonomo di diritto pubblico con personalità giuridica propria, con sede principale a Bellinzona-</w:t>
      </w:r>
      <w:proofErr w:type="spellStart"/>
      <w:r w:rsidRPr="0052035D">
        <w:rPr>
          <w:rFonts w:eastAsia="Arial" w:cs="Arial"/>
          <w:color w:val="000000"/>
          <w:sz w:val="24"/>
          <w:szCs w:val="24"/>
          <w:lang w:eastAsia="it-IT"/>
        </w:rPr>
        <w:t>Giubiasco</w:t>
      </w:r>
      <w:proofErr w:type="spellEnd"/>
      <w:r w:rsidRPr="0052035D">
        <w:rPr>
          <w:rFonts w:eastAsia="Arial" w:cs="Arial"/>
          <w:color w:val="000000"/>
          <w:sz w:val="24"/>
          <w:szCs w:val="24"/>
          <w:lang w:eastAsia="it-IT"/>
        </w:rPr>
        <w:t xml:space="preserve"> e con sedi a </w:t>
      </w:r>
      <w:proofErr w:type="spellStart"/>
      <w:r w:rsidRPr="0052035D">
        <w:rPr>
          <w:rFonts w:eastAsia="Arial" w:cs="Arial"/>
          <w:color w:val="000000"/>
          <w:sz w:val="24"/>
          <w:szCs w:val="24"/>
          <w:lang w:eastAsia="it-IT"/>
        </w:rPr>
        <w:t>Bioggio</w:t>
      </w:r>
      <w:proofErr w:type="spellEnd"/>
      <w:r w:rsidRPr="0052035D">
        <w:rPr>
          <w:rFonts w:eastAsia="Arial" w:cs="Arial"/>
          <w:color w:val="000000"/>
          <w:sz w:val="24"/>
          <w:szCs w:val="24"/>
          <w:lang w:eastAsia="it-IT"/>
        </w:rPr>
        <w:t xml:space="preserve">, Coldrerio, </w:t>
      </w:r>
      <w:proofErr w:type="spellStart"/>
      <w:r w:rsidRPr="0052035D">
        <w:rPr>
          <w:rFonts w:eastAsia="Arial" w:cs="Arial"/>
          <w:color w:val="000000"/>
          <w:sz w:val="24"/>
          <w:szCs w:val="24"/>
          <w:lang w:eastAsia="it-IT"/>
        </w:rPr>
        <w:t>Riazzino</w:t>
      </w:r>
      <w:proofErr w:type="spellEnd"/>
      <w:r w:rsidRPr="0052035D">
        <w:rPr>
          <w:rFonts w:eastAsia="Arial" w:cs="Arial"/>
          <w:color w:val="000000"/>
          <w:sz w:val="24"/>
          <w:szCs w:val="24"/>
          <w:lang w:eastAsia="it-IT"/>
        </w:rPr>
        <w:t xml:space="preserve">, </w:t>
      </w:r>
      <w:proofErr w:type="spellStart"/>
      <w:r w:rsidRPr="0052035D">
        <w:rPr>
          <w:rFonts w:eastAsia="Arial" w:cs="Arial"/>
          <w:color w:val="000000"/>
          <w:sz w:val="24"/>
          <w:szCs w:val="24"/>
          <w:lang w:eastAsia="it-IT"/>
        </w:rPr>
        <w:t>Croglio</w:t>
      </w:r>
      <w:proofErr w:type="spellEnd"/>
      <w:r w:rsidRPr="0052035D">
        <w:rPr>
          <w:rFonts w:eastAsia="Arial" w:cs="Arial"/>
          <w:color w:val="000000"/>
          <w:sz w:val="24"/>
          <w:szCs w:val="24"/>
          <w:lang w:eastAsia="it-IT"/>
        </w:rPr>
        <w:t xml:space="preserve">, </w:t>
      </w:r>
      <w:proofErr w:type="spellStart"/>
      <w:r w:rsidRPr="0052035D">
        <w:rPr>
          <w:rFonts w:eastAsia="Arial" w:cs="Arial"/>
          <w:color w:val="000000"/>
          <w:sz w:val="24"/>
          <w:szCs w:val="24"/>
          <w:lang w:eastAsia="it-IT"/>
        </w:rPr>
        <w:t>Novazzano</w:t>
      </w:r>
      <w:proofErr w:type="spellEnd"/>
      <w:r w:rsidRPr="0052035D">
        <w:rPr>
          <w:rFonts w:eastAsia="Arial" w:cs="Arial"/>
          <w:color w:val="000000"/>
          <w:sz w:val="24"/>
          <w:szCs w:val="24"/>
          <w:lang w:eastAsia="it-IT"/>
        </w:rPr>
        <w:t xml:space="preserve"> e </w:t>
      </w:r>
      <w:proofErr w:type="spellStart"/>
      <w:r w:rsidRPr="0052035D">
        <w:rPr>
          <w:rFonts w:eastAsia="Arial" w:cs="Arial"/>
          <w:color w:val="000000"/>
          <w:sz w:val="24"/>
          <w:szCs w:val="24"/>
          <w:lang w:eastAsia="it-IT"/>
        </w:rPr>
        <w:t>Nivo</w:t>
      </w:r>
      <w:proofErr w:type="spellEnd"/>
      <w:r w:rsidRPr="0052035D">
        <w:rPr>
          <w:rFonts w:eastAsia="Arial" w:cs="Arial"/>
          <w:color w:val="000000"/>
          <w:sz w:val="24"/>
          <w:szCs w:val="24"/>
          <w:lang w:eastAsia="it-IT"/>
        </w:rPr>
        <w:t>. L’ACR è regolata dalla Legge concernente l’istituzione dell’Azienda Cantonale dei Rifiuti (LACR). Lo scopo dell’ACR è di provvedere all’organizzazione e all’attuazione dello smaltimento dei rifiuti nel Cantone, garantendo la gestione delle necessarie strutture, con criteri di efficienza, di economicità e di salvaguardia dell’ambiente. Pr</w:t>
      </w:r>
      <w:r>
        <w:rPr>
          <w:rFonts w:eastAsia="Arial" w:cs="Arial"/>
          <w:color w:val="000000"/>
          <w:sz w:val="24"/>
          <w:szCs w:val="24"/>
          <w:lang w:eastAsia="it-IT"/>
        </w:rPr>
        <w:t xml:space="preserve">esso l’ACR inoltre sono attivi </w:t>
      </w:r>
      <w:r w:rsidRPr="0052035D">
        <w:rPr>
          <w:rFonts w:eastAsia="Arial" w:cs="Arial"/>
          <w:color w:val="000000"/>
          <w:sz w:val="24"/>
          <w:szCs w:val="24"/>
          <w:lang w:eastAsia="it-IT"/>
        </w:rPr>
        <w:t>66 collaboratori.</w:t>
      </w:r>
    </w:p>
    <w:p w:rsidR="0052035D" w:rsidRPr="0052035D" w:rsidRDefault="0052035D" w:rsidP="0052035D">
      <w:pPr>
        <w:rPr>
          <w:rFonts w:eastAsia="Arial" w:cs="Arial"/>
          <w:color w:val="4F81BD"/>
          <w:sz w:val="24"/>
          <w:szCs w:val="24"/>
          <w:lang w:eastAsia="it-IT"/>
        </w:rPr>
      </w:pPr>
    </w:p>
    <w:p w:rsidR="0052035D" w:rsidRPr="0052035D" w:rsidRDefault="0052035D" w:rsidP="0052035D">
      <w:pPr>
        <w:rPr>
          <w:rFonts w:eastAsia="Arial" w:cs="Arial"/>
          <w:color w:val="4F81BD"/>
          <w:sz w:val="24"/>
          <w:szCs w:val="24"/>
          <w:lang w:eastAsia="it-IT"/>
        </w:rPr>
      </w:pPr>
      <w:r w:rsidRPr="0052035D">
        <w:rPr>
          <w:rFonts w:eastAsia="Arial" w:cs="Arial"/>
          <w:sz w:val="24"/>
          <w:szCs w:val="24"/>
          <w:lang w:eastAsia="it-IT"/>
        </w:rPr>
        <w:t xml:space="preserve">ACR ha il compito di gestire: - l’ICTR, Impianto Cantonale di Termovalorizzazione dei Rifiuti di </w:t>
      </w:r>
      <w:proofErr w:type="spellStart"/>
      <w:r w:rsidRPr="0052035D">
        <w:rPr>
          <w:rFonts w:eastAsia="Arial" w:cs="Arial"/>
          <w:sz w:val="24"/>
          <w:szCs w:val="24"/>
          <w:lang w:eastAsia="it-IT"/>
        </w:rPr>
        <w:t>Giubiasco</w:t>
      </w:r>
      <w:proofErr w:type="spellEnd"/>
      <w:r w:rsidRPr="0052035D">
        <w:rPr>
          <w:rFonts w:eastAsia="Arial" w:cs="Arial"/>
          <w:sz w:val="24"/>
          <w:szCs w:val="24"/>
          <w:lang w:eastAsia="it-IT"/>
        </w:rPr>
        <w:t>; - il Settore rifiuti speciali e l’impianto di trattamento delle acque reflue (</w:t>
      </w:r>
      <w:proofErr w:type="spellStart"/>
      <w:r w:rsidRPr="0052035D">
        <w:rPr>
          <w:rFonts w:eastAsia="Arial" w:cs="Arial"/>
          <w:sz w:val="24"/>
          <w:szCs w:val="24"/>
          <w:lang w:eastAsia="it-IT"/>
        </w:rPr>
        <w:t>TARef</w:t>
      </w:r>
      <w:proofErr w:type="spellEnd"/>
      <w:r w:rsidRPr="0052035D">
        <w:rPr>
          <w:rFonts w:eastAsia="Arial" w:cs="Arial"/>
          <w:sz w:val="24"/>
          <w:szCs w:val="24"/>
          <w:lang w:eastAsia="it-IT"/>
        </w:rPr>
        <w:t xml:space="preserve">) di </w:t>
      </w:r>
      <w:proofErr w:type="spellStart"/>
      <w:r w:rsidRPr="0052035D">
        <w:rPr>
          <w:rFonts w:eastAsia="Arial" w:cs="Arial"/>
          <w:sz w:val="24"/>
          <w:szCs w:val="24"/>
          <w:lang w:eastAsia="it-IT"/>
        </w:rPr>
        <w:t>Bioggio</w:t>
      </w:r>
      <w:proofErr w:type="spellEnd"/>
      <w:r w:rsidRPr="0052035D">
        <w:rPr>
          <w:rFonts w:eastAsia="Arial" w:cs="Arial"/>
          <w:sz w:val="24"/>
          <w:szCs w:val="24"/>
          <w:lang w:eastAsia="it-IT"/>
        </w:rPr>
        <w:t xml:space="preserve">; - la discarica per rifiuti non combustibili in Valle della Motta (DRNC); - le stazioni di trasbordo di </w:t>
      </w:r>
      <w:proofErr w:type="spellStart"/>
      <w:r w:rsidRPr="0052035D">
        <w:rPr>
          <w:rFonts w:eastAsia="Arial" w:cs="Arial"/>
          <w:sz w:val="24"/>
          <w:szCs w:val="24"/>
          <w:lang w:eastAsia="it-IT"/>
        </w:rPr>
        <w:t>Bioggio</w:t>
      </w:r>
      <w:proofErr w:type="spellEnd"/>
      <w:r w:rsidRPr="0052035D">
        <w:rPr>
          <w:rFonts w:eastAsia="Arial" w:cs="Arial"/>
          <w:sz w:val="24"/>
          <w:szCs w:val="24"/>
          <w:lang w:eastAsia="it-IT"/>
        </w:rPr>
        <w:t xml:space="preserve"> e Valle della Motta; - le discariche chiuse di Casate, </w:t>
      </w:r>
      <w:proofErr w:type="spellStart"/>
      <w:r w:rsidRPr="0052035D">
        <w:rPr>
          <w:rFonts w:eastAsia="Arial" w:cs="Arial"/>
          <w:sz w:val="24"/>
          <w:szCs w:val="24"/>
          <w:lang w:eastAsia="it-IT"/>
        </w:rPr>
        <w:t>Croglio</w:t>
      </w:r>
      <w:proofErr w:type="spellEnd"/>
      <w:r w:rsidRPr="0052035D">
        <w:rPr>
          <w:rFonts w:eastAsia="Arial" w:cs="Arial"/>
          <w:sz w:val="24"/>
          <w:szCs w:val="24"/>
          <w:lang w:eastAsia="it-IT"/>
        </w:rPr>
        <w:t xml:space="preserve">, Pizzante, </w:t>
      </w:r>
      <w:proofErr w:type="spellStart"/>
      <w:r w:rsidRPr="0052035D">
        <w:rPr>
          <w:rFonts w:eastAsia="Arial" w:cs="Arial"/>
          <w:sz w:val="24"/>
          <w:szCs w:val="24"/>
          <w:lang w:eastAsia="it-IT"/>
        </w:rPr>
        <w:t>Nivo</w:t>
      </w:r>
      <w:proofErr w:type="spellEnd"/>
      <w:r w:rsidRPr="0052035D">
        <w:rPr>
          <w:rFonts w:eastAsia="Arial" w:cs="Arial"/>
          <w:sz w:val="24"/>
          <w:szCs w:val="24"/>
          <w:lang w:eastAsia="it-IT"/>
        </w:rPr>
        <w:t xml:space="preserve"> e Valle della Motta.</w:t>
      </w:r>
    </w:p>
    <w:p w:rsidR="0052035D" w:rsidRPr="0052035D" w:rsidRDefault="0052035D" w:rsidP="0052035D">
      <w:pPr>
        <w:rPr>
          <w:rFonts w:eastAsia="Arial" w:cs="Arial"/>
          <w:color w:val="4F81BD"/>
          <w:sz w:val="24"/>
          <w:szCs w:val="24"/>
          <w:lang w:eastAsia="it-IT"/>
        </w:rPr>
      </w:pPr>
    </w:p>
    <w:p w:rsidR="0052035D" w:rsidRDefault="0052035D" w:rsidP="0052035D">
      <w:pPr>
        <w:rPr>
          <w:rFonts w:eastAsia="Arial" w:cs="Arial"/>
          <w:color w:val="4F81BD"/>
          <w:sz w:val="24"/>
          <w:szCs w:val="24"/>
          <w:lang w:eastAsia="it-IT"/>
        </w:rPr>
      </w:pPr>
    </w:p>
    <w:p w:rsidR="0052035D" w:rsidRPr="0052035D" w:rsidRDefault="0052035D" w:rsidP="0052035D">
      <w:pPr>
        <w:rPr>
          <w:rFonts w:eastAsia="Arial" w:cs="Arial"/>
          <w:color w:val="4F81BD"/>
          <w:sz w:val="24"/>
          <w:szCs w:val="24"/>
          <w:lang w:eastAsia="it-IT"/>
        </w:rPr>
      </w:pPr>
    </w:p>
    <w:p w:rsidR="0052035D" w:rsidRPr="0052035D" w:rsidRDefault="0052035D" w:rsidP="0052035D">
      <w:pPr>
        <w:pStyle w:val="Titolo1"/>
        <w:numPr>
          <w:ilvl w:val="0"/>
          <w:numId w:val="18"/>
        </w:numPr>
        <w:tabs>
          <w:tab w:val="left" w:pos="567"/>
        </w:tabs>
        <w:spacing w:before="0"/>
        <w:ind w:left="567" w:hanging="567"/>
        <w:jc w:val="both"/>
        <w:rPr>
          <w:rFonts w:eastAsia="Calibri" w:cs="Arial"/>
          <w:sz w:val="24"/>
          <w:szCs w:val="24"/>
        </w:rPr>
      </w:pPr>
      <w:r w:rsidRPr="0052035D">
        <w:rPr>
          <w:rFonts w:eastAsia="Calibri" w:cs="Arial"/>
          <w:sz w:val="24"/>
          <w:szCs w:val="24"/>
        </w:rPr>
        <w:t>LE CIFRE IN BREVE</w:t>
      </w:r>
    </w:p>
    <w:p w:rsidR="0052035D" w:rsidRPr="0052035D" w:rsidRDefault="0052035D" w:rsidP="0052035D">
      <w:pPr>
        <w:rPr>
          <w:rFonts w:eastAsia="Arial" w:cs="Arial"/>
          <w:color w:val="000000"/>
          <w:sz w:val="24"/>
          <w:szCs w:val="24"/>
          <w:lang w:eastAsia="it-IT"/>
        </w:rPr>
      </w:pPr>
      <w:r w:rsidRPr="0052035D">
        <w:rPr>
          <w:rFonts w:eastAsia="Arial" w:cs="Arial"/>
          <w:color w:val="000000"/>
          <w:sz w:val="24"/>
          <w:szCs w:val="24"/>
          <w:lang w:eastAsia="it-IT"/>
        </w:rPr>
        <w:t>In conformità alla risoluzione governativa n. 5040 del 16 novembre 2004, che designa il Controllo cantonale delle finanze (CCF) quale organo di revisione dell’ACR, i conti consuntivi 2022 sono stati sottoposti per revisione al CCF.</w:t>
      </w:r>
    </w:p>
    <w:p w:rsidR="0052035D" w:rsidRPr="0052035D" w:rsidRDefault="0052035D" w:rsidP="0052035D">
      <w:pPr>
        <w:rPr>
          <w:rFonts w:eastAsia="Arial" w:cs="Arial"/>
          <w:color w:val="4F81BD"/>
          <w:sz w:val="24"/>
          <w:szCs w:val="24"/>
          <w:lang w:eastAsia="it-IT"/>
        </w:rPr>
      </w:pPr>
    </w:p>
    <w:p w:rsidR="0052035D" w:rsidRDefault="0052035D" w:rsidP="0052035D">
      <w:pPr>
        <w:rPr>
          <w:rFonts w:eastAsia="Arial" w:cs="Arial"/>
          <w:color w:val="000000"/>
          <w:sz w:val="24"/>
          <w:szCs w:val="24"/>
          <w:lang w:eastAsia="it-IT"/>
        </w:rPr>
      </w:pPr>
      <w:r w:rsidRPr="0052035D">
        <w:rPr>
          <w:rFonts w:eastAsia="Arial" w:cs="Arial"/>
          <w:color w:val="000000"/>
          <w:sz w:val="24"/>
          <w:szCs w:val="24"/>
          <w:lang w:eastAsia="it-IT"/>
        </w:rPr>
        <w:t xml:space="preserve">L'esercizio ha chiuso con un avanzo di </w:t>
      </w:r>
      <w:proofErr w:type="spellStart"/>
      <w:r w:rsidRPr="0052035D">
        <w:rPr>
          <w:rFonts w:eastAsia="Arial" w:cs="Arial"/>
          <w:color w:val="000000"/>
          <w:sz w:val="24"/>
          <w:szCs w:val="24"/>
          <w:lang w:eastAsia="it-IT"/>
        </w:rPr>
        <w:t>fr</w:t>
      </w:r>
      <w:proofErr w:type="spellEnd"/>
      <w:r w:rsidRPr="0052035D">
        <w:rPr>
          <w:rFonts w:eastAsia="Arial" w:cs="Arial"/>
          <w:color w:val="000000"/>
          <w:sz w:val="24"/>
          <w:szCs w:val="24"/>
          <w:lang w:eastAsia="it-IT"/>
        </w:rPr>
        <w:t xml:space="preserve">. 144'475.62, determinato da un totale dei costi pari a </w:t>
      </w:r>
      <w:proofErr w:type="spellStart"/>
      <w:r w:rsidRPr="0052035D">
        <w:rPr>
          <w:rFonts w:eastAsia="Arial" w:cs="Arial"/>
          <w:color w:val="000000"/>
          <w:sz w:val="24"/>
          <w:szCs w:val="24"/>
          <w:lang w:eastAsia="it-IT"/>
        </w:rPr>
        <w:t>fr</w:t>
      </w:r>
      <w:proofErr w:type="spellEnd"/>
      <w:r w:rsidRPr="0052035D">
        <w:rPr>
          <w:rFonts w:eastAsia="Arial" w:cs="Arial"/>
          <w:color w:val="000000"/>
          <w:sz w:val="24"/>
          <w:szCs w:val="24"/>
          <w:lang w:eastAsia="it-IT"/>
        </w:rPr>
        <w:t xml:space="preserve">. 44'595'673.41, a fronte di ricavi per un totale di </w:t>
      </w:r>
      <w:proofErr w:type="spellStart"/>
      <w:r w:rsidRPr="0052035D">
        <w:rPr>
          <w:rFonts w:eastAsia="Arial" w:cs="Arial"/>
          <w:color w:val="000000"/>
          <w:sz w:val="24"/>
          <w:szCs w:val="24"/>
          <w:lang w:eastAsia="it-IT"/>
        </w:rPr>
        <w:t>fr</w:t>
      </w:r>
      <w:proofErr w:type="spellEnd"/>
      <w:r w:rsidRPr="0052035D">
        <w:rPr>
          <w:rFonts w:eastAsia="Arial" w:cs="Arial"/>
          <w:color w:val="000000"/>
          <w:sz w:val="24"/>
          <w:szCs w:val="24"/>
          <w:lang w:eastAsia="it-IT"/>
        </w:rPr>
        <w:t xml:space="preserve">. 44'740'149.03. Il conto degli investimenti presenta un saldo netto 2022 (investimento lordo – sussidi – ammortamenti/scioglimento accantonamenti) di </w:t>
      </w:r>
      <w:proofErr w:type="spellStart"/>
      <w:r w:rsidRPr="0052035D">
        <w:rPr>
          <w:rFonts w:eastAsia="Arial" w:cs="Arial"/>
          <w:color w:val="000000"/>
          <w:sz w:val="24"/>
          <w:szCs w:val="24"/>
          <w:lang w:eastAsia="it-IT"/>
        </w:rPr>
        <w:t>fr</w:t>
      </w:r>
      <w:proofErr w:type="spellEnd"/>
      <w:r w:rsidRPr="0052035D">
        <w:rPr>
          <w:rFonts w:eastAsia="Arial" w:cs="Arial"/>
          <w:color w:val="000000"/>
          <w:sz w:val="24"/>
          <w:szCs w:val="24"/>
          <w:lang w:eastAsia="it-IT"/>
        </w:rPr>
        <w:t>. 99'036'239.16</w:t>
      </w:r>
    </w:p>
    <w:p w:rsidR="0052035D" w:rsidRPr="0052035D" w:rsidRDefault="0052035D" w:rsidP="0052035D">
      <w:pPr>
        <w:rPr>
          <w:rFonts w:eastAsia="Arial" w:cs="Arial"/>
          <w:color w:val="000000"/>
          <w:sz w:val="24"/>
          <w:szCs w:val="24"/>
          <w:lang w:eastAsia="it-IT"/>
        </w:rPr>
      </w:pPr>
    </w:p>
    <w:p w:rsidR="0052035D" w:rsidRPr="0052035D" w:rsidRDefault="0052035D" w:rsidP="0052035D">
      <w:pPr>
        <w:rPr>
          <w:rFonts w:eastAsia="Arial" w:cs="Arial"/>
          <w:color w:val="4F81BD"/>
          <w:sz w:val="24"/>
          <w:szCs w:val="24"/>
          <w:lang w:eastAsia="it-IT"/>
        </w:rPr>
      </w:pPr>
      <w:r w:rsidRPr="0052035D">
        <w:rPr>
          <w:rFonts w:eastAsia="Arial" w:cs="Arial"/>
          <w:color w:val="000000"/>
          <w:sz w:val="24"/>
          <w:szCs w:val="24"/>
          <w:lang w:eastAsia="it-IT"/>
        </w:rPr>
        <w:t xml:space="preserve">Il rapporto del CCF, presentato in data 28 aprile 2023, raccomanda l'approvazione del conto annuale 2022 dell'ACR che chiude con un avanzo di esercizio di </w:t>
      </w:r>
      <w:proofErr w:type="spellStart"/>
      <w:r w:rsidRPr="0052035D">
        <w:rPr>
          <w:rFonts w:eastAsia="Arial" w:cs="Arial"/>
          <w:color w:val="000000"/>
          <w:sz w:val="24"/>
          <w:szCs w:val="24"/>
          <w:lang w:eastAsia="it-IT"/>
        </w:rPr>
        <w:t>fr</w:t>
      </w:r>
      <w:proofErr w:type="spellEnd"/>
      <w:r w:rsidRPr="0052035D">
        <w:rPr>
          <w:rFonts w:eastAsia="Arial" w:cs="Arial"/>
          <w:color w:val="000000"/>
          <w:sz w:val="24"/>
          <w:szCs w:val="24"/>
          <w:lang w:eastAsia="it-IT"/>
        </w:rPr>
        <w:t>. 144'475.62, da attribuire ai risultati riportati.</w:t>
      </w:r>
    </w:p>
    <w:p w:rsidR="0052035D" w:rsidRPr="0052035D" w:rsidRDefault="0052035D" w:rsidP="0052035D">
      <w:pPr>
        <w:rPr>
          <w:rFonts w:eastAsia="Arial" w:cs="Arial"/>
          <w:color w:val="4F81BD"/>
          <w:sz w:val="24"/>
          <w:szCs w:val="24"/>
          <w:lang w:eastAsia="it-IT"/>
        </w:rPr>
      </w:pPr>
    </w:p>
    <w:p w:rsidR="0052035D" w:rsidRDefault="0052035D">
      <w:pPr>
        <w:rPr>
          <w:rFonts w:eastAsia="Arial" w:cs="Arial"/>
          <w:color w:val="4F81BD"/>
          <w:sz w:val="24"/>
          <w:szCs w:val="24"/>
          <w:lang w:eastAsia="it-IT"/>
        </w:rPr>
      </w:pPr>
      <w:r>
        <w:rPr>
          <w:rFonts w:eastAsia="Arial" w:cs="Arial"/>
          <w:color w:val="4F81BD"/>
          <w:sz w:val="24"/>
          <w:szCs w:val="24"/>
          <w:lang w:eastAsia="it-IT"/>
        </w:rPr>
        <w:br w:type="page"/>
      </w:r>
    </w:p>
    <w:p w:rsidR="0052035D" w:rsidRPr="0052035D" w:rsidRDefault="0052035D" w:rsidP="0052035D">
      <w:pPr>
        <w:keepNext/>
        <w:widowControl w:val="0"/>
        <w:numPr>
          <w:ilvl w:val="0"/>
          <w:numId w:val="18"/>
        </w:numPr>
        <w:tabs>
          <w:tab w:val="left" w:pos="567"/>
        </w:tabs>
        <w:suppressAutoHyphens/>
        <w:autoSpaceDN w:val="0"/>
        <w:spacing w:after="120"/>
        <w:jc w:val="left"/>
        <w:textAlignment w:val="baseline"/>
        <w:outlineLvl w:val="0"/>
        <w:rPr>
          <w:rFonts w:eastAsia="Arial" w:cs="Arial"/>
          <w:b/>
          <w:caps/>
          <w:color w:val="000000"/>
          <w:sz w:val="24"/>
          <w:szCs w:val="24"/>
          <w:lang w:val="it-IT" w:eastAsia="it-IT"/>
        </w:rPr>
      </w:pPr>
      <w:bookmarkStart w:id="2" w:name="_heading=h.30j0zll" w:colFirst="0" w:colLast="0"/>
      <w:bookmarkEnd w:id="2"/>
      <w:r w:rsidRPr="0052035D">
        <w:rPr>
          <w:rFonts w:eastAsia="Arial" w:cs="Arial"/>
          <w:b/>
          <w:caps/>
          <w:color w:val="000000"/>
          <w:sz w:val="24"/>
          <w:szCs w:val="24"/>
          <w:lang w:val="it-IT" w:eastAsia="it-IT"/>
        </w:rPr>
        <w:lastRenderedPageBreak/>
        <w:t>IL RAPPORTO ANNUALE DELL'AZIENDA CANTONALE DEI RIFIUTI</w:t>
      </w:r>
    </w:p>
    <w:p w:rsidR="0052035D" w:rsidRPr="0052035D" w:rsidRDefault="0052035D" w:rsidP="0052035D">
      <w:pPr>
        <w:rPr>
          <w:rFonts w:eastAsia="Arial" w:cs="Arial"/>
          <w:sz w:val="24"/>
          <w:szCs w:val="24"/>
          <w:lang w:eastAsia="it-IT"/>
        </w:rPr>
      </w:pPr>
      <w:r w:rsidRPr="0052035D">
        <w:rPr>
          <w:rFonts w:eastAsia="Arial" w:cs="Arial"/>
          <w:sz w:val="24"/>
          <w:szCs w:val="24"/>
          <w:lang w:eastAsia="it-IT"/>
        </w:rPr>
        <w:t xml:space="preserve">Alcuni punti principali ripresi dal rapporto </w:t>
      </w:r>
      <w:proofErr w:type="spellStart"/>
      <w:r w:rsidRPr="0052035D">
        <w:rPr>
          <w:rFonts w:eastAsia="Arial" w:cs="Arial"/>
          <w:sz w:val="24"/>
          <w:szCs w:val="24"/>
          <w:lang w:eastAsia="it-IT"/>
        </w:rPr>
        <w:t>annaule</w:t>
      </w:r>
      <w:proofErr w:type="spellEnd"/>
      <w:r w:rsidRPr="0052035D">
        <w:rPr>
          <w:rFonts w:eastAsia="Arial" w:cs="Arial"/>
          <w:sz w:val="24"/>
          <w:szCs w:val="24"/>
          <w:lang w:eastAsia="it-IT"/>
        </w:rPr>
        <w:t xml:space="preserve"> 2022:</w:t>
      </w:r>
    </w:p>
    <w:p w:rsidR="0052035D" w:rsidRPr="0052035D" w:rsidRDefault="0052035D" w:rsidP="0052035D">
      <w:pPr>
        <w:numPr>
          <w:ilvl w:val="0"/>
          <w:numId w:val="20"/>
        </w:numPr>
        <w:spacing w:before="240"/>
        <w:ind w:left="284" w:hanging="284"/>
        <w:rPr>
          <w:rFonts w:eastAsia="Arial" w:cs="Arial"/>
          <w:sz w:val="24"/>
          <w:szCs w:val="24"/>
          <w:lang w:eastAsia="it-IT"/>
        </w:rPr>
      </w:pPr>
      <w:r w:rsidRPr="0052035D">
        <w:rPr>
          <w:rFonts w:eastAsia="Arial" w:cs="Arial"/>
          <w:sz w:val="24"/>
          <w:szCs w:val="24"/>
          <w:lang w:eastAsia="it-IT"/>
        </w:rPr>
        <w:t>Nel settembre 2022, nell’ambito del mandato di prestazioni 2023, ACR ha proposto al Consiglio di Stato, che ha approvato, la riduzione di CHF 10 alla tonnellata delle tariffe per la termovalorizzazione dei rifiuti per, in particolare, i Comuni e le imprese autorizzate.</w:t>
      </w:r>
    </w:p>
    <w:p w:rsidR="0052035D" w:rsidRPr="0052035D" w:rsidRDefault="0052035D" w:rsidP="0052035D">
      <w:pPr>
        <w:numPr>
          <w:ilvl w:val="0"/>
          <w:numId w:val="20"/>
        </w:numPr>
        <w:spacing w:before="240"/>
        <w:ind w:left="284" w:hanging="284"/>
        <w:rPr>
          <w:rFonts w:eastAsia="Arial" w:cs="Arial"/>
          <w:color w:val="4F81BD"/>
          <w:sz w:val="24"/>
          <w:szCs w:val="24"/>
          <w:lang w:val="it-IT" w:eastAsia="it-IT"/>
        </w:rPr>
      </w:pPr>
      <w:r w:rsidRPr="0052035D">
        <w:rPr>
          <w:rFonts w:eastAsia="Arial" w:cs="Arial"/>
          <w:sz w:val="24"/>
          <w:szCs w:val="24"/>
          <w:lang w:eastAsia="it-IT"/>
        </w:rPr>
        <w:t xml:space="preserve">sono state consegnate 179’008 tonnellate di rifiuti all’ ICTR, in linea con i quantitativi dell’anno precedente, che hanno permesso di produrre un quantitativo di energia elettrica corrispondente al fabbisogno di </w:t>
      </w:r>
      <w:proofErr w:type="spellStart"/>
      <w:r w:rsidRPr="0052035D">
        <w:rPr>
          <w:rFonts w:eastAsia="Arial" w:cs="Arial"/>
          <w:sz w:val="24"/>
          <w:szCs w:val="24"/>
          <w:lang w:eastAsia="it-IT"/>
        </w:rPr>
        <w:t>ca</w:t>
      </w:r>
      <w:proofErr w:type="spellEnd"/>
      <w:r w:rsidRPr="0052035D">
        <w:rPr>
          <w:rFonts w:eastAsia="Arial" w:cs="Arial"/>
          <w:sz w:val="24"/>
          <w:szCs w:val="24"/>
          <w:lang w:eastAsia="it-IT"/>
        </w:rPr>
        <w:t xml:space="preserve">. 21’500 famiglie e di energia termica per un risparmio corrispondente a </w:t>
      </w:r>
      <w:proofErr w:type="spellStart"/>
      <w:r w:rsidRPr="0052035D">
        <w:rPr>
          <w:rFonts w:eastAsia="Arial" w:cs="Arial"/>
          <w:sz w:val="24"/>
          <w:szCs w:val="24"/>
          <w:lang w:eastAsia="it-IT"/>
        </w:rPr>
        <w:t>ca</w:t>
      </w:r>
      <w:proofErr w:type="spellEnd"/>
      <w:r w:rsidRPr="0052035D">
        <w:rPr>
          <w:rFonts w:eastAsia="Arial" w:cs="Arial"/>
          <w:sz w:val="24"/>
          <w:szCs w:val="24"/>
          <w:lang w:eastAsia="it-IT"/>
        </w:rPr>
        <w:t>. 6,7 milioni di litri di nafta</w:t>
      </w:r>
    </w:p>
    <w:p w:rsidR="0052035D" w:rsidRPr="0052035D" w:rsidRDefault="0052035D" w:rsidP="0052035D">
      <w:pPr>
        <w:numPr>
          <w:ilvl w:val="0"/>
          <w:numId w:val="20"/>
        </w:numPr>
        <w:spacing w:before="240"/>
        <w:ind w:left="284" w:hanging="284"/>
        <w:rPr>
          <w:rFonts w:eastAsia="Arial" w:cs="Arial"/>
          <w:color w:val="4F81BD"/>
          <w:sz w:val="24"/>
          <w:szCs w:val="24"/>
          <w:lang w:val="it-IT" w:eastAsia="it-IT"/>
        </w:rPr>
      </w:pPr>
      <w:r w:rsidRPr="0052035D">
        <w:rPr>
          <w:rFonts w:eastAsia="Arial" w:cs="Arial"/>
          <w:sz w:val="24"/>
          <w:szCs w:val="24"/>
          <w:lang w:eastAsia="it-IT"/>
        </w:rPr>
        <w:t xml:space="preserve">Nel corso del 2022 è stata rilasciata la licenza edilizia per la costruzione di un impianto per la produzione d’idrogeno presso il sedime dell’ICTR a </w:t>
      </w:r>
      <w:proofErr w:type="spellStart"/>
      <w:r w:rsidRPr="0052035D">
        <w:rPr>
          <w:rFonts w:eastAsia="Arial" w:cs="Arial"/>
          <w:sz w:val="24"/>
          <w:szCs w:val="24"/>
          <w:lang w:eastAsia="it-IT"/>
        </w:rPr>
        <w:t>Giubiasco</w:t>
      </w:r>
      <w:proofErr w:type="spellEnd"/>
      <w:r w:rsidRPr="0052035D">
        <w:rPr>
          <w:rFonts w:eastAsia="Arial" w:cs="Arial"/>
          <w:sz w:val="24"/>
          <w:szCs w:val="24"/>
          <w:lang w:eastAsia="it-IT"/>
        </w:rPr>
        <w:t>. Le inquietudini legate soprattutto alla tesa situazione politica internazionale e al susseguente forte rincaro dei costi dell’energia e possibili sviluppi legislativi in corso a livello federale (incentivi) hanno per il momento suggerito di rallentare lo sviluppo del progetto, che sarà riattivato al momento in cui le condizioni quadro lo consentiranno.</w:t>
      </w:r>
    </w:p>
    <w:p w:rsidR="0052035D" w:rsidRPr="0052035D" w:rsidRDefault="0052035D" w:rsidP="0052035D">
      <w:pPr>
        <w:numPr>
          <w:ilvl w:val="0"/>
          <w:numId w:val="20"/>
        </w:numPr>
        <w:spacing w:before="240"/>
        <w:ind w:left="284" w:hanging="284"/>
        <w:rPr>
          <w:rFonts w:eastAsia="Arial" w:cs="Arial"/>
          <w:color w:val="4F81BD"/>
          <w:sz w:val="24"/>
          <w:szCs w:val="24"/>
          <w:lang w:val="it-IT" w:eastAsia="it-IT"/>
        </w:rPr>
      </w:pPr>
      <w:r w:rsidRPr="0052035D">
        <w:rPr>
          <w:rFonts w:eastAsia="Arial" w:cs="Arial"/>
          <w:sz w:val="24"/>
          <w:szCs w:val="24"/>
          <w:lang w:eastAsia="it-IT"/>
        </w:rPr>
        <w:t>ACR ha deciso di integrare il proprio Rapporto Annuale con gli aspetti di sostenibilità, pubblicando per la terza volta un Rapporto di Sostenibilità Integrato, che offre ai lettori una visione completa delle attività ACR.</w:t>
      </w:r>
    </w:p>
    <w:p w:rsidR="0052035D" w:rsidRPr="0052035D" w:rsidRDefault="0052035D" w:rsidP="0052035D">
      <w:pPr>
        <w:numPr>
          <w:ilvl w:val="0"/>
          <w:numId w:val="20"/>
        </w:numPr>
        <w:spacing w:before="240"/>
        <w:ind w:left="284" w:hanging="284"/>
        <w:rPr>
          <w:rFonts w:eastAsia="Arial" w:cs="Arial"/>
          <w:color w:val="4F81BD"/>
          <w:sz w:val="24"/>
          <w:szCs w:val="24"/>
          <w:lang w:val="it-IT" w:eastAsia="it-IT"/>
        </w:rPr>
      </w:pPr>
      <w:r w:rsidRPr="0052035D">
        <w:rPr>
          <w:rFonts w:eastAsia="Arial" w:cs="Arial"/>
          <w:sz w:val="24"/>
          <w:szCs w:val="24"/>
          <w:lang w:eastAsia="it-IT"/>
        </w:rPr>
        <w:t>Nel 2022 la disponibilità dell’impianto è stata pari al 94.8% delle ore annue, ossia 8’284 ore per la linea 1 e 8’317 ore per la linea 2. Per il 4.7% dell’anno l’impianto è stato sottoposto a interventi di manutenzione pianificata, mentre nello 0.5% delle ore si è trattato di interruzioni di esercizio non previste. La turbina è stata in esercizio per 8’743 ore ossia il 99.8% dell’anno</w:t>
      </w:r>
    </w:p>
    <w:p w:rsidR="0052035D" w:rsidRPr="0052035D" w:rsidRDefault="0052035D" w:rsidP="0052035D">
      <w:pPr>
        <w:numPr>
          <w:ilvl w:val="0"/>
          <w:numId w:val="20"/>
        </w:numPr>
        <w:spacing w:before="240"/>
        <w:ind w:left="284" w:hanging="284"/>
        <w:rPr>
          <w:rFonts w:eastAsia="Arial" w:cs="Arial"/>
          <w:color w:val="4F81BD"/>
          <w:sz w:val="24"/>
          <w:szCs w:val="24"/>
          <w:lang w:val="it-IT" w:eastAsia="it-IT"/>
        </w:rPr>
      </w:pPr>
      <w:r w:rsidRPr="0052035D">
        <w:rPr>
          <w:rFonts w:eastAsia="Arial" w:cs="Arial"/>
          <w:sz w:val="24"/>
          <w:szCs w:val="24"/>
          <w:lang w:eastAsia="it-IT"/>
        </w:rPr>
        <w:t xml:space="preserve">La fornitura di energia dell’ICTR ha contribuito in maniera importante alla riduzione delle emissioni di CO2 sia grazie al teleriscaldamento (permettendo il risparmio di circa 6.7 milioni di litri di nafta) che alla produzione di energia elettrica (coprendo il fabbisogno di annuale di </w:t>
      </w:r>
      <w:proofErr w:type="spellStart"/>
      <w:r w:rsidRPr="0052035D">
        <w:rPr>
          <w:rFonts w:eastAsia="Arial" w:cs="Arial"/>
          <w:sz w:val="24"/>
          <w:szCs w:val="24"/>
          <w:lang w:eastAsia="it-IT"/>
        </w:rPr>
        <w:t>ca</w:t>
      </w:r>
      <w:proofErr w:type="spellEnd"/>
      <w:r w:rsidRPr="0052035D">
        <w:rPr>
          <w:rFonts w:eastAsia="Arial" w:cs="Arial"/>
          <w:sz w:val="24"/>
          <w:szCs w:val="24"/>
          <w:lang w:eastAsia="it-IT"/>
        </w:rPr>
        <w:t xml:space="preserve">. 21’500 famiglie). Il teleriscaldamento gestito da </w:t>
      </w:r>
      <w:proofErr w:type="spellStart"/>
      <w:r w:rsidRPr="0052035D">
        <w:rPr>
          <w:rFonts w:eastAsia="Arial" w:cs="Arial"/>
          <w:sz w:val="24"/>
          <w:szCs w:val="24"/>
          <w:lang w:eastAsia="it-IT"/>
        </w:rPr>
        <w:t>Teris</w:t>
      </w:r>
      <w:proofErr w:type="spellEnd"/>
      <w:r w:rsidRPr="0052035D">
        <w:rPr>
          <w:rFonts w:eastAsia="Arial" w:cs="Arial"/>
          <w:sz w:val="24"/>
          <w:szCs w:val="24"/>
          <w:lang w:eastAsia="it-IT"/>
        </w:rPr>
        <w:t xml:space="preserve"> grazie all’eliminazione di diverse caldaie, permette inoltre la riduzione delle emissioni di ossidi di azoto, responsabili delle “piogge acide”, e di polveri fini, sostanza in grado di danneggiare la salute dell’uomo e dell’ambiente urbano. L’energia prodotta dall’ICTR è considerata, secondo le norme in vigore, rinnovabile in ragione del 50%.</w:t>
      </w:r>
    </w:p>
    <w:p w:rsidR="0052035D" w:rsidRDefault="0052035D" w:rsidP="0052035D">
      <w:pPr>
        <w:rPr>
          <w:rFonts w:eastAsia="Arial" w:cs="Arial"/>
          <w:color w:val="4F81BD"/>
          <w:sz w:val="24"/>
          <w:szCs w:val="24"/>
          <w:highlight w:val="yellow"/>
          <w:lang w:eastAsia="it-IT"/>
        </w:rPr>
      </w:pPr>
    </w:p>
    <w:p w:rsidR="0052035D" w:rsidRDefault="0052035D" w:rsidP="0052035D">
      <w:pPr>
        <w:rPr>
          <w:rFonts w:eastAsia="Arial" w:cs="Arial"/>
          <w:color w:val="4F81BD"/>
          <w:sz w:val="24"/>
          <w:szCs w:val="24"/>
          <w:highlight w:val="yellow"/>
          <w:lang w:eastAsia="it-IT"/>
        </w:rPr>
      </w:pPr>
    </w:p>
    <w:p w:rsidR="0052035D" w:rsidRPr="0052035D" w:rsidRDefault="0052035D" w:rsidP="0052035D">
      <w:pPr>
        <w:rPr>
          <w:rFonts w:eastAsia="Arial" w:cs="Arial"/>
          <w:color w:val="4F81BD"/>
          <w:sz w:val="24"/>
          <w:szCs w:val="24"/>
          <w:highlight w:val="yellow"/>
          <w:lang w:eastAsia="it-IT"/>
        </w:rPr>
      </w:pPr>
    </w:p>
    <w:p w:rsidR="0052035D" w:rsidRPr="0052035D" w:rsidRDefault="0052035D" w:rsidP="0052035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52035D">
        <w:rPr>
          <w:rFonts w:eastAsia="Calibri" w:cs="Times New Roman"/>
          <w:caps/>
          <w:sz w:val="24"/>
          <w:szCs w:val="24"/>
          <w:lang w:val="it-IT" w:eastAsia="it-IT"/>
        </w:rPr>
        <w:t>PIÙCALORE SA</w:t>
      </w:r>
    </w:p>
    <w:p w:rsidR="0052035D" w:rsidRPr="0052035D" w:rsidRDefault="0052035D" w:rsidP="0052035D">
      <w:pPr>
        <w:rPr>
          <w:rFonts w:eastAsia="Arial" w:cs="Arial"/>
          <w:color w:val="000000"/>
          <w:sz w:val="24"/>
          <w:szCs w:val="24"/>
          <w:lang w:eastAsia="it-IT"/>
        </w:rPr>
      </w:pPr>
      <w:r w:rsidRPr="0052035D">
        <w:rPr>
          <w:rFonts w:eastAsia="Arial" w:cs="Arial"/>
          <w:color w:val="000000"/>
          <w:sz w:val="24"/>
          <w:szCs w:val="24"/>
          <w:lang w:eastAsia="it-IT"/>
        </w:rPr>
        <w:t>Secondo l’Ufficio federale dell’energia, attualmente il settore dell’energia termica rappresenta circa il 50 per cento dei consumi energetici in Svizzera ed è responsabile di oltre il 35 per cento delle emissioni di CO2. Per raggiungere l’obiettivo del saldo netto pari a zero entro il 2050, il fabbisogno di calore (riscaldamento e acqua calda sanitaria negli edifici nonché calore dei processi industriali) deve essere coperto del tutto da energie rinnovabili che non producono emissioni di CO2.</w:t>
      </w:r>
    </w:p>
    <w:p w:rsidR="0052035D" w:rsidRPr="0052035D" w:rsidRDefault="0052035D" w:rsidP="0052035D">
      <w:pPr>
        <w:rPr>
          <w:rFonts w:eastAsia="Arial" w:cs="Arial"/>
          <w:color w:val="000000"/>
          <w:sz w:val="24"/>
          <w:szCs w:val="24"/>
          <w:lang w:eastAsia="it-IT"/>
        </w:rPr>
      </w:pPr>
      <w:r w:rsidRPr="0052035D">
        <w:rPr>
          <w:rFonts w:eastAsia="Arial" w:cs="Arial"/>
          <w:color w:val="000000"/>
          <w:sz w:val="24"/>
          <w:szCs w:val="24"/>
          <w:lang w:eastAsia="it-IT"/>
        </w:rPr>
        <w:lastRenderedPageBreak/>
        <w:t>Le reti termiche rappresentano un ambito fondamentale per un approvvigionamento termico degli edifici, e in parte anche delle imprese industriali, neutro in termini di CO2. Le reti termiche consentono di sfruttare il calore residuo a ubicazione vincolata, il calore degli impianti di cogenerazione alimentati a biomassa, degli impianti di incenerimento dei rifiuti urbani o degli impianti di geotermia profonda oppure anche il potenziale di calore presente nei laghi e nei fiumi. Grazie alle pompe di calore è possibile utilizzare il calore del suolo, dell’atmosfera o del sole nonché il calore residuo a bassa temperatura, p. es. degli impianti di depurazione delle acque di scarico.</w:t>
      </w:r>
    </w:p>
    <w:p w:rsidR="0052035D" w:rsidRPr="0052035D" w:rsidRDefault="0052035D" w:rsidP="0052035D">
      <w:pPr>
        <w:rPr>
          <w:rFonts w:eastAsia="Arial" w:cs="Arial"/>
          <w:color w:val="000000"/>
          <w:sz w:val="24"/>
          <w:szCs w:val="24"/>
          <w:lang w:eastAsia="it-IT"/>
        </w:rPr>
      </w:pPr>
    </w:p>
    <w:p w:rsidR="0052035D" w:rsidRPr="0052035D" w:rsidRDefault="0052035D" w:rsidP="0052035D">
      <w:pPr>
        <w:rPr>
          <w:rFonts w:eastAsia="Arial" w:cs="Arial"/>
          <w:color w:val="000000"/>
          <w:sz w:val="24"/>
          <w:szCs w:val="24"/>
          <w:lang w:eastAsia="it-IT"/>
        </w:rPr>
      </w:pPr>
      <w:r w:rsidRPr="0052035D">
        <w:rPr>
          <w:rFonts w:eastAsia="Arial" w:cs="Arial"/>
          <w:color w:val="000000"/>
          <w:sz w:val="24"/>
          <w:szCs w:val="24"/>
          <w:lang w:eastAsia="it-IT"/>
        </w:rPr>
        <w:t xml:space="preserve">ACR, AET (Azienda Elettrica Ticinese), AMB (Azienda Multiservizi Bellinzona e SES (Società Elettrica </w:t>
      </w:r>
      <w:proofErr w:type="spellStart"/>
      <w:r w:rsidRPr="0052035D">
        <w:rPr>
          <w:rFonts w:eastAsia="Arial" w:cs="Arial"/>
          <w:color w:val="000000"/>
          <w:sz w:val="24"/>
          <w:szCs w:val="24"/>
          <w:lang w:eastAsia="it-IT"/>
        </w:rPr>
        <w:t>Sopracenerina</w:t>
      </w:r>
      <w:proofErr w:type="spellEnd"/>
      <w:r w:rsidRPr="0052035D">
        <w:rPr>
          <w:rFonts w:eastAsia="Arial" w:cs="Arial"/>
          <w:color w:val="000000"/>
          <w:sz w:val="24"/>
          <w:szCs w:val="24"/>
          <w:lang w:eastAsia="it-IT"/>
        </w:rPr>
        <w:t xml:space="preserve">) sono già attive (direttamente o indirettamente) nella gestione di reti di teleriscaldamento e hanno riconosciuto – tenuto conto del potenziale di espansione - la necessità di meglio collaborare a livello regionale. All’inizio del 2022 hanno deciso, unitamente alla AEM (Azienda elettrica </w:t>
      </w:r>
      <w:proofErr w:type="spellStart"/>
      <w:r w:rsidRPr="0052035D">
        <w:rPr>
          <w:rFonts w:eastAsia="Arial" w:cs="Arial"/>
          <w:color w:val="000000"/>
          <w:sz w:val="24"/>
          <w:szCs w:val="24"/>
          <w:lang w:eastAsia="it-IT"/>
        </w:rPr>
        <w:t>Massagno</w:t>
      </w:r>
      <w:proofErr w:type="spellEnd"/>
      <w:r w:rsidRPr="0052035D">
        <w:rPr>
          <w:rFonts w:eastAsia="Arial" w:cs="Arial"/>
          <w:color w:val="000000"/>
          <w:sz w:val="24"/>
          <w:szCs w:val="24"/>
          <w:lang w:eastAsia="it-IT"/>
        </w:rPr>
        <w:t>) di creare una società di servizi per il calore (+ Calore SA) con lo scopo di promuovere il teleriscaldamento attraverso la creazione di nuove reti e lo sviluppo di quelle esistenti.</w:t>
      </w:r>
    </w:p>
    <w:p w:rsidR="0052035D" w:rsidRPr="0052035D" w:rsidRDefault="0052035D" w:rsidP="0052035D">
      <w:pPr>
        <w:rPr>
          <w:rFonts w:eastAsia="Arial" w:cs="Arial"/>
          <w:color w:val="000000"/>
          <w:sz w:val="24"/>
          <w:szCs w:val="24"/>
          <w:lang w:eastAsia="it-IT"/>
        </w:rPr>
      </w:pPr>
    </w:p>
    <w:p w:rsidR="0052035D" w:rsidRPr="0052035D" w:rsidRDefault="0052035D" w:rsidP="0052035D">
      <w:pPr>
        <w:rPr>
          <w:rFonts w:eastAsia="Arial" w:cs="Arial"/>
          <w:color w:val="000000"/>
          <w:sz w:val="24"/>
          <w:szCs w:val="24"/>
          <w:lang w:eastAsia="it-IT"/>
        </w:rPr>
      </w:pPr>
      <w:r w:rsidRPr="0052035D">
        <w:rPr>
          <w:rFonts w:eastAsia="Arial" w:cs="Arial"/>
          <w:color w:val="000000"/>
          <w:sz w:val="24"/>
          <w:szCs w:val="24"/>
          <w:lang w:eastAsia="it-IT"/>
        </w:rPr>
        <w:t>La società funge da centro di competenze e fornisce servizi negli ambiti dello studio, della progettazione, della realizzazione, della gestione e della manutenzione di reti di teleriscaldamento, promuovendo investimenti infrastrutturali e contribuendo al raggiungimento degli obiettivi energetici cantonali.</w:t>
      </w:r>
    </w:p>
    <w:p w:rsidR="0052035D" w:rsidRPr="0052035D" w:rsidRDefault="0052035D" w:rsidP="0052035D">
      <w:pPr>
        <w:jc w:val="left"/>
        <w:rPr>
          <w:rFonts w:ascii="Times New Roman" w:eastAsia="Times New Roman" w:hAnsi="Times New Roman" w:cs="Times New Roman"/>
          <w:sz w:val="24"/>
          <w:szCs w:val="24"/>
          <w:lang w:eastAsia="it-IT"/>
        </w:rPr>
      </w:pPr>
    </w:p>
    <w:p w:rsidR="0052035D" w:rsidRPr="0052035D" w:rsidRDefault="0052035D" w:rsidP="0052035D">
      <w:pPr>
        <w:shd w:val="clear" w:color="auto" w:fill="FFFFFF"/>
        <w:rPr>
          <w:rFonts w:eastAsia="Times New Roman" w:cs="Arial"/>
          <w:color w:val="222222"/>
          <w:sz w:val="24"/>
          <w:szCs w:val="24"/>
          <w:lang w:eastAsia="it-IT"/>
        </w:rPr>
      </w:pPr>
      <w:r w:rsidRPr="0052035D">
        <w:rPr>
          <w:rFonts w:eastAsia="Times New Roman" w:cs="Arial"/>
          <w:color w:val="222222"/>
          <w:sz w:val="24"/>
          <w:szCs w:val="24"/>
          <w:lang w:eastAsia="it-IT"/>
        </w:rPr>
        <w:t xml:space="preserve">Il Consiglio di Stato è stato preventivamente informato ed ha in seguito formalmente autorizzato il Consigliere di Stato Claudio Zali ad accettare la carica di Consigliere di amministrazione di +Calore. Al momento la società PIUCALORE SA consta di cinque dipendenti e si finanzia tramite mandati di prestazione verso gli azionisti e le loro partecipate. Gli azionisti di PIUCALORE SA sono al momento ACR, AET, SES e AMB con il 24% ciascuno, e AEM con il 4%. </w:t>
      </w:r>
    </w:p>
    <w:p w:rsidR="0052035D" w:rsidRPr="0052035D" w:rsidRDefault="0052035D" w:rsidP="0052035D">
      <w:pPr>
        <w:shd w:val="clear" w:color="auto" w:fill="FFFFFF"/>
        <w:rPr>
          <w:rFonts w:eastAsia="Times New Roman" w:cs="Arial"/>
          <w:color w:val="222222"/>
          <w:sz w:val="24"/>
          <w:szCs w:val="24"/>
          <w:lang w:eastAsia="it-IT"/>
        </w:rPr>
      </w:pPr>
    </w:p>
    <w:p w:rsidR="0052035D" w:rsidRPr="0052035D" w:rsidRDefault="0052035D" w:rsidP="0052035D">
      <w:pPr>
        <w:shd w:val="clear" w:color="auto" w:fill="FFFFFF"/>
        <w:rPr>
          <w:rFonts w:eastAsia="Times New Roman" w:cs="Arial"/>
          <w:color w:val="222222"/>
          <w:sz w:val="24"/>
          <w:szCs w:val="24"/>
          <w:lang w:eastAsia="it-IT"/>
        </w:rPr>
      </w:pPr>
      <w:r w:rsidRPr="0052035D">
        <w:rPr>
          <w:rFonts w:eastAsia="Times New Roman" w:cs="Arial"/>
          <w:color w:val="222222"/>
          <w:sz w:val="24"/>
          <w:szCs w:val="24"/>
          <w:lang w:eastAsia="it-IT"/>
        </w:rPr>
        <w:t>ACR non ha altre partecipazioni oltre a quella in PIUCALORE SA e in TERIS a cui partecipa con una quota del 40%, sulla base dell’art. 2 cpv. 3 LACR.</w:t>
      </w:r>
    </w:p>
    <w:p w:rsidR="0052035D" w:rsidRPr="0052035D" w:rsidRDefault="0052035D" w:rsidP="0052035D">
      <w:pPr>
        <w:rPr>
          <w:rFonts w:eastAsia="Arial" w:cs="Arial"/>
          <w:color w:val="000000"/>
          <w:sz w:val="24"/>
          <w:szCs w:val="24"/>
          <w:lang w:eastAsia="it-IT"/>
        </w:rPr>
      </w:pPr>
    </w:p>
    <w:p w:rsidR="0052035D" w:rsidRDefault="0052035D" w:rsidP="0052035D">
      <w:pPr>
        <w:rPr>
          <w:rFonts w:eastAsia="Arial" w:cs="Arial"/>
          <w:b/>
          <w:smallCaps/>
          <w:color w:val="4F81BD"/>
          <w:sz w:val="24"/>
          <w:szCs w:val="24"/>
          <w:highlight w:val="yellow"/>
          <w:lang w:eastAsia="it-IT"/>
        </w:rPr>
      </w:pPr>
    </w:p>
    <w:p w:rsidR="0052035D" w:rsidRPr="0052035D" w:rsidRDefault="0052035D" w:rsidP="0052035D">
      <w:pPr>
        <w:rPr>
          <w:rFonts w:eastAsia="Arial" w:cs="Arial"/>
          <w:b/>
          <w:smallCaps/>
          <w:color w:val="4F81BD"/>
          <w:sz w:val="24"/>
          <w:szCs w:val="24"/>
          <w:highlight w:val="yellow"/>
          <w:lang w:eastAsia="it-IT"/>
        </w:rPr>
      </w:pPr>
    </w:p>
    <w:p w:rsidR="0052035D" w:rsidRPr="0052035D" w:rsidRDefault="0052035D" w:rsidP="0052035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52035D">
        <w:rPr>
          <w:rFonts w:eastAsia="Calibri" w:cs="Times New Roman"/>
          <w:caps/>
          <w:sz w:val="24"/>
          <w:szCs w:val="24"/>
          <w:lang w:val="it-IT" w:eastAsia="it-IT"/>
        </w:rPr>
        <w:t>CONCLUSIONI</w:t>
      </w:r>
    </w:p>
    <w:p w:rsidR="0052035D" w:rsidRPr="0052035D" w:rsidRDefault="0052035D" w:rsidP="0052035D">
      <w:pPr>
        <w:suppressAutoHyphens/>
        <w:autoSpaceDN w:val="0"/>
        <w:textAlignment w:val="baseline"/>
        <w:rPr>
          <w:rFonts w:eastAsia="Arial" w:cs="Arial"/>
          <w:color w:val="000000"/>
          <w:sz w:val="24"/>
          <w:szCs w:val="24"/>
          <w:lang w:eastAsia="it-IT"/>
        </w:rPr>
      </w:pPr>
      <w:r w:rsidRPr="0052035D">
        <w:rPr>
          <w:rFonts w:eastAsia="Arial" w:cs="Arial"/>
          <w:color w:val="000000"/>
          <w:sz w:val="24"/>
          <w:szCs w:val="24"/>
          <w:lang w:eastAsia="it-IT"/>
        </w:rPr>
        <w:t>L’ACR ha dimostrato di assolvere al proprio mandato in maniera affidabile e nel rispetto delle specifiche norme ambientali e delle condizioni poste. I risultati economici positivi del 2022 confermano, inoltre, l’ottimo lavoro dei collaboratori, direzione e del Consiglio d’amministrazione.</w:t>
      </w:r>
    </w:p>
    <w:p w:rsidR="0052035D" w:rsidRPr="0052035D" w:rsidRDefault="0052035D" w:rsidP="0052035D">
      <w:pPr>
        <w:suppressAutoHyphens/>
        <w:autoSpaceDN w:val="0"/>
        <w:textAlignment w:val="baseline"/>
        <w:rPr>
          <w:rFonts w:eastAsia="Arial" w:cs="Arial"/>
          <w:color w:val="000000"/>
          <w:sz w:val="24"/>
          <w:szCs w:val="24"/>
          <w:lang w:eastAsia="it-IT"/>
        </w:rPr>
      </w:pPr>
    </w:p>
    <w:p w:rsidR="0052035D" w:rsidRPr="0052035D" w:rsidRDefault="0052035D" w:rsidP="0052035D">
      <w:pPr>
        <w:rPr>
          <w:rFonts w:eastAsia="Arial" w:cs="Arial"/>
          <w:color w:val="000000"/>
          <w:sz w:val="24"/>
          <w:szCs w:val="24"/>
          <w:lang w:eastAsia="it-IT"/>
        </w:rPr>
      </w:pPr>
      <w:r w:rsidRPr="0052035D">
        <w:rPr>
          <w:rFonts w:eastAsia="Arial" w:cs="Arial"/>
          <w:color w:val="000000"/>
          <w:sz w:val="24"/>
          <w:szCs w:val="24"/>
          <w:lang w:eastAsia="it-IT"/>
        </w:rPr>
        <w:t>Si invita, infine, il Consiglio di stato e tutti gli attori coinvolti a fare in modo di poter consegnare al Gran Consiglio il messaggio riguardo ai conti al massimo durante l’autunno dell’anno seguente alla chiusura contabile (preferibilmente entro la seduta di ottobre del Gran Consiglio). Così da permettere, in caso di una rapida trattazione commissionale, l’approvazione dei conti entro fine anno.</w:t>
      </w:r>
    </w:p>
    <w:p w:rsidR="0052035D" w:rsidRDefault="0052035D" w:rsidP="0052035D">
      <w:pPr>
        <w:suppressAutoHyphens/>
        <w:autoSpaceDN w:val="0"/>
        <w:textAlignment w:val="baseline"/>
        <w:rPr>
          <w:rFonts w:eastAsia="Arial" w:cs="Arial"/>
          <w:color w:val="000000"/>
          <w:sz w:val="24"/>
          <w:szCs w:val="24"/>
          <w:lang w:eastAsia="it-IT"/>
        </w:rPr>
      </w:pPr>
    </w:p>
    <w:p w:rsidR="0052035D" w:rsidRPr="0052035D" w:rsidRDefault="0052035D" w:rsidP="0052035D">
      <w:pPr>
        <w:suppressAutoHyphens/>
        <w:autoSpaceDN w:val="0"/>
        <w:textAlignment w:val="baseline"/>
        <w:rPr>
          <w:rFonts w:eastAsia="Arial" w:cs="Arial"/>
          <w:color w:val="000000"/>
          <w:sz w:val="24"/>
          <w:szCs w:val="24"/>
          <w:lang w:eastAsia="it-IT"/>
        </w:rPr>
      </w:pPr>
    </w:p>
    <w:p w:rsidR="0052035D" w:rsidRPr="0052035D" w:rsidRDefault="0052035D" w:rsidP="0052035D">
      <w:pPr>
        <w:suppressAutoHyphens/>
        <w:autoSpaceDN w:val="0"/>
        <w:textAlignment w:val="baseline"/>
        <w:rPr>
          <w:rFonts w:eastAsia="Arial" w:cs="Arial"/>
          <w:color w:val="000000"/>
          <w:sz w:val="24"/>
          <w:szCs w:val="24"/>
          <w:lang w:eastAsia="it-IT"/>
        </w:rPr>
      </w:pPr>
      <w:r w:rsidRPr="0052035D">
        <w:rPr>
          <w:rFonts w:eastAsia="Arial" w:cs="Arial"/>
          <w:color w:val="000000"/>
          <w:sz w:val="24"/>
          <w:szCs w:val="24"/>
          <w:lang w:eastAsia="it-IT"/>
        </w:rPr>
        <w:lastRenderedPageBreak/>
        <w:t>Sulla base della documentazione a disposizione, la Commissione gestione e finanze invita il Parlamento ad approvare il messaggio n. 8396 del 24 gennaio 2024</w:t>
      </w:r>
      <w:r>
        <w:rPr>
          <w:rFonts w:eastAsia="Arial" w:cs="Arial"/>
          <w:color w:val="000000"/>
          <w:sz w:val="24"/>
          <w:szCs w:val="24"/>
          <w:lang w:eastAsia="it-IT"/>
        </w:rPr>
        <w:t xml:space="preserve"> e ad accogliere il decreto legislativo</w:t>
      </w:r>
      <w:r w:rsidRPr="0052035D">
        <w:rPr>
          <w:rFonts w:eastAsia="Arial" w:cs="Arial"/>
          <w:color w:val="000000"/>
          <w:sz w:val="24"/>
          <w:szCs w:val="24"/>
          <w:lang w:eastAsia="it-IT"/>
        </w:rPr>
        <w:t xml:space="preserve"> allegato al medesimo. </w:t>
      </w:r>
    </w:p>
    <w:p w:rsidR="0052035D" w:rsidRPr="0052035D" w:rsidRDefault="0052035D" w:rsidP="0052035D">
      <w:pPr>
        <w:pBdr>
          <w:top w:val="nil"/>
          <w:left w:val="nil"/>
          <w:bottom w:val="nil"/>
          <w:right w:val="nil"/>
          <w:between w:val="nil"/>
        </w:pBdr>
        <w:rPr>
          <w:rFonts w:eastAsia="Arial" w:cs="Arial"/>
          <w:color w:val="000000"/>
          <w:sz w:val="24"/>
          <w:szCs w:val="24"/>
          <w:lang w:eastAsia="it-IT"/>
        </w:rPr>
      </w:pPr>
    </w:p>
    <w:p w:rsidR="0052035D" w:rsidRDefault="0052035D" w:rsidP="0052035D">
      <w:pPr>
        <w:pBdr>
          <w:top w:val="nil"/>
          <w:left w:val="nil"/>
          <w:bottom w:val="nil"/>
          <w:right w:val="nil"/>
          <w:between w:val="nil"/>
        </w:pBdr>
        <w:rPr>
          <w:rFonts w:eastAsia="Arial" w:cs="Arial"/>
          <w:color w:val="000000"/>
          <w:sz w:val="24"/>
          <w:szCs w:val="24"/>
          <w:lang w:eastAsia="it-IT"/>
        </w:rPr>
      </w:pPr>
    </w:p>
    <w:p w:rsidR="0052035D" w:rsidRPr="0052035D" w:rsidRDefault="0052035D" w:rsidP="0052035D">
      <w:pPr>
        <w:pBdr>
          <w:top w:val="nil"/>
          <w:left w:val="nil"/>
          <w:bottom w:val="nil"/>
          <w:right w:val="nil"/>
          <w:between w:val="nil"/>
        </w:pBdr>
        <w:rPr>
          <w:rFonts w:eastAsia="Arial" w:cs="Arial"/>
          <w:color w:val="000000"/>
          <w:sz w:val="24"/>
          <w:szCs w:val="24"/>
          <w:lang w:eastAsia="it-IT"/>
        </w:rPr>
      </w:pPr>
    </w:p>
    <w:p w:rsidR="0052035D" w:rsidRPr="0052035D" w:rsidRDefault="0052035D" w:rsidP="0052035D">
      <w:pPr>
        <w:pBdr>
          <w:top w:val="nil"/>
          <w:left w:val="nil"/>
          <w:bottom w:val="nil"/>
          <w:right w:val="nil"/>
          <w:between w:val="nil"/>
        </w:pBdr>
        <w:spacing w:after="120"/>
        <w:rPr>
          <w:rFonts w:eastAsia="Arial" w:cs="Arial"/>
          <w:color w:val="000000"/>
          <w:sz w:val="24"/>
          <w:szCs w:val="24"/>
          <w:lang w:eastAsia="it-IT"/>
        </w:rPr>
      </w:pPr>
      <w:r w:rsidRPr="0052035D">
        <w:rPr>
          <w:rFonts w:eastAsia="Arial" w:cs="Arial"/>
          <w:color w:val="000000"/>
          <w:sz w:val="24"/>
          <w:szCs w:val="24"/>
          <w:lang w:eastAsia="it-IT"/>
        </w:rPr>
        <w:t>Per la Commissione gestione e finanze:</w:t>
      </w:r>
    </w:p>
    <w:p w:rsidR="0052035D" w:rsidRDefault="0052035D" w:rsidP="0052035D">
      <w:pPr>
        <w:pBdr>
          <w:top w:val="nil"/>
          <w:left w:val="nil"/>
          <w:bottom w:val="nil"/>
          <w:right w:val="nil"/>
          <w:between w:val="nil"/>
        </w:pBdr>
        <w:rPr>
          <w:rFonts w:eastAsia="Arial" w:cs="Arial"/>
          <w:color w:val="000000"/>
          <w:sz w:val="24"/>
          <w:szCs w:val="24"/>
          <w:lang w:eastAsia="it-IT"/>
        </w:rPr>
      </w:pPr>
      <w:r w:rsidRPr="0052035D">
        <w:rPr>
          <w:rFonts w:eastAsia="Arial" w:cs="Arial"/>
          <w:color w:val="000000"/>
          <w:sz w:val="24"/>
          <w:szCs w:val="24"/>
          <w:lang w:eastAsia="it-IT"/>
        </w:rPr>
        <w:t>Boris Bignasca, relatore</w:t>
      </w:r>
    </w:p>
    <w:p w:rsidR="00156CC4" w:rsidRDefault="002D6F58" w:rsidP="0052035D">
      <w:pPr>
        <w:pBdr>
          <w:top w:val="nil"/>
          <w:left w:val="nil"/>
          <w:bottom w:val="nil"/>
          <w:right w:val="nil"/>
          <w:between w:val="nil"/>
        </w:pBdr>
        <w:rPr>
          <w:rFonts w:eastAsia="Arial" w:cs="Arial"/>
          <w:color w:val="000000"/>
          <w:sz w:val="24"/>
          <w:szCs w:val="24"/>
          <w:lang w:eastAsia="it-IT"/>
        </w:rPr>
      </w:pPr>
      <w:r>
        <w:rPr>
          <w:rFonts w:eastAsia="Arial" w:cs="Arial"/>
          <w:color w:val="000000"/>
          <w:sz w:val="24"/>
          <w:szCs w:val="24"/>
          <w:lang w:eastAsia="it-IT"/>
        </w:rPr>
        <w:t xml:space="preserve">Agustoni - Bourgoin - Caprara - Dadò - </w:t>
      </w:r>
    </w:p>
    <w:p w:rsidR="00156CC4" w:rsidRDefault="002D6F58" w:rsidP="0052035D">
      <w:pPr>
        <w:pBdr>
          <w:top w:val="nil"/>
          <w:left w:val="nil"/>
          <w:bottom w:val="nil"/>
          <w:right w:val="nil"/>
          <w:between w:val="nil"/>
        </w:pBdr>
        <w:rPr>
          <w:rFonts w:eastAsia="Arial" w:cs="Arial"/>
          <w:color w:val="000000"/>
          <w:sz w:val="24"/>
          <w:szCs w:val="24"/>
          <w:lang w:eastAsia="it-IT"/>
        </w:rPr>
      </w:pPr>
      <w:r>
        <w:rPr>
          <w:rFonts w:eastAsia="Arial" w:cs="Arial"/>
          <w:color w:val="000000"/>
          <w:sz w:val="24"/>
          <w:szCs w:val="24"/>
          <w:lang w:eastAsia="it-IT"/>
        </w:rPr>
        <w:t>Durisch -</w:t>
      </w:r>
      <w:r w:rsidR="00156CC4">
        <w:rPr>
          <w:rFonts w:eastAsia="Arial" w:cs="Arial"/>
          <w:color w:val="000000"/>
          <w:sz w:val="24"/>
          <w:szCs w:val="24"/>
          <w:lang w:eastAsia="it-IT"/>
        </w:rPr>
        <w:t xml:space="preserve"> </w:t>
      </w:r>
      <w:r>
        <w:rPr>
          <w:rFonts w:eastAsia="Arial" w:cs="Arial"/>
          <w:color w:val="000000"/>
          <w:sz w:val="24"/>
          <w:szCs w:val="24"/>
          <w:lang w:eastAsia="it-IT"/>
        </w:rPr>
        <w:t xml:space="preserve">Ferrara - Galeazzi - Gendotti - </w:t>
      </w:r>
    </w:p>
    <w:p w:rsidR="00156CC4" w:rsidRDefault="002D6F58" w:rsidP="0052035D">
      <w:pPr>
        <w:pBdr>
          <w:top w:val="nil"/>
          <w:left w:val="nil"/>
          <w:bottom w:val="nil"/>
          <w:right w:val="nil"/>
          <w:between w:val="nil"/>
        </w:pBdr>
        <w:rPr>
          <w:rFonts w:eastAsia="Arial" w:cs="Arial"/>
          <w:color w:val="000000"/>
          <w:sz w:val="24"/>
          <w:szCs w:val="24"/>
          <w:lang w:eastAsia="it-IT"/>
        </w:rPr>
      </w:pPr>
      <w:r>
        <w:rPr>
          <w:rFonts w:eastAsia="Arial" w:cs="Arial"/>
          <w:color w:val="000000"/>
          <w:sz w:val="24"/>
          <w:szCs w:val="24"/>
          <w:lang w:eastAsia="it-IT"/>
        </w:rPr>
        <w:t xml:space="preserve">Gianella Alessandra </w:t>
      </w:r>
      <w:r w:rsidR="00156CC4">
        <w:rPr>
          <w:rFonts w:eastAsia="Arial" w:cs="Arial"/>
          <w:color w:val="000000"/>
          <w:sz w:val="24"/>
          <w:szCs w:val="24"/>
          <w:lang w:eastAsia="it-IT"/>
        </w:rPr>
        <w:t>-</w:t>
      </w:r>
      <w:r>
        <w:rPr>
          <w:rFonts w:eastAsia="Arial" w:cs="Arial"/>
          <w:color w:val="000000"/>
          <w:sz w:val="24"/>
          <w:szCs w:val="24"/>
          <w:lang w:eastAsia="it-IT"/>
        </w:rPr>
        <w:t xml:space="preserve"> Guerra </w:t>
      </w:r>
      <w:r w:rsidR="00156CC4">
        <w:rPr>
          <w:rFonts w:eastAsia="Arial" w:cs="Arial"/>
          <w:color w:val="000000"/>
          <w:sz w:val="24"/>
          <w:szCs w:val="24"/>
          <w:lang w:eastAsia="it-IT"/>
        </w:rPr>
        <w:t xml:space="preserve">- </w:t>
      </w:r>
      <w:r>
        <w:rPr>
          <w:rFonts w:eastAsia="Arial" w:cs="Arial"/>
          <w:color w:val="000000"/>
          <w:sz w:val="24"/>
          <w:szCs w:val="24"/>
          <w:lang w:eastAsia="it-IT"/>
        </w:rPr>
        <w:t xml:space="preserve">Passalia </w:t>
      </w:r>
      <w:r w:rsidR="00156CC4">
        <w:rPr>
          <w:rFonts w:eastAsia="Arial" w:cs="Arial"/>
          <w:color w:val="000000"/>
          <w:sz w:val="24"/>
          <w:szCs w:val="24"/>
          <w:lang w:eastAsia="it-IT"/>
        </w:rPr>
        <w:t>-</w:t>
      </w:r>
      <w:r>
        <w:rPr>
          <w:rFonts w:eastAsia="Arial" w:cs="Arial"/>
          <w:color w:val="000000"/>
          <w:sz w:val="24"/>
          <w:szCs w:val="24"/>
          <w:lang w:eastAsia="it-IT"/>
        </w:rPr>
        <w:t xml:space="preserve"> </w:t>
      </w:r>
    </w:p>
    <w:p w:rsidR="0052035D" w:rsidRPr="0052035D" w:rsidRDefault="00156CC4" w:rsidP="0052035D">
      <w:pPr>
        <w:pBdr>
          <w:top w:val="nil"/>
          <w:left w:val="nil"/>
          <w:bottom w:val="nil"/>
          <w:right w:val="nil"/>
          <w:between w:val="nil"/>
        </w:pBdr>
        <w:rPr>
          <w:rFonts w:eastAsia="Arial" w:cs="Arial"/>
          <w:color w:val="000000"/>
          <w:sz w:val="24"/>
          <w:szCs w:val="24"/>
          <w:lang w:eastAsia="it-IT"/>
        </w:rPr>
      </w:pPr>
      <w:r>
        <w:rPr>
          <w:rFonts w:eastAsia="Arial" w:cs="Arial"/>
          <w:color w:val="000000"/>
          <w:sz w:val="24"/>
          <w:szCs w:val="24"/>
          <w:lang w:eastAsia="it-IT"/>
        </w:rPr>
        <w:t xml:space="preserve">Piccaluga - Pini - Quadranti - Sirica - </w:t>
      </w:r>
      <w:r w:rsidR="0052035D" w:rsidRPr="0052035D">
        <w:rPr>
          <w:rFonts w:eastAsia="Arial" w:cs="Arial"/>
          <w:color w:val="000000"/>
          <w:sz w:val="24"/>
          <w:szCs w:val="24"/>
          <w:lang w:eastAsia="it-IT"/>
        </w:rPr>
        <w:t>Soldati</w:t>
      </w:r>
    </w:p>
    <w:p w:rsidR="00D649A8" w:rsidRPr="0052035D" w:rsidRDefault="00D649A8" w:rsidP="00D33940">
      <w:pPr>
        <w:pStyle w:val="StandardRisoluzionedelConsigliodiStato"/>
        <w:ind w:right="-1"/>
      </w:pPr>
    </w:p>
    <w:p w:rsidR="00D649A8" w:rsidRPr="0052035D" w:rsidRDefault="00D649A8" w:rsidP="00D33940">
      <w:pPr>
        <w:pStyle w:val="StandardRisoluzionedelConsigliodiStato"/>
        <w:ind w:right="-1"/>
      </w:pPr>
    </w:p>
    <w:sectPr w:rsidR="00D649A8" w:rsidRPr="0052035D"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35D" w:rsidRDefault="0052035D" w:rsidP="00F657BF">
      <w:r>
        <w:separator/>
      </w:r>
    </w:p>
  </w:endnote>
  <w:endnote w:type="continuationSeparator" w:id="0">
    <w:p w:rsidR="0052035D" w:rsidRDefault="0052035D"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5D" w:rsidRDefault="005203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790A9C" w:rsidP="00912E34">
          <w:pPr>
            <w:tabs>
              <w:tab w:val="center" w:pos="2382"/>
            </w:tabs>
          </w:pPr>
        </w:p>
      </w:tc>
      <w:tc>
        <w:tcPr>
          <w:tcW w:w="721" w:type="dxa"/>
        </w:tcPr>
        <w:p w:rsidR="00912E34" w:rsidRPr="003D1008" w:rsidRDefault="00FD4A2A"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FD4A2A"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790A9C"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790A9C">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35D" w:rsidRDefault="0052035D" w:rsidP="00F657BF">
      <w:r>
        <w:separator/>
      </w:r>
    </w:p>
  </w:footnote>
  <w:footnote w:type="continuationSeparator" w:id="0">
    <w:p w:rsidR="0052035D" w:rsidRDefault="0052035D"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5D" w:rsidRDefault="00520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790A9C"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D3F3CD95-24D6-436E-A547-99992AFBE9A2}"/>
              <w:text w:multiLine="1"/>
            </w:sdtPr>
            <w:sdtEndPr/>
            <w:sdtContent>
              <w:r w:rsidR="00FD4A2A">
                <w:rPr>
                  <w:rFonts w:ascii="Gill Alt One MT Light" w:hAnsi="Gill Alt One MT Light"/>
                  <w:sz w:val="16"/>
                  <w:szCs w:val="16"/>
                </w:rPr>
                <w:t>Repubblica e Cantone Ticino</w:t>
              </w:r>
            </w:sdtContent>
          </w:sdt>
        </w:p>
        <w:p w:rsidR="005012EC" w:rsidRPr="00E8185F" w:rsidRDefault="00790A9C"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D3F3CD95-24D6-436E-A547-99992AFBE9A2}"/>
              <w:text w:multiLine="1"/>
            </w:sdtPr>
            <w:sdtEndPr/>
            <w:sdtContent>
              <w:r w:rsidR="0052035D">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FD4A2A"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1C6F56">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1C6F56">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D3F3CD95-24D6-436E-A547-99992AFBE9A2}"/>
          <w:text w:multiLine="1"/>
        </w:sdtPr>
        <w:sdtEndPr/>
        <w:sdtContent>
          <w:tc>
            <w:tcPr>
              <w:tcW w:w="8383" w:type="dxa"/>
              <w:tcBorders>
                <w:left w:val="single" w:sz="4" w:space="0" w:color="auto"/>
              </w:tcBorders>
              <w:tcMar>
                <w:top w:w="0" w:type="dxa"/>
                <w:left w:w="142" w:type="dxa"/>
              </w:tcMar>
            </w:tcPr>
            <w:p w:rsidR="005012EC" w:rsidRPr="0052035D" w:rsidRDefault="008D110A"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8396 R del 9 aprile 2024</w:t>
              </w:r>
            </w:p>
          </w:tc>
        </w:sdtContent>
      </w:sdt>
      <w:tc>
        <w:tcPr>
          <w:tcW w:w="1710" w:type="dxa"/>
          <w:tcBorders>
            <w:top w:val="single" w:sz="4" w:space="0" w:color="auto"/>
          </w:tcBorders>
        </w:tcPr>
        <w:p w:rsidR="005012EC" w:rsidRPr="0052035D" w:rsidRDefault="00790A9C" w:rsidP="00662409">
          <w:pPr>
            <w:pStyle w:val="InvisibleLine"/>
            <w:rPr>
              <w:lang w:val="it-CH"/>
            </w:rPr>
          </w:pPr>
        </w:p>
      </w:tc>
    </w:tr>
  </w:tbl>
  <w:p w:rsidR="00F657BF" w:rsidRPr="00980362" w:rsidRDefault="00FD4A2A"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3F3CD95-24D6-436E-A547-99992AFBE9A2}"/>
                            <w:text w:multiLine="1"/>
                          </w:sdtPr>
                          <w:sdtEndPr/>
                          <w:sdtContent>
                            <w:p w:rsidR="008065E8" w:rsidRPr="00411371" w:rsidRDefault="00FD4A2A"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D015CF91-21D0-4ABD-A7ED-68B86F519F1B}"/>
                      <w:text w:multiLine="1"/>
                    </w:sdtPr>
                    <w:sdtEndPr/>
                    <w:sdtContent>
                      <w:p w:rsidR="008065E8" w:rsidRPr="00411371" w:rsidRDefault="00FD4A2A"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790A9C" w:rsidP="00932E26">
          <w:pPr>
            <w:pStyle w:val="InvisibleLine"/>
            <w:spacing w:line="240" w:lineRule="auto"/>
            <w:ind w:left="15"/>
            <w:rPr>
              <w:rFonts w:ascii="Gill Alt One MT Light" w:hAnsi="Gill Alt One MT Light"/>
              <w:sz w:val="16"/>
              <w:lang w:val="it-CH"/>
            </w:rPr>
          </w:pPr>
        </w:p>
        <w:p w:rsidR="00CD5F73" w:rsidRDefault="00FD4A2A"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790A9C"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790A9C" w:rsidP="00D07D6E">
          <w:pPr>
            <w:pStyle w:val="Level"/>
            <w:ind w:left="150"/>
            <w:rPr>
              <w:sz w:val="16"/>
            </w:rPr>
          </w:pPr>
        </w:p>
      </w:tc>
      <w:tc>
        <w:tcPr>
          <w:tcW w:w="209" w:type="pct"/>
          <w:tcBorders>
            <w:top w:val="nil"/>
            <w:bottom w:val="single" w:sz="4" w:space="0" w:color="auto"/>
          </w:tcBorders>
        </w:tcPr>
        <w:p w:rsidR="00662409" w:rsidRDefault="00FD4A2A"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6697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52035D" w:rsidRDefault="00FD4A2A" w:rsidP="00D07D6E">
          <w:pPr>
            <w:pStyle w:val="HeaderDecisione"/>
            <w:spacing w:after="60"/>
            <w:ind w:left="150"/>
            <w:jc w:val="right"/>
            <w:rPr>
              <w:rFonts w:ascii="Calibri" w:hAnsi="Calibri" w:cs="Calibri"/>
              <w:sz w:val="24"/>
            </w:rPr>
          </w:pPr>
          <w:r w:rsidRPr="0052035D">
            <w:rPr>
              <w:rFonts w:ascii="Calibri" w:hAnsi="Calibri" w:cs="Calibri"/>
              <w:sz w:val="24"/>
            </w:rPr>
            <w:fldChar w:fldCharType="begin"/>
          </w:r>
          <w:r w:rsidRPr="0052035D">
            <w:rPr>
              <w:rFonts w:ascii="Calibri" w:hAnsi="Calibri" w:cs="Calibri"/>
              <w:sz w:val="24"/>
            </w:rPr>
            <w:instrText xml:space="preserve"> PAGE   \* MERGEFORMAT </w:instrText>
          </w:r>
          <w:r w:rsidRPr="0052035D">
            <w:rPr>
              <w:rFonts w:ascii="Calibri" w:hAnsi="Calibri" w:cs="Calibri"/>
              <w:sz w:val="24"/>
            </w:rPr>
            <w:fldChar w:fldCharType="separate"/>
          </w:r>
          <w:r w:rsidR="001C6F56">
            <w:rPr>
              <w:rFonts w:ascii="Calibri" w:hAnsi="Calibri" w:cs="Calibri"/>
              <w:noProof/>
              <w:sz w:val="24"/>
            </w:rPr>
            <w:t>1</w:t>
          </w:r>
          <w:r w:rsidRPr="0052035D">
            <w:rPr>
              <w:rFonts w:ascii="Calibri" w:hAnsi="Calibri" w:cs="Calibri"/>
              <w:sz w:val="24"/>
            </w:rPr>
            <w:fldChar w:fldCharType="end"/>
          </w:r>
          <w:r w:rsidRPr="0052035D">
            <w:rPr>
              <w:rFonts w:ascii="Calibri" w:hAnsi="Calibri" w:cs="Calibri"/>
              <w:sz w:val="24"/>
            </w:rPr>
            <w:t xml:space="preserve"> di </w:t>
          </w:r>
          <w:r w:rsidRPr="0052035D">
            <w:rPr>
              <w:rFonts w:ascii="Calibri" w:hAnsi="Calibri" w:cs="Calibri"/>
              <w:sz w:val="24"/>
            </w:rPr>
            <w:fldChar w:fldCharType="begin"/>
          </w:r>
          <w:r w:rsidRPr="0052035D">
            <w:rPr>
              <w:rFonts w:ascii="Calibri" w:hAnsi="Calibri" w:cs="Calibri"/>
              <w:sz w:val="24"/>
            </w:rPr>
            <w:instrText xml:space="preserve"> NUMPAGES   \* MERGEFORMAT </w:instrText>
          </w:r>
          <w:r w:rsidRPr="0052035D">
            <w:rPr>
              <w:rFonts w:ascii="Calibri" w:hAnsi="Calibri" w:cs="Calibri"/>
              <w:sz w:val="24"/>
            </w:rPr>
            <w:fldChar w:fldCharType="separate"/>
          </w:r>
          <w:r w:rsidR="001C6F56">
            <w:rPr>
              <w:rFonts w:ascii="Calibri" w:hAnsi="Calibri" w:cs="Calibri"/>
              <w:noProof/>
              <w:sz w:val="24"/>
            </w:rPr>
            <w:t>4</w:t>
          </w:r>
          <w:r w:rsidRPr="0052035D">
            <w:rPr>
              <w:rFonts w:ascii="Calibri" w:hAnsi="Calibri" w:cs="Calibr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3F3CD95-24D6-436E-A547-99992AFBE9A2}"/>
          <w:text w:multiLine="1"/>
        </w:sdtPr>
        <w:sdtEndPr/>
        <w:sdtContent>
          <w:tc>
            <w:tcPr>
              <w:tcW w:w="5000" w:type="pct"/>
              <w:gridSpan w:val="6"/>
              <w:tcBorders>
                <w:left w:val="nil"/>
                <w:right w:val="nil"/>
              </w:tcBorders>
              <w:noWrap/>
              <w:tcMar>
                <w:top w:w="0" w:type="dxa"/>
              </w:tcMar>
              <w:vAlign w:val="bottom"/>
            </w:tcPr>
            <w:p w:rsidR="00662409" w:rsidRPr="008C03B5" w:rsidRDefault="008D110A"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FD4A2A"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790A9C"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FD4A2A"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790A9C"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FD4A2A"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790A9C"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52035D" w:rsidRDefault="00790A9C" w:rsidP="00A532F6">
          <w:pPr>
            <w:pStyle w:val="InvisibleLine"/>
            <w:spacing w:line="280" w:lineRule="exact"/>
            <w:rPr>
              <w:rFonts w:cs="Calibri"/>
              <w:b/>
              <w:sz w:val="28"/>
              <w:szCs w:val="28"/>
            </w:rPr>
          </w:pPr>
          <w:sdt>
            <w:sdtPr>
              <w:rPr>
                <w:rFonts w:cs="Calibri"/>
                <w:b/>
                <w:sz w:val="24"/>
                <w:szCs w:val="24"/>
              </w:rPr>
              <w:alias w:val="DocParam.Number"/>
              <w:id w:val="614175640"/>
              <w:dataBinding w:xpath="//Text[@id='DocParam.Number']" w:storeItemID="{D3F3CD95-24D6-436E-A547-99992AFBE9A2}"/>
              <w:text w:multiLine="1"/>
            </w:sdtPr>
            <w:sdtEndPr>
              <w:rPr>
                <w:rFonts w:cstheme="minorBidi"/>
              </w:rPr>
            </w:sdtEndPr>
            <w:sdtContent>
              <w:r w:rsidR="008D110A" w:rsidRPr="0052035D">
                <w:rPr>
                  <w:b/>
                  <w:sz w:val="24"/>
                  <w:szCs w:val="24"/>
                </w:rPr>
                <w:t>8396 R</w:t>
              </w:r>
            </w:sdtContent>
          </w:sdt>
        </w:p>
      </w:tc>
      <w:sdt>
        <w:sdtPr>
          <w:rPr>
            <w:sz w:val="24"/>
          </w:rPr>
          <w:alias w:val="DocParam.Date"/>
          <w:id w:val="-464426178"/>
          <w:dataBinding w:xpath="//DateTime[@id='DocParam.Date']" w:storeItemID="{D3F3CD95-24D6-436E-A547-99992AFBE9A2}"/>
          <w:date w:fullDate="2024-04-09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52035D" w:rsidP="00A532F6">
              <w:pPr>
                <w:pStyle w:val="Data"/>
              </w:pPr>
              <w:r>
                <w:rPr>
                  <w:sz w:val="24"/>
                </w:rPr>
                <w:t>9 aprile 2024</w:t>
              </w:r>
            </w:p>
          </w:tc>
        </w:sdtContent>
      </w:sdt>
      <w:tc>
        <w:tcPr>
          <w:tcW w:w="3218" w:type="pct"/>
          <w:gridSpan w:val="4"/>
          <w:tcBorders>
            <w:top w:val="nil"/>
            <w:left w:val="nil"/>
            <w:bottom w:val="nil"/>
            <w:right w:val="nil"/>
          </w:tcBorders>
        </w:tcPr>
        <w:p w:rsidR="008C03B5" w:rsidRPr="0052035D" w:rsidRDefault="00790A9C" w:rsidP="00A532F6">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D3F3CD95-24D6-436E-A547-99992AFBE9A2}"/>
              <w:text w:multiLine="1"/>
            </w:sdtPr>
            <w:sdtEndPr/>
            <w:sdtContent>
              <w:r w:rsidR="0052035D">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790A9C" w:rsidP="00D07D6E">
          <w:pPr>
            <w:pStyle w:val="Level"/>
            <w:ind w:left="150"/>
            <w:rPr>
              <w:rFonts w:ascii="Gill Alt One MT Light" w:hAnsi="Gill Alt One MT Light"/>
              <w:sz w:val="16"/>
              <w:szCs w:val="16"/>
            </w:rPr>
          </w:pPr>
        </w:p>
      </w:tc>
    </w:tr>
  </w:tbl>
  <w:p w:rsidR="00F657BF" w:rsidRPr="00DA2879" w:rsidRDefault="00FD4A2A"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43262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3F3CD95-24D6-436E-A547-99992AFBE9A2}"/>
                            <w:text w:multiLine="1"/>
                          </w:sdtPr>
                          <w:sdtEndPr/>
                          <w:sdtContent>
                            <w:p w:rsidR="00E93620" w:rsidRPr="00411371" w:rsidRDefault="00FD4A2A"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D015CF91-21D0-4ABD-A7ED-68B86F519F1B}"/>
                      <w:text w:multiLine="1"/>
                    </w:sdtPr>
                    <w:sdtEndPr/>
                    <w:sdtContent>
                      <w:p w:rsidR="00E93620" w:rsidRPr="00411371" w:rsidRDefault="00FD4A2A"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4D487ACA"/>
    <w:multiLevelType w:val="hybridMultilevel"/>
    <w:tmpl w:val="B15EF22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5C184954"/>
    <w:multiLevelType w:val="multilevel"/>
    <w:tmpl w:val="D340BD56"/>
    <w:lvl w:ilvl="0">
      <w:start w:val="1"/>
      <w:numFmt w:val="decimal"/>
      <w:lvlText w:val="%1."/>
      <w:lvlJc w:val="left"/>
      <w:pPr>
        <w:ind w:left="0" w:firstLine="0"/>
      </w:pPr>
    </w:lvl>
    <w:lvl w:ilvl="1">
      <w:start w:val="1"/>
      <w:numFmt w:val="lowerLetter"/>
      <w:lvlText w:val="%2."/>
      <w:lvlJc w:val="left"/>
      <w:pPr>
        <w:ind w:left="1080" w:firstLine="0"/>
      </w:pPr>
    </w:lvl>
    <w:lvl w:ilvl="2">
      <w:start w:val="1"/>
      <w:numFmt w:val="lowerRoman"/>
      <w:lvlText w:val="%3."/>
      <w:lvlJc w:val="right"/>
      <w:pPr>
        <w:ind w:left="1440" w:firstLine="0"/>
      </w:pPr>
    </w:lvl>
    <w:lvl w:ilvl="3">
      <w:start w:val="1"/>
      <w:numFmt w:val="decimal"/>
      <w:lvlText w:val="%4."/>
      <w:lvlJc w:val="left"/>
      <w:pPr>
        <w:ind w:left="1800" w:firstLine="0"/>
      </w:pPr>
    </w:lvl>
    <w:lvl w:ilvl="4">
      <w:start w:val="1"/>
      <w:numFmt w:val="lowerLetter"/>
      <w:lvlText w:val="%5."/>
      <w:lvlJc w:val="left"/>
      <w:pPr>
        <w:ind w:left="2160" w:firstLine="0"/>
      </w:pPr>
    </w:lvl>
    <w:lvl w:ilvl="5">
      <w:start w:val="1"/>
      <w:numFmt w:val="lowerRoman"/>
      <w:lvlText w:val="%6."/>
      <w:lvlJc w:val="right"/>
      <w:pPr>
        <w:ind w:left="2520" w:firstLine="0"/>
      </w:pPr>
    </w:lvl>
    <w:lvl w:ilvl="6">
      <w:start w:val="1"/>
      <w:numFmt w:val="decimal"/>
      <w:lvlText w:val="%7."/>
      <w:lvlJc w:val="left"/>
      <w:pPr>
        <w:ind w:left="2880" w:firstLine="0"/>
      </w:pPr>
    </w:lvl>
    <w:lvl w:ilvl="7">
      <w:start w:val="1"/>
      <w:numFmt w:val="lowerLetter"/>
      <w:lvlText w:val="%8."/>
      <w:lvlJc w:val="left"/>
      <w:pPr>
        <w:ind w:left="3240" w:firstLine="0"/>
      </w:pPr>
    </w:lvl>
    <w:lvl w:ilvl="8">
      <w:start w:val="1"/>
      <w:numFmt w:val="lowerRoman"/>
      <w:lvlText w:val="%9."/>
      <w:lvlJc w:val="right"/>
      <w:pPr>
        <w:ind w:left="3600" w:firstLine="0"/>
      </w:pPr>
    </w:lvl>
  </w:abstractNum>
  <w:abstractNum w:abstractNumId="19" w15:restartNumberingAfterBreak="0">
    <w:nsid w:val="70E54348"/>
    <w:multiLevelType w:val="hybridMultilevel"/>
    <w:tmpl w:val="9168B368"/>
    <w:lvl w:ilvl="0" w:tplc="118431DE">
      <w:start w:val="8396"/>
      <w:numFmt w:val="bullet"/>
      <w:lvlText w:val="-"/>
      <w:lvlJc w:val="left"/>
      <w:pPr>
        <w:ind w:left="720" w:hanging="360"/>
      </w:pPr>
      <w:rPr>
        <w:rFonts w:ascii="Arial" w:eastAsia="Arial"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8"/>
  </w:num>
  <w:num w:numId="19">
    <w:abstractNumId w:val="17"/>
  </w:num>
  <w:num w:numId="2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5D"/>
    <w:rsid w:val="00036569"/>
    <w:rsid w:val="00143A70"/>
    <w:rsid w:val="00156CC4"/>
    <w:rsid w:val="001826E6"/>
    <w:rsid w:val="001C6F56"/>
    <w:rsid w:val="002B5D9F"/>
    <w:rsid w:val="002D6F58"/>
    <w:rsid w:val="003B756D"/>
    <w:rsid w:val="00403ADB"/>
    <w:rsid w:val="00455412"/>
    <w:rsid w:val="004B7D3E"/>
    <w:rsid w:val="004C429D"/>
    <w:rsid w:val="0052035D"/>
    <w:rsid w:val="0052383C"/>
    <w:rsid w:val="00572FD3"/>
    <w:rsid w:val="005F2713"/>
    <w:rsid w:val="00750319"/>
    <w:rsid w:val="00790A9C"/>
    <w:rsid w:val="007A3834"/>
    <w:rsid w:val="008720C4"/>
    <w:rsid w:val="008D110A"/>
    <w:rsid w:val="008F52AF"/>
    <w:rsid w:val="00980703"/>
    <w:rsid w:val="009C5E5A"/>
    <w:rsid w:val="009D3AF2"/>
    <w:rsid w:val="00AF0268"/>
    <w:rsid w:val="00B13BFE"/>
    <w:rsid w:val="00B90370"/>
    <w:rsid w:val="00BC2ED3"/>
    <w:rsid w:val="00BF0A1F"/>
    <w:rsid w:val="00C1547B"/>
    <w:rsid w:val="00C20652"/>
    <w:rsid w:val="00C3060C"/>
    <w:rsid w:val="00C97462"/>
    <w:rsid w:val="00CE7E5F"/>
    <w:rsid w:val="00D12341"/>
    <w:rsid w:val="00D33940"/>
    <w:rsid w:val="00D600FD"/>
    <w:rsid w:val="00D649A8"/>
    <w:rsid w:val="00D9738B"/>
    <w:rsid w:val="00EB088A"/>
    <w:rsid w:val="00F657BF"/>
    <w:rsid w:val="00FD4A2A"/>
    <w:rsid w:val="00FE61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B4BD01-91A4-43BD-821F-3ADCA2C0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C1547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547B"/>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48d392e9-189b-4a53-98ff-4faea9a83f8d.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1866970281</Id>
      <Width>0</Width>
      <Height>0</Height>
      <XPath>//Image[@id='Profile.Org.WappenSW']</XPath>
      <ImageHash>02f1c0cdac6aeac316213b2e7cb733a0</ImageHash>
    </ImageSizeDefinition>
    <ImageSizeDefinition>
      <Id>432622470</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5 f 3 6 4 3 d e - c 2 5 d - 4 c d 0 - 8 2 9 d - a e a 3 d 4 0 2 3 7 4 0 "   t I d = " a 3 6 2 a 5 d 4 - 9 5 8 9 - 4 1 b f - a 4 e 6 - 4 f 8 7 c 4 e 4 1 2 3 9 "   i n t e r n a l T I d = " 9 0 6 4 c c 7 f - 3 1 6 d - 4 6 b 1 - a 4 a c - 7 4 8 6 0 c 3 f 8 a 5 b "   m t I d = " 2 7 5 a f 3 2 e - b c 4 0 - 4 5 c 2 - 8 5 b 7 - a f b 1 c 0 3 8 2 6 5 3 "   r e v i s i o n = " 0 "   c r e a t e d m a j o r v e r s i o n = " 0 "   c r e a t e d m i n o r v e r s i o n = " 0 "   c r e a t e d = " 2 0 2 4 - 0 4 - 2 2 T 0 9 : 2 4 : 2 9 . 9 0 8 2 7 7 3 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8 3 9 6   R   d e l   0 9   a p r i l e 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3 9 6   R   d e l   9   a p r i l e 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 2 0 2 4 - 0 4 - 0 9 T 0 0 : 0 0 : 0 0 Z < / D a t e T i m e >  
                 < T e x t   i d = " D o c P a r a m . N u m b e r " > < ! [ C D A T A [ 8 3 9 6 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3B87F6F9-F805-4A9C-B061-8B2B6CA81457}">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D3F3CD95-24D6-436E-A547-99992AFBE9A2}">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48d392e9-189b-4a53-98ff-4faea9a83f8d.dotx</Template>
  <TotalTime>22</TotalTime>
  <Pages>4</Pages>
  <Words>1255</Words>
  <Characters>7157</Characters>
  <Application>Microsoft Office Word</Application>
  <DocSecurity>0</DocSecurity>
  <Lines>59</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29</cp:revision>
  <cp:lastPrinted>2024-04-23T08:55:00Z</cp:lastPrinted>
  <dcterms:created xsi:type="dcterms:W3CDTF">2024-04-22T09:25:00Z</dcterms:created>
  <dcterms:modified xsi:type="dcterms:W3CDTF">2024-04-23T08:57:00Z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