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AF" w:rsidRPr="00BC4DBB" w:rsidRDefault="00BC4DBB" w:rsidP="00D33940">
      <w:pPr>
        <w:pStyle w:val="StandardRisoluzionedelConsigliodiStato"/>
        <w:ind w:right="-1"/>
        <w:rPr>
          <w:b/>
          <w:sz w:val="28"/>
          <w:szCs w:val="28"/>
        </w:rPr>
      </w:pPr>
      <w:r w:rsidRPr="00BC4DBB">
        <w:rPr>
          <w:b/>
          <w:sz w:val="28"/>
          <w:szCs w:val="28"/>
        </w:rPr>
        <w:t>della Commissione Costituzione e leggi</w:t>
      </w:r>
    </w:p>
    <w:p w:rsidR="00BC4DBB" w:rsidRDefault="00BC4DBB" w:rsidP="00D33940">
      <w:pPr>
        <w:pStyle w:val="StandardRisoluzionedelConsigliodiStato"/>
        <w:ind w:right="-1"/>
        <w:rPr>
          <w:b/>
          <w:sz w:val="28"/>
          <w:szCs w:val="28"/>
        </w:rPr>
      </w:pPr>
      <w:r w:rsidRPr="00BC4DBB">
        <w:rPr>
          <w:b/>
          <w:sz w:val="28"/>
          <w:szCs w:val="28"/>
        </w:rPr>
        <w:t xml:space="preserve">sul </w:t>
      </w:r>
      <w:r>
        <w:rPr>
          <w:b/>
          <w:sz w:val="28"/>
          <w:szCs w:val="28"/>
        </w:rPr>
        <w:t>messaggio</w:t>
      </w:r>
      <w:r w:rsidRPr="00BC4DBB">
        <w:rPr>
          <w:b/>
          <w:sz w:val="28"/>
          <w:szCs w:val="28"/>
        </w:rPr>
        <w:t xml:space="preserve"> 17 gennaio 2024 concernente</w:t>
      </w:r>
      <w:r>
        <w:rPr>
          <w:b/>
          <w:sz w:val="28"/>
          <w:szCs w:val="28"/>
        </w:rPr>
        <w:t xml:space="preserve"> l’a</w:t>
      </w:r>
      <w:r w:rsidRPr="00BC4DBB">
        <w:rPr>
          <w:b/>
          <w:sz w:val="28"/>
          <w:szCs w:val="28"/>
        </w:rPr>
        <w:t xml:space="preserve">ggregazione dei Comuni di Prato </w:t>
      </w:r>
      <w:proofErr w:type="spellStart"/>
      <w:r w:rsidRPr="00BC4DBB">
        <w:rPr>
          <w:b/>
          <w:sz w:val="28"/>
          <w:szCs w:val="28"/>
        </w:rPr>
        <w:t>Leventina</w:t>
      </w:r>
      <w:proofErr w:type="spellEnd"/>
      <w:r w:rsidRPr="00BC4DBB">
        <w:rPr>
          <w:b/>
          <w:sz w:val="28"/>
          <w:szCs w:val="28"/>
        </w:rPr>
        <w:t xml:space="preserve"> e Quinto in un unico Comune denominato Quinto</w:t>
      </w:r>
    </w:p>
    <w:p w:rsidR="00BC4DBB" w:rsidRPr="00BC4DBB" w:rsidRDefault="00BC4DBB" w:rsidP="00D33940">
      <w:pPr>
        <w:pStyle w:val="StandardRisoluzionedelConsigliodiStato"/>
        <w:ind w:right="-1"/>
        <w:rPr>
          <w:b/>
          <w:szCs w:val="24"/>
        </w:rPr>
      </w:pPr>
    </w:p>
    <w:p w:rsidR="00BC4DBB" w:rsidRDefault="00BC4DBB" w:rsidP="00D33940">
      <w:pPr>
        <w:pStyle w:val="StandardRisoluzionedelConsigliodiStato"/>
        <w:ind w:right="-1"/>
        <w:rPr>
          <w:b/>
          <w:szCs w:val="24"/>
        </w:rPr>
      </w:pPr>
    </w:p>
    <w:p w:rsidR="00BC4DBB" w:rsidRDefault="00BC4DBB" w:rsidP="00D33940">
      <w:pPr>
        <w:pStyle w:val="StandardRisoluzionedelConsigliodiStato"/>
        <w:ind w:right="-1"/>
        <w:rPr>
          <w:b/>
          <w:szCs w:val="24"/>
        </w:rPr>
      </w:pPr>
    </w:p>
    <w:p w:rsidR="00BC4DBB" w:rsidRPr="00BC4DBB" w:rsidRDefault="00BC4DBB" w:rsidP="00BC4DBB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1.</w:t>
      </w:r>
      <w:r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Pr="00BC4DBB">
        <w:rPr>
          <w:rFonts w:eastAsia="Calibri" w:cs="Times New Roman"/>
          <w:caps/>
          <w:sz w:val="24"/>
          <w:szCs w:val="24"/>
          <w:lang w:val="it-IT" w:eastAsia="it-IT"/>
        </w:rPr>
        <w:t>Introduzione</w:t>
      </w:r>
    </w:p>
    <w:p w:rsidR="00BC4DBB" w:rsidRPr="00BC4DBB" w:rsidRDefault="00BC4DBB" w:rsidP="00BC4DBB">
      <w:pPr>
        <w:suppressAutoHyphens/>
        <w:contextualSpacing/>
        <w:rPr>
          <w:rFonts w:asciiTheme="minorHAnsi" w:eastAsiaTheme="minorEastAsia" w:hAnsiTheme="minorHAnsi"/>
          <w:sz w:val="24"/>
          <w:szCs w:val="24"/>
          <w:lang w:eastAsia="it-IT"/>
        </w:rPr>
      </w:pPr>
      <w:r w:rsidRPr="00BC4DBB">
        <w:rPr>
          <w:rFonts w:asciiTheme="minorHAnsi" w:eastAsiaTheme="minorEastAsia" w:hAnsiTheme="minorHAnsi"/>
          <w:sz w:val="24"/>
          <w:szCs w:val="24"/>
          <w:lang w:val="it-IT" w:eastAsia="it-IT"/>
        </w:rPr>
        <w:t>L</w:t>
      </w:r>
      <w:r w:rsidRPr="00BC4DBB">
        <w:rPr>
          <w:rFonts w:asciiTheme="minorHAnsi" w:eastAsiaTheme="minorEastAsia" w:hAnsiTheme="minorHAnsi"/>
          <w:sz w:val="24"/>
          <w:szCs w:val="24"/>
          <w:lang w:eastAsia="it-IT"/>
        </w:rPr>
        <w:t xml:space="preserve">a Commissione Costituzione e </w:t>
      </w:r>
      <w:r w:rsidR="00EA112D">
        <w:rPr>
          <w:rFonts w:asciiTheme="minorHAnsi" w:eastAsiaTheme="minorEastAsia" w:hAnsiTheme="minorHAnsi"/>
          <w:sz w:val="24"/>
          <w:szCs w:val="24"/>
          <w:lang w:eastAsia="it-IT"/>
        </w:rPr>
        <w:t>l</w:t>
      </w:r>
      <w:r w:rsidRPr="00BC4DBB">
        <w:rPr>
          <w:rFonts w:asciiTheme="minorHAnsi" w:eastAsiaTheme="minorEastAsia" w:hAnsiTheme="minorHAnsi"/>
          <w:sz w:val="24"/>
          <w:szCs w:val="24"/>
          <w:lang w:eastAsia="it-IT"/>
        </w:rPr>
        <w:t xml:space="preserve">eggi aderisce alle conclusioni del </w:t>
      </w:r>
      <w:r>
        <w:rPr>
          <w:rFonts w:asciiTheme="minorHAnsi" w:eastAsiaTheme="minorEastAsia" w:hAnsiTheme="minorHAnsi"/>
          <w:sz w:val="24"/>
          <w:szCs w:val="24"/>
          <w:lang w:eastAsia="it-IT"/>
        </w:rPr>
        <w:t>messaggio</w:t>
      </w:r>
      <w:r w:rsidRPr="00BC4DBB">
        <w:rPr>
          <w:rFonts w:asciiTheme="minorHAnsi" w:eastAsiaTheme="minorEastAsia" w:hAnsiTheme="minorHAnsi"/>
          <w:sz w:val="24"/>
          <w:szCs w:val="24"/>
          <w:lang w:eastAsia="it-IT"/>
        </w:rPr>
        <w:t xml:space="preserve"> governativo n. 8394 del 13 maggio 2024 che prevede l'aggregazione dei Comuni di Prato </w:t>
      </w:r>
      <w:proofErr w:type="spellStart"/>
      <w:r w:rsidRPr="00BC4DBB">
        <w:rPr>
          <w:rFonts w:asciiTheme="minorHAnsi" w:eastAsiaTheme="minorEastAsia" w:hAnsiTheme="minorHAnsi"/>
          <w:sz w:val="24"/>
          <w:szCs w:val="24"/>
          <w:lang w:eastAsia="it-IT"/>
        </w:rPr>
        <w:t>Leventina</w:t>
      </w:r>
      <w:proofErr w:type="spellEnd"/>
      <w:r w:rsidRPr="00BC4DBB">
        <w:rPr>
          <w:rFonts w:asciiTheme="minorHAnsi" w:eastAsiaTheme="minorEastAsia" w:hAnsiTheme="minorHAnsi"/>
          <w:sz w:val="24"/>
          <w:szCs w:val="24"/>
          <w:lang w:eastAsia="it-IT"/>
        </w:rPr>
        <w:t xml:space="preserve"> e Quinto in un unico Comune denominato Quinto.</w:t>
      </w:r>
    </w:p>
    <w:p w:rsidR="00BC4DBB" w:rsidRPr="00BC4DBB" w:rsidRDefault="00BC4DBB" w:rsidP="00BC4DBB">
      <w:pPr>
        <w:suppressAutoHyphens/>
        <w:rPr>
          <w:rFonts w:asciiTheme="minorHAnsi" w:eastAsiaTheme="minorEastAsia" w:hAnsiTheme="minorHAnsi"/>
          <w:sz w:val="24"/>
          <w:szCs w:val="24"/>
          <w:lang w:eastAsia="it-IT"/>
        </w:rPr>
      </w:pPr>
    </w:p>
    <w:p w:rsidR="00BC4DBB" w:rsidRDefault="00BC4DBB" w:rsidP="00BC4DBB">
      <w:pPr>
        <w:suppressAutoHyphens/>
        <w:spacing w:after="120"/>
        <w:rPr>
          <w:sz w:val="24"/>
          <w:szCs w:val="24"/>
        </w:rPr>
      </w:pPr>
      <w:r w:rsidRPr="00BC4DBB">
        <w:rPr>
          <w:rFonts w:asciiTheme="minorHAnsi" w:eastAsiaTheme="minorEastAsia" w:hAnsiTheme="minorHAnsi"/>
          <w:sz w:val="24"/>
          <w:szCs w:val="24"/>
          <w:lang w:eastAsia="it-IT"/>
        </w:rPr>
        <w:t xml:space="preserve">Il </w:t>
      </w:r>
      <w:r>
        <w:rPr>
          <w:rFonts w:asciiTheme="minorHAnsi" w:eastAsiaTheme="minorEastAsia" w:hAnsiTheme="minorHAnsi"/>
          <w:sz w:val="24"/>
          <w:szCs w:val="24"/>
          <w:lang w:eastAsia="it-IT"/>
        </w:rPr>
        <w:t>messaggio</w:t>
      </w:r>
      <w:r w:rsidRPr="00BC4DBB">
        <w:rPr>
          <w:rFonts w:asciiTheme="minorHAnsi" w:eastAsiaTheme="minorEastAsia" w:hAnsiTheme="minorHAnsi"/>
          <w:sz w:val="24"/>
          <w:szCs w:val="24"/>
          <w:lang w:eastAsia="it-IT"/>
        </w:rPr>
        <w:t xml:space="preserve"> del Consiglio di Stato rispetta la volontà popolare espressa nella votazione consultiva il </w:t>
      </w:r>
      <w:r w:rsidRPr="00BC4DBB">
        <w:rPr>
          <w:sz w:val="24"/>
          <w:szCs w:val="24"/>
        </w:rPr>
        <w:t>26 novembre 2023. Nella tabella che segue vengono mostrati i dati delle solide maggioranze (70% di adesione al processo aggregativo) in entrambi i Comuni:</w:t>
      </w:r>
    </w:p>
    <w:p w:rsidR="00BC4DBB" w:rsidRPr="00BC4DBB" w:rsidRDefault="00BC4DBB" w:rsidP="00BC4DBB">
      <w:pPr>
        <w:suppressAutoHyphens/>
        <w:spacing w:after="120"/>
        <w:rPr>
          <w:sz w:val="24"/>
          <w:szCs w:val="24"/>
        </w:rPr>
      </w:pPr>
    </w:p>
    <w:tbl>
      <w:tblPr>
        <w:tblW w:w="945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720"/>
        <w:gridCol w:w="720"/>
        <w:gridCol w:w="720"/>
        <w:gridCol w:w="720"/>
        <w:gridCol w:w="693"/>
        <w:gridCol w:w="540"/>
        <w:gridCol w:w="540"/>
        <w:gridCol w:w="721"/>
        <w:gridCol w:w="748"/>
        <w:gridCol w:w="709"/>
        <w:gridCol w:w="708"/>
        <w:gridCol w:w="709"/>
      </w:tblGrid>
      <w:tr w:rsidR="00BC4DBB" w:rsidRPr="00BC4DBB" w:rsidTr="00160F1C">
        <w:trPr>
          <w:trHeight w:val="6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DBB" w:rsidRPr="00BC4DBB" w:rsidRDefault="00BC4DBB" w:rsidP="00BC4DBB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iscritti in catalogo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totale votanti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parteci-</w:t>
            </w:r>
            <w:proofErr w:type="spellStart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pazione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votanti per </w:t>
            </w:r>
            <w:proofErr w:type="spellStart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corr</w:t>
            </w:r>
            <w:proofErr w:type="spellEnd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% votanti x </w:t>
            </w:r>
            <w:proofErr w:type="spellStart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corr</w:t>
            </w:r>
            <w:proofErr w:type="spellEnd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bian</w:t>
            </w:r>
            <w:proofErr w:type="spellEnd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-che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nulle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schede </w:t>
            </w:r>
            <w:proofErr w:type="spellStart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compu-tabili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4DBB" w:rsidRPr="00BC4DBB" w:rsidRDefault="00BC4DBB" w:rsidP="00BC4DB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% sì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DBB" w:rsidRPr="00BC4DBB" w:rsidRDefault="00BC4DBB" w:rsidP="00BC4DB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% no</w:t>
            </w:r>
          </w:p>
        </w:tc>
      </w:tr>
      <w:tr w:rsidR="00BC4DBB" w:rsidRPr="00BC4DBB" w:rsidTr="00160F1C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 xml:space="preserve">Prato </w:t>
            </w:r>
            <w:proofErr w:type="spellStart"/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>Leventina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76%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92%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sz w:val="18"/>
                <w:szCs w:val="18"/>
              </w:rPr>
              <w:t>69.38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sz w:val="18"/>
                <w:szCs w:val="18"/>
              </w:rPr>
              <w:t>30.62</w:t>
            </w:r>
          </w:p>
        </w:tc>
      </w:tr>
      <w:tr w:rsidR="00BC4DBB" w:rsidRPr="00BC4DBB" w:rsidTr="00160F1C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>Quinto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71%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456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97%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458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sz w:val="18"/>
                <w:szCs w:val="18"/>
              </w:rPr>
              <w:t>316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sz w:val="18"/>
                <w:szCs w:val="18"/>
              </w:rPr>
              <w:t>69.00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sz w:val="18"/>
                <w:szCs w:val="18"/>
              </w:rPr>
              <w:t>31.00</w:t>
            </w:r>
          </w:p>
        </w:tc>
      </w:tr>
      <w:tr w:rsidR="00BC4DBB" w:rsidRPr="00BC4DBB" w:rsidTr="00160F1C"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72%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96%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69.12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30.88</w:t>
            </w:r>
          </w:p>
        </w:tc>
      </w:tr>
    </w:tbl>
    <w:p w:rsidR="00BC4DBB" w:rsidRDefault="00BC4DBB" w:rsidP="00BC4DBB">
      <w:pPr>
        <w:suppressAutoHyphens/>
        <w:jc w:val="left"/>
        <w:rPr>
          <w:sz w:val="24"/>
          <w:szCs w:val="24"/>
        </w:rPr>
      </w:pPr>
    </w:p>
    <w:p w:rsidR="00BC4DBB" w:rsidRPr="00BC4DBB" w:rsidRDefault="00BC4DBB" w:rsidP="00BC4DBB">
      <w:pPr>
        <w:suppressAutoHyphens/>
        <w:jc w:val="left"/>
        <w:rPr>
          <w:sz w:val="24"/>
          <w:szCs w:val="24"/>
        </w:rPr>
      </w:pPr>
    </w:p>
    <w:p w:rsidR="00BC4DBB" w:rsidRDefault="00BC4DBB" w:rsidP="00BC4DBB">
      <w:pPr>
        <w:widowControl w:val="0"/>
        <w:suppressAutoHyphens/>
        <w:spacing w:after="120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Per quanto riguarda la denominazione “Quinto” ha ottenuto maggiori consensi. La tabella seguente riporta i risultati del voto consultivo:</w:t>
      </w:r>
    </w:p>
    <w:p w:rsidR="00BC4DBB" w:rsidRPr="00BC4DBB" w:rsidRDefault="00BC4DBB" w:rsidP="00BC4DBB">
      <w:pPr>
        <w:widowControl w:val="0"/>
        <w:suppressAutoHyphens/>
        <w:spacing w:after="120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</w:p>
    <w:tbl>
      <w:tblPr>
        <w:tblW w:w="518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40"/>
        <w:gridCol w:w="540"/>
        <w:gridCol w:w="721"/>
        <w:gridCol w:w="1034"/>
        <w:gridCol w:w="1134"/>
      </w:tblGrid>
      <w:tr w:rsidR="00BC4DBB" w:rsidRPr="00BC4DBB" w:rsidTr="00160F1C">
        <w:trPr>
          <w:trHeight w:val="6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DBB" w:rsidRPr="00BC4DBB" w:rsidRDefault="00BC4DBB" w:rsidP="00BC4DBB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bian</w:t>
            </w:r>
            <w:proofErr w:type="spellEnd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-che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nulle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schede </w:t>
            </w:r>
            <w:proofErr w:type="spellStart"/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compu-tabili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>Quinto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B" w:rsidRPr="00BC4DBB" w:rsidRDefault="00BC4DBB" w:rsidP="00BC4DBB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>Quinto-Prato</w:t>
            </w:r>
          </w:p>
        </w:tc>
      </w:tr>
      <w:tr w:rsidR="00BC4DBB" w:rsidRPr="00BC4DBB" w:rsidTr="00160F1C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 xml:space="preserve">Prato </w:t>
            </w:r>
            <w:proofErr w:type="spellStart"/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>Leventina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sz w:val="18"/>
                <w:szCs w:val="18"/>
              </w:rPr>
              <w:t>159</w:t>
            </w:r>
          </w:p>
        </w:tc>
      </w:tr>
      <w:tr w:rsidR="00BC4DBB" w:rsidRPr="00BC4DBB" w:rsidTr="00160F1C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Cs/>
                <w:sz w:val="18"/>
                <w:szCs w:val="18"/>
              </w:rPr>
              <w:t>Quinto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sz w:val="16"/>
                <w:szCs w:val="16"/>
              </w:rPr>
              <w:t>428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sz w:val="18"/>
                <w:szCs w:val="18"/>
              </w:rPr>
              <w:t>131</w:t>
            </w:r>
          </w:p>
        </w:tc>
      </w:tr>
      <w:tr w:rsidR="00BC4DBB" w:rsidRPr="00BC4DBB" w:rsidTr="00160F1C"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C4DBB">
              <w:rPr>
                <w:rFonts w:ascii="Arial Narrow" w:hAnsi="Arial Narrow" w:cs="Arial"/>
                <w:b/>
                <w:bCs/>
                <w:sz w:val="16"/>
                <w:szCs w:val="16"/>
              </w:rPr>
              <w:t>618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BB" w:rsidRPr="00BC4DBB" w:rsidRDefault="00BC4DBB" w:rsidP="00BC4DBB">
            <w:pPr>
              <w:spacing w:before="120" w:after="4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C4DBB">
              <w:rPr>
                <w:rFonts w:ascii="Arial Narrow" w:hAnsi="Arial Narrow" w:cs="Arial"/>
                <w:b/>
                <w:bCs/>
                <w:sz w:val="18"/>
                <w:szCs w:val="18"/>
              </w:rPr>
              <w:t>290</w:t>
            </w:r>
          </w:p>
        </w:tc>
      </w:tr>
    </w:tbl>
    <w:p w:rsidR="00BC4DBB" w:rsidRPr="00BC4DBB" w:rsidRDefault="00BC4DBB" w:rsidP="00BC4DBB">
      <w:pPr>
        <w:widowControl w:val="0"/>
        <w:suppressAutoHyphens/>
        <w:spacing w:after="120"/>
        <w:rPr>
          <w:rFonts w:eastAsiaTheme="minorEastAsia"/>
          <w:sz w:val="24"/>
          <w:szCs w:val="24"/>
          <w:lang w:eastAsia="it-IT"/>
        </w:rPr>
      </w:pPr>
    </w:p>
    <w:p w:rsidR="00BC4DBB" w:rsidRDefault="00BC4DBB" w:rsidP="00BC4DBB">
      <w:pPr>
        <w:rPr>
          <w:sz w:val="24"/>
          <w:szCs w:val="24"/>
        </w:rPr>
      </w:pPr>
      <w:r w:rsidRPr="00BC4DBB">
        <w:rPr>
          <w:sz w:val="24"/>
          <w:szCs w:val="24"/>
        </w:rPr>
        <w:t xml:space="preserve">Le elezioni nel nuovo Comune di Quinto avranno luogo entro aprile 2025, riservate le procedure </w:t>
      </w:r>
      <w:proofErr w:type="spellStart"/>
      <w:r w:rsidRPr="00BC4DBB">
        <w:rPr>
          <w:sz w:val="24"/>
          <w:szCs w:val="24"/>
        </w:rPr>
        <w:t>ricorsuali</w:t>
      </w:r>
      <w:proofErr w:type="spellEnd"/>
      <w:r w:rsidRPr="00BC4DBB">
        <w:rPr>
          <w:sz w:val="24"/>
          <w:szCs w:val="24"/>
        </w:rPr>
        <w:t>, in data da stabilire in seguito dal Consiglio di Stato.</w:t>
      </w:r>
    </w:p>
    <w:p w:rsidR="00BC4DBB" w:rsidRDefault="00BC4DBB" w:rsidP="00BC4DBB">
      <w:pPr>
        <w:rPr>
          <w:sz w:val="24"/>
          <w:szCs w:val="24"/>
        </w:rPr>
      </w:pPr>
    </w:p>
    <w:p w:rsidR="00BC4DBB" w:rsidRDefault="00BC4D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4DBB" w:rsidRPr="00BC4DBB" w:rsidRDefault="00BC4DBB" w:rsidP="00BC4DBB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2.</w:t>
      </w:r>
      <w:r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Pr="00BC4DBB">
        <w:rPr>
          <w:rFonts w:eastAsia="Calibri" w:cs="Times New Roman"/>
          <w:caps/>
          <w:sz w:val="24"/>
          <w:szCs w:val="24"/>
          <w:lang w:val="it-IT" w:eastAsia="it-IT"/>
        </w:rPr>
        <w:t>MISURE DI SOSTEGNO CANTONALE</w:t>
      </w:r>
    </w:p>
    <w:p w:rsidR="00BC4DBB" w:rsidRPr="00BC4DBB" w:rsidRDefault="00BC4DBB" w:rsidP="00BC4DBB">
      <w:pPr>
        <w:keepNext/>
        <w:suppressAutoHyphens/>
        <w:spacing w:before="120" w:after="120"/>
        <w:jc w:val="left"/>
        <w:outlineLvl w:val="0"/>
        <w:rPr>
          <w:rFonts w:asciiTheme="minorHAnsi" w:eastAsiaTheme="minorEastAsia" w:hAnsiTheme="minorHAnsi"/>
          <w:bCs/>
          <w:sz w:val="24"/>
          <w:szCs w:val="24"/>
          <w:lang w:eastAsia="it-IT"/>
        </w:rPr>
      </w:pPr>
      <w:r w:rsidRPr="00BC4DBB">
        <w:rPr>
          <w:rFonts w:asciiTheme="minorHAnsi" w:eastAsiaTheme="minorEastAsia" w:hAnsiTheme="minorHAnsi"/>
          <w:bCs/>
          <w:sz w:val="24"/>
          <w:szCs w:val="24"/>
          <w:lang w:eastAsia="it-IT"/>
        </w:rPr>
        <w:t xml:space="preserve">Come esplicitato in maniera puntuale nel </w:t>
      </w:r>
      <w:r>
        <w:rPr>
          <w:rFonts w:asciiTheme="minorHAnsi" w:eastAsiaTheme="minorEastAsia" w:hAnsiTheme="minorHAnsi"/>
          <w:bCs/>
          <w:sz w:val="24"/>
          <w:szCs w:val="24"/>
          <w:lang w:eastAsia="it-IT"/>
        </w:rPr>
        <w:t>messaggio</w:t>
      </w:r>
      <w:r w:rsidRPr="00BC4DBB">
        <w:rPr>
          <w:rFonts w:asciiTheme="minorHAnsi" w:eastAsiaTheme="minorEastAsia" w:hAnsiTheme="minorHAnsi"/>
          <w:bCs/>
          <w:sz w:val="24"/>
          <w:szCs w:val="24"/>
          <w:lang w:eastAsia="it-IT"/>
        </w:rPr>
        <w:t>, gli aiuti cantonali ammontano a 2,2 milioni di franchi, così ripartiti:</w:t>
      </w:r>
    </w:p>
    <w:p w:rsidR="00BC4DBB" w:rsidRPr="00BC4DBB" w:rsidRDefault="00BC4DBB" w:rsidP="00BC4DBB">
      <w:pPr>
        <w:numPr>
          <w:ilvl w:val="0"/>
          <w:numId w:val="18"/>
        </w:numPr>
        <w:suppressAutoHyphens/>
        <w:spacing w:before="60"/>
        <w:ind w:left="284" w:hanging="284"/>
        <w:jc w:val="left"/>
        <w:rPr>
          <w:sz w:val="24"/>
          <w:szCs w:val="24"/>
        </w:rPr>
      </w:pPr>
      <w:r w:rsidRPr="00BC4DBB">
        <w:rPr>
          <w:sz w:val="24"/>
          <w:szCs w:val="24"/>
        </w:rPr>
        <w:t>0,2 mio per la riorganizzazione amministrativa;</w:t>
      </w:r>
    </w:p>
    <w:p w:rsidR="00BC4DBB" w:rsidRPr="00BC4DBB" w:rsidRDefault="00BC4DBB" w:rsidP="00BC4DBB">
      <w:pPr>
        <w:numPr>
          <w:ilvl w:val="0"/>
          <w:numId w:val="18"/>
        </w:numPr>
        <w:suppressAutoHyphens/>
        <w:spacing w:before="60"/>
        <w:ind w:left="284" w:hanging="284"/>
        <w:jc w:val="left"/>
        <w:rPr>
          <w:sz w:val="24"/>
          <w:szCs w:val="24"/>
        </w:rPr>
      </w:pPr>
      <w:r w:rsidRPr="00BC4DBB">
        <w:rPr>
          <w:sz w:val="24"/>
          <w:szCs w:val="24"/>
        </w:rPr>
        <w:t>1,5 mio per investimenti di sviluppo;</w:t>
      </w:r>
    </w:p>
    <w:p w:rsidR="00BC4DBB" w:rsidRPr="00BC4DBB" w:rsidRDefault="00BC4DBB" w:rsidP="00BC4DBB">
      <w:pPr>
        <w:numPr>
          <w:ilvl w:val="0"/>
          <w:numId w:val="18"/>
        </w:numPr>
        <w:suppressAutoHyphens/>
        <w:spacing w:before="60"/>
        <w:ind w:left="284" w:hanging="284"/>
        <w:rPr>
          <w:sz w:val="24"/>
          <w:szCs w:val="24"/>
        </w:rPr>
      </w:pPr>
      <w:r w:rsidRPr="00BC4DBB">
        <w:rPr>
          <w:sz w:val="24"/>
          <w:szCs w:val="24"/>
        </w:rPr>
        <w:t>un contributo complementare massimo di 0,5 mio in presenza di iniziat</w:t>
      </w:r>
      <w:r w:rsidR="00EF4149">
        <w:rPr>
          <w:sz w:val="24"/>
          <w:szCs w:val="24"/>
        </w:rPr>
        <w:t xml:space="preserve">ive di sviluppo </w:t>
      </w:r>
      <w:proofErr w:type="spellStart"/>
      <w:r w:rsidR="00EF4149">
        <w:rPr>
          <w:sz w:val="24"/>
          <w:szCs w:val="24"/>
        </w:rPr>
        <w:t xml:space="preserve">particolarmente </w:t>
      </w:r>
      <w:r w:rsidRPr="00BC4DBB">
        <w:rPr>
          <w:sz w:val="24"/>
          <w:szCs w:val="24"/>
        </w:rPr>
        <w:t>significative</w:t>
      </w:r>
      <w:proofErr w:type="spellEnd"/>
      <w:r w:rsidRPr="00BC4DBB">
        <w:rPr>
          <w:sz w:val="24"/>
          <w:szCs w:val="24"/>
        </w:rPr>
        <w:t xml:space="preserve"> dal profilo dello sviluppo socio-economico e territoriale, che andranno preventivamente condivise con i servizi competenti secondo la relativa politica settoriale e approvate dal Consiglio di Stato. </w:t>
      </w:r>
    </w:p>
    <w:p w:rsidR="00BC4DBB" w:rsidRPr="00BC4DBB" w:rsidRDefault="00BC4DBB" w:rsidP="00BC4DBB">
      <w:pPr>
        <w:contextualSpacing/>
        <w:rPr>
          <w:sz w:val="24"/>
          <w:szCs w:val="24"/>
        </w:rPr>
      </w:pPr>
    </w:p>
    <w:p w:rsidR="00BC4DBB" w:rsidRPr="00BC4DBB" w:rsidRDefault="00BC4DBB" w:rsidP="00BC4DBB">
      <w:pPr>
        <w:contextualSpacing/>
        <w:rPr>
          <w:sz w:val="24"/>
          <w:szCs w:val="24"/>
        </w:rPr>
      </w:pPr>
      <w:r w:rsidRPr="00BC4DBB">
        <w:rPr>
          <w:sz w:val="24"/>
          <w:szCs w:val="24"/>
        </w:rPr>
        <w:t xml:space="preserve">Per l’ultimo contributo vi è un termine di 4 anni con possibilità di proroga giustificata al Governo. </w:t>
      </w:r>
      <w:r w:rsidRPr="00BC4DBB">
        <w:rPr>
          <w:rFonts w:asciiTheme="minorHAnsi" w:eastAsiaTheme="minorEastAsia" w:hAnsiTheme="minorHAnsi"/>
          <w:sz w:val="24"/>
          <w:szCs w:val="24"/>
          <w:lang w:val="it-IT" w:eastAsia="it-IT"/>
        </w:rPr>
        <w:t xml:space="preserve">L’importo complessivo di 1.7 milioni di franchi per contributi a riorganizzazione e investimenti andrà in deduzione del credito quadro di 73.8 milioni di franchi richiesto con il </w:t>
      </w:r>
      <w:r>
        <w:rPr>
          <w:rFonts w:asciiTheme="minorHAnsi" w:eastAsiaTheme="minorEastAsia" w:hAnsiTheme="minorHAnsi"/>
          <w:sz w:val="24"/>
          <w:szCs w:val="24"/>
          <w:lang w:val="it-IT" w:eastAsia="it-IT"/>
        </w:rPr>
        <w:t>messaggio</w:t>
      </w:r>
      <w:r w:rsidRPr="00BC4DBB">
        <w:rPr>
          <w:rFonts w:asciiTheme="minorHAnsi" w:eastAsiaTheme="minorEastAsia" w:hAnsiTheme="minorHAnsi"/>
          <w:sz w:val="24"/>
          <w:szCs w:val="24"/>
          <w:lang w:val="it-IT" w:eastAsia="it-IT"/>
        </w:rPr>
        <w:t xml:space="preserve"> n. 7606 riguardante l’approvazione del Piano cantonale delle aggregazioni (PCA). Per l’importo di 0.5 milioni verrà invece caricato secondo la politica settoriale dell’aiuto e inserito nella relativa pianificazione.</w:t>
      </w:r>
    </w:p>
    <w:p w:rsidR="00BC4DBB" w:rsidRDefault="00BC4DBB" w:rsidP="00BC4DBB">
      <w:pPr>
        <w:rPr>
          <w:lang w:val="it-IT" w:eastAsia="it-IT"/>
        </w:rPr>
      </w:pPr>
    </w:p>
    <w:p w:rsidR="00BC4DBB" w:rsidRPr="00BC4DBB" w:rsidRDefault="00BC4DBB" w:rsidP="00BC4DBB">
      <w:pPr>
        <w:rPr>
          <w:lang w:val="it-IT" w:eastAsia="it-IT"/>
        </w:rPr>
      </w:pPr>
    </w:p>
    <w:p w:rsidR="00BC4DBB" w:rsidRPr="00BC4DBB" w:rsidRDefault="00BC4DBB" w:rsidP="00BC4DBB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3.</w:t>
      </w:r>
      <w:r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Pr="00BC4DBB">
        <w:rPr>
          <w:rFonts w:eastAsia="Calibri" w:cs="Times New Roman"/>
          <w:caps/>
          <w:sz w:val="24"/>
          <w:szCs w:val="24"/>
          <w:lang w:val="it-IT" w:eastAsia="it-IT"/>
        </w:rPr>
        <w:t>ISTORIATO AGGREGAZIONE</w:t>
      </w:r>
    </w:p>
    <w:p w:rsidR="00BC4DBB" w:rsidRPr="00BC4DBB" w:rsidRDefault="00BC4DBB" w:rsidP="00BC4DBB">
      <w:pPr>
        <w:widowControl w:val="0"/>
        <w:suppressAutoHyphens/>
        <w:spacing w:after="240"/>
        <w:rPr>
          <w:rFonts w:eastAsiaTheme="minorEastAsia"/>
          <w:sz w:val="24"/>
          <w:szCs w:val="24"/>
          <w:lang w:eastAsia="it-IT"/>
        </w:rPr>
      </w:pPr>
      <w:r w:rsidRPr="00BC4DBB">
        <w:rPr>
          <w:rFonts w:eastAsiaTheme="minorEastAsia"/>
          <w:sz w:val="24"/>
          <w:szCs w:val="24"/>
          <w:lang w:eastAsia="it-IT"/>
        </w:rPr>
        <w:t xml:space="preserve">Dopo aver abbandonato la procedura aggregativa tra i Comuni di Quinto e Airolo iniziata nel 2009, ritenuta non più attuale da entrambi gli esecutivi comunali, il legislativo di Prato </w:t>
      </w:r>
      <w:proofErr w:type="spellStart"/>
      <w:r w:rsidRPr="00BC4DBB">
        <w:rPr>
          <w:rFonts w:eastAsiaTheme="minorEastAsia"/>
          <w:sz w:val="24"/>
          <w:szCs w:val="24"/>
          <w:lang w:eastAsia="it-IT"/>
        </w:rPr>
        <w:t>Leventina</w:t>
      </w:r>
      <w:proofErr w:type="spellEnd"/>
      <w:r w:rsidRPr="00BC4DBB">
        <w:rPr>
          <w:rFonts w:eastAsiaTheme="minorEastAsia"/>
          <w:sz w:val="24"/>
          <w:szCs w:val="24"/>
          <w:lang w:eastAsia="it-IT"/>
        </w:rPr>
        <w:t xml:space="preserve"> ha invitato il proprio esecutivo ad approfondire un’aggregazione il 20 dicembre 2021.</w:t>
      </w:r>
    </w:p>
    <w:p w:rsidR="00BC4DBB" w:rsidRPr="00BC4DBB" w:rsidRDefault="00BC4DBB" w:rsidP="00BC4DBB">
      <w:pPr>
        <w:widowControl w:val="0"/>
        <w:suppressAutoHyphens/>
        <w:spacing w:after="240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 xml:space="preserve">Il Municipio di Prato </w:t>
      </w:r>
      <w:proofErr w:type="spellStart"/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Leventina</w:t>
      </w:r>
      <w:proofErr w:type="spellEnd"/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 xml:space="preserve"> ha quindi interpellato gli altri esecutivi dell’Alta </w:t>
      </w:r>
      <w:proofErr w:type="spellStart"/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Leventina</w:t>
      </w:r>
      <w:proofErr w:type="spellEnd"/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 xml:space="preserve"> in merito al loro interesse ad avviare un progetto aggregativo nel comprensorio, con riscontro positivo da parte del Municipio di Quinto. In data 31 maggio 2022 i due municipi hanno trasmesso istanza di aggregazione al Governo.</w:t>
      </w:r>
    </w:p>
    <w:p w:rsidR="00BC4DBB" w:rsidRPr="00BC4DBB" w:rsidRDefault="00BC4DBB" w:rsidP="00BC4DBB">
      <w:pPr>
        <w:tabs>
          <w:tab w:val="left" w:pos="2268"/>
        </w:tabs>
        <w:suppressAutoHyphens/>
        <w:rPr>
          <w:rFonts w:cs="Arial"/>
          <w:sz w:val="24"/>
          <w:szCs w:val="24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 xml:space="preserve">Il Consiglio di Stato ha istituito una Commissione di studio </w:t>
      </w:r>
      <w:r w:rsidRPr="00BC4DBB">
        <w:rPr>
          <w:rFonts w:cs="Arial"/>
          <w:sz w:val="24"/>
          <w:szCs w:val="24"/>
        </w:rPr>
        <w:t xml:space="preserve">al fine di formulare una proposta di aggregazione tra i due Comuni coinvolti. La commissione composta dai rispettivi sindaci (Aris Tenconi, sindaco di Quinto e Davide Gendotti, sindaco di Prato </w:t>
      </w:r>
      <w:proofErr w:type="spellStart"/>
      <w:r w:rsidRPr="00BC4DBB">
        <w:rPr>
          <w:rFonts w:cs="Arial"/>
          <w:sz w:val="24"/>
          <w:szCs w:val="24"/>
        </w:rPr>
        <w:t>Leventina</w:t>
      </w:r>
      <w:proofErr w:type="spellEnd"/>
      <w:r w:rsidRPr="00BC4DBB">
        <w:rPr>
          <w:rFonts w:cs="Arial"/>
          <w:sz w:val="24"/>
          <w:szCs w:val="24"/>
        </w:rPr>
        <w:t xml:space="preserve">), dai presidenti delle commissioni della gestione ( Enzo Celio, presidente commissione gestione Prato </w:t>
      </w:r>
      <w:proofErr w:type="spellStart"/>
      <w:r w:rsidRPr="00BC4DBB">
        <w:rPr>
          <w:rFonts w:cs="Arial"/>
          <w:sz w:val="24"/>
          <w:szCs w:val="24"/>
        </w:rPr>
        <w:t>Leventina</w:t>
      </w:r>
      <w:proofErr w:type="spellEnd"/>
      <w:r w:rsidRPr="00BC4DBB">
        <w:rPr>
          <w:rFonts w:cs="Arial"/>
          <w:sz w:val="24"/>
          <w:szCs w:val="24"/>
        </w:rPr>
        <w:t xml:space="preserve"> e Curzio Guscetti, presidente commissione gestione Quinto) e dai segretari comunali (Maria Rita </w:t>
      </w:r>
      <w:proofErr w:type="spellStart"/>
      <w:r w:rsidRPr="00BC4DBB">
        <w:rPr>
          <w:rFonts w:cs="Arial"/>
          <w:sz w:val="24"/>
          <w:szCs w:val="24"/>
        </w:rPr>
        <w:t>Fransioli</w:t>
      </w:r>
      <w:proofErr w:type="spellEnd"/>
      <w:r w:rsidRPr="00BC4DBB">
        <w:rPr>
          <w:rFonts w:cs="Arial"/>
          <w:sz w:val="24"/>
          <w:szCs w:val="24"/>
        </w:rPr>
        <w:t xml:space="preserve"> segretaria comunale di Prato </w:t>
      </w:r>
      <w:proofErr w:type="spellStart"/>
      <w:r w:rsidRPr="00BC4DBB">
        <w:rPr>
          <w:rFonts w:cs="Arial"/>
          <w:sz w:val="24"/>
          <w:szCs w:val="24"/>
        </w:rPr>
        <w:t>Leventina</w:t>
      </w:r>
      <w:proofErr w:type="spellEnd"/>
      <w:r w:rsidRPr="00BC4DBB">
        <w:rPr>
          <w:rFonts w:cs="Arial"/>
          <w:sz w:val="24"/>
          <w:szCs w:val="24"/>
        </w:rPr>
        <w:t xml:space="preserve"> e Nicola Petrini segretario comunale di Quinto), ha lavorato con regolarità accompagnata dal proprio consulente (la ditta BDO) e coinvolgendo anche la popolazione. </w:t>
      </w:r>
    </w:p>
    <w:p w:rsidR="00BC4DBB" w:rsidRPr="00BC4DBB" w:rsidRDefault="00BC4DBB" w:rsidP="00BC4DBB">
      <w:pPr>
        <w:tabs>
          <w:tab w:val="left" w:pos="2268"/>
        </w:tabs>
        <w:suppressAutoHyphens/>
        <w:rPr>
          <w:rFonts w:cs="Arial"/>
          <w:sz w:val="24"/>
          <w:szCs w:val="24"/>
        </w:rPr>
      </w:pPr>
    </w:p>
    <w:p w:rsidR="00BC4DBB" w:rsidRPr="00BC4DBB" w:rsidRDefault="00BC4DBB" w:rsidP="00BC4DBB">
      <w:pPr>
        <w:suppressAutoHyphens/>
        <w:spacing w:after="60"/>
        <w:rPr>
          <w:rFonts w:cs="Arial"/>
          <w:sz w:val="24"/>
        </w:rPr>
      </w:pPr>
      <w:r w:rsidRPr="00BC4DBB">
        <w:rPr>
          <w:rFonts w:cs="Arial"/>
          <w:sz w:val="24"/>
          <w:szCs w:val="24"/>
        </w:rPr>
        <w:t xml:space="preserve">Il rapporto finale della Commissione è stato accolto dai due rispettivi legislativi, seppure in strettissima misura dal Consiglio comunale di Quinto. </w:t>
      </w:r>
      <w:r w:rsidRPr="00BC4DBB">
        <w:rPr>
          <w:rFonts w:cs="Arial"/>
          <w:sz w:val="24"/>
        </w:rPr>
        <w:t>L’esito è infatti stato il seguente:</w:t>
      </w:r>
    </w:p>
    <w:p w:rsidR="00BC4DBB" w:rsidRPr="00BC4DBB" w:rsidRDefault="00BC4DBB" w:rsidP="00BC4DBB">
      <w:pPr>
        <w:numPr>
          <w:ilvl w:val="0"/>
          <w:numId w:val="19"/>
        </w:numPr>
        <w:tabs>
          <w:tab w:val="left" w:pos="4253"/>
          <w:tab w:val="left" w:pos="5670"/>
        </w:tabs>
        <w:suppressAutoHyphens/>
        <w:spacing w:before="120"/>
        <w:ind w:left="284" w:hanging="284"/>
        <w:rPr>
          <w:rFonts w:cs="Arial"/>
          <w:sz w:val="24"/>
        </w:rPr>
      </w:pPr>
      <w:r w:rsidRPr="00BC4DBB">
        <w:rPr>
          <w:rFonts w:cs="Arial"/>
          <w:sz w:val="24"/>
        </w:rPr>
        <w:t xml:space="preserve">Consiglio comunale di Prato </w:t>
      </w:r>
      <w:proofErr w:type="spellStart"/>
      <w:r w:rsidRPr="00BC4DBB">
        <w:rPr>
          <w:rFonts w:cs="Arial"/>
          <w:sz w:val="24"/>
        </w:rPr>
        <w:t>Leventina</w:t>
      </w:r>
      <w:proofErr w:type="spellEnd"/>
      <w:r w:rsidRPr="00BC4DBB">
        <w:rPr>
          <w:rFonts w:cs="Arial"/>
          <w:sz w:val="24"/>
        </w:rPr>
        <w:t>: favorevole (12 favorevoli, 0 contrari, 1 astenuto);</w:t>
      </w:r>
    </w:p>
    <w:p w:rsidR="00BC4DBB" w:rsidRPr="00BC4DBB" w:rsidRDefault="00BC4DBB" w:rsidP="00BC4DBB">
      <w:pPr>
        <w:numPr>
          <w:ilvl w:val="0"/>
          <w:numId w:val="19"/>
        </w:numPr>
        <w:tabs>
          <w:tab w:val="left" w:pos="4253"/>
          <w:tab w:val="left" w:pos="5670"/>
        </w:tabs>
        <w:suppressAutoHyphens/>
        <w:spacing w:before="120"/>
        <w:ind w:left="284" w:hanging="284"/>
        <w:rPr>
          <w:rFonts w:cs="Arial"/>
          <w:sz w:val="24"/>
        </w:rPr>
      </w:pPr>
      <w:r w:rsidRPr="00BC4DBB">
        <w:rPr>
          <w:rFonts w:cs="Arial"/>
          <w:sz w:val="24"/>
        </w:rPr>
        <w:t>Consiglio comunale di Quinto: favorevole (9 favorevoli, 8 contrari, 0 astenuti).</w:t>
      </w:r>
    </w:p>
    <w:p w:rsidR="00BC4DBB" w:rsidRPr="00BC4DBB" w:rsidRDefault="00BC4DBB" w:rsidP="00BC4DBB">
      <w:pPr>
        <w:tabs>
          <w:tab w:val="left" w:pos="4253"/>
          <w:tab w:val="left" w:pos="5670"/>
        </w:tabs>
        <w:rPr>
          <w:rFonts w:cs="Arial"/>
          <w:sz w:val="24"/>
        </w:rPr>
      </w:pPr>
    </w:p>
    <w:p w:rsidR="00BC4DBB" w:rsidRPr="00BC4DBB" w:rsidRDefault="00BC4DBB" w:rsidP="00BC4DBB">
      <w:pPr>
        <w:tabs>
          <w:tab w:val="left" w:pos="142"/>
        </w:tabs>
        <w:suppressAutoHyphens/>
        <w:rPr>
          <w:rFonts w:cs="Arial"/>
          <w:sz w:val="24"/>
          <w:lang w:val="it-IT"/>
        </w:rPr>
      </w:pPr>
      <w:r w:rsidRPr="00BC4DBB">
        <w:rPr>
          <w:rFonts w:cs="Arial"/>
          <w:sz w:val="24"/>
        </w:rPr>
        <w:t xml:space="preserve">Su richiesta del Consiglio comunale di Prato </w:t>
      </w:r>
      <w:proofErr w:type="spellStart"/>
      <w:r w:rsidRPr="00BC4DBB">
        <w:rPr>
          <w:rFonts w:cs="Arial"/>
          <w:sz w:val="24"/>
        </w:rPr>
        <w:t>Leventina</w:t>
      </w:r>
      <w:proofErr w:type="spellEnd"/>
      <w:r w:rsidRPr="00BC4DBB">
        <w:rPr>
          <w:rFonts w:cs="Arial"/>
          <w:sz w:val="24"/>
        </w:rPr>
        <w:t xml:space="preserve"> sono state messi in consultazione pure le opzioni di denominazione del nuovo futuro Comune aggregato. Ha visto in definitiva prevalere Quinto come denominazione definitiva, in quanto </w:t>
      </w: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ritenuta maggiormente rappresentativa dal profilo storico e economico-sociale.</w:t>
      </w:r>
    </w:p>
    <w:p w:rsidR="00BC4DBB" w:rsidRPr="00BC4DBB" w:rsidRDefault="00BC4DBB" w:rsidP="00BC4DBB">
      <w:pPr>
        <w:keepNext/>
        <w:suppressAutoHyphens/>
        <w:spacing w:after="120"/>
        <w:jc w:val="left"/>
        <w:outlineLvl w:val="0"/>
        <w:rPr>
          <w:rFonts w:asciiTheme="minorHAnsi" w:eastAsiaTheme="minorEastAsia" w:hAnsiTheme="minorHAnsi"/>
          <w:b/>
          <w:sz w:val="24"/>
          <w:szCs w:val="24"/>
          <w:lang w:eastAsia="it-IT"/>
        </w:rPr>
      </w:pPr>
      <w:r>
        <w:rPr>
          <w:rFonts w:asciiTheme="minorHAnsi" w:eastAsiaTheme="minorEastAsia" w:hAnsiTheme="minorHAnsi"/>
          <w:b/>
          <w:sz w:val="24"/>
          <w:szCs w:val="24"/>
          <w:lang w:eastAsia="it-IT"/>
        </w:rPr>
        <w:lastRenderedPageBreak/>
        <w:t>4.</w:t>
      </w:r>
      <w:r>
        <w:rPr>
          <w:rFonts w:asciiTheme="minorHAnsi" w:eastAsiaTheme="minorEastAsia" w:hAnsiTheme="minorHAnsi"/>
          <w:b/>
          <w:sz w:val="24"/>
          <w:szCs w:val="24"/>
          <w:lang w:eastAsia="it-IT"/>
        </w:rPr>
        <w:tab/>
      </w:r>
      <w:r w:rsidRPr="00BC4DBB">
        <w:rPr>
          <w:rFonts w:asciiTheme="minorHAnsi" w:eastAsiaTheme="minorEastAsia" w:hAnsiTheme="minorHAnsi"/>
          <w:b/>
          <w:sz w:val="24"/>
          <w:szCs w:val="24"/>
          <w:lang w:eastAsia="it-IT"/>
        </w:rPr>
        <w:t>ELEMENTI QUALIFICANTI DEL NUOVO COMUNE</w:t>
      </w:r>
    </w:p>
    <w:p w:rsidR="00BC4DBB" w:rsidRPr="00BC4DBB" w:rsidRDefault="00BC4DBB" w:rsidP="00BC4DBB">
      <w:pPr>
        <w:tabs>
          <w:tab w:val="left" w:pos="284"/>
          <w:tab w:val="left" w:pos="3686"/>
        </w:tabs>
        <w:suppressAutoHyphens/>
        <w:spacing w:after="80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- Nome</w:t>
      </w: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ab/>
        <w:t>Quinto</w:t>
      </w:r>
    </w:p>
    <w:p w:rsidR="00BC4DBB" w:rsidRPr="00BC4DBB" w:rsidRDefault="00BC4DBB" w:rsidP="00BC4DBB">
      <w:pPr>
        <w:tabs>
          <w:tab w:val="left" w:pos="284"/>
          <w:tab w:val="left" w:pos="3686"/>
        </w:tabs>
        <w:suppressAutoHyphens/>
        <w:spacing w:after="80"/>
        <w:rPr>
          <w:rFonts w:asciiTheme="minorHAnsi" w:eastAsiaTheme="minorEastAsia" w:hAnsiTheme="minorHAnsi" w:cs="Arial"/>
          <w:sz w:val="24"/>
          <w:szCs w:val="24"/>
          <w:vertAlign w:val="superscript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- Superficie</w:t>
      </w: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ab/>
        <w:t>92 km</w:t>
      </w:r>
      <w:r w:rsidRPr="00BC4DBB">
        <w:rPr>
          <w:rFonts w:asciiTheme="minorHAnsi" w:eastAsiaTheme="minorEastAsia" w:hAnsiTheme="minorHAnsi" w:cs="Arial"/>
          <w:sz w:val="24"/>
          <w:szCs w:val="24"/>
          <w:vertAlign w:val="superscript"/>
          <w:lang w:val="it-IT" w:eastAsia="it-IT"/>
        </w:rPr>
        <w:t>2</w:t>
      </w:r>
    </w:p>
    <w:p w:rsidR="00BC4DBB" w:rsidRPr="00BC4DBB" w:rsidRDefault="00BC4DBB" w:rsidP="00BC4DBB">
      <w:pPr>
        <w:tabs>
          <w:tab w:val="left" w:pos="284"/>
          <w:tab w:val="left" w:pos="3686"/>
        </w:tabs>
        <w:suppressAutoHyphens/>
        <w:spacing w:after="80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- Popolazione (2022)</w:t>
      </w: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ab/>
        <w:t>1’332 abitanti</w:t>
      </w:r>
    </w:p>
    <w:p w:rsidR="00BC4DBB" w:rsidRPr="00BC4DBB" w:rsidRDefault="00BC4DBB" w:rsidP="00BC4DBB">
      <w:pPr>
        <w:tabs>
          <w:tab w:val="left" w:pos="284"/>
          <w:tab w:val="left" w:pos="3686"/>
        </w:tabs>
        <w:suppressAutoHyphens/>
        <w:spacing w:after="80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- Addetti (2021)</w:t>
      </w: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ab/>
        <w:t>836 (a tempo pieno e parziale)</w:t>
      </w:r>
    </w:p>
    <w:p w:rsidR="00BC4DBB" w:rsidRPr="00BC4DBB" w:rsidRDefault="00BC4DBB" w:rsidP="00BC4DBB">
      <w:pPr>
        <w:tabs>
          <w:tab w:val="left" w:pos="284"/>
          <w:tab w:val="left" w:pos="3686"/>
        </w:tabs>
        <w:suppressAutoHyphens/>
        <w:spacing w:after="80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- Moltiplicatore politico iniziale</w:t>
      </w: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ab/>
        <w:t>90</w:t>
      </w:r>
    </w:p>
    <w:p w:rsidR="00BC4DBB" w:rsidRPr="00BC4DBB" w:rsidRDefault="00BC4DBB" w:rsidP="00BC4DBB">
      <w:pPr>
        <w:tabs>
          <w:tab w:val="left" w:pos="284"/>
          <w:tab w:val="left" w:pos="3686"/>
        </w:tabs>
        <w:suppressAutoHyphens/>
        <w:spacing w:after="80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- Municipio</w:t>
      </w: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ab/>
        <w:t>5 membri</w:t>
      </w:r>
    </w:p>
    <w:p w:rsidR="00BC4DBB" w:rsidRPr="00BC4DBB" w:rsidRDefault="00BC4DBB" w:rsidP="00BC4DBB">
      <w:pPr>
        <w:tabs>
          <w:tab w:val="left" w:pos="284"/>
          <w:tab w:val="left" w:pos="3686"/>
        </w:tabs>
        <w:suppressAutoHyphens/>
        <w:spacing w:after="80"/>
        <w:ind w:left="3686" w:hanging="3686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- Consiglio comunale</w:t>
      </w: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ab/>
        <w:t>21 membri, con possibilità di istituire 2 circondari elettorali</w:t>
      </w:r>
    </w:p>
    <w:p w:rsidR="00BC4DBB" w:rsidRPr="00BC4DBB" w:rsidRDefault="00BC4DBB" w:rsidP="00BC4DBB">
      <w:pPr>
        <w:tabs>
          <w:tab w:val="left" w:pos="284"/>
          <w:tab w:val="left" w:pos="3686"/>
        </w:tabs>
        <w:suppressAutoHyphens/>
        <w:spacing w:after="80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- Commissioni                                 3 commissioni permanenti ognuna di 5 membri</w:t>
      </w:r>
    </w:p>
    <w:p w:rsidR="00BC4DBB" w:rsidRPr="00BC4DBB" w:rsidRDefault="00BC4DBB" w:rsidP="00BC4DBB">
      <w:pPr>
        <w:tabs>
          <w:tab w:val="left" w:pos="284"/>
          <w:tab w:val="left" w:pos="3686"/>
        </w:tabs>
        <w:suppressAutoHyphens/>
        <w:spacing w:after="80"/>
        <w:ind w:left="3686" w:hanging="3686"/>
        <w:rPr>
          <w:rFonts w:asciiTheme="minorHAnsi" w:eastAsiaTheme="minorEastAsia" w:hAnsiTheme="minorHAnsi" w:cs="Arial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>- Organi consultivi</w:t>
      </w:r>
      <w:r w:rsidRPr="00BC4DBB">
        <w:rPr>
          <w:rFonts w:asciiTheme="minorHAnsi" w:eastAsiaTheme="minorEastAsia" w:hAnsiTheme="minorHAnsi" w:cs="Arial"/>
          <w:sz w:val="24"/>
          <w:szCs w:val="24"/>
          <w:lang w:val="it-IT" w:eastAsia="it-IT"/>
        </w:rPr>
        <w:tab/>
        <w:t>La Commissione dopo valutazione ha deciso di rinunciarvi in quanto ci sono sufficienti condizioni di vicinanza tra istituzione e popolazione.</w:t>
      </w:r>
    </w:p>
    <w:p w:rsidR="00BC4DBB" w:rsidRPr="00BC4DBB" w:rsidRDefault="00BC4DBB" w:rsidP="00BC4DBB">
      <w:pPr>
        <w:tabs>
          <w:tab w:val="left" w:pos="142"/>
        </w:tabs>
        <w:suppressAutoHyphens/>
        <w:ind w:left="142" w:hanging="142"/>
        <w:rPr>
          <w:rFonts w:cs="Arial"/>
          <w:sz w:val="24"/>
          <w:lang w:val="it-IT"/>
        </w:rPr>
      </w:pPr>
    </w:p>
    <w:p w:rsidR="00BC4DBB" w:rsidRPr="00BC4DBB" w:rsidRDefault="00BC4DBB" w:rsidP="00BC4DBB">
      <w:pPr>
        <w:tabs>
          <w:tab w:val="left" w:pos="0"/>
        </w:tabs>
        <w:suppressAutoHyphens/>
        <w:rPr>
          <w:rFonts w:cs="Arial"/>
          <w:sz w:val="24"/>
        </w:rPr>
      </w:pPr>
      <w:r w:rsidRPr="00BC4DBB">
        <w:rPr>
          <w:rFonts w:cs="Arial"/>
          <w:sz w:val="24"/>
          <w:lang w:val="it-IT"/>
        </w:rPr>
        <w:t>Il</w:t>
      </w:r>
      <w:r w:rsidRPr="00BC4DBB">
        <w:rPr>
          <w:rFonts w:cs="Arial"/>
          <w:sz w:val="24"/>
        </w:rPr>
        <w:t xml:space="preserve"> progetto si propone di costruire una </w:t>
      </w:r>
      <w:r w:rsidRPr="00BC4DBB">
        <w:rPr>
          <w:rFonts w:cs="Arial"/>
          <w:b/>
          <w:bCs/>
          <w:sz w:val="24"/>
        </w:rPr>
        <w:t>realtà attrattiva per residenza e attività economiche</w:t>
      </w:r>
      <w:r w:rsidRPr="00BC4DBB">
        <w:rPr>
          <w:rFonts w:cs="Arial"/>
          <w:sz w:val="24"/>
        </w:rPr>
        <w:t>, che possa contribuire a invertire la tendenza allo spopolamento e favorire</w:t>
      </w:r>
    </w:p>
    <w:p w:rsidR="00BC4DBB" w:rsidRPr="00BC4DBB" w:rsidRDefault="00BC4DBB" w:rsidP="00BC4DBB">
      <w:pPr>
        <w:tabs>
          <w:tab w:val="left" w:pos="0"/>
        </w:tabs>
        <w:suppressAutoHyphens/>
        <w:rPr>
          <w:rFonts w:cs="Arial"/>
          <w:sz w:val="24"/>
        </w:rPr>
      </w:pPr>
      <w:r w:rsidRPr="00BC4DBB">
        <w:rPr>
          <w:rFonts w:cs="Arial"/>
          <w:sz w:val="24"/>
        </w:rPr>
        <w:t>lo sviluppo delle potenzialità locali. Le aree chiave attorno alle quali impostare l’azione</w:t>
      </w:r>
    </w:p>
    <w:p w:rsidR="00BC4DBB" w:rsidRPr="00BC4DBB" w:rsidRDefault="00BC4DBB" w:rsidP="00BC4DBB">
      <w:pPr>
        <w:tabs>
          <w:tab w:val="left" w:pos="0"/>
        </w:tabs>
        <w:suppressAutoHyphens/>
        <w:spacing w:after="120"/>
        <w:rPr>
          <w:rFonts w:cs="Arial"/>
          <w:sz w:val="24"/>
        </w:rPr>
      </w:pPr>
      <w:r w:rsidRPr="00BC4DBB">
        <w:rPr>
          <w:rFonts w:cs="Arial"/>
          <w:sz w:val="24"/>
        </w:rPr>
        <w:t>sono state identificate in tre ambiti:</w:t>
      </w:r>
    </w:p>
    <w:p w:rsidR="00BC4DBB" w:rsidRPr="00BC4DBB" w:rsidRDefault="00BC4DBB" w:rsidP="00BC4DBB">
      <w:pPr>
        <w:numPr>
          <w:ilvl w:val="0"/>
          <w:numId w:val="20"/>
        </w:numPr>
        <w:tabs>
          <w:tab w:val="left" w:pos="284"/>
        </w:tabs>
        <w:suppressAutoHyphens/>
        <w:spacing w:before="120"/>
        <w:ind w:left="284" w:hanging="284"/>
        <w:jc w:val="left"/>
        <w:rPr>
          <w:rFonts w:cs="Arial"/>
          <w:sz w:val="24"/>
        </w:rPr>
      </w:pPr>
      <w:r w:rsidRPr="00BC4DBB">
        <w:rPr>
          <w:rFonts w:cs="Arial"/>
          <w:b/>
          <w:bCs/>
          <w:sz w:val="24"/>
        </w:rPr>
        <w:t>territorio</w:t>
      </w:r>
      <w:r w:rsidRPr="00BC4DBB">
        <w:rPr>
          <w:rFonts w:cs="Arial"/>
          <w:sz w:val="24"/>
        </w:rPr>
        <w:t>: promozione e tutela del ricco e vasto patrimonio naturalistico e paesaggistico del comprensorio e valorizzazione delle risorse rinnovabili locali;</w:t>
      </w:r>
    </w:p>
    <w:p w:rsidR="00BC4DBB" w:rsidRPr="00BC4DBB" w:rsidRDefault="00BC4DBB" w:rsidP="00BC4DBB">
      <w:pPr>
        <w:numPr>
          <w:ilvl w:val="0"/>
          <w:numId w:val="20"/>
        </w:numPr>
        <w:tabs>
          <w:tab w:val="left" w:pos="284"/>
        </w:tabs>
        <w:suppressAutoHyphens/>
        <w:spacing w:before="120"/>
        <w:ind w:left="284" w:hanging="284"/>
        <w:jc w:val="left"/>
        <w:rPr>
          <w:rFonts w:cs="Arial"/>
          <w:sz w:val="24"/>
        </w:rPr>
      </w:pPr>
      <w:r w:rsidRPr="00BC4DBB">
        <w:rPr>
          <w:rFonts w:cs="Arial"/>
          <w:b/>
          <w:bCs/>
          <w:sz w:val="24"/>
        </w:rPr>
        <w:t>famiglie</w:t>
      </w:r>
      <w:r w:rsidRPr="00BC4DBB">
        <w:rPr>
          <w:rFonts w:cs="Arial"/>
          <w:sz w:val="24"/>
        </w:rPr>
        <w:t>: offerta scolastica e iniziative che favoriscano l’insediamento di famiglie con figli;</w:t>
      </w:r>
    </w:p>
    <w:p w:rsidR="00BC4DBB" w:rsidRPr="00BC4DBB" w:rsidRDefault="00BC4DBB" w:rsidP="00BC4DBB">
      <w:pPr>
        <w:numPr>
          <w:ilvl w:val="0"/>
          <w:numId w:val="20"/>
        </w:numPr>
        <w:tabs>
          <w:tab w:val="left" w:pos="284"/>
        </w:tabs>
        <w:suppressAutoHyphens/>
        <w:spacing w:before="120"/>
        <w:ind w:left="284" w:hanging="284"/>
        <w:jc w:val="left"/>
        <w:rPr>
          <w:rFonts w:cs="Arial"/>
          <w:sz w:val="24"/>
        </w:rPr>
      </w:pPr>
      <w:r w:rsidRPr="00BC4DBB">
        <w:rPr>
          <w:rFonts w:cs="Arial"/>
          <w:b/>
          <w:bCs/>
          <w:sz w:val="24"/>
        </w:rPr>
        <w:t>lavoro</w:t>
      </w:r>
      <w:r w:rsidRPr="00BC4DBB">
        <w:rPr>
          <w:rFonts w:cs="Arial"/>
          <w:sz w:val="24"/>
        </w:rPr>
        <w:t>: supporto alle attività economiche, in particolare quelle agricole, produttive e turistiche e alle eccellenze del territorio.</w:t>
      </w:r>
    </w:p>
    <w:p w:rsidR="00BC4DBB" w:rsidRDefault="00BC4DBB" w:rsidP="00BC4DBB">
      <w:pPr>
        <w:widowControl w:val="0"/>
        <w:suppressAutoHyphens/>
        <w:rPr>
          <w:rFonts w:eastAsiaTheme="minorEastAsia"/>
          <w:sz w:val="24"/>
          <w:szCs w:val="24"/>
          <w:lang w:eastAsia="it-IT"/>
        </w:rPr>
      </w:pPr>
    </w:p>
    <w:p w:rsidR="00BC4DBB" w:rsidRPr="00BC4DBB" w:rsidRDefault="00BC4DBB" w:rsidP="00BC4DBB">
      <w:pPr>
        <w:widowControl w:val="0"/>
        <w:suppressAutoHyphens/>
        <w:rPr>
          <w:rFonts w:eastAsiaTheme="minorEastAsia"/>
          <w:sz w:val="24"/>
          <w:szCs w:val="24"/>
          <w:lang w:eastAsia="it-IT"/>
        </w:rPr>
      </w:pPr>
    </w:p>
    <w:p w:rsidR="00BC4DBB" w:rsidRPr="00BC4DBB" w:rsidRDefault="00BC4DBB" w:rsidP="00BC4DBB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Theme="minorEastAsia"/>
          <w:bCs/>
          <w:sz w:val="24"/>
          <w:szCs w:val="24"/>
          <w:lang w:val="it-IT" w:eastAsia="it-IT"/>
        </w:rPr>
      </w:pPr>
      <w:r w:rsidRPr="00BC4DBB">
        <w:rPr>
          <w:rFonts w:eastAsiaTheme="minorEastAsia"/>
          <w:bCs/>
          <w:sz w:val="24"/>
          <w:szCs w:val="24"/>
          <w:lang w:val="it-IT" w:eastAsia="it-IT"/>
        </w:rPr>
        <w:t>5.</w:t>
      </w:r>
      <w:r w:rsidRPr="00BC4DBB">
        <w:rPr>
          <w:rFonts w:eastAsiaTheme="minorEastAsia"/>
          <w:bCs/>
          <w:sz w:val="24"/>
          <w:szCs w:val="24"/>
          <w:lang w:val="it-IT" w:eastAsia="it-IT"/>
        </w:rPr>
        <w:tab/>
      </w:r>
      <w:r w:rsidRPr="00BC4DBB">
        <w:rPr>
          <w:rFonts w:eastAsia="Calibri" w:cs="Times New Roman"/>
          <w:caps/>
          <w:sz w:val="24"/>
          <w:szCs w:val="24"/>
          <w:lang w:val="it-IT" w:eastAsia="it-IT"/>
        </w:rPr>
        <w:t>CONSIDERAZIONE COMMISSIONALI</w:t>
      </w:r>
    </w:p>
    <w:p w:rsidR="00BC4DBB" w:rsidRPr="00BC4DBB" w:rsidRDefault="00BC4DBB" w:rsidP="00BC4DBB">
      <w:pPr>
        <w:widowControl w:val="0"/>
        <w:suppressAutoHyphens/>
        <w:spacing w:after="240"/>
        <w:rPr>
          <w:rFonts w:eastAsia="MS Mincho" w:cs="Arial"/>
          <w:sz w:val="24"/>
          <w:szCs w:val="24"/>
          <w:lang w:val="it-IT" w:eastAsia="it-IT"/>
        </w:rPr>
      </w:pPr>
      <w:r w:rsidRPr="00BC4DBB">
        <w:rPr>
          <w:rFonts w:eastAsia="MS Mincho" w:cs="Arial"/>
          <w:sz w:val="24"/>
          <w:szCs w:val="24"/>
          <w:lang w:val="it-IT" w:eastAsia="it-IT"/>
        </w:rPr>
        <w:t>La Commissione non ha ritenuto necessario avere un’audizione con la Commissione di studio o con alcuni rappresentanti di essa in quanto il rapporto governativo ha fornito rassicurazione sul processo aggregativo voluto a larga maggioranza dai due Comuni aggreganti.</w:t>
      </w:r>
      <w:r w:rsidR="00EA112D">
        <w:rPr>
          <w:rFonts w:eastAsia="MS Mincho" w:cs="Arial"/>
          <w:sz w:val="24"/>
          <w:szCs w:val="24"/>
          <w:lang w:val="it-IT" w:eastAsia="it-IT"/>
        </w:rPr>
        <w:t xml:space="preserve"> La Commissione Costituzione e l</w:t>
      </w:r>
      <w:r w:rsidRPr="00BC4DBB">
        <w:rPr>
          <w:rFonts w:eastAsia="MS Mincho" w:cs="Arial"/>
          <w:sz w:val="24"/>
          <w:szCs w:val="24"/>
          <w:lang w:val="it-IT" w:eastAsia="it-IT"/>
        </w:rPr>
        <w:t>eggi ha potuto analizzare l’iter procedurale in maniera positiva, dal rapporto emerge che non si sono riscontrate difficoltà. La Commissione di studio ha lavorato con regolarità, serietà e in maniera partecipativa permettendo di creare consenso popolare al processo aggregativo.</w:t>
      </w:r>
    </w:p>
    <w:p w:rsidR="00BC4DBB" w:rsidRDefault="00BC4DBB" w:rsidP="00BC4DBB">
      <w:pPr>
        <w:widowControl w:val="0"/>
        <w:suppressAutoHyphens/>
        <w:spacing w:after="120"/>
        <w:rPr>
          <w:rFonts w:eastAsia="MS Mincho" w:cs="Arial"/>
          <w:sz w:val="24"/>
          <w:szCs w:val="24"/>
          <w:lang w:val="it-IT" w:eastAsia="it-IT"/>
        </w:rPr>
      </w:pPr>
      <w:r w:rsidRPr="00BC4DBB">
        <w:rPr>
          <w:rFonts w:eastAsia="MS Mincho" w:cs="Arial"/>
          <w:sz w:val="24"/>
          <w:szCs w:val="24"/>
          <w:lang w:val="it-IT" w:eastAsia="it-IT"/>
        </w:rPr>
        <w:t>Nel contesto che viviamo nelle valli dove lo spopolamento e l’invecchiamento della popolazione pongono dei limiti allo sviluppo socio-economico un’aggregazione è un’opportunità da cogliere. Infatti, la visione della nuova realtà comunale contempla appieno il potenziale di sviluppo sociale economico e territoriale. Il nuovo Comune si prefigge l’obiettivo di favorire la conciliazione lavoro-famiglia, una promozione economica supportando le attività economiche sul territorio e infine una promozione e tutela del patrimonio naturale.</w:t>
      </w:r>
    </w:p>
    <w:p w:rsidR="00BC4DBB" w:rsidRDefault="00BC4DBB">
      <w:pPr>
        <w:rPr>
          <w:rFonts w:eastAsia="MS Mincho" w:cs="Arial"/>
          <w:sz w:val="24"/>
          <w:szCs w:val="24"/>
          <w:lang w:val="it-IT" w:eastAsia="it-IT"/>
        </w:rPr>
      </w:pPr>
      <w:r>
        <w:rPr>
          <w:rFonts w:eastAsia="MS Mincho" w:cs="Arial"/>
          <w:sz w:val="24"/>
          <w:szCs w:val="24"/>
          <w:lang w:val="it-IT" w:eastAsia="it-IT"/>
        </w:rPr>
        <w:br w:type="page"/>
      </w:r>
    </w:p>
    <w:p w:rsidR="00BC4DBB" w:rsidRPr="00BC4DBB" w:rsidRDefault="00BC4DBB" w:rsidP="00BC4DBB">
      <w:pPr>
        <w:suppressAutoHyphens/>
        <w:jc w:val="left"/>
        <w:rPr>
          <w:rFonts w:asciiTheme="minorHAnsi" w:eastAsiaTheme="minorEastAsia" w:hAnsiTheme="minorHAnsi"/>
          <w:sz w:val="24"/>
          <w:szCs w:val="24"/>
          <w:lang w:eastAsia="it-IT"/>
        </w:rPr>
      </w:pPr>
      <w:r w:rsidRPr="00BC4DBB">
        <w:rPr>
          <w:sz w:val="24"/>
          <w:szCs w:val="24"/>
        </w:rPr>
        <w:lastRenderedPageBreak/>
        <w:t xml:space="preserve">Il PCA indica lo scenario aggregativo n. 1 denominato “Alta </w:t>
      </w:r>
      <w:proofErr w:type="spellStart"/>
      <w:r w:rsidRPr="00BC4DBB">
        <w:rPr>
          <w:sz w:val="24"/>
          <w:szCs w:val="24"/>
        </w:rPr>
        <w:t>Leventina</w:t>
      </w:r>
      <w:proofErr w:type="spellEnd"/>
      <w:r w:rsidRPr="00BC4DBB">
        <w:rPr>
          <w:sz w:val="24"/>
          <w:szCs w:val="24"/>
        </w:rPr>
        <w:t xml:space="preserve">”, che comprende anche i comuni di Airolo, </w:t>
      </w:r>
      <w:proofErr w:type="spellStart"/>
      <w:r w:rsidRPr="00BC4DBB">
        <w:rPr>
          <w:sz w:val="24"/>
          <w:szCs w:val="24"/>
        </w:rPr>
        <w:t>Bedretto</w:t>
      </w:r>
      <w:proofErr w:type="spellEnd"/>
      <w:r w:rsidRPr="00BC4DBB">
        <w:rPr>
          <w:sz w:val="24"/>
          <w:szCs w:val="24"/>
        </w:rPr>
        <w:t xml:space="preserve"> e </w:t>
      </w:r>
      <w:proofErr w:type="spellStart"/>
      <w:r w:rsidRPr="00BC4DBB">
        <w:rPr>
          <w:sz w:val="24"/>
          <w:szCs w:val="24"/>
        </w:rPr>
        <w:t>Dalpe</w:t>
      </w:r>
      <w:proofErr w:type="spellEnd"/>
      <w:r w:rsidRPr="00BC4DBB">
        <w:rPr>
          <w:sz w:val="24"/>
          <w:szCs w:val="24"/>
        </w:rPr>
        <w:t xml:space="preserve">. </w:t>
      </w:r>
      <w:r w:rsidRPr="00BC4DBB">
        <w:rPr>
          <w:rFonts w:asciiTheme="minorHAnsi" w:eastAsiaTheme="minorEastAsia" w:hAnsiTheme="minorHAnsi"/>
          <w:sz w:val="24"/>
          <w:szCs w:val="24"/>
          <w:lang w:eastAsia="it-IT"/>
        </w:rPr>
        <w:t>La Commissione auspica in ultima analisi che in futuro questi Comuni possano, sempre e solo sulla spinta di un consenso popolare magari favorito dai risultati positivi di questa aggregazione, unirsi al nuovo comune aggregato.</w:t>
      </w:r>
    </w:p>
    <w:p w:rsidR="00BC4DBB" w:rsidRPr="00BC4DBB" w:rsidRDefault="00BC4DBB" w:rsidP="00BC4DBB"/>
    <w:p w:rsidR="00BC4DBB" w:rsidRPr="00BC4DBB" w:rsidRDefault="00BC4DBB" w:rsidP="00BC4DBB">
      <w:pPr>
        <w:rPr>
          <w:rFonts w:eastAsia="MS Mincho" w:cs="Arial"/>
          <w:b/>
          <w:bCs/>
          <w:lang w:eastAsia="it-IT"/>
        </w:rPr>
      </w:pPr>
    </w:p>
    <w:p w:rsidR="00BC4DBB" w:rsidRPr="00BC4DBB" w:rsidRDefault="00BC4DBB" w:rsidP="00BC4DBB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6.</w:t>
      </w:r>
      <w:r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Pr="00BC4DBB">
        <w:rPr>
          <w:rFonts w:eastAsia="Calibri" w:cs="Times New Roman"/>
          <w:caps/>
          <w:sz w:val="24"/>
          <w:szCs w:val="24"/>
          <w:lang w:val="it-IT" w:eastAsia="it-IT"/>
        </w:rPr>
        <w:t>CONCLUSIONI</w:t>
      </w:r>
    </w:p>
    <w:p w:rsidR="00BC4DBB" w:rsidRPr="00BC4DBB" w:rsidRDefault="00BC4DBB" w:rsidP="00BC4DBB">
      <w:pPr>
        <w:widowControl w:val="0"/>
        <w:suppressAutoHyphens/>
        <w:contextualSpacing/>
        <w:rPr>
          <w:rFonts w:asciiTheme="minorHAnsi" w:eastAsiaTheme="minorEastAsia" w:hAnsiTheme="minorHAnsi"/>
          <w:sz w:val="24"/>
          <w:szCs w:val="24"/>
          <w:lang w:val="it-IT" w:eastAsia="it-IT"/>
        </w:rPr>
      </w:pPr>
      <w:r w:rsidRPr="00BC4DBB">
        <w:rPr>
          <w:rFonts w:eastAsia="MS Mincho" w:cs="Arial"/>
          <w:sz w:val="24"/>
          <w:szCs w:val="24"/>
          <w:lang w:val="it-IT" w:eastAsia="it-IT"/>
        </w:rPr>
        <w:t xml:space="preserve">Considerato quanto discusso nella presente relazione la maggioranza della scrivente Commissione propone al Gran Consiglio di approvare il </w:t>
      </w:r>
      <w:r w:rsidRPr="00EF4149">
        <w:rPr>
          <w:rFonts w:eastAsia="MS Mincho" w:cs="Arial"/>
          <w:sz w:val="24"/>
          <w:szCs w:val="24"/>
          <w:lang w:val="it-IT" w:eastAsia="it-IT"/>
        </w:rPr>
        <w:t>messaggio</w:t>
      </w:r>
      <w:r w:rsidRPr="00BC4DBB">
        <w:rPr>
          <w:rFonts w:eastAsia="MS Mincho" w:cs="Arial"/>
          <w:sz w:val="24"/>
          <w:szCs w:val="24"/>
          <w:lang w:val="it-IT" w:eastAsia="it-IT"/>
        </w:rPr>
        <w:t xml:space="preserve"> </w:t>
      </w:r>
      <w:r w:rsidRPr="00EF4149">
        <w:rPr>
          <w:rFonts w:eastAsia="MS Mincho" w:cs="Arial"/>
          <w:sz w:val="24"/>
          <w:szCs w:val="24"/>
          <w:lang w:val="it-IT" w:eastAsia="it-IT"/>
        </w:rPr>
        <w:t xml:space="preserve">n. </w:t>
      </w:r>
      <w:r w:rsidRPr="00BC4DBB">
        <w:rPr>
          <w:rFonts w:eastAsia="MS Mincho" w:cs="Arial"/>
          <w:sz w:val="24"/>
          <w:szCs w:val="24"/>
          <w:lang w:val="it-IT" w:eastAsia="it-IT"/>
        </w:rPr>
        <w:t>8394 e</w:t>
      </w:r>
      <w:r w:rsidRPr="00EF4149">
        <w:rPr>
          <w:rFonts w:eastAsia="MS Mincho" w:cs="Arial"/>
          <w:sz w:val="24"/>
          <w:szCs w:val="24"/>
          <w:lang w:val="it-IT" w:eastAsia="it-IT"/>
        </w:rPr>
        <w:t xml:space="preserve"> il relativo decreto legge annesso al messaggio </w:t>
      </w:r>
      <w:r w:rsidR="00DD7065" w:rsidRPr="00EF4149">
        <w:rPr>
          <w:rFonts w:eastAsia="MS Mincho" w:cs="Arial"/>
          <w:sz w:val="24"/>
          <w:szCs w:val="24"/>
          <w:lang w:val="it-IT" w:eastAsia="it-IT"/>
        </w:rPr>
        <w:t xml:space="preserve">governativo </w:t>
      </w:r>
      <w:r w:rsidRPr="00EF4149">
        <w:rPr>
          <w:rFonts w:eastAsia="MS Mincho" w:cs="Arial"/>
          <w:sz w:val="24"/>
          <w:szCs w:val="24"/>
          <w:lang w:val="it-IT" w:eastAsia="it-IT"/>
        </w:rPr>
        <w:t>e</w:t>
      </w:r>
      <w:r w:rsidRPr="00BC4DBB">
        <w:rPr>
          <w:rFonts w:eastAsia="MS Mincho" w:cs="Arial"/>
          <w:sz w:val="24"/>
          <w:szCs w:val="24"/>
          <w:lang w:val="it-IT" w:eastAsia="it-IT"/>
        </w:rPr>
        <w:t xml:space="preserve"> dunque approvare l’aggregazione dei Comuni di Prato </w:t>
      </w:r>
      <w:proofErr w:type="spellStart"/>
      <w:r w:rsidRPr="00BC4DBB">
        <w:rPr>
          <w:rFonts w:eastAsia="MS Mincho" w:cs="Arial"/>
          <w:sz w:val="24"/>
          <w:szCs w:val="24"/>
          <w:lang w:val="it-IT" w:eastAsia="it-IT"/>
        </w:rPr>
        <w:t>Leventina</w:t>
      </w:r>
      <w:proofErr w:type="spellEnd"/>
      <w:r w:rsidRPr="00BC4DBB">
        <w:rPr>
          <w:rFonts w:eastAsia="MS Mincho" w:cs="Arial"/>
          <w:sz w:val="24"/>
          <w:szCs w:val="24"/>
          <w:lang w:val="it-IT" w:eastAsia="it-IT"/>
        </w:rPr>
        <w:t xml:space="preserve"> e Quinto in un unico Comune denominato Quinto.</w:t>
      </w:r>
    </w:p>
    <w:p w:rsidR="00BC4DBB" w:rsidRPr="00BC4DBB" w:rsidRDefault="00BC4DBB" w:rsidP="00BC4DBB">
      <w:pPr>
        <w:widowControl w:val="0"/>
        <w:suppressAutoHyphens/>
        <w:contextualSpacing/>
        <w:rPr>
          <w:rFonts w:eastAsia="MS Mincho" w:cs="Arial"/>
          <w:sz w:val="24"/>
          <w:szCs w:val="24"/>
          <w:lang w:val="it-IT" w:eastAsia="it-IT"/>
        </w:rPr>
      </w:pPr>
    </w:p>
    <w:p w:rsidR="00BC4DBB" w:rsidRPr="00BC4DBB" w:rsidRDefault="00BC4DBB" w:rsidP="00BC4DBB">
      <w:pPr>
        <w:suppressAutoHyphens/>
        <w:rPr>
          <w:rFonts w:asciiTheme="minorHAnsi" w:eastAsiaTheme="minorEastAsia" w:hAnsiTheme="minorHAnsi"/>
          <w:sz w:val="24"/>
          <w:szCs w:val="24"/>
          <w:lang w:val="it-IT" w:eastAsia="it-IT"/>
        </w:rPr>
      </w:pPr>
    </w:p>
    <w:p w:rsidR="00BC4DBB" w:rsidRPr="00BC4DBB" w:rsidRDefault="00BC4DBB" w:rsidP="00BC4DBB">
      <w:pPr>
        <w:suppressAutoHyphens/>
        <w:spacing w:after="120"/>
        <w:rPr>
          <w:rFonts w:asciiTheme="minorHAnsi" w:eastAsiaTheme="minorEastAsia" w:hAnsiTheme="minorHAnsi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/>
          <w:sz w:val="24"/>
          <w:szCs w:val="24"/>
          <w:lang w:val="it-IT" w:eastAsia="it-IT"/>
        </w:rPr>
        <w:t>Per la Commissione Costituzione e leggi:</w:t>
      </w:r>
    </w:p>
    <w:p w:rsidR="00BC4DBB" w:rsidRPr="00BC4DBB" w:rsidRDefault="00BC4DBB" w:rsidP="00BC4DBB">
      <w:pPr>
        <w:suppressAutoHyphens/>
        <w:rPr>
          <w:rFonts w:asciiTheme="minorHAnsi" w:eastAsiaTheme="minorEastAsia" w:hAnsiTheme="minorHAnsi"/>
          <w:sz w:val="24"/>
          <w:szCs w:val="24"/>
          <w:lang w:val="it-IT" w:eastAsia="it-IT"/>
        </w:rPr>
      </w:pPr>
      <w:r w:rsidRPr="00BC4DBB">
        <w:rPr>
          <w:rFonts w:asciiTheme="minorHAnsi" w:eastAsiaTheme="minorEastAsia" w:hAnsiTheme="minorHAnsi"/>
          <w:sz w:val="24"/>
          <w:szCs w:val="24"/>
          <w:lang w:val="it-IT" w:eastAsia="it-IT"/>
        </w:rPr>
        <w:t>Lisa Boscolo, relatrice</w:t>
      </w:r>
    </w:p>
    <w:p w:rsidR="00280EE9" w:rsidRDefault="00280EE9" w:rsidP="00EF4149">
      <w:pPr>
        <w:rPr>
          <w:rFonts w:eastAsia="Times New Roman" w:cs="Arial"/>
          <w:sz w:val="24"/>
          <w:szCs w:val="20"/>
          <w:lang w:val="it-IT" w:eastAsia="it-IT"/>
        </w:rPr>
      </w:pPr>
      <w:r>
        <w:rPr>
          <w:rFonts w:eastAsia="Times New Roman" w:cs="Arial"/>
          <w:sz w:val="24"/>
          <w:szCs w:val="20"/>
          <w:lang w:val="it-IT" w:eastAsia="it-IT"/>
        </w:rPr>
        <w:t xml:space="preserve">Caroni - </w:t>
      </w:r>
      <w:r w:rsidR="00EF4149" w:rsidRPr="00EF4149">
        <w:rPr>
          <w:rFonts w:eastAsia="Times New Roman" w:cs="Arial"/>
          <w:sz w:val="24"/>
          <w:szCs w:val="20"/>
          <w:lang w:val="it-IT" w:eastAsia="it-IT"/>
        </w:rPr>
        <w:t xml:space="preserve">Censi - Corti - Filippini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="00EF4149" w:rsidRPr="00EF4149">
        <w:rPr>
          <w:rFonts w:eastAsia="Times New Roman" w:cs="Arial"/>
          <w:sz w:val="24"/>
          <w:szCs w:val="20"/>
          <w:lang w:val="it-IT" w:eastAsia="it-IT"/>
        </w:rPr>
        <w:t xml:space="preserve"> Genini Sem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</w:p>
    <w:p w:rsidR="00280EE9" w:rsidRDefault="00EF4149" w:rsidP="00EF4149">
      <w:pPr>
        <w:rPr>
          <w:rFonts w:eastAsia="Times New Roman" w:cs="Arial"/>
          <w:sz w:val="24"/>
          <w:szCs w:val="20"/>
          <w:lang w:val="it-IT" w:eastAsia="it-IT"/>
        </w:rPr>
      </w:pPr>
      <w:r w:rsidRPr="00EF4149">
        <w:rPr>
          <w:rFonts w:eastAsia="Times New Roman" w:cs="Arial"/>
          <w:sz w:val="24"/>
          <w:szCs w:val="20"/>
          <w:lang w:val="it-IT" w:eastAsia="it-IT"/>
        </w:rPr>
        <w:t xml:space="preserve">Genini Simona - Ghisolfi </w:t>
      </w:r>
      <w:r w:rsidR="00280EE9">
        <w:rPr>
          <w:rFonts w:eastAsia="Times New Roman" w:cs="Arial"/>
          <w:sz w:val="24"/>
          <w:szCs w:val="20"/>
          <w:lang w:val="it-IT" w:eastAsia="it-IT"/>
        </w:rPr>
        <w:t>-</w:t>
      </w:r>
      <w:r w:rsidRPr="00EF4149">
        <w:rPr>
          <w:rFonts w:eastAsia="Times New Roman" w:cs="Arial"/>
          <w:sz w:val="24"/>
          <w:szCs w:val="20"/>
          <w:lang w:val="it-IT" w:eastAsia="it-IT"/>
        </w:rPr>
        <w:t xml:space="preserve"> Giudici </w:t>
      </w:r>
      <w:r w:rsidR="00280EE9">
        <w:rPr>
          <w:rFonts w:eastAsia="Times New Roman" w:cs="Arial"/>
          <w:sz w:val="24"/>
          <w:szCs w:val="20"/>
          <w:lang w:val="it-IT" w:eastAsia="it-IT"/>
        </w:rPr>
        <w:t>-</w:t>
      </w:r>
      <w:bookmarkStart w:id="0" w:name="_GoBack"/>
      <w:bookmarkEnd w:id="0"/>
      <w:r w:rsidRPr="00EF4149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:rsidR="00280EE9" w:rsidRDefault="00EF4149" w:rsidP="00EF4149">
      <w:pPr>
        <w:rPr>
          <w:rFonts w:eastAsia="Times New Roman" w:cs="Arial"/>
          <w:sz w:val="24"/>
          <w:szCs w:val="20"/>
          <w:lang w:val="it-IT" w:eastAsia="it-IT"/>
        </w:rPr>
      </w:pPr>
      <w:r w:rsidRPr="00EF4149">
        <w:rPr>
          <w:rFonts w:eastAsia="Times New Roman" w:cs="Arial"/>
          <w:sz w:val="24"/>
          <w:szCs w:val="20"/>
          <w:lang w:val="it-IT" w:eastAsia="it-IT"/>
        </w:rPr>
        <w:t xml:space="preserve">Lepori - Ortelli P. - Padlina </w:t>
      </w:r>
      <w:r w:rsidR="00280EE9">
        <w:rPr>
          <w:rFonts w:eastAsia="Times New Roman" w:cs="Arial"/>
          <w:sz w:val="24"/>
          <w:szCs w:val="20"/>
          <w:lang w:val="it-IT" w:eastAsia="it-IT"/>
        </w:rPr>
        <w:t>-</w:t>
      </w:r>
      <w:r w:rsidRPr="00EF4149">
        <w:rPr>
          <w:rFonts w:eastAsia="Times New Roman" w:cs="Arial"/>
          <w:sz w:val="24"/>
          <w:szCs w:val="20"/>
          <w:lang w:val="it-IT" w:eastAsia="it-IT"/>
        </w:rPr>
        <w:t xml:space="preserve"> Passardi </w:t>
      </w:r>
      <w:r w:rsidR="00280EE9">
        <w:rPr>
          <w:rFonts w:eastAsia="Times New Roman" w:cs="Arial"/>
          <w:sz w:val="24"/>
          <w:szCs w:val="20"/>
          <w:lang w:val="it-IT" w:eastAsia="it-IT"/>
        </w:rPr>
        <w:t>-</w:t>
      </w:r>
      <w:r w:rsidRPr="00EF4149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:rsidR="00EF4149" w:rsidRPr="00EF4149" w:rsidRDefault="00EF4149" w:rsidP="00EF4149">
      <w:pPr>
        <w:rPr>
          <w:rFonts w:eastAsia="Times New Roman" w:cs="Arial"/>
          <w:sz w:val="24"/>
          <w:szCs w:val="20"/>
          <w:lang w:val="it-IT" w:eastAsia="it-IT"/>
        </w:rPr>
      </w:pPr>
      <w:r w:rsidRPr="00EF4149">
        <w:rPr>
          <w:rFonts w:eastAsia="Times New Roman" w:cs="Arial"/>
          <w:sz w:val="24"/>
          <w:szCs w:val="20"/>
          <w:lang w:val="it-IT" w:eastAsia="it-IT"/>
        </w:rPr>
        <w:t xml:space="preserve">Petralli - Piccaluga - Ponti - Terraneo - </w:t>
      </w:r>
    </w:p>
    <w:p w:rsidR="00BC4DBB" w:rsidRDefault="00BC4DBB" w:rsidP="00BC4DBB">
      <w:pPr>
        <w:suppressAutoHyphens/>
        <w:ind w:right="-1"/>
        <w:contextualSpacing/>
        <w:rPr>
          <w:rFonts w:asciiTheme="minorHAnsi" w:eastAsiaTheme="minorEastAsia" w:hAnsiTheme="minorHAnsi"/>
          <w:sz w:val="24"/>
          <w:szCs w:val="24"/>
          <w:lang w:eastAsia="it-IT"/>
        </w:rPr>
      </w:pPr>
    </w:p>
    <w:p w:rsidR="00EF4149" w:rsidRDefault="00EF4149" w:rsidP="00BC4DBB">
      <w:pPr>
        <w:suppressAutoHyphens/>
        <w:ind w:right="-1"/>
        <w:contextualSpacing/>
        <w:rPr>
          <w:rFonts w:asciiTheme="minorHAnsi" w:eastAsiaTheme="minorEastAsia" w:hAnsiTheme="minorHAnsi"/>
          <w:sz w:val="24"/>
          <w:szCs w:val="24"/>
          <w:lang w:eastAsia="it-IT"/>
        </w:rPr>
      </w:pPr>
    </w:p>
    <w:p w:rsidR="00EF4149" w:rsidRDefault="00EF4149" w:rsidP="00BC4DBB">
      <w:pPr>
        <w:suppressAutoHyphens/>
        <w:ind w:right="-1"/>
        <w:contextualSpacing/>
        <w:rPr>
          <w:rFonts w:asciiTheme="minorHAnsi" w:eastAsiaTheme="minorEastAsia" w:hAnsiTheme="minorHAnsi"/>
          <w:sz w:val="24"/>
          <w:szCs w:val="24"/>
          <w:lang w:eastAsia="it-IT"/>
        </w:rPr>
      </w:pPr>
    </w:p>
    <w:p w:rsidR="00EF4149" w:rsidRPr="00BC4DBB" w:rsidRDefault="00EF4149" w:rsidP="00BC4DBB">
      <w:pPr>
        <w:suppressAutoHyphens/>
        <w:ind w:right="-1"/>
        <w:contextualSpacing/>
        <w:rPr>
          <w:rFonts w:asciiTheme="minorHAnsi" w:eastAsiaTheme="minorEastAsia" w:hAnsiTheme="minorHAnsi"/>
          <w:sz w:val="24"/>
          <w:szCs w:val="24"/>
          <w:lang w:eastAsia="it-IT"/>
        </w:rPr>
      </w:pPr>
    </w:p>
    <w:p w:rsidR="00BC4DBB" w:rsidRPr="00BC4DBB" w:rsidRDefault="00BC4DBB" w:rsidP="00BC4DBB">
      <w:pPr>
        <w:suppressAutoHyphens/>
        <w:rPr>
          <w:rFonts w:asciiTheme="minorHAnsi" w:eastAsiaTheme="minorEastAsia" w:hAnsiTheme="minorHAnsi"/>
          <w:sz w:val="24"/>
          <w:szCs w:val="24"/>
          <w:lang w:val="it-IT" w:eastAsia="it-IT"/>
        </w:rPr>
      </w:pPr>
    </w:p>
    <w:p w:rsidR="00BC4DBB" w:rsidRPr="00BC4DBB" w:rsidRDefault="00BC4DBB" w:rsidP="00D33940">
      <w:pPr>
        <w:pStyle w:val="StandardRisoluzionedelConsigliodiStato"/>
        <w:ind w:right="-1"/>
        <w:rPr>
          <w:b/>
          <w:szCs w:val="24"/>
          <w:lang w:val="it-IT"/>
        </w:rPr>
      </w:pPr>
    </w:p>
    <w:p w:rsidR="00D649A8" w:rsidRPr="00BC4DBB" w:rsidRDefault="00D649A8" w:rsidP="00D33940">
      <w:pPr>
        <w:pStyle w:val="StandardRisoluzionedelConsigliodiStato"/>
        <w:ind w:right="-1"/>
        <w:rPr>
          <w:szCs w:val="24"/>
        </w:rPr>
      </w:pPr>
    </w:p>
    <w:p w:rsidR="00D649A8" w:rsidRPr="00BC4DBB" w:rsidRDefault="00D649A8" w:rsidP="00D33940">
      <w:pPr>
        <w:pStyle w:val="StandardRisoluzionedelConsigliodiStato"/>
        <w:ind w:right="-1"/>
      </w:pPr>
    </w:p>
    <w:sectPr w:rsidR="00D649A8" w:rsidRPr="00BC4DBB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BB" w:rsidRDefault="00BC4DBB" w:rsidP="00F657BF">
      <w:r>
        <w:separator/>
      </w:r>
    </w:p>
  </w:endnote>
  <w:endnote w:type="continuationSeparator" w:id="0">
    <w:p w:rsidR="00BC4DBB" w:rsidRDefault="00BC4DBB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C073EE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4554F6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4554F6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C073EE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C073EE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BB" w:rsidRDefault="00BC4DBB" w:rsidP="00F657BF">
      <w:r>
        <w:separator/>
      </w:r>
    </w:p>
  </w:footnote>
  <w:footnote w:type="continuationSeparator" w:id="0">
    <w:p w:rsidR="00BC4DBB" w:rsidRDefault="00BC4DBB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736F8A" w:rsidRDefault="00C073EE" w:rsidP="00736F8A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3BBF35F9-9D44-4741-A023-BB5268DF2D8A}"/>
              <w:text w:multiLine="1"/>
            </w:sdtPr>
            <w:sdtEndPr/>
            <w:sdtContent>
              <w:r w:rsidR="004554F6"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5012EC" w:rsidRPr="00E8185F" w:rsidRDefault="00C073EE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3BBF35F9-9D44-4741-A023-BB5268DF2D8A}"/>
              <w:text w:multiLine="1"/>
            </w:sdtPr>
            <w:sdtEndPr/>
            <w:sdtContent>
              <w:r w:rsidR="009B631A">
                <w:rPr>
                  <w:rFonts w:ascii="Gill Alt One MT Light" w:hAnsi="Gill Alt One MT Light"/>
                  <w:sz w:val="16"/>
                  <w:szCs w:val="16"/>
                </w:rPr>
                <w:t>Dipartimento delle istituzioni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4554F6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CF0E26">
            <w:rPr>
              <w:noProof/>
              <w:sz w:val="24"/>
            </w:rPr>
            <w:t>4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CF0E26">
            <w:rPr>
              <w:noProof/>
              <w:sz w:val="24"/>
            </w:rPr>
            <w:t>4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3BBF35F9-9D44-4741-A023-BB5268DF2D8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BC4DBB" w:rsidRDefault="009B631A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8394 R del 14 maggio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BC4DBB" w:rsidRDefault="00C073EE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4554F6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3BBF35F9-9D44-4741-A023-BB5268DF2D8A}"/>
                            <w:text w:multiLine="1"/>
                          </w:sdtPr>
                          <w:sdtEndPr/>
                          <w:sdtContent>
                            <w:p w:rsidR="008065E8" w:rsidRPr="00411371" w:rsidRDefault="004554F6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CE9701AC-150C-4CA0-9BD4-88B67A65B80A}"/>
                      <w:text w:multiLine="1"/>
                    </w:sdtPr>
                    <w:sdtEndPr/>
                    <w:sdtContent>
                      <w:p w:rsidR="008065E8" w:rsidRPr="00411371" w:rsidRDefault="004554F6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CD5F73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662409" w:rsidRDefault="00C073EE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CD5F73" w:rsidRDefault="004554F6" w:rsidP="00CD5F73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CD5F73" w:rsidRPr="008966E7" w:rsidRDefault="00C073EE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C073EE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4554F6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455981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4554F6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CF0E26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CF0E26">
            <w:rPr>
              <w:rFonts w:asciiTheme="minorHAnsi" w:hAnsiTheme="minorHAnsi" w:cstheme="minorHAnsi"/>
              <w:noProof/>
              <w:sz w:val="24"/>
            </w:rPr>
            <w:t>4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3BBF35F9-9D44-4741-A023-BB5268DF2D8A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9B631A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4554F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C073E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4554F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C073E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4554F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C073EE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C073EE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3BBF35F9-9D44-4741-A023-BB5268DF2D8A}"/>
              <w:text w:multiLine="1"/>
            </w:sdtPr>
            <w:sdtEndPr/>
            <w:sdtContent>
              <w:r w:rsidR="009B631A">
                <w:rPr>
                  <w:rFonts w:cstheme="minorHAnsi"/>
                  <w:b/>
                  <w:sz w:val="24"/>
                  <w:szCs w:val="24"/>
                </w:rPr>
                <w:t>8394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3BBF35F9-9D44-4741-A023-BB5268DF2D8A}"/>
          <w:date w:fullDate="2024-05-14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9B631A" w:rsidP="00A532F6">
              <w:pPr>
                <w:pStyle w:val="Data"/>
              </w:pPr>
              <w:r>
                <w:rPr>
                  <w:sz w:val="24"/>
                </w:rPr>
                <w:t>14 maggio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C073EE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3BBF35F9-9D44-4741-A023-BB5268DF2D8A}"/>
              <w:text w:multiLine="1"/>
            </w:sdtPr>
            <w:sdtEndPr/>
            <w:sdtContent>
              <w:r w:rsidR="009B631A">
                <w:rPr>
                  <w:smallCaps/>
                  <w:sz w:val="23"/>
                  <w:szCs w:val="23"/>
                </w:rPr>
                <w:t>Dipartimento delle istituzioni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C073EE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4554F6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474588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3BBF35F9-9D44-4741-A023-BB5268DF2D8A}"/>
                            <w:text w:multiLine="1"/>
                          </w:sdtPr>
                          <w:sdtEndPr/>
                          <w:sdtContent>
                            <w:p w:rsidR="00E93620" w:rsidRPr="00411371" w:rsidRDefault="004554F6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CE9701AC-150C-4CA0-9BD4-88B67A65B80A}"/>
                      <w:text w:multiLine="1"/>
                    </w:sdtPr>
                    <w:sdtEndPr/>
                    <w:sdtContent>
                      <w:p w:rsidR="00E93620" w:rsidRPr="00411371" w:rsidRDefault="004554F6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2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F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C2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68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36E5"/>
    <w:multiLevelType w:val="hybridMultilevel"/>
    <w:tmpl w:val="D6C25E8C"/>
    <w:lvl w:ilvl="0" w:tplc="121AB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DCD4667"/>
    <w:multiLevelType w:val="hybridMultilevel"/>
    <w:tmpl w:val="D7603F64"/>
    <w:lvl w:ilvl="0" w:tplc="32462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abstractNum w:abstractNumId="19" w15:restartNumberingAfterBreak="0">
    <w:nsid w:val="4E571E06"/>
    <w:multiLevelType w:val="hybridMultilevel"/>
    <w:tmpl w:val="09DC8F06"/>
    <w:lvl w:ilvl="0" w:tplc="08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0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BB"/>
    <w:rsid w:val="002736D7"/>
    <w:rsid w:val="00280EE9"/>
    <w:rsid w:val="002B5D9F"/>
    <w:rsid w:val="002B5DC7"/>
    <w:rsid w:val="002F2480"/>
    <w:rsid w:val="003B756D"/>
    <w:rsid w:val="00403ADB"/>
    <w:rsid w:val="004554F6"/>
    <w:rsid w:val="00572FD3"/>
    <w:rsid w:val="00751CCC"/>
    <w:rsid w:val="007C58D9"/>
    <w:rsid w:val="008720C4"/>
    <w:rsid w:val="008C163A"/>
    <w:rsid w:val="008F52AF"/>
    <w:rsid w:val="009B631A"/>
    <w:rsid w:val="009C5E5A"/>
    <w:rsid w:val="009E3677"/>
    <w:rsid w:val="00A77587"/>
    <w:rsid w:val="00AF0268"/>
    <w:rsid w:val="00BC4DBB"/>
    <w:rsid w:val="00BF0A1F"/>
    <w:rsid w:val="00C073EE"/>
    <w:rsid w:val="00CF0E26"/>
    <w:rsid w:val="00D33940"/>
    <w:rsid w:val="00D600FD"/>
    <w:rsid w:val="00D649A8"/>
    <w:rsid w:val="00DD7065"/>
    <w:rsid w:val="00EA112D"/>
    <w:rsid w:val="00EB088A"/>
    <w:rsid w:val="00EB18DC"/>
    <w:rsid w:val="00EF4149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6CA636"/>
  <w15:docId w15:val="{31E9FA6F-DA0F-48D0-8AC3-1D435153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customStyle="1" w:styleId="EtiketteSender1">
    <w:name w:val="EtiketteSender1"/>
    <w:basedOn w:val="Normale"/>
    <w:rsid w:val="007B4E2C"/>
    <w:pPr>
      <w:tabs>
        <w:tab w:val="right" w:pos="4933"/>
      </w:tabs>
      <w:jc w:val="left"/>
    </w:pPr>
    <w:rPr>
      <w:rFonts w:ascii="Gill Sans Display MT Pro BdCn" w:hAnsi="Gill Sans Display MT Pro BdCn"/>
      <w:sz w:val="20"/>
    </w:rPr>
  </w:style>
  <w:style w:type="paragraph" w:customStyle="1" w:styleId="EtiketteRecipient1">
    <w:name w:val="EtiketteRecipient1"/>
    <w:basedOn w:val="EtiketteSender1"/>
    <w:rsid w:val="00A2197E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480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9bc7023c-6cbf-41dc-905c-51b17154b674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1455981312</Id>
      <Width>0</Width>
      <Height>0</Height>
      <XPath>//Image[@id='Profile.Org.WappenSW']</XPath>
      <ImageHash>02f1c0cdac6aeac316213b2e7cb733a0</ImageHash>
    </ImageSizeDefinition>
    <ImageSizeDefinition>
      <Id>1474588427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0 6 7 c 7 a a - f f 7 9 - 4 a 5 1 - b 4 b 6 - e f 4 7 6 b 7 2 6 c 0 9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5 - 1 4 T 1 1 : 0 8 : 4 5 . 4 7 7 5 3 8 4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 2 0 2 4 - 0 5 - 1 4 T 0 0 : 0 0 : 0 0 Z < / D a t e T i m e >  
                 < T e x t   i d = " D o c P a r a m . N u m b e r " > < ! [ C D A T A [ 8 3 9 4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i s t i t u z i o n i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l e   i s t i t u z i o n i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9 4   R   d e l   1 4   m a g g i o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i s t i t u z i o n i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9 4   R   d e l   1 4   m a g g i o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6CAD0F5-736A-4192-84AE-32CEC4525691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3BBF35F9-9D44-4741-A023-BB5268DF2D8A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9bc7023c-6cbf-41dc-905c-51b17154b674.dotx</Template>
  <TotalTime>19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16</cp:revision>
  <cp:lastPrinted>2024-05-15T06:01:00Z</cp:lastPrinted>
  <dcterms:created xsi:type="dcterms:W3CDTF">2024-05-14T11:09:00Z</dcterms:created>
  <dcterms:modified xsi:type="dcterms:W3CDTF">2024-05-15T06:02:00Z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