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AF" w:rsidRPr="00FE4421" w:rsidRDefault="00FE4421" w:rsidP="00D33940">
      <w:pPr>
        <w:pStyle w:val="StandardRisoluzionedelConsigliodiStato"/>
        <w:ind w:right="-1"/>
        <w:rPr>
          <w:b/>
          <w:sz w:val="28"/>
          <w:szCs w:val="28"/>
        </w:rPr>
      </w:pPr>
      <w:r w:rsidRPr="00FE4421">
        <w:rPr>
          <w:b/>
          <w:sz w:val="28"/>
          <w:szCs w:val="28"/>
        </w:rPr>
        <w:t>della Commissione gestione e finanze</w:t>
      </w:r>
    </w:p>
    <w:p w:rsidR="00FE4421" w:rsidRDefault="00FE4421" w:rsidP="00D33940">
      <w:pPr>
        <w:pStyle w:val="StandardRisoluzionedelConsigliodiStato"/>
        <w:ind w:right="-1"/>
        <w:rPr>
          <w:b/>
          <w:sz w:val="28"/>
          <w:szCs w:val="28"/>
        </w:rPr>
      </w:pPr>
      <w:r w:rsidRPr="00FE4421">
        <w:rPr>
          <w:b/>
          <w:sz w:val="28"/>
          <w:szCs w:val="28"/>
        </w:rPr>
        <w:t>sul messaggio 12 luglio 2023 concernente lo stanziamento di un credito di 29'085’000 franchi per il restauro interno del Palazzo degli studi di Lugano e per opere infrastrutturali del comparto delle scuole di Lugano centro</w:t>
      </w:r>
    </w:p>
    <w:p w:rsidR="00FE4421" w:rsidRDefault="00FE4421" w:rsidP="00D33940">
      <w:pPr>
        <w:pStyle w:val="StandardRisoluzionedelConsigliodiStato"/>
        <w:ind w:right="-1"/>
        <w:rPr>
          <w:b/>
          <w:szCs w:val="24"/>
        </w:rPr>
      </w:pPr>
      <w:bookmarkStart w:id="0" w:name="_GoBack"/>
      <w:bookmarkEnd w:id="0"/>
    </w:p>
    <w:p w:rsidR="00FE4421" w:rsidRDefault="00FE4421" w:rsidP="00D33940">
      <w:pPr>
        <w:pStyle w:val="StandardRisoluzionedelConsigliodiStato"/>
        <w:ind w:right="-1"/>
        <w:rPr>
          <w:b/>
          <w:szCs w:val="24"/>
        </w:rPr>
      </w:pPr>
    </w:p>
    <w:p w:rsidR="00344555" w:rsidRPr="00344555" w:rsidRDefault="00344555" w:rsidP="00344555">
      <w:pPr>
        <w:contextualSpacing/>
        <w:rPr>
          <w:rFonts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/>
          <w:color w:val="000000"/>
          <w:sz w:val="24"/>
          <w:szCs w:val="24"/>
          <w:lang w:eastAsia="it-IT"/>
        </w:rPr>
        <w:t>La Commissione g</w:t>
      </w:r>
      <w:r w:rsidRPr="00344555">
        <w:rPr>
          <w:rFonts w:eastAsia="Times New Roman" w:cs="Arial"/>
          <w:color w:val="000000"/>
          <w:sz w:val="24"/>
          <w:szCs w:val="24"/>
          <w:lang w:eastAsia="it-IT"/>
        </w:rPr>
        <w:t>es</w:t>
      </w:r>
      <w:r>
        <w:rPr>
          <w:rFonts w:eastAsia="Times New Roman" w:cs="Arial"/>
          <w:color w:val="000000"/>
          <w:sz w:val="24"/>
          <w:szCs w:val="24"/>
          <w:lang w:eastAsia="it-IT"/>
        </w:rPr>
        <w:t>tione e finanze è entrata nel merito del m</w:t>
      </w:r>
      <w:r w:rsidRPr="00344555">
        <w:rPr>
          <w:rFonts w:eastAsia="Times New Roman" w:cs="Arial"/>
          <w:color w:val="000000"/>
          <w:sz w:val="24"/>
          <w:szCs w:val="24"/>
          <w:lang w:eastAsia="it-IT"/>
        </w:rPr>
        <w:t>essaggio n. 8246 del 12 luglio 2023 di cui riassumiamo i contenuti salienti qui di seguito.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 xml:space="preserve">L’edificio in questione è datato 1904, si tratta del primo stabile scolastico pubblico di livello superiore del Canton Ticino; nel 2008 si è proceduto alla prima fase del restauro dedicata all’involucro esterno. Per quanto riguarda la seconda fase, concernente la ristrutturazione e il riordino degli spazi interni, si era già dato mandato nel 2013 ai progettisti 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Leuzinger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>-Vicari di Lugano ma, visto il ripensamento della pianificazione del comparto delle scuole di Lugano centro e degli istituti liceali del luganese, le esigenze ed i contenuti sono mutati (ad esempio si prevede di portare tutta la didattica liceale all’interno del Palazzo degli Studi). Tutto ciò – come spiegato più avanti – ha portato ad un aumento dei costi d’investimento. Tramite decreto legislativo, nel 2018 sono stati stanziati altri 2'355'000 per l’aggiornamento del progetto e per il proseguimento della progettazione della ristrutturazione del Palazzo degli studi. È importante sottolineare che le esigenze didattiche degli scolari e dei docenti vengo stabilite dal DECS e poi tradotte in soluzioni logistiche come ben vision</w:t>
      </w:r>
      <w:r>
        <w:rPr>
          <w:rFonts w:eastAsia="Calibri" w:cs="Arial"/>
          <w:sz w:val="24"/>
          <w:szCs w:val="24"/>
          <w:lang w:val="it-IT"/>
        </w:rPr>
        <w:t>abile nelle commesse pubbliche.</w:t>
      </w:r>
    </w:p>
    <w:p w:rsid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Arial"/>
          <w:sz w:val="24"/>
          <w:szCs w:val="24"/>
          <w:u w:val="single"/>
          <w:lang w:val="it-IT"/>
        </w:rPr>
      </w:pPr>
      <w:r w:rsidRPr="00344555">
        <w:rPr>
          <w:rFonts w:eastAsia="Calibri" w:cs="Times New Roman"/>
          <w:caps/>
          <w:sz w:val="24"/>
          <w:szCs w:val="24"/>
          <w:lang w:val="it-IT" w:eastAsia="it-IT"/>
        </w:rPr>
        <w:t>Caratteristiche del progetto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Ai sensi della Legge sulla protezione dei beni culturali, sia il Palazzo degli Studi che il relativo giardino sono protetti. Il Palazzo è un esempio significativo di edilizia pubblica di inizio Novecento ed è eloquente il fatto che figura nell’Album delle bellezze naturali ed artistiche del Canton Ticino (Bellinzona, 1909). In esso si intendono far convivere degli elementi esterni più classici e degli spazi interni più moderni e funzionali.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Il progetto d’intervento mira a valorizzare la componente di edilizia storica (si propone di recuperare, nel limite del possibile, l’edificio originario) e ad inserire nuovi elementi funzionali e tecnici in modo discreto ma chiaro. Si desidera infatti che gli spazi di insegnamento siano ottimali, anche per gli aspetti di socializzazione e di confronto. In particolare, l’intervento sarà più conservativo per gli spazi di circolazione comune, per l’Aula Magna e per lo spazio biblioteca.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Si segnala che le diverse proposte esecutive saranno discusse con l’Ufficio dei beni culturali che per dei lavori mirati prevede pure un contributo finanziario (ai sensi della LBC).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 xml:space="preserve">Per quanto riguarda l’impatto ambientale, molta importanza è data al mantenimento dell’esistente, ciò che permette di conservare e ridurre l’uso di nuovi materiali e, </w:t>
      </w:r>
      <w:r w:rsidRPr="00344555">
        <w:rPr>
          <w:rFonts w:eastAsia="Calibri" w:cs="Arial"/>
          <w:sz w:val="24"/>
          <w:szCs w:val="24"/>
          <w:lang w:val="it-IT"/>
        </w:rPr>
        <w:lastRenderedPageBreak/>
        <w:t>contemporaneamente, di risparmiare energia grigia altrimenti necessaria per la sostituzione degli stessi. Rispetto ad una nuova costruzione, l’opzione del restauro consente una limitazione delle emissioni di CO</w:t>
      </w:r>
      <w:r w:rsidRPr="00344555">
        <w:rPr>
          <w:rFonts w:eastAsia="Calibri" w:cs="Arial"/>
          <w:sz w:val="24"/>
          <w:szCs w:val="24"/>
          <w:vertAlign w:val="subscript"/>
          <w:lang w:val="it-IT"/>
        </w:rPr>
        <w:t>2</w:t>
      </w:r>
      <w:r w:rsidRPr="00344555">
        <w:rPr>
          <w:rFonts w:eastAsia="Calibri" w:cs="Arial"/>
          <w:sz w:val="24"/>
          <w:szCs w:val="24"/>
          <w:lang w:val="it-IT"/>
        </w:rPr>
        <w:t xml:space="preserve"> ed un migliore bilancio energetico globale. Verranno pure utilizzati apparecchi ad alta efficienza energetica e anche la nuova centrale per la produzione di calore che servirà tutti gli edifici del comparto avrà come vettore primario l’acqua di lago o di falda.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>
        <w:rPr>
          <w:rFonts w:eastAsia="Calibri" w:cs="Arial"/>
          <w:sz w:val="24"/>
          <w:szCs w:val="24"/>
          <w:lang w:val="it-IT"/>
        </w:rPr>
        <w:t>La C</w:t>
      </w:r>
      <w:r w:rsidRPr="00344555">
        <w:rPr>
          <w:rFonts w:eastAsia="Calibri" w:cs="Arial"/>
          <w:sz w:val="24"/>
          <w:szCs w:val="24"/>
          <w:lang w:val="it-IT"/>
        </w:rPr>
        <w:t xml:space="preserve">ommissione gestione e finanze ritiene che questi interventi siano </w:t>
      </w:r>
      <w:r w:rsidRPr="00344555">
        <w:rPr>
          <w:rFonts w:eastAsia="Calibri" w:cs="Arial"/>
          <w:b/>
          <w:bCs/>
          <w:sz w:val="24"/>
          <w:szCs w:val="24"/>
          <w:lang w:val="it-IT"/>
        </w:rPr>
        <w:t>mirati e studiati in modo da essere conservativi, ma allo stesso tempo funzionali</w:t>
      </w:r>
      <w:r w:rsidRPr="00344555">
        <w:rPr>
          <w:rFonts w:eastAsia="Calibri" w:cs="Arial"/>
          <w:sz w:val="24"/>
          <w:szCs w:val="24"/>
          <w:lang w:val="it-IT"/>
        </w:rPr>
        <w:t>. Si pensi ad esempio al mantenimento/restauro dei pavimenti in legno, oppure alla posa di pavimenti in linoleum per i laboratori o ancora all’aula magna mantenuta in posizione originaria e con correzione acustica tramite intonaco fonoassorbente o anche all’accessibilità più sicura al quarto piano tramite nuova scala antincendio e restauro conservativo della scala a chiocciola esistente e così via.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 xml:space="preserve">Degno di nota è il nuovo assetto pensato per </w:t>
      </w:r>
      <w:r w:rsidRPr="00344555">
        <w:rPr>
          <w:rFonts w:eastAsia="Calibri" w:cs="Arial"/>
          <w:b/>
          <w:bCs/>
          <w:sz w:val="24"/>
          <w:szCs w:val="24"/>
          <w:lang w:val="it-IT"/>
        </w:rPr>
        <w:t>l’ingresso principale</w:t>
      </w:r>
      <w:r w:rsidRPr="00344555">
        <w:rPr>
          <w:rFonts w:eastAsia="Calibri" w:cs="Arial"/>
          <w:sz w:val="24"/>
          <w:szCs w:val="24"/>
          <w:lang w:val="it-IT"/>
        </w:rPr>
        <w:t>: esso prevede una nuova scala esterna in cui è pure inserita una rampa per disabili che sarà costruita con cemento liscio. Vi sarà pure un ascensore per disabili (lato nord) raggiungibile in modo semplice dall’atrio principale.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Nel rapporto, ai capitoli 3.4 e 3.5 sono pure illustrati gli interventi strutturali e legati alla tecnica dell’edificio (protezione incendio, impianti elettrici, informatica e multimedia, impianto di controllo degli accessi, produzione e distribuzione di calore, raffrescamento e ventilazione, impianti idraulici ed esterno) che verranno messi in atto. È ad esempio interessante che si intende riqualificare gli spazi esterni al piano seminterrato in modo che venga riproposta la funzione originaria di cortili direttamente collegati con gli ingressi e con le aule.</w:t>
      </w:r>
    </w:p>
    <w:p w:rsid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344555">
        <w:rPr>
          <w:rFonts w:eastAsia="Calibri" w:cs="Times New Roman"/>
          <w:caps/>
          <w:sz w:val="24"/>
          <w:szCs w:val="24"/>
          <w:lang w:val="it-IT" w:eastAsia="it-IT"/>
        </w:rPr>
        <w:t>Aspetti finanziari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L’</w:t>
      </w:r>
      <w:r w:rsidRPr="00344555">
        <w:rPr>
          <w:rFonts w:eastAsia="Calibri" w:cs="Arial"/>
          <w:b/>
          <w:bCs/>
          <w:sz w:val="24"/>
          <w:szCs w:val="24"/>
          <w:lang w:val="it-IT"/>
        </w:rPr>
        <w:t>investimento complessivo previsto per il palazzo degli studi</w:t>
      </w:r>
      <w:r w:rsidRPr="00344555">
        <w:rPr>
          <w:rFonts w:eastAsia="Calibri" w:cs="Arial"/>
          <w:sz w:val="24"/>
          <w:szCs w:val="24"/>
          <w:lang w:val="it-IT"/>
        </w:rPr>
        <w:t xml:space="preserve"> è di </w:t>
      </w:r>
      <w:proofErr w:type="spellStart"/>
      <w:r w:rsidRPr="00344555">
        <w:rPr>
          <w:rFonts w:eastAsia="Calibri" w:cs="Arial"/>
          <w:b/>
          <w:bCs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b/>
          <w:bCs/>
          <w:sz w:val="24"/>
          <w:szCs w:val="24"/>
          <w:lang w:val="it-IT"/>
        </w:rPr>
        <w:t>. 31'370'000 franchi (+/- 10%)</w:t>
      </w:r>
      <w:r w:rsidRPr="00344555">
        <w:rPr>
          <w:rFonts w:eastAsia="Calibri" w:cs="Arial"/>
          <w:sz w:val="24"/>
          <w:szCs w:val="24"/>
          <w:lang w:val="it-IT"/>
        </w:rPr>
        <w:t xml:space="preserve"> suddiviso nelle varie voci come indicato nella tabella a pagina 8 del Messaggio n. 8308. Rispetto alla previsione dei costi di realizzazione sulla base delle verifiche degli architetti 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Leuzinger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 xml:space="preserve"> e Vicari (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 xml:space="preserve">. 23'600'000) vi è un aumento di 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>. 7'770'000 dovuto a vari fattori (vedi elenco che segue) che si ricollegano al nuovo sviluppo progettuale e al riordinamento strategico della logistica per le scuole operanti nel comparto: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percorso progettuale discontinuo (sospensione nel 2015 e ripresa nel 2017 con rielaborazione del progetto);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inserimento di nuovi contenuti (in particolare aule e laboratori scientifici);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necessità di sostituire l’intero impianto di distribuzione del calore con estensione degli impianti di ventilazione e degli impianti idraulici;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misure di sicurezza più invasive (per esempio per quanto concerne le murature e gli intonaci) dovute anche al distacco di parte di intonaci e soffitti delle aule nel 2015;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correttivi a livello di rinforzo sismico;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maggiori esigenze conservative e di restauro per elementi significativi del palazzo;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lastRenderedPageBreak/>
        <w:t>inasprimento delle normative relative alle sostante nocive (intercettazione di materiali specifici);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arredi e strumentazioni tecnologiche per le innovazioni didattiche;</w:t>
      </w:r>
    </w:p>
    <w:p w:rsidR="00344555" w:rsidRPr="00344555" w:rsidRDefault="00344555" w:rsidP="00344555">
      <w:pPr>
        <w:numPr>
          <w:ilvl w:val="0"/>
          <w:numId w:val="19"/>
        </w:numPr>
        <w:spacing w:before="120"/>
        <w:ind w:left="284" w:hanging="284"/>
        <w:jc w:val="left"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10% aggiuntivo dovuto all’incremento dei costi del periodo 2017-2021.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 xml:space="preserve">Si sottolinea inoltre che attualmente è presente una rete interrata complessa e disordinata di </w:t>
      </w:r>
      <w:r w:rsidRPr="00344555">
        <w:rPr>
          <w:rFonts w:eastAsia="Calibri" w:cs="Arial"/>
          <w:b/>
          <w:bCs/>
          <w:sz w:val="24"/>
          <w:szCs w:val="24"/>
          <w:lang w:val="it-IT"/>
        </w:rPr>
        <w:t>infrastrutture</w:t>
      </w:r>
      <w:r w:rsidRPr="00344555">
        <w:rPr>
          <w:rFonts w:eastAsia="Calibri" w:cs="Arial"/>
          <w:sz w:val="24"/>
          <w:szCs w:val="24"/>
          <w:lang w:val="it-IT"/>
        </w:rPr>
        <w:t>. Si intende quindi procedere con un potenziamento ed una razionalizzazione delle linee di fornitura verso gli attuali edifici e le future edificazioni. Ci saranno nuove opere e vi sarà la sistemazione esterna del comparto ma, per alcuni segmenti del tracciato (es. forniture acqua potabile ed evacuazione acque reflue), sarà necessario fare interventi di sostituzione non procrastinabili.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Si prevedono altresì innovazioni anche per quanto concerne la produzione di calore per gli edifici del comparto ed i tracciati di teleriscaldamento.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 xml:space="preserve">Tutto ciò comporterà un </w:t>
      </w:r>
      <w:r w:rsidRPr="00344555">
        <w:rPr>
          <w:rFonts w:eastAsia="Calibri" w:cs="Arial"/>
          <w:b/>
          <w:bCs/>
          <w:sz w:val="24"/>
          <w:szCs w:val="24"/>
          <w:lang w:val="it-IT"/>
        </w:rPr>
        <w:t xml:space="preserve">costo preventivato aggiuntivo di </w:t>
      </w:r>
      <w:proofErr w:type="spellStart"/>
      <w:r w:rsidRPr="00344555">
        <w:rPr>
          <w:rFonts w:eastAsia="Calibri" w:cs="Arial"/>
          <w:b/>
          <w:bCs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b/>
          <w:bCs/>
          <w:sz w:val="24"/>
          <w:szCs w:val="24"/>
          <w:lang w:val="it-IT"/>
        </w:rPr>
        <w:t>. 500'000</w:t>
      </w:r>
      <w:r w:rsidRPr="00344555">
        <w:rPr>
          <w:rFonts w:eastAsia="Calibri" w:cs="Arial"/>
          <w:sz w:val="24"/>
          <w:szCs w:val="24"/>
          <w:lang w:val="it-IT"/>
        </w:rPr>
        <w:t>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 xml:space="preserve">Per quanto riguarda invece le </w:t>
      </w:r>
      <w:r w:rsidRPr="00344555">
        <w:rPr>
          <w:rFonts w:eastAsia="Calibri" w:cs="Arial"/>
          <w:b/>
          <w:bCs/>
          <w:sz w:val="24"/>
          <w:szCs w:val="24"/>
          <w:lang w:val="it-IT"/>
        </w:rPr>
        <w:t>infrastrutture e le attrezzature CSI e CERD</w:t>
      </w:r>
      <w:r w:rsidRPr="00344555">
        <w:rPr>
          <w:rFonts w:eastAsia="Calibri" w:cs="Arial"/>
          <w:sz w:val="24"/>
          <w:szCs w:val="24"/>
          <w:lang w:val="it-IT"/>
        </w:rPr>
        <w:t xml:space="preserve"> si prevedono costi supplementari di </w:t>
      </w:r>
      <w:proofErr w:type="spellStart"/>
      <w:r w:rsidRPr="00344555">
        <w:rPr>
          <w:rFonts w:eastAsia="Calibri" w:cs="Arial"/>
          <w:b/>
          <w:bCs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b/>
          <w:bCs/>
          <w:sz w:val="24"/>
          <w:szCs w:val="24"/>
          <w:lang w:val="it-IT"/>
        </w:rPr>
        <w:t>. 550'000</w:t>
      </w:r>
      <w:r w:rsidRPr="00344555">
        <w:rPr>
          <w:rFonts w:eastAsia="Calibri" w:cs="Arial"/>
          <w:sz w:val="24"/>
          <w:szCs w:val="24"/>
          <w:lang w:val="it-IT"/>
        </w:rPr>
        <w:t>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Alla cifra di 31'370'000 franchi che verrà investita per il Palazzo degli Studi (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PdS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 xml:space="preserve">) vanno quindi aggiunti i 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 xml:space="preserve"> 500'000 e 550'000 di cui sopra ma vanno sottratti il credito di progettazione disposto con Decreto legislativo del 27.1.2010 corrispondente a 980'000 franchi e il credito per l’aggiornamento del progetto e proseguimento della progettazione del restauro del 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PdS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 xml:space="preserve"> disposto con Decreto legislativo del 19.2.2018 corrispondente a 2'355'000 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 xml:space="preserve">. </w:t>
      </w:r>
      <w:r w:rsidRPr="00344555">
        <w:rPr>
          <w:rFonts w:eastAsia="Calibri" w:cs="Arial"/>
          <w:b/>
          <w:bCs/>
          <w:sz w:val="24"/>
          <w:szCs w:val="24"/>
          <w:lang w:val="it-IT"/>
        </w:rPr>
        <w:t xml:space="preserve">Questo porta la richiesta di credito a </w:t>
      </w:r>
      <w:proofErr w:type="spellStart"/>
      <w:r w:rsidRPr="00344555">
        <w:rPr>
          <w:rFonts w:eastAsia="Calibri" w:cs="Arial"/>
          <w:b/>
          <w:bCs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b/>
          <w:bCs/>
          <w:sz w:val="24"/>
          <w:szCs w:val="24"/>
          <w:lang w:val="it-IT"/>
        </w:rPr>
        <w:t xml:space="preserve"> 29'085'000.</w:t>
      </w:r>
      <w:r w:rsidRPr="00344555">
        <w:rPr>
          <w:rFonts w:eastAsia="Calibri" w:cs="Arial"/>
          <w:sz w:val="24"/>
          <w:szCs w:val="24"/>
          <w:lang w:val="it-IT"/>
        </w:rPr>
        <w:t xml:space="preserve"> Essa è contemplata nelle</w:t>
      </w:r>
      <w:r w:rsidRPr="00344555">
        <w:rPr>
          <w:rFonts w:eastAsia="Calibri" w:cs="Arial"/>
          <w:b/>
          <w:bCs/>
          <w:sz w:val="24"/>
          <w:szCs w:val="24"/>
          <w:lang w:val="it-IT"/>
        </w:rPr>
        <w:t xml:space="preserve"> Linee direttive e nel piano finanziario degli investimenti</w:t>
      </w:r>
      <w:r w:rsidRPr="00344555">
        <w:rPr>
          <w:rFonts w:eastAsia="Calibri" w:cs="Arial"/>
          <w:sz w:val="24"/>
          <w:szCs w:val="24"/>
          <w:lang w:val="it-IT"/>
        </w:rPr>
        <w:t>. Si segnala che un contributo di 700'000 franchi è previsto nel settore relativo alla protezione del territorio; contabilmente andrà a debito del conto “Restauro monumenti statali”.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 xml:space="preserve">Per il progetto in questione i costi di esercizio sono orientativamente calcolabili in complessivi </w:t>
      </w:r>
      <w:proofErr w:type="spellStart"/>
      <w:r w:rsidRPr="00344555">
        <w:rPr>
          <w:rFonts w:eastAsia="Calibri" w:cs="Arial"/>
          <w:sz w:val="24"/>
          <w:szCs w:val="24"/>
          <w:lang w:val="it-IT"/>
        </w:rPr>
        <w:t>fr</w:t>
      </w:r>
      <w:proofErr w:type="spellEnd"/>
      <w:r w:rsidRPr="00344555">
        <w:rPr>
          <w:rFonts w:eastAsia="Calibri" w:cs="Arial"/>
          <w:sz w:val="24"/>
          <w:szCs w:val="24"/>
          <w:lang w:val="it-IT"/>
        </w:rPr>
        <w:t>. 435'000 annui a partire dal 2026 ma è pressoché impensabile paragonare tale valore con la situazione attuale in quanto le superfici ed i volumi in uso sono nettamente inferiori a quanto verrà reso disponibile con il futuro assetto.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Vi saranno anche delle conseguenze sul personale impiegato e quindi sui salari (a titolo esemplificativo, la direzione sarà ridotta e gli insegnanti attualmente attivi nei licei Lugano 1 e 2 saranno distribuiti nelle tre future sedi).</w:t>
      </w:r>
    </w:p>
    <w:p w:rsid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344555">
        <w:rPr>
          <w:rFonts w:eastAsia="Calibri" w:cs="Times New Roman"/>
          <w:caps/>
          <w:sz w:val="24"/>
          <w:szCs w:val="24"/>
          <w:lang w:val="it-IT" w:eastAsia="it-IT"/>
        </w:rPr>
        <w:t>Delucidazioni in merito agli aspetti finanziari</w:t>
      </w: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  <w:r w:rsidRPr="00344555">
        <w:rPr>
          <w:rFonts w:eastAsia="Calibri" w:cs="Arial"/>
          <w:sz w:val="24"/>
          <w:szCs w:val="24"/>
          <w:lang w:val="it-IT"/>
        </w:rPr>
        <w:t>In data 12.12.2023 la Commissione gestione e finanze ha voluto approfondire l’incremento dei costi di costruzione ed ha quindi interrogato il Consiglio di Stato in merito alla tematica dell’aumento non indifferente dei costi del progetto (da 23'600'000 a 31'370'000 franchi). Lo stesso è entrato nel dettaglio per spiegare tale aumento. Riassumiamo i punti salienti qui di seguito che in parte riprendono e aggiornano quanto già espresso in precedenza:</w:t>
      </w:r>
    </w:p>
    <w:p w:rsid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lastRenderedPageBreak/>
        <w:t xml:space="preserve">Prestazioni del team di progettazione (+ 840'000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Rispetto al progetto iniziale, poi sospeso a causa di aggiornamenti strategici legati alla pianificazione logistica del comprensorio scolastico del Luganese, sono state elaborate tre varianti</w:t>
      </w:r>
      <w:r w:rsidR="00344555" w:rsidRPr="00344555">
        <w:rPr>
          <w:rFonts w:cs="Arial"/>
          <w:szCs w:val="24"/>
          <w:vertAlign w:val="superscript"/>
          <w:lang w:val="it-IT"/>
        </w:rPr>
        <w:footnoteReference w:id="1"/>
      </w:r>
      <w:r w:rsidR="00344555" w:rsidRPr="00344555">
        <w:rPr>
          <w:rFonts w:cs="Arial"/>
          <w:szCs w:val="24"/>
          <w:lang w:val="it-IT"/>
        </w:rPr>
        <w:t xml:space="preserve"> concernenti:</w:t>
      </w:r>
    </w:p>
    <w:p w:rsidR="00344555" w:rsidRPr="00344555" w:rsidRDefault="00344555" w:rsidP="001E701D">
      <w:pPr>
        <w:pStyle w:val="StandardRisoluzionedelConsigliodiStato"/>
        <w:numPr>
          <w:ilvl w:val="0"/>
          <w:numId w:val="22"/>
        </w:numPr>
        <w:tabs>
          <w:tab w:val="left" w:pos="284"/>
          <w:tab w:val="left" w:pos="567"/>
        </w:tabs>
        <w:spacing w:before="60"/>
        <w:ind w:left="284" w:firstLine="0"/>
        <w:rPr>
          <w:rFonts w:cs="Arial"/>
          <w:szCs w:val="24"/>
          <w:lang w:val="it-IT"/>
        </w:rPr>
      </w:pPr>
      <w:r w:rsidRPr="00344555">
        <w:rPr>
          <w:rFonts w:cs="Arial"/>
          <w:szCs w:val="24"/>
          <w:lang w:val="it-IT"/>
        </w:rPr>
        <w:t xml:space="preserve">Progetto di fattibilità per insediare nel </w:t>
      </w:r>
      <w:proofErr w:type="spellStart"/>
      <w:r w:rsidRPr="00344555">
        <w:rPr>
          <w:rFonts w:cs="Arial"/>
          <w:szCs w:val="24"/>
          <w:lang w:val="it-IT"/>
        </w:rPr>
        <w:t>PdS</w:t>
      </w:r>
      <w:proofErr w:type="spellEnd"/>
      <w:r w:rsidRPr="00344555">
        <w:rPr>
          <w:rFonts w:cs="Arial"/>
          <w:szCs w:val="24"/>
          <w:lang w:val="it-IT"/>
        </w:rPr>
        <w:t xml:space="preserve"> 36 sezioni (=650 allievi) oltre a tutti gli </w:t>
      </w:r>
      <w:r w:rsidR="001E701D">
        <w:rPr>
          <w:rFonts w:cs="Arial"/>
          <w:szCs w:val="24"/>
          <w:lang w:val="it-IT"/>
        </w:rPr>
        <w:tab/>
      </w:r>
      <w:r w:rsidRPr="00344555">
        <w:rPr>
          <w:rFonts w:cs="Arial"/>
          <w:szCs w:val="24"/>
          <w:lang w:val="it-IT"/>
        </w:rPr>
        <w:t>spazi didattici correlati alla dismissione del Palazzetto delle Scienze.</w:t>
      </w:r>
    </w:p>
    <w:p w:rsidR="00344555" w:rsidRPr="00344555" w:rsidRDefault="00344555" w:rsidP="001E701D">
      <w:pPr>
        <w:pStyle w:val="StandardRisoluzionedelConsigliodiStato"/>
        <w:numPr>
          <w:ilvl w:val="0"/>
          <w:numId w:val="22"/>
        </w:numPr>
        <w:tabs>
          <w:tab w:val="left" w:pos="284"/>
          <w:tab w:val="left" w:pos="567"/>
        </w:tabs>
        <w:spacing w:before="60"/>
        <w:ind w:left="284" w:firstLine="0"/>
        <w:rPr>
          <w:rFonts w:cs="Arial"/>
          <w:szCs w:val="24"/>
          <w:lang w:val="it-IT"/>
        </w:rPr>
      </w:pPr>
      <w:r w:rsidRPr="00344555">
        <w:rPr>
          <w:rFonts w:cs="Arial"/>
          <w:szCs w:val="24"/>
          <w:lang w:val="it-IT"/>
        </w:rPr>
        <w:t>Allestimento di un nuovo progetto con spazi interni concepiti per ospitare 650 alunni.</w:t>
      </w:r>
    </w:p>
    <w:p w:rsidR="00344555" w:rsidRPr="00344555" w:rsidRDefault="00344555" w:rsidP="001E701D">
      <w:pPr>
        <w:pStyle w:val="StandardRisoluzionedelConsigliodiStato"/>
        <w:numPr>
          <w:ilvl w:val="0"/>
          <w:numId w:val="22"/>
        </w:numPr>
        <w:tabs>
          <w:tab w:val="left" w:pos="284"/>
          <w:tab w:val="left" w:pos="567"/>
        </w:tabs>
        <w:spacing w:before="60"/>
        <w:ind w:left="284" w:firstLine="0"/>
        <w:rPr>
          <w:rFonts w:cs="Arial"/>
          <w:szCs w:val="24"/>
          <w:lang w:val="it-IT"/>
        </w:rPr>
      </w:pPr>
      <w:r w:rsidRPr="00344555">
        <w:rPr>
          <w:rFonts w:cs="Arial"/>
          <w:szCs w:val="24"/>
          <w:lang w:val="it-IT"/>
        </w:rPr>
        <w:t xml:space="preserve">Aggiornamento del progetto dovuto all’inasprimento delle norme sulla presenza di </w:t>
      </w:r>
      <w:r w:rsidR="001E701D">
        <w:rPr>
          <w:rFonts w:cs="Arial"/>
          <w:szCs w:val="24"/>
          <w:lang w:val="it-IT"/>
        </w:rPr>
        <w:tab/>
      </w:r>
      <w:r w:rsidRPr="00344555">
        <w:rPr>
          <w:rFonts w:cs="Arial"/>
          <w:szCs w:val="24"/>
          <w:lang w:val="it-IT"/>
        </w:rPr>
        <w:t xml:space="preserve">materiali pericolosi (a partire da gennaio 2020) e alla revisione del concetto di </w:t>
      </w:r>
      <w:r w:rsidR="001E701D">
        <w:rPr>
          <w:rFonts w:cs="Arial"/>
          <w:szCs w:val="24"/>
          <w:lang w:val="it-IT"/>
        </w:rPr>
        <w:tab/>
      </w:r>
      <w:r w:rsidRPr="00344555">
        <w:rPr>
          <w:rFonts w:cs="Arial"/>
          <w:szCs w:val="24"/>
          <w:lang w:val="it-IT"/>
        </w:rPr>
        <w:t>protezione sismica (nuove norme entrate in vigore a fine 2017).</w:t>
      </w:r>
    </w:p>
    <w:p w:rsidR="00344555" w:rsidRPr="00344555" w:rsidRDefault="00344555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t xml:space="preserve">Nuovi contenuti, aule e laboratori scientifici (+ 450'000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In particolare qui si contemplano rivestimenti e pavimenti adatti alle sollecitazioni meccaniche e chimiche, porte con maggiori protezioni antincendio, passaggi tecnici, tende e partizioni mobili nei laboratori per gli insegnamenti di gruppo.</w:t>
      </w:r>
    </w:p>
    <w:p w:rsidR="00344555" w:rsidRPr="00344555" w:rsidRDefault="00344555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t xml:space="preserve">Tecnica dell’edificio (+ 1'450'000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 xml:space="preserve">Dal 2032 si passerà dal riscaldamento tramite gas ad una nuova centrale termica che userà l’acqua come vettore rinnovabile trasformata grazie a termopompe. Questo comporterà una completa ristrutturazione delle linee di distribuzione e degli elementi di diffusione del calore. 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Per ciò che concerne gli impianti idraulici i costi aggiuntivi riguardano la reintroduzione delle “lavagne nere” (con conseguente necessità di lavabi in ogni aula) e l’inserimento di lavamani nelle cabine dei servizi igienici.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Anche per quanto riguarda gli impianti di ventilazione vi sono dei supplementi.</w:t>
      </w:r>
    </w:p>
    <w:p w:rsidR="00344555" w:rsidRPr="00344555" w:rsidRDefault="00344555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t xml:space="preserve">Aggiornamento del progetto di rinforzo sismico (+300'000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Il valore del materiale storico-culturale dell’edificio ha portato ad avvalersi di un consulente esterno per valutare le proposte di intervento e adeguamento sismico prima di procedere. Si è optato per un approccio basato sull’analisi degli spostamenti e si è quindi stabilito di ridurre gli interventi edili pur rispettando la conformità al nuovo regolamento.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I costi supplementari sono perlopiù da ricondurre alle opere di ancoraggio degli attici e settori dei coronamenti dell’edificio.</w:t>
      </w:r>
    </w:p>
    <w:p w:rsidR="00344555" w:rsidRPr="00344555" w:rsidRDefault="00344555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t xml:space="preserve">Dismissione degli elementi di sicurezza (ancoraggi, golfari, reti di contenimento) e interventi di ripristino degli elementi edili danneggiati dagli ancoraggi (+ 300'000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1E701D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Si è convenuto che occorreva rimuovere e smaltire le reti di contenimento installate in 49 aule nelle vacanze scolastiche invernali 2015/2016 nonché le attività necessarie per eliminare gli ancoraggi e ripristinare parzialmente le murature e le superfici intonacate.</w:t>
      </w:r>
    </w:p>
    <w:p w:rsidR="001E701D" w:rsidRDefault="001E701D">
      <w:pPr>
        <w:rPr>
          <w:rFonts w:cs="Arial"/>
          <w:sz w:val="24"/>
          <w:szCs w:val="24"/>
          <w:lang w:val="it-IT"/>
        </w:rPr>
      </w:pPr>
      <w:r>
        <w:rPr>
          <w:rFonts w:cs="Arial"/>
          <w:szCs w:val="24"/>
          <w:lang w:val="it-IT"/>
        </w:rPr>
        <w:br w:type="page"/>
      </w: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lastRenderedPageBreak/>
        <w:t xml:space="preserve">Accresciute esigenze nell’ambito del restauro conservativo (+ 285'000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In fase di progettazione, l’Ufficio dei beni culturali ha ritenuto opportuno preservare e restaurare le scale interne dei locali posti a lato dello scalone monumentale portando così ad un adattamento dei contenuti dei locali ai piani interrato, terreno e ammezzato e, di conseguenza, ad un riposizionamento dell’ascensore e alla necessità di installare una piattaforma per disabili nell’ingresso principale. Anche il collegamento originale tra il corridoio principale al piano terra ed il pianerottolo delle scale su ambo i lati viene ripristinato.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 xml:space="preserve">Si va pure nella direzione di recuperare le porte delle aule tramite un approccio di restauro degli infissi tenendo altresì in considerazione le mutate ordinanze in materia di sicurezza antincendio, l’applicazione del </w:t>
      </w:r>
      <w:proofErr w:type="spellStart"/>
      <w:r w:rsidR="00344555" w:rsidRPr="00344555">
        <w:rPr>
          <w:rFonts w:cs="Arial"/>
          <w:szCs w:val="24"/>
          <w:lang w:val="it-IT"/>
        </w:rPr>
        <w:t>masterplan</w:t>
      </w:r>
      <w:proofErr w:type="spellEnd"/>
      <w:r w:rsidR="00344555" w:rsidRPr="00344555">
        <w:rPr>
          <w:rFonts w:cs="Arial"/>
          <w:szCs w:val="24"/>
          <w:lang w:val="it-IT"/>
        </w:rPr>
        <w:t xml:space="preserve"> informatico con chiusure elettroniche, le esigenze foniche, ecc.</w:t>
      </w:r>
    </w:p>
    <w:p w:rsidR="00344555" w:rsidRPr="00344555" w:rsidRDefault="00344555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t xml:space="preserve">Materiali pericolosi (+755'000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 xml:space="preserve">L’accresciuta spesa è in questo caso legata alla presenza di piombo nelle vernici. Esso verrà trattato e confinato nelle vernici delle pareti (fino a 200 cm di altezza </w:t>
      </w:r>
      <w:proofErr w:type="spellStart"/>
      <w:r w:rsidR="00344555" w:rsidRPr="00344555">
        <w:rPr>
          <w:rFonts w:cs="Arial"/>
          <w:szCs w:val="24"/>
          <w:lang w:val="it-IT"/>
        </w:rPr>
        <w:t>ca</w:t>
      </w:r>
      <w:proofErr w:type="spellEnd"/>
      <w:r w:rsidR="00344555" w:rsidRPr="00344555">
        <w:rPr>
          <w:rFonts w:cs="Arial"/>
          <w:szCs w:val="24"/>
          <w:lang w:val="it-IT"/>
        </w:rPr>
        <w:t>.) applicando pure dei sottili strati minerali di protezione. Vi sarà pure un trattamento conservativo e di ripristino delle superfici lignee. A ciò vanno ad aggiungersi gli onorari degli esperti.</w:t>
      </w:r>
    </w:p>
    <w:p w:rsidR="00344555" w:rsidRPr="00344555" w:rsidRDefault="00344555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t xml:space="preserve">Innovazioni didattiche, esigenze didattiche (+830'000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In questo caso si tratta di spese supplementari dovute alla digitalizzazione e agli strumenti didattici (supporti didattici digitali, implementazione tecnologia WI-</w:t>
      </w:r>
      <w:proofErr w:type="gramStart"/>
      <w:r w:rsidR="00344555" w:rsidRPr="00344555">
        <w:rPr>
          <w:rFonts w:cs="Arial"/>
          <w:szCs w:val="24"/>
          <w:lang w:val="it-IT"/>
        </w:rPr>
        <w:t>FI,…</w:t>
      </w:r>
      <w:proofErr w:type="gramEnd"/>
      <w:r w:rsidR="00344555" w:rsidRPr="00344555">
        <w:rPr>
          <w:rFonts w:cs="Arial"/>
          <w:szCs w:val="24"/>
          <w:lang w:val="it-IT"/>
        </w:rPr>
        <w:t>) nonché all’adeguamento del progetto agli standard logistici dell’architettura scolastica (da tavoli doppi a tavoli singoli, dotazione di leggio docenti,…).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Essendovi inoltre l’opzione speciale Musica, il liceo di Lugano deve far fronte a spese legate all’insegnamento della musica (es. pareti mobili foniche).</w:t>
      </w:r>
    </w:p>
    <w:p w:rsidR="00344555" w:rsidRPr="00344555" w:rsidRDefault="00344555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</w:p>
    <w:p w:rsidR="00344555" w:rsidRPr="00344555" w:rsidRDefault="00344555" w:rsidP="001E701D">
      <w:pPr>
        <w:pStyle w:val="StandardRisoluzionedelConsigliodiStato"/>
        <w:numPr>
          <w:ilvl w:val="0"/>
          <w:numId w:val="21"/>
        </w:numPr>
        <w:tabs>
          <w:tab w:val="left" w:pos="284"/>
        </w:tabs>
        <w:spacing w:after="120"/>
        <w:ind w:left="284" w:hanging="284"/>
        <w:rPr>
          <w:b/>
          <w:lang w:val="it-IT" w:eastAsia="it-IT"/>
        </w:rPr>
      </w:pPr>
      <w:r w:rsidRPr="00344555">
        <w:rPr>
          <w:b/>
          <w:lang w:val="it-IT" w:eastAsia="it-IT"/>
        </w:rPr>
        <w:t xml:space="preserve">Rincaro dei costi di costruzione e adeguamento dell’importo IVA a partire dal 2024 (+2'560'000 </w:t>
      </w:r>
      <w:proofErr w:type="spellStart"/>
      <w:r w:rsidRPr="00344555">
        <w:rPr>
          <w:b/>
          <w:lang w:val="it-IT" w:eastAsia="it-IT"/>
        </w:rPr>
        <w:t>fr</w:t>
      </w:r>
      <w:proofErr w:type="spellEnd"/>
      <w:r w:rsidRPr="00344555">
        <w:rPr>
          <w:b/>
          <w:lang w:val="it-IT" w:eastAsia="it-IT"/>
        </w:rPr>
        <w:t>.)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Nel periodo 2017-2022 il rincaro si attesta al +13.5% (nel caso specifico, trattandosi di un restauro conservativo, siamo attorno al +10%).</w:t>
      </w:r>
    </w:p>
    <w:p w:rsidR="00344555" w:rsidRPr="00344555" w:rsidRDefault="001E701D" w:rsidP="001E701D">
      <w:pPr>
        <w:pStyle w:val="StandardRisoluzionedelConsigliodiStato"/>
        <w:tabs>
          <w:tab w:val="left" w:pos="284"/>
        </w:tabs>
        <w:ind w:left="284" w:hanging="284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ab/>
      </w:r>
      <w:r w:rsidR="00344555" w:rsidRPr="00344555">
        <w:rPr>
          <w:rFonts w:cs="Arial"/>
          <w:szCs w:val="24"/>
          <w:lang w:val="it-IT"/>
        </w:rPr>
        <w:t>Per quanto riguarda l’IVA, invece, il nuovo tasso in vigore dal 2024 comporta circa 200'000 franchi di costi aggiuntivi.</w:t>
      </w:r>
    </w:p>
    <w:p w:rsidR="00344555" w:rsidRPr="00344555" w:rsidRDefault="00344555" w:rsidP="00344555">
      <w:pPr>
        <w:ind w:left="720"/>
        <w:contextualSpacing/>
        <w:rPr>
          <w:rFonts w:eastAsia="Calibri" w:cs="Arial"/>
          <w:b/>
          <w:bCs/>
          <w:sz w:val="24"/>
          <w:szCs w:val="24"/>
          <w:lang w:val="it-IT"/>
        </w:rPr>
      </w:pPr>
    </w:p>
    <w:p w:rsidR="00344555" w:rsidRPr="00344555" w:rsidRDefault="00344555" w:rsidP="00344555">
      <w:pPr>
        <w:contextualSpacing/>
        <w:rPr>
          <w:rFonts w:eastAsia="Calibri" w:cs="Arial"/>
          <w:sz w:val="24"/>
          <w:szCs w:val="24"/>
          <w:lang w:val="it-IT"/>
        </w:rPr>
      </w:pPr>
    </w:p>
    <w:p w:rsidR="00344555" w:rsidRPr="00344555" w:rsidRDefault="00344555" w:rsidP="00344555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344555">
        <w:rPr>
          <w:rFonts w:eastAsia="Calibri" w:cs="Times New Roman"/>
          <w:caps/>
          <w:sz w:val="24"/>
          <w:szCs w:val="24"/>
          <w:lang w:val="it-IT" w:eastAsia="it-IT"/>
        </w:rPr>
        <w:t>Conclusioni</w:t>
      </w:r>
    </w:p>
    <w:p w:rsid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Come ben spiega il m</w:t>
      </w:r>
      <w:r w:rsidRPr="00344555">
        <w:rPr>
          <w:rFonts w:eastAsia="Times New Roman" w:cs="Arial"/>
          <w:sz w:val="24"/>
          <w:szCs w:val="24"/>
          <w:lang w:eastAsia="it-IT"/>
        </w:rPr>
        <w:t xml:space="preserve">essaggio, l’iter di </w:t>
      </w:r>
      <w:proofErr w:type="spellStart"/>
      <w:r w:rsidRPr="00344555">
        <w:rPr>
          <w:rFonts w:eastAsia="Times New Roman" w:cs="Arial"/>
          <w:sz w:val="24"/>
          <w:szCs w:val="24"/>
          <w:lang w:eastAsia="it-IT"/>
        </w:rPr>
        <w:t>ristutturazione</w:t>
      </w:r>
      <w:proofErr w:type="spellEnd"/>
      <w:r w:rsidRPr="00344555">
        <w:rPr>
          <w:rFonts w:eastAsia="Times New Roman" w:cs="Arial"/>
          <w:sz w:val="24"/>
          <w:szCs w:val="24"/>
          <w:lang w:eastAsia="it-IT"/>
        </w:rPr>
        <w:t xml:space="preserve"> non è stato lineare. Ha subìto un’interruzione ed ha dovuto essere ripensato secondo la riprogettazione del comparto per le esigenze scolastiche di Lugano e del luganese in generale. Va sottolineato che nell’ambito delle commesse pubbliche le soluzioni logistiche e di costruzione richieste sono concertate con il DECS affinché vi sia una visione completa e concreta del fabbisogno della scuola.</w:t>
      </w:r>
    </w:p>
    <w:p w:rsidR="001E701D" w:rsidRDefault="001E701D">
      <w:pPr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br w:type="page"/>
      </w:r>
    </w:p>
    <w:p w:rsid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 w:rsidRPr="00344555">
        <w:rPr>
          <w:rFonts w:eastAsia="Times New Roman" w:cs="Arial"/>
          <w:sz w:val="24"/>
          <w:szCs w:val="24"/>
          <w:lang w:eastAsia="it-IT"/>
        </w:rPr>
        <w:lastRenderedPageBreak/>
        <w:t>Gli interventi che ora sono previsti sono più massicci e più costosi, ma l’aumento dei costi di investimento - per il quale abbiamo con coscienza chiesto recentemente delle spiegazioni al Consiglio di Stato - è a nostro avviso giustificato e porterà a dei benefici per la città di Lugano, per gli studenti e, in maniera più estesa, per la collettività.</w:t>
      </w:r>
    </w:p>
    <w:p w:rsidR="00344555" w:rsidRP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</w:p>
    <w:p w:rsidR="00344555" w:rsidRP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 w:rsidRPr="00344555">
        <w:rPr>
          <w:rFonts w:eastAsia="Times New Roman" w:cs="Arial"/>
          <w:sz w:val="24"/>
          <w:szCs w:val="24"/>
          <w:lang w:eastAsia="it-IT"/>
        </w:rPr>
        <w:t xml:space="preserve">Non da ultimo, il progetto intende sì procedere con estrema attenzione per un edificio ritenuto </w:t>
      </w:r>
      <w:proofErr w:type="spellStart"/>
      <w:r w:rsidRPr="00344555">
        <w:rPr>
          <w:rFonts w:eastAsia="Times New Roman" w:cs="Arial"/>
          <w:sz w:val="24"/>
          <w:szCs w:val="24"/>
          <w:lang w:eastAsia="it-IT"/>
        </w:rPr>
        <w:t>archettonicamente</w:t>
      </w:r>
      <w:proofErr w:type="spellEnd"/>
      <w:r w:rsidRPr="00344555">
        <w:rPr>
          <w:rFonts w:eastAsia="Times New Roman" w:cs="Arial"/>
          <w:sz w:val="24"/>
          <w:szCs w:val="24"/>
          <w:lang w:eastAsia="it-IT"/>
        </w:rPr>
        <w:t xml:space="preserve"> molto significativo per il Ticino di inizio ‘900 ma, allo stesso tempo, desidera proporre degli spazi scolastici consoni e funzionali alle esigenze attuali della popolazione scolastica tenendo presente con lungimiranza l’intero comparto in cui l’edificio è inserito (si veda l’esempio della produzione di calore).</w:t>
      </w:r>
    </w:p>
    <w:p w:rsidR="00344555" w:rsidRP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</w:p>
    <w:p w:rsidR="00344555" w:rsidRP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 w:rsidRPr="00344555">
        <w:rPr>
          <w:rFonts w:eastAsia="Times New Roman" w:cs="Arial"/>
          <w:sz w:val="24"/>
          <w:szCs w:val="24"/>
          <w:lang w:eastAsia="it-IT"/>
        </w:rPr>
        <w:t xml:space="preserve">Sulla base di quanto precede la </w:t>
      </w:r>
      <w:r>
        <w:rPr>
          <w:rFonts w:eastAsia="Times New Roman" w:cs="Arial"/>
          <w:sz w:val="24"/>
          <w:szCs w:val="24"/>
          <w:lang w:eastAsia="it-IT"/>
        </w:rPr>
        <w:t>C</w:t>
      </w:r>
      <w:r w:rsidRPr="00344555">
        <w:rPr>
          <w:rFonts w:eastAsia="Times New Roman" w:cs="Arial"/>
          <w:sz w:val="24"/>
          <w:szCs w:val="24"/>
          <w:lang w:eastAsia="it-IT"/>
        </w:rPr>
        <w:t>ommissione gestione e finanze invita ad approvare lo stanziamento del credito in questione</w:t>
      </w:r>
      <w:r>
        <w:rPr>
          <w:rFonts w:eastAsia="Times New Roman" w:cs="Arial"/>
          <w:sz w:val="24"/>
          <w:szCs w:val="24"/>
          <w:lang w:eastAsia="it-IT"/>
        </w:rPr>
        <w:t>, aderendo al decreto legislativo</w:t>
      </w:r>
      <w:r w:rsidRPr="00344555">
        <w:rPr>
          <w:rFonts w:eastAsia="Times New Roman" w:cs="Arial"/>
          <w:sz w:val="24"/>
          <w:szCs w:val="24"/>
          <w:lang w:eastAsia="it-IT"/>
        </w:rPr>
        <w:t xml:space="preserve"> allegato al messaggio</w:t>
      </w:r>
      <w:r>
        <w:rPr>
          <w:rFonts w:eastAsia="Times New Roman" w:cs="Arial"/>
          <w:sz w:val="24"/>
          <w:szCs w:val="24"/>
          <w:lang w:eastAsia="it-IT"/>
        </w:rPr>
        <w:t xml:space="preserve"> governativo</w:t>
      </w:r>
      <w:r w:rsidRPr="00344555">
        <w:rPr>
          <w:rFonts w:eastAsia="Times New Roman" w:cs="Arial"/>
          <w:sz w:val="24"/>
          <w:szCs w:val="24"/>
          <w:lang w:eastAsia="it-IT"/>
        </w:rPr>
        <w:t>.</w:t>
      </w:r>
    </w:p>
    <w:p w:rsid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</w:p>
    <w:p w:rsidR="00344555" w:rsidRP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</w:p>
    <w:p w:rsidR="00344555" w:rsidRPr="00344555" w:rsidRDefault="00344555" w:rsidP="00344555">
      <w:pPr>
        <w:spacing w:after="120"/>
        <w:rPr>
          <w:rFonts w:eastAsia="Times New Roman" w:cs="Arial"/>
          <w:sz w:val="24"/>
          <w:szCs w:val="24"/>
          <w:lang w:eastAsia="it-IT"/>
        </w:rPr>
      </w:pPr>
      <w:r w:rsidRPr="00344555">
        <w:rPr>
          <w:rFonts w:eastAsia="Times New Roman" w:cs="Arial"/>
          <w:sz w:val="24"/>
          <w:szCs w:val="24"/>
          <w:lang w:eastAsia="it-IT"/>
        </w:rPr>
        <w:t>Per la Commissione gestione e finanze</w:t>
      </w:r>
      <w:r>
        <w:rPr>
          <w:rFonts w:eastAsia="Times New Roman" w:cs="Arial"/>
          <w:sz w:val="24"/>
          <w:szCs w:val="24"/>
          <w:lang w:eastAsia="it-IT"/>
        </w:rPr>
        <w:t>:</w:t>
      </w:r>
    </w:p>
    <w:p w:rsidR="00344555" w:rsidRPr="00344555" w:rsidRDefault="00344555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 w:rsidRPr="00344555">
        <w:rPr>
          <w:rFonts w:eastAsia="Times New Roman" w:cs="Arial"/>
          <w:sz w:val="24"/>
          <w:szCs w:val="24"/>
          <w:lang w:eastAsia="it-IT"/>
        </w:rPr>
        <w:t>Marco Passalia</w:t>
      </w:r>
      <w:r>
        <w:rPr>
          <w:rFonts w:eastAsia="Times New Roman" w:cs="Arial"/>
          <w:sz w:val="24"/>
          <w:szCs w:val="24"/>
          <w:lang w:eastAsia="it-IT"/>
        </w:rPr>
        <w:t>, relatore</w:t>
      </w:r>
    </w:p>
    <w:p w:rsidR="001E701D" w:rsidRDefault="001E701D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Agustoni - Balli - Bignasca - Bourgoin - Caprara -</w:t>
      </w:r>
    </w:p>
    <w:p w:rsidR="001E701D" w:rsidRDefault="001E701D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Dadò - Durisch - Ferrara - Galeazzi (con riserva) - </w:t>
      </w:r>
    </w:p>
    <w:p w:rsidR="001E701D" w:rsidRDefault="001E701D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Gendotti - </w:t>
      </w:r>
      <w:r w:rsidR="00344555" w:rsidRPr="00344555">
        <w:rPr>
          <w:rFonts w:eastAsia="Times New Roman" w:cs="Arial"/>
          <w:sz w:val="24"/>
          <w:szCs w:val="24"/>
          <w:lang w:eastAsia="it-IT"/>
        </w:rPr>
        <w:t>Gianella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344555">
        <w:rPr>
          <w:rFonts w:eastAsia="Times New Roman" w:cs="Arial"/>
          <w:sz w:val="24"/>
          <w:szCs w:val="24"/>
          <w:lang w:eastAsia="it-IT"/>
        </w:rPr>
        <w:t>Alessandra</w:t>
      </w:r>
      <w:r>
        <w:rPr>
          <w:rFonts w:eastAsia="Times New Roman" w:cs="Arial"/>
          <w:sz w:val="24"/>
          <w:szCs w:val="24"/>
          <w:lang w:eastAsia="it-IT"/>
        </w:rPr>
        <w:t xml:space="preserve"> - Quadranti - </w:t>
      </w:r>
    </w:p>
    <w:p w:rsidR="00344555" w:rsidRPr="00344555" w:rsidRDefault="001E701D" w:rsidP="00344555">
      <w:pPr>
        <w:contextualSpacing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Sirica - Speziali (con riserva) - </w:t>
      </w:r>
      <w:r w:rsidR="00344555" w:rsidRPr="00344555">
        <w:rPr>
          <w:rFonts w:eastAsia="Times New Roman" w:cs="Arial"/>
          <w:sz w:val="24"/>
          <w:szCs w:val="24"/>
          <w:lang w:eastAsia="it-IT"/>
        </w:rPr>
        <w:t>Soldati</w:t>
      </w:r>
    </w:p>
    <w:p w:rsidR="00FE4421" w:rsidRPr="00FE4421" w:rsidRDefault="00FE4421" w:rsidP="00D33940">
      <w:pPr>
        <w:pStyle w:val="StandardRisoluzionedelConsigliodiStato"/>
        <w:ind w:right="-1"/>
        <w:rPr>
          <w:b/>
          <w:szCs w:val="24"/>
        </w:rPr>
      </w:pPr>
    </w:p>
    <w:p w:rsidR="00FE4421" w:rsidRPr="00FE4421" w:rsidRDefault="00FE4421" w:rsidP="00D33940">
      <w:pPr>
        <w:pStyle w:val="StandardRisoluzionedelConsigliodiStato"/>
        <w:ind w:right="-1"/>
        <w:rPr>
          <w:b/>
          <w:szCs w:val="24"/>
        </w:rPr>
      </w:pPr>
    </w:p>
    <w:p w:rsidR="00D649A8" w:rsidRPr="00FE4421" w:rsidRDefault="00D649A8" w:rsidP="00D33940">
      <w:pPr>
        <w:pStyle w:val="StandardRisoluzionedelConsigliodiStato"/>
        <w:ind w:right="-1"/>
        <w:rPr>
          <w:szCs w:val="24"/>
        </w:rPr>
      </w:pPr>
    </w:p>
    <w:p w:rsidR="00D649A8" w:rsidRPr="00FE4421" w:rsidRDefault="00D649A8" w:rsidP="00D33940">
      <w:pPr>
        <w:pStyle w:val="StandardRisoluzionedelConsigliodiStato"/>
        <w:ind w:right="-1"/>
        <w:rPr>
          <w:szCs w:val="24"/>
        </w:rPr>
      </w:pPr>
    </w:p>
    <w:sectPr w:rsidR="00D649A8" w:rsidRPr="00FE4421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21" w:rsidRDefault="00FE4421" w:rsidP="00F657BF">
      <w:r>
        <w:separator/>
      </w:r>
    </w:p>
  </w:endnote>
  <w:endnote w:type="continuationSeparator" w:id="0">
    <w:p w:rsidR="00FE4421" w:rsidRDefault="00FE4421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21" w:rsidRDefault="00FE44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51448B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021BAB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021BAB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51448B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51448B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21" w:rsidRDefault="00FE4421" w:rsidP="00F657BF">
      <w:r>
        <w:separator/>
      </w:r>
    </w:p>
  </w:footnote>
  <w:footnote w:type="continuationSeparator" w:id="0">
    <w:p w:rsidR="00FE4421" w:rsidRDefault="00FE4421" w:rsidP="00F657BF">
      <w:r>
        <w:continuationSeparator/>
      </w:r>
    </w:p>
  </w:footnote>
  <w:footnote w:id="1">
    <w:p w:rsidR="00344555" w:rsidRPr="002F4173" w:rsidRDefault="00344555" w:rsidP="00344555">
      <w:pPr>
        <w:pStyle w:val="Testonotaapidipagina"/>
        <w:rPr>
          <w:lang w:val="it-CH"/>
        </w:rPr>
      </w:pPr>
      <w:r>
        <w:rPr>
          <w:rStyle w:val="Rimandonotaapidipagina"/>
        </w:rPr>
        <w:footnoteRef/>
      </w:r>
      <w:r w:rsidRPr="00344555">
        <w:rPr>
          <w:lang w:val="it-CH"/>
        </w:rPr>
        <w:t xml:space="preserve"> </w:t>
      </w:r>
      <w:r w:rsidRPr="00344555">
        <w:rPr>
          <w:rFonts w:ascii="Arial" w:hAnsi="Arial" w:cs="Arial"/>
          <w:sz w:val="20"/>
          <w:lang w:val="it-CH"/>
        </w:rPr>
        <w:t>con prestazioni di progettazione, allestimento di incarti per la domanda di costruzione, procedure di autorizzazione e così via già in atto e poi sospese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21" w:rsidRDefault="00FE44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51448B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E193E639-5EF1-461D-8936-266888698D47}"/>
              <w:text w:multiLine="1"/>
            </w:sdtPr>
            <w:sdtEndPr/>
            <w:sdtContent>
              <w:r w:rsidR="00021BAB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51448B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E193E639-5EF1-461D-8936-266888698D47}"/>
              <w:text w:multiLine="1"/>
            </w:sdtPr>
            <w:sdtEndPr/>
            <w:sdtContent>
              <w:r w:rsidR="00965FC4">
                <w:rPr>
                  <w:rFonts w:ascii="Gill Alt One MT Light" w:hAnsi="Gill Alt One MT Light"/>
                  <w:sz w:val="16"/>
                  <w:szCs w:val="16"/>
                </w:rPr>
                <w:t>Dipartimento delle finanze e dell’economia</w:t>
              </w:r>
              <w:r w:rsidR="00965FC4">
                <w:rPr>
                  <w:rFonts w:ascii="Gill Alt One MT Light" w:hAnsi="Gill Alt One MT Light"/>
                  <w:sz w:val="16"/>
                  <w:szCs w:val="16"/>
                </w:rPr>
                <w:br/>
                <w:t>Dipartimento dell'educazione, della cultura e dello sport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021BAB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112B51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112B51">
            <w:rPr>
              <w:noProof/>
              <w:sz w:val="24"/>
            </w:rPr>
            <w:t>6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E193E639-5EF1-461D-8936-266888698D47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FE4421" w:rsidRDefault="00FE4421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8308 R del 28 maggio 2024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FE4421" w:rsidRDefault="0051448B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021BAB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E193E639-5EF1-461D-8936-266888698D47}"/>
                            <w:text w:multiLine="1"/>
                          </w:sdtPr>
                          <w:sdtEndPr/>
                          <w:sdtContent>
                            <w:p w:rsidR="008065E8" w:rsidRPr="00411371" w:rsidRDefault="00021BAB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29FB2F84-F3A8-468F-A35B-639E09F14E58}"/>
                      <w:text w:multiLine="1"/>
                    </w:sdtPr>
                    <w:sdtEndPr/>
                    <w:sdtContent>
                      <w:p w:rsidR="008065E8" w:rsidRPr="00411371" w:rsidRDefault="00021BAB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51448B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021BAB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51448B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51448B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021BAB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423957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021BAB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8E2F0C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8E2F0C">
            <w:rPr>
              <w:rFonts w:asciiTheme="minorHAnsi" w:hAnsiTheme="minorHAnsi" w:cstheme="minorHAnsi"/>
              <w:noProof/>
              <w:sz w:val="24"/>
            </w:rPr>
            <w:t>6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E193E639-5EF1-461D-8936-266888698D47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FE4421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021BA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51448B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021BA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51448B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021BA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51448B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51448B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E193E639-5EF1-461D-8936-266888698D47}"/>
              <w:text w:multiLine="1"/>
            </w:sdtPr>
            <w:sdtEndPr/>
            <w:sdtContent>
              <w:r w:rsidR="00965FC4">
                <w:rPr>
                  <w:rFonts w:cstheme="minorHAnsi"/>
                  <w:b/>
                  <w:sz w:val="24"/>
                  <w:szCs w:val="24"/>
                </w:rPr>
                <w:t>8308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E193E639-5EF1-461D-8936-266888698D47}"/>
          <w:date w:fullDate="2024-05-28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FE4421" w:rsidP="00A532F6">
              <w:pPr>
                <w:pStyle w:val="Data"/>
              </w:pPr>
              <w:r>
                <w:rPr>
                  <w:sz w:val="24"/>
                </w:rPr>
                <w:t>28 maggio 2024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51448B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E193E639-5EF1-461D-8936-266888698D47}"/>
              <w:text w:multiLine="1"/>
            </w:sdtPr>
            <w:sdtEndPr/>
            <w:sdtContent>
              <w:r w:rsidR="00965FC4">
                <w:rPr>
                  <w:smallCaps/>
                  <w:sz w:val="23"/>
                  <w:szCs w:val="23"/>
                </w:rPr>
                <w:t>Dipartimento delle finanze e dell’economia</w:t>
              </w:r>
              <w:r w:rsidR="00965FC4">
                <w:rPr>
                  <w:smallCaps/>
                  <w:sz w:val="23"/>
                  <w:szCs w:val="23"/>
                </w:rPr>
                <w:br/>
                <w:t>Dipartimento dell'educazione, della cultura e dello sport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51448B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021BAB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961178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E193E639-5EF1-461D-8936-266888698D47}"/>
                            <w:text w:multiLine="1"/>
                          </w:sdtPr>
                          <w:sdtEndPr/>
                          <w:sdtContent>
                            <w:p w:rsidR="00E93620" w:rsidRPr="00411371" w:rsidRDefault="00021BAB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29FB2F84-F3A8-468F-A35B-639E09F14E58}"/>
                      <w:text w:multiLine="1"/>
                    </w:sdtPr>
                    <w:sdtEndPr/>
                    <w:sdtContent>
                      <w:p w:rsidR="00E93620" w:rsidRPr="00411371" w:rsidRDefault="00021BAB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71592"/>
    <w:multiLevelType w:val="hybridMultilevel"/>
    <w:tmpl w:val="62B088C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8076E68"/>
    <w:multiLevelType w:val="hybridMultilevel"/>
    <w:tmpl w:val="41B89298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abstractNum w:abstractNumId="19" w15:restartNumberingAfterBreak="0">
    <w:nsid w:val="59BF48B3"/>
    <w:multiLevelType w:val="hybridMultilevel"/>
    <w:tmpl w:val="65FAC350"/>
    <w:lvl w:ilvl="0" w:tplc="2D0C8EF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4E142D"/>
    <w:multiLevelType w:val="hybridMultilevel"/>
    <w:tmpl w:val="EF9839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8572F"/>
    <w:multiLevelType w:val="hybridMultilevel"/>
    <w:tmpl w:val="E8524566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0"/>
  </w:num>
  <w:num w:numId="19">
    <w:abstractNumId w:val="10"/>
  </w:num>
  <w:num w:numId="20">
    <w:abstractNumId w:val="16"/>
  </w:num>
  <w:num w:numId="21">
    <w:abstractNumId w:val="21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21"/>
    <w:rsid w:val="00021BAB"/>
    <w:rsid w:val="0004210F"/>
    <w:rsid w:val="00112B51"/>
    <w:rsid w:val="00122D51"/>
    <w:rsid w:val="00130068"/>
    <w:rsid w:val="00155E26"/>
    <w:rsid w:val="001E701D"/>
    <w:rsid w:val="0020230C"/>
    <w:rsid w:val="002430D3"/>
    <w:rsid w:val="002B5D9F"/>
    <w:rsid w:val="00344555"/>
    <w:rsid w:val="003B756D"/>
    <w:rsid w:val="00403ADB"/>
    <w:rsid w:val="00417A69"/>
    <w:rsid w:val="0051448B"/>
    <w:rsid w:val="00572FD3"/>
    <w:rsid w:val="008720C4"/>
    <w:rsid w:val="008E2F0C"/>
    <w:rsid w:val="008F52AF"/>
    <w:rsid w:val="00965FC4"/>
    <w:rsid w:val="00971CEB"/>
    <w:rsid w:val="009C409F"/>
    <w:rsid w:val="009C5E5A"/>
    <w:rsid w:val="009D3EA6"/>
    <w:rsid w:val="00AF0268"/>
    <w:rsid w:val="00BC23D4"/>
    <w:rsid w:val="00BF0A1F"/>
    <w:rsid w:val="00D33940"/>
    <w:rsid w:val="00D600FD"/>
    <w:rsid w:val="00D649A8"/>
    <w:rsid w:val="00DB70AF"/>
    <w:rsid w:val="00EB088A"/>
    <w:rsid w:val="00ED76E9"/>
    <w:rsid w:val="00F311B4"/>
    <w:rsid w:val="00F657BF"/>
    <w:rsid w:val="00FC45EE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6A9E1C3-CAEA-4BAA-858C-C43B4C4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0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068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76d9d123-fc3e-4d28-8cad-1910956414a0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42395713</Id>
      <Width>0</Width>
      <Height>0</Height>
      <XPath>//Image[@id='Profile.Org.WappenSW']</XPath>
      <ImageHash>02f1c0cdac6aeac316213b2e7cb733a0</ImageHash>
    </ImageSizeDefinition>
    <ImageSizeDefinition>
      <Id>1961178321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6 d 5 c b 6 8 - b 8 0 e - 4 d b 5 - 9 0 9 d - 0 e e 0 2 a c e a 0 e 3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4 - 0 5 - 3 1 T 1 3 : 1 7 : 3 7 . 2 8 3 8 8 3 6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l e   f i n a n z e   e   d e l l  e c o n o m i a  
 D i p a r t i m e n t o   d e l l ' e d u c a z i o n e ,   d e l l a   c u l t u r a   e   d e l l o   s p o r t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3 0 8   R   d e l   2 8   m a g g i o   2 0 2 4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e   f i n a n z e   e   d e l l  e c o n o m i a  
 D i p a r t i m e n t o   d e l l ' e d u c a z i o n e ,   d e l l a   c u l t u r a   e   d e l l o   s p o r t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3 0 8   R   d e l   2 8   m a g g i o   2 0 2 4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 2 0 2 4 - 0 5 - 2 8 T 0 0 : 0 0 : 0 0 Z < / D a t e T i m e >  
                 < T e x t   i d = " D o c P a r a m . N u m b e r " > < ! [ C D A T A [ 8 3 0 8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e   f i n a n z e   e   d e l l  e c o n o m i a ] ] > < / T e x t >  
                 < T e x t   i d = " D o c P a r a m . A l t r i D i p a r t i m e n t i " > < ! [ C D A T A [ D i p a r t i m e n t o   d e l l ' e d u c a z i o n e ,   d e l l a   c u l t u r a   e   d e l l o   s p o r t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625C58FB-3471-4F3F-849F-3E61AAE149D7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E193E639-5EF1-461D-8936-266888698D47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76d9d123-fc3e-4d28-8cad-1910956414a0.dotx</Template>
  <TotalTime>22</TotalTime>
  <Pages>6</Pages>
  <Words>2311</Words>
  <Characters>13179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22</cp:revision>
  <cp:lastPrinted>2024-06-03T08:43:00Z</cp:lastPrinted>
  <dcterms:created xsi:type="dcterms:W3CDTF">2024-05-31T13:18:00Z</dcterms:created>
  <dcterms:modified xsi:type="dcterms:W3CDTF">2024-06-03T08:46:00Z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