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6B7287" w:rsidRDefault="006B7287" w:rsidP="00D33940">
      <w:pPr>
        <w:pStyle w:val="StandardRisoluzionedelConsigliodiStato"/>
        <w:ind w:right="-1"/>
        <w:rPr>
          <w:b/>
          <w:sz w:val="28"/>
          <w:szCs w:val="28"/>
        </w:rPr>
      </w:pPr>
      <w:r w:rsidRPr="006B7287">
        <w:rPr>
          <w:b/>
          <w:sz w:val="28"/>
          <w:szCs w:val="28"/>
        </w:rPr>
        <w:t>della Commissione gestione e finanze</w:t>
      </w:r>
    </w:p>
    <w:p w:rsidR="006B7287" w:rsidRDefault="006B7287" w:rsidP="006B7287">
      <w:pPr>
        <w:pStyle w:val="StandardRisoluzionedelConsigliodiStato"/>
        <w:ind w:right="-1"/>
        <w:rPr>
          <w:b/>
          <w:sz w:val="28"/>
          <w:szCs w:val="28"/>
        </w:rPr>
      </w:pPr>
      <w:r w:rsidRPr="006B7287">
        <w:rPr>
          <w:b/>
          <w:sz w:val="28"/>
          <w:szCs w:val="28"/>
        </w:rPr>
        <w:t>sul messaggio 30 aprile 2024 concernente una richiesta di un credito di 8’418’000 franchi e un’autorizzazione alla spesa di 17’253’000 franchi per la progettazione e la realizzazione di diverse opere di mobilità del Programma d’agglomerato del Mendrisiotto (PAM) e per il supporto tecnico svolto da parte della Commissione regionale dei trasporti del Mendrisiotto e Basso Ceresio (CRTM) nel periodo 2024-2027</w:t>
      </w:r>
    </w:p>
    <w:p w:rsidR="006B7287" w:rsidRPr="006B7287" w:rsidRDefault="006B7287" w:rsidP="006B7287">
      <w:pPr>
        <w:pStyle w:val="StandardRisoluzionedelConsigliodiStato"/>
        <w:ind w:right="-1"/>
        <w:rPr>
          <w:b/>
          <w:szCs w:val="24"/>
        </w:rPr>
      </w:pPr>
    </w:p>
    <w:p w:rsidR="006B7287" w:rsidRPr="006B7287" w:rsidRDefault="006B7287" w:rsidP="006B7287">
      <w:pPr>
        <w:pStyle w:val="StandardRisoluzionedelConsigliodiStato"/>
        <w:ind w:right="-1"/>
        <w:rPr>
          <w:b/>
          <w:szCs w:val="24"/>
        </w:rPr>
      </w:pPr>
    </w:p>
    <w:p w:rsidR="006B7287" w:rsidRPr="00173EB3" w:rsidRDefault="006B7287" w:rsidP="006B7287">
      <w:pPr>
        <w:pStyle w:val="StandardRisoluzionedelConsigliodiStato"/>
        <w:ind w:right="-1"/>
        <w:rPr>
          <w:b/>
          <w:bCs/>
        </w:rPr>
      </w:pPr>
    </w:p>
    <w:p w:rsidR="006B7287" w:rsidRPr="00F36404" w:rsidRDefault="006B7287" w:rsidP="00F36404">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F36404">
        <w:rPr>
          <w:rFonts w:eastAsia="Calibri" w:cs="Times New Roman"/>
          <w:caps/>
          <w:sz w:val="24"/>
          <w:szCs w:val="24"/>
          <w:lang w:val="it-IT" w:eastAsia="it-IT"/>
        </w:rPr>
        <w:t>Introduzione</w:t>
      </w:r>
    </w:p>
    <w:p w:rsidR="006B7287" w:rsidRDefault="006B7287" w:rsidP="006B7287">
      <w:pPr>
        <w:pStyle w:val="StandardRisoluzionedelConsigliodiStato"/>
        <w:ind w:right="-1"/>
        <w:rPr>
          <w:szCs w:val="24"/>
        </w:rPr>
      </w:pPr>
      <w:r w:rsidRPr="00173EB3">
        <w:t>C</w:t>
      </w:r>
      <w:r w:rsidR="00F36404">
        <w:t>on il m</w:t>
      </w:r>
      <w:r w:rsidRPr="00173EB3">
        <w:t xml:space="preserve">essaggio del </w:t>
      </w:r>
      <w:r>
        <w:t>30 aprile 2024</w:t>
      </w:r>
      <w:r w:rsidRPr="00173EB3">
        <w:t xml:space="preserve"> il Consiglio di Stato chiede la concessione di un credito di </w:t>
      </w:r>
      <w:r w:rsidRPr="00173EB3">
        <w:rPr>
          <w:szCs w:val="24"/>
        </w:rPr>
        <w:t>fr. 5’905’000.-</w:t>
      </w:r>
      <w:r>
        <w:rPr>
          <w:szCs w:val="24"/>
        </w:rPr>
        <w:t xml:space="preserve"> </w:t>
      </w:r>
      <w:r w:rsidRPr="002F1880">
        <w:rPr>
          <w:szCs w:val="24"/>
        </w:rPr>
        <w:t>credito di 8’418’000 franchi e un’autorizzazione alla spesa di 17’253’000 franchi per la progettazione e la realizzazione di diverse opere di mobilità del Programma d’agglomerato del Mendrisiotto (PAM) e per il supporto tecnico svolto da parte della Commissione regionale dei trasporti del Mendrisiotto e Basso Ceresio (CRTM) nel periodo 2024-2027</w:t>
      </w:r>
      <w:r>
        <w:rPr>
          <w:szCs w:val="24"/>
        </w:rPr>
        <w:t>.</w:t>
      </w:r>
    </w:p>
    <w:p w:rsidR="006B7287" w:rsidRDefault="006B7287" w:rsidP="006B7287">
      <w:pPr>
        <w:pStyle w:val="StandardRisoluzionedelConsigliodiStato"/>
        <w:ind w:right="-1"/>
        <w:rPr>
          <w:szCs w:val="24"/>
        </w:rPr>
      </w:pPr>
    </w:p>
    <w:p w:rsidR="006B7287" w:rsidRPr="0072384D" w:rsidRDefault="006B7287" w:rsidP="006B7287">
      <w:pPr>
        <w:tabs>
          <w:tab w:val="left" w:pos="3686"/>
          <w:tab w:val="right" w:pos="5670"/>
          <w:tab w:val="left" w:pos="5812"/>
        </w:tabs>
        <w:suppressAutoHyphens/>
        <w:spacing w:after="120"/>
        <w:rPr>
          <w:sz w:val="24"/>
          <w:szCs w:val="24"/>
        </w:rPr>
      </w:pPr>
      <w:r w:rsidRPr="00A5390E">
        <w:rPr>
          <w:sz w:val="24"/>
          <w:szCs w:val="24"/>
        </w:rPr>
        <w:t>In estrema sintesi, il Messaggio propone lo stanziamento del credito destinato alla realizzazione di quattro distinti interventi del Programma d’agglomerato di terza generazione (PAM3) che a seguito dello sviluppo progettuale sono ora pronti per l’esecuzione e la cui progettazione era già stata oggetto di credito richiesto con il Messaggio no. 7996 del 14 maggio 2021, e meglio.</w:t>
      </w:r>
    </w:p>
    <w:p w:rsidR="006B7287" w:rsidRPr="00A5390E" w:rsidRDefault="006B7287" w:rsidP="00F36404">
      <w:pPr>
        <w:pStyle w:val="Paragrafoelenco"/>
        <w:numPr>
          <w:ilvl w:val="0"/>
          <w:numId w:val="19"/>
        </w:numPr>
        <w:tabs>
          <w:tab w:val="left" w:pos="284"/>
          <w:tab w:val="left" w:pos="3686"/>
          <w:tab w:val="right" w:pos="5670"/>
          <w:tab w:val="left" w:pos="5812"/>
        </w:tabs>
        <w:suppressAutoHyphens/>
        <w:spacing w:after="120"/>
        <w:ind w:left="284" w:hanging="284"/>
        <w:rPr>
          <w:sz w:val="24"/>
          <w:szCs w:val="24"/>
        </w:rPr>
      </w:pPr>
      <w:r w:rsidRPr="00A5390E">
        <w:rPr>
          <w:sz w:val="24"/>
          <w:szCs w:val="24"/>
        </w:rPr>
        <w:t>PAM3 Misura ML 2.2 Collegamento verticale ciclopedonale tramite ascensore tra la fermata TILO e la fermata bus Bellavista a Balerna;</w:t>
      </w:r>
    </w:p>
    <w:p w:rsidR="006B7287" w:rsidRPr="00070210" w:rsidRDefault="006B7287" w:rsidP="00F36404">
      <w:pPr>
        <w:pStyle w:val="Paragrafoelenco"/>
        <w:numPr>
          <w:ilvl w:val="0"/>
          <w:numId w:val="19"/>
        </w:numPr>
        <w:tabs>
          <w:tab w:val="left" w:pos="284"/>
          <w:tab w:val="left" w:pos="3686"/>
          <w:tab w:val="right" w:pos="5670"/>
          <w:tab w:val="left" w:pos="5812"/>
        </w:tabs>
        <w:suppressAutoHyphens/>
        <w:spacing w:after="120"/>
        <w:ind w:left="284" w:hanging="284"/>
        <w:rPr>
          <w:sz w:val="24"/>
          <w:szCs w:val="24"/>
        </w:rPr>
      </w:pPr>
      <w:r w:rsidRPr="00070210">
        <w:rPr>
          <w:sz w:val="24"/>
          <w:szCs w:val="24"/>
        </w:rPr>
        <w:t>PAM3 Misura TP 3.1 Velocizzazione del TP su gomma sui principali assi</w:t>
      </w:r>
      <w:r>
        <w:rPr>
          <w:sz w:val="24"/>
          <w:szCs w:val="24"/>
        </w:rPr>
        <w:t xml:space="preserve"> </w:t>
      </w:r>
      <w:r w:rsidRPr="00070210">
        <w:rPr>
          <w:sz w:val="24"/>
          <w:szCs w:val="24"/>
        </w:rPr>
        <w:t>transfrontalieri in uscita verso l’Italia-Via Gaggiolo a Stabio.</w:t>
      </w:r>
    </w:p>
    <w:p w:rsidR="006B7287" w:rsidRPr="00070210" w:rsidRDefault="006B7287" w:rsidP="00F36404">
      <w:pPr>
        <w:pStyle w:val="Paragrafoelenco"/>
        <w:numPr>
          <w:ilvl w:val="0"/>
          <w:numId w:val="19"/>
        </w:numPr>
        <w:tabs>
          <w:tab w:val="left" w:pos="284"/>
          <w:tab w:val="left" w:pos="3686"/>
          <w:tab w:val="right" w:pos="5670"/>
          <w:tab w:val="left" w:pos="5812"/>
        </w:tabs>
        <w:suppressAutoHyphens/>
        <w:spacing w:after="120"/>
        <w:ind w:left="284" w:hanging="284"/>
        <w:rPr>
          <w:sz w:val="24"/>
          <w:szCs w:val="24"/>
        </w:rPr>
      </w:pPr>
      <w:r w:rsidRPr="00070210">
        <w:rPr>
          <w:sz w:val="24"/>
          <w:szCs w:val="24"/>
        </w:rPr>
        <w:t>PAM3 Misura TP 3.2 Velocizzazione del TP su gomma sui principali assi transfrontalieri in uscita verso l’Italia tra Novazzano e Mendrisio-Genestrerio.</w:t>
      </w:r>
    </w:p>
    <w:p w:rsidR="006B7287" w:rsidRPr="00173EB3" w:rsidRDefault="006B7287" w:rsidP="00F36404">
      <w:pPr>
        <w:pStyle w:val="Paragrafoelenco"/>
        <w:numPr>
          <w:ilvl w:val="0"/>
          <w:numId w:val="19"/>
        </w:numPr>
        <w:tabs>
          <w:tab w:val="left" w:pos="284"/>
          <w:tab w:val="left" w:pos="709"/>
          <w:tab w:val="left" w:pos="3686"/>
          <w:tab w:val="right" w:pos="5670"/>
          <w:tab w:val="left" w:pos="5812"/>
        </w:tabs>
        <w:suppressAutoHyphens/>
        <w:spacing w:after="120"/>
        <w:ind w:left="284" w:hanging="284"/>
      </w:pPr>
      <w:r w:rsidRPr="00A5390E">
        <w:rPr>
          <w:sz w:val="24"/>
          <w:szCs w:val="24"/>
        </w:rPr>
        <w:t>PAM3 Misura ML 7 Collegamento ciclopedonale tra i Comuni di Bissone e</w:t>
      </w:r>
      <w:r>
        <w:rPr>
          <w:sz w:val="24"/>
          <w:szCs w:val="24"/>
        </w:rPr>
        <w:t xml:space="preserve"> </w:t>
      </w:r>
      <w:r w:rsidRPr="00A5390E">
        <w:rPr>
          <w:sz w:val="24"/>
          <w:szCs w:val="24"/>
        </w:rPr>
        <w:t>Maroggia.</w:t>
      </w:r>
      <w:r w:rsidRPr="00A5390E">
        <w:rPr>
          <w:sz w:val="24"/>
          <w:szCs w:val="24"/>
        </w:rPr>
        <w:cr/>
      </w:r>
    </w:p>
    <w:p w:rsidR="006B7287" w:rsidRDefault="006B7287" w:rsidP="006B7287">
      <w:pPr>
        <w:pStyle w:val="StandardRisoluzionedelConsigliodiStato"/>
        <w:ind w:right="-1"/>
        <w:rPr>
          <w:b/>
          <w:bCs/>
        </w:rPr>
      </w:pPr>
    </w:p>
    <w:p w:rsidR="006B7287" w:rsidRPr="00F36404" w:rsidRDefault="006B7287" w:rsidP="00F36404">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F36404">
        <w:rPr>
          <w:rFonts w:eastAsia="Calibri" w:cs="Times New Roman"/>
          <w:caps/>
          <w:sz w:val="24"/>
          <w:szCs w:val="24"/>
          <w:lang w:val="it-IT" w:eastAsia="it-IT"/>
        </w:rPr>
        <w:t>Il Messaggio del Consiglio di Stato</w:t>
      </w:r>
    </w:p>
    <w:p w:rsidR="006B7287" w:rsidRDefault="006B7287" w:rsidP="006B7287">
      <w:pPr>
        <w:pStyle w:val="StandardRisoluzionedelConsigliodiStato"/>
        <w:ind w:right="-1"/>
      </w:pPr>
      <w:r>
        <w:t>Il Messaggio del Consiglio di Stato illustra in modo dettagliato e puntuale i diversi interventi per i quali chiede la concessione del credito in oggetto.</w:t>
      </w:r>
    </w:p>
    <w:p w:rsidR="006B7287" w:rsidRDefault="006B7287" w:rsidP="006B7287">
      <w:pPr>
        <w:pStyle w:val="StandardRisoluzionedelConsigliodiStato"/>
        <w:ind w:right="-1"/>
      </w:pPr>
    </w:p>
    <w:p w:rsidR="006B7287" w:rsidRDefault="006B7287" w:rsidP="006B7287">
      <w:pPr>
        <w:pStyle w:val="StandardRisoluzionedelConsigliodiStato"/>
        <w:ind w:right="-1"/>
      </w:pPr>
      <w:r>
        <w:t>I crediti di progettazioni delle opere oggetto del presente Rapporto erano del resto già stati approvati dal Gran Consiglio con l’accoglimento del Rapporto n. 7996 di questa Commissione del 31 agosto 2021.</w:t>
      </w:r>
    </w:p>
    <w:p w:rsidR="006B7287" w:rsidRDefault="006B7287" w:rsidP="006B7287">
      <w:pPr>
        <w:pStyle w:val="StandardRisoluzionedelConsigliodiStato"/>
        <w:ind w:right="-1"/>
      </w:pPr>
    </w:p>
    <w:p w:rsidR="006B7287" w:rsidRDefault="006B7287" w:rsidP="006B7287">
      <w:pPr>
        <w:pStyle w:val="StandardRisoluzionedelConsigliodiStato"/>
        <w:ind w:right="-1"/>
      </w:pPr>
      <w:r>
        <w:lastRenderedPageBreak/>
        <w:t>In estrema sintesi, si tratta delle seguenti misure; per la descrizione più dettagliata degli interventi previsti da ogni singola misura, si rinvia al Messaggio.</w:t>
      </w:r>
    </w:p>
    <w:p w:rsidR="006B7287" w:rsidRDefault="006B7287" w:rsidP="006B7287">
      <w:pPr>
        <w:pStyle w:val="StandardRisoluzionedelConsigliodiStato"/>
        <w:ind w:right="-1"/>
      </w:pPr>
    </w:p>
    <w:p w:rsidR="006B7287" w:rsidRDefault="006B7287" w:rsidP="006B7287">
      <w:pPr>
        <w:pStyle w:val="StandardRisoluzionedelConsigliodiStato"/>
        <w:ind w:right="-1"/>
      </w:pPr>
    </w:p>
    <w:p w:rsidR="006B7287" w:rsidRPr="002072B4" w:rsidRDefault="006B7287" w:rsidP="00F36404">
      <w:pPr>
        <w:pStyle w:val="StandardRisoluzionedelConsigliodiStato"/>
        <w:numPr>
          <w:ilvl w:val="0"/>
          <w:numId w:val="20"/>
        </w:numPr>
        <w:spacing w:after="120"/>
        <w:ind w:left="567" w:hanging="567"/>
        <w:rPr>
          <w:b/>
          <w:bCs/>
        </w:rPr>
      </w:pPr>
      <w:r w:rsidRPr="002072B4">
        <w:rPr>
          <w:b/>
          <w:bCs/>
          <w:szCs w:val="24"/>
        </w:rPr>
        <w:t>Misura ML 2.2 Collegamento verticale ciclopedonale tramite ascensore tra la fermata TILO e la fermata bus Bellavista a Balerna</w:t>
      </w:r>
    </w:p>
    <w:p w:rsidR="006B7287" w:rsidRDefault="006B7287" w:rsidP="006B7287">
      <w:pPr>
        <w:pStyle w:val="StandardRisoluzionedelConsigliodiStato"/>
        <w:ind w:right="-1"/>
      </w:pPr>
      <w:r>
        <w:t xml:space="preserve">Come già prospettato nel Messaggio </w:t>
      </w:r>
      <w:r w:rsidRPr="00A5390E">
        <w:rPr>
          <w:szCs w:val="24"/>
        </w:rPr>
        <w:t>n. 7996 del 14 maggio 2021</w:t>
      </w:r>
      <w:r>
        <w:rPr>
          <w:szCs w:val="24"/>
        </w:rPr>
        <w:t>, la “</w:t>
      </w:r>
      <w:r w:rsidRPr="002072B4">
        <w:rPr>
          <w:i/>
          <w:iCs/>
          <w:szCs w:val="24"/>
        </w:rPr>
        <w:t xml:space="preserve">misura consiste nel realizzare un </w:t>
      </w:r>
      <w:r w:rsidRPr="002072B4">
        <w:rPr>
          <w:i/>
          <w:iCs/>
        </w:rPr>
        <w:t>ascensore inclinato che permetta a pedoni e biciclette di superare con mezzo meccanizzato il dislivello esistente tra la via San Gottardo e la sottostante via Stazione. Esso è anche accessibile ai disabili. L’impianto assolve varie funzioni: introduce una possibilità d’interscambio bus-treno, costituisce un complemento per il percorso ciclabile regionale (funzioni regionali) e rappresenta un elemento di ricucitura tra il quartiere S. Antonio e il centro del paese (funzione locale)</w:t>
      </w:r>
      <w:r>
        <w:t>”</w:t>
      </w:r>
      <w:r w:rsidRPr="00D46BBA">
        <w:t>.</w:t>
      </w:r>
    </w:p>
    <w:p w:rsidR="006B7287" w:rsidRDefault="006B7287" w:rsidP="006B7287">
      <w:pPr>
        <w:pStyle w:val="StandardRisoluzionedelConsigliodiStato"/>
        <w:ind w:right="-1"/>
      </w:pPr>
    </w:p>
    <w:p w:rsidR="006B7287" w:rsidRDefault="006B7287" w:rsidP="006B7287">
      <w:pPr>
        <w:pStyle w:val="StandardRisoluzionedelConsigliodiStato"/>
        <w:ind w:right="-1"/>
      </w:pPr>
      <w:r>
        <w:t xml:space="preserve">Con il Messaggio </w:t>
      </w:r>
      <w:r w:rsidRPr="00A5390E">
        <w:rPr>
          <w:szCs w:val="24"/>
        </w:rPr>
        <w:t>n. 7996 del 14 maggio 2021</w:t>
      </w:r>
      <w:r>
        <w:rPr>
          <w:szCs w:val="24"/>
        </w:rPr>
        <w:t xml:space="preserve"> era stato richiesto – e poi concesso dal Gran Consiglio – un credito per la progettazione definitiva di CHF 180'000.-, di cui</w:t>
      </w:r>
      <w:r w:rsidRPr="0051445E">
        <w:t xml:space="preserve"> CHF 117'000 a carico del Cantone (onere netto).</w:t>
      </w:r>
    </w:p>
    <w:p w:rsidR="006B7287" w:rsidRDefault="006B7287" w:rsidP="006B7287">
      <w:pPr>
        <w:pStyle w:val="StandardRisoluzionedelConsigliodiStato"/>
        <w:ind w:right="-1"/>
      </w:pPr>
    </w:p>
    <w:p w:rsidR="006B7287" w:rsidRPr="00CE4C1A" w:rsidRDefault="006B7287" w:rsidP="006B7287">
      <w:pPr>
        <w:rPr>
          <w:sz w:val="24"/>
          <w:szCs w:val="24"/>
        </w:rPr>
      </w:pPr>
      <w:r w:rsidRPr="00CE4C1A">
        <w:rPr>
          <w:sz w:val="24"/>
          <w:szCs w:val="24"/>
        </w:rPr>
        <w:t>I costi</w:t>
      </w:r>
      <w:r>
        <w:rPr>
          <w:sz w:val="24"/>
          <w:szCs w:val="24"/>
        </w:rPr>
        <w:t xml:space="preserve"> complessivi, calcolati, sulla base </w:t>
      </w:r>
      <w:r w:rsidRPr="00CE4C1A">
        <w:rPr>
          <w:sz w:val="24"/>
          <w:szCs w:val="24"/>
        </w:rPr>
        <w:t>del progetto definitivo</w:t>
      </w:r>
      <w:r>
        <w:rPr>
          <w:sz w:val="24"/>
          <w:szCs w:val="24"/>
        </w:rPr>
        <w:t>,</w:t>
      </w:r>
      <w:r w:rsidRPr="00CE4C1A">
        <w:rPr>
          <w:sz w:val="24"/>
          <w:szCs w:val="24"/>
        </w:rPr>
        <w:t xml:space="preserve"> ammontano a </w:t>
      </w:r>
      <w:r>
        <w:rPr>
          <w:b/>
          <w:sz w:val="24"/>
          <w:szCs w:val="24"/>
        </w:rPr>
        <w:t xml:space="preserve">fr. </w:t>
      </w:r>
      <w:r w:rsidRPr="00CE4C1A">
        <w:rPr>
          <w:b/>
          <w:sz w:val="24"/>
          <w:szCs w:val="24"/>
        </w:rPr>
        <w:t>2'0</w:t>
      </w:r>
      <w:r>
        <w:rPr>
          <w:b/>
          <w:sz w:val="24"/>
          <w:szCs w:val="24"/>
        </w:rPr>
        <w:t>91'</w:t>
      </w:r>
      <w:r w:rsidRPr="00CE4C1A">
        <w:rPr>
          <w:b/>
          <w:sz w:val="24"/>
          <w:szCs w:val="24"/>
        </w:rPr>
        <w:t>000</w:t>
      </w:r>
      <w:r>
        <w:rPr>
          <w:b/>
          <w:sz w:val="24"/>
          <w:szCs w:val="24"/>
        </w:rPr>
        <w:t>.-</w:t>
      </w:r>
      <w:r w:rsidRPr="00CE4C1A">
        <w:rPr>
          <w:sz w:val="24"/>
          <w:szCs w:val="24"/>
        </w:rPr>
        <w:t xml:space="preserve"> (IVA inclusa), con la seguente suddivisione:</w:t>
      </w:r>
    </w:p>
    <w:p w:rsidR="006B7287" w:rsidRPr="00CE4C1A" w:rsidRDefault="006B7287" w:rsidP="006B7287">
      <w:pPr>
        <w:rPr>
          <w:sz w:val="24"/>
          <w:szCs w:val="24"/>
        </w:rPr>
      </w:pPr>
    </w:p>
    <w:tbl>
      <w:tblPr>
        <w:tblStyle w:val="Grigliatabella"/>
        <w:tblW w:w="9493" w:type="dxa"/>
        <w:tblBorders>
          <w:left w:val="none" w:sz="0" w:space="0" w:color="auto"/>
          <w:right w:val="none" w:sz="0" w:space="0" w:color="auto"/>
          <w:insideV w:val="none" w:sz="0" w:space="0" w:color="auto"/>
        </w:tblBorders>
        <w:tblLook w:val="04A0" w:firstRow="1" w:lastRow="0" w:firstColumn="1" w:lastColumn="0" w:noHBand="0" w:noVBand="1"/>
      </w:tblPr>
      <w:tblGrid>
        <w:gridCol w:w="7088"/>
        <w:gridCol w:w="2405"/>
      </w:tblGrid>
      <w:tr w:rsidR="006B7287" w:rsidRPr="00CE4C1A" w:rsidTr="00904BB6">
        <w:trPr>
          <w:trHeight w:val="454"/>
        </w:trPr>
        <w:tc>
          <w:tcPr>
            <w:tcW w:w="7088" w:type="dxa"/>
            <w:tcBorders>
              <w:top w:val="nil"/>
            </w:tcBorders>
            <w:vAlign w:val="center"/>
          </w:tcPr>
          <w:p w:rsidR="006B7287" w:rsidRPr="00CE4C1A" w:rsidRDefault="006B7287" w:rsidP="00904BB6">
            <w:pPr>
              <w:tabs>
                <w:tab w:val="left" w:pos="567"/>
              </w:tabs>
              <w:rPr>
                <w:rFonts w:cs="Arial"/>
                <w:sz w:val="24"/>
                <w:szCs w:val="24"/>
              </w:rPr>
            </w:pPr>
            <w:r w:rsidRPr="00CE4C1A">
              <w:rPr>
                <w:rFonts w:cs="Arial"/>
                <w:sz w:val="24"/>
                <w:szCs w:val="24"/>
              </w:rPr>
              <w:t>Costi di costruzione</w:t>
            </w:r>
            <w:r w:rsidRPr="00CE4C1A">
              <w:rPr>
                <w:sz w:val="24"/>
                <w:szCs w:val="24"/>
              </w:rPr>
              <w:t xml:space="preserve"> </w:t>
            </w:r>
          </w:p>
        </w:tc>
        <w:tc>
          <w:tcPr>
            <w:tcW w:w="2405" w:type="dxa"/>
            <w:tcBorders>
              <w:top w:val="nil"/>
            </w:tcBorders>
            <w:vAlign w:val="center"/>
          </w:tcPr>
          <w:p w:rsidR="006B7287" w:rsidRPr="00CE4C1A" w:rsidRDefault="006B7287" w:rsidP="00904BB6">
            <w:pPr>
              <w:tabs>
                <w:tab w:val="left" w:pos="567"/>
              </w:tabs>
              <w:jc w:val="right"/>
              <w:rPr>
                <w:rFonts w:cs="Arial"/>
                <w:sz w:val="24"/>
                <w:szCs w:val="24"/>
              </w:rPr>
            </w:pPr>
            <w:r w:rsidRPr="00CE4C1A">
              <w:rPr>
                <w:rFonts w:cs="Arial"/>
                <w:sz w:val="24"/>
                <w:szCs w:val="24"/>
              </w:rPr>
              <w:t>1'208’000</w:t>
            </w:r>
          </w:p>
        </w:tc>
      </w:tr>
      <w:tr w:rsidR="006B7287" w:rsidRPr="00CE4C1A" w:rsidTr="00904BB6">
        <w:trPr>
          <w:trHeight w:val="454"/>
        </w:trPr>
        <w:tc>
          <w:tcPr>
            <w:tcW w:w="7088" w:type="dxa"/>
            <w:vAlign w:val="center"/>
          </w:tcPr>
          <w:p w:rsidR="006B7287" w:rsidRPr="00CE4C1A" w:rsidRDefault="006B7287" w:rsidP="00904BB6">
            <w:pPr>
              <w:tabs>
                <w:tab w:val="left" w:pos="567"/>
              </w:tabs>
              <w:rPr>
                <w:rFonts w:cs="Arial"/>
                <w:sz w:val="24"/>
                <w:szCs w:val="24"/>
              </w:rPr>
            </w:pPr>
            <w:r w:rsidRPr="00CE4C1A">
              <w:rPr>
                <w:rFonts w:cs="Arial"/>
                <w:sz w:val="24"/>
                <w:szCs w:val="24"/>
              </w:rPr>
              <w:t xml:space="preserve">Onorari di progettazione </w:t>
            </w:r>
          </w:p>
        </w:tc>
        <w:tc>
          <w:tcPr>
            <w:tcW w:w="2405" w:type="dxa"/>
            <w:vAlign w:val="center"/>
          </w:tcPr>
          <w:p w:rsidR="006B7287" w:rsidRPr="00CE4C1A" w:rsidRDefault="006B7287" w:rsidP="00904BB6">
            <w:pPr>
              <w:tabs>
                <w:tab w:val="left" w:pos="567"/>
              </w:tabs>
              <w:jc w:val="right"/>
              <w:rPr>
                <w:rFonts w:cs="Arial"/>
                <w:sz w:val="24"/>
                <w:szCs w:val="24"/>
              </w:rPr>
            </w:pPr>
            <w:r w:rsidRPr="00CE4C1A">
              <w:rPr>
                <w:rFonts w:cs="Arial"/>
                <w:sz w:val="24"/>
                <w:szCs w:val="24"/>
              </w:rPr>
              <w:t>258’000</w:t>
            </w:r>
          </w:p>
        </w:tc>
      </w:tr>
      <w:tr w:rsidR="006B7287" w:rsidRPr="00CE4C1A" w:rsidTr="00904BB6">
        <w:trPr>
          <w:trHeight w:val="454"/>
        </w:trPr>
        <w:tc>
          <w:tcPr>
            <w:tcW w:w="7088" w:type="dxa"/>
            <w:vAlign w:val="center"/>
          </w:tcPr>
          <w:p w:rsidR="006B7287" w:rsidRPr="00CE4C1A" w:rsidRDefault="006B7287" w:rsidP="00904BB6">
            <w:pPr>
              <w:tabs>
                <w:tab w:val="left" w:pos="567"/>
              </w:tabs>
              <w:rPr>
                <w:rFonts w:cs="Arial"/>
                <w:sz w:val="24"/>
                <w:szCs w:val="24"/>
              </w:rPr>
            </w:pPr>
            <w:r w:rsidRPr="00CE4C1A">
              <w:rPr>
                <w:rFonts w:cs="Arial"/>
                <w:sz w:val="24"/>
                <w:szCs w:val="24"/>
              </w:rPr>
              <w:t>Imprevisti (10%)</w:t>
            </w:r>
          </w:p>
        </w:tc>
        <w:tc>
          <w:tcPr>
            <w:tcW w:w="2405" w:type="dxa"/>
            <w:vAlign w:val="center"/>
          </w:tcPr>
          <w:p w:rsidR="006B7287" w:rsidRPr="00CE4C1A" w:rsidRDefault="006B7287" w:rsidP="00904BB6">
            <w:pPr>
              <w:tabs>
                <w:tab w:val="left" w:pos="567"/>
              </w:tabs>
              <w:jc w:val="right"/>
              <w:rPr>
                <w:rFonts w:cs="Arial"/>
                <w:sz w:val="24"/>
                <w:szCs w:val="24"/>
              </w:rPr>
            </w:pPr>
            <w:r w:rsidRPr="00CE4C1A">
              <w:rPr>
                <w:rFonts w:cs="Arial"/>
                <w:sz w:val="24"/>
                <w:szCs w:val="24"/>
              </w:rPr>
              <w:t>147’000</w:t>
            </w:r>
          </w:p>
        </w:tc>
      </w:tr>
      <w:tr w:rsidR="006B7287" w:rsidRPr="00CE4C1A" w:rsidTr="00904BB6">
        <w:trPr>
          <w:trHeight w:val="454"/>
        </w:trPr>
        <w:tc>
          <w:tcPr>
            <w:tcW w:w="7088" w:type="dxa"/>
            <w:tcBorders>
              <w:bottom w:val="single" w:sz="4" w:space="0" w:color="auto"/>
            </w:tcBorders>
            <w:vAlign w:val="center"/>
          </w:tcPr>
          <w:p w:rsidR="006B7287" w:rsidRPr="00CE4C1A" w:rsidRDefault="006B7287" w:rsidP="00904BB6">
            <w:pPr>
              <w:tabs>
                <w:tab w:val="left" w:pos="567"/>
              </w:tabs>
              <w:rPr>
                <w:rFonts w:cs="Arial"/>
                <w:sz w:val="24"/>
                <w:szCs w:val="24"/>
              </w:rPr>
            </w:pPr>
            <w:r w:rsidRPr="00CE4C1A">
              <w:rPr>
                <w:rFonts w:cs="Arial"/>
                <w:sz w:val="24"/>
                <w:szCs w:val="24"/>
              </w:rPr>
              <w:t>IVA 8.1%</w:t>
            </w:r>
          </w:p>
        </w:tc>
        <w:tc>
          <w:tcPr>
            <w:tcW w:w="2405" w:type="dxa"/>
            <w:tcBorders>
              <w:bottom w:val="single" w:sz="4" w:space="0" w:color="auto"/>
            </w:tcBorders>
            <w:vAlign w:val="center"/>
          </w:tcPr>
          <w:p w:rsidR="006B7287" w:rsidRPr="00CE4C1A" w:rsidRDefault="006B7287" w:rsidP="00904BB6">
            <w:pPr>
              <w:tabs>
                <w:tab w:val="left" w:pos="567"/>
              </w:tabs>
              <w:jc w:val="right"/>
              <w:rPr>
                <w:rFonts w:cs="Arial"/>
                <w:sz w:val="24"/>
                <w:szCs w:val="24"/>
              </w:rPr>
            </w:pPr>
            <w:r w:rsidRPr="00CE4C1A">
              <w:rPr>
                <w:rFonts w:cs="Arial"/>
                <w:sz w:val="24"/>
                <w:szCs w:val="24"/>
              </w:rPr>
              <w:t>131’000</w:t>
            </w:r>
          </w:p>
        </w:tc>
      </w:tr>
      <w:tr w:rsidR="006B7287" w:rsidRPr="00CE4C1A" w:rsidTr="00904BB6">
        <w:trPr>
          <w:trHeight w:val="454"/>
        </w:trPr>
        <w:tc>
          <w:tcPr>
            <w:tcW w:w="7088" w:type="dxa"/>
            <w:tcBorders>
              <w:bottom w:val="single" w:sz="4" w:space="0" w:color="auto"/>
            </w:tcBorders>
            <w:vAlign w:val="center"/>
          </w:tcPr>
          <w:p w:rsidR="006B7287" w:rsidRPr="00CE4C1A" w:rsidRDefault="006B7287" w:rsidP="00904BB6">
            <w:pPr>
              <w:tabs>
                <w:tab w:val="left" w:pos="567"/>
              </w:tabs>
              <w:rPr>
                <w:rFonts w:cs="Arial"/>
                <w:sz w:val="24"/>
                <w:szCs w:val="24"/>
              </w:rPr>
            </w:pPr>
            <w:r w:rsidRPr="00CE4C1A">
              <w:rPr>
                <w:rFonts w:cs="Arial"/>
                <w:sz w:val="24"/>
                <w:szCs w:val="24"/>
              </w:rPr>
              <w:t>Espropriazioni</w:t>
            </w:r>
            <w:r>
              <w:rPr>
                <w:rFonts w:cs="Arial"/>
                <w:sz w:val="24"/>
                <w:szCs w:val="24"/>
              </w:rPr>
              <w:t>, indennizzi, geometra</w:t>
            </w:r>
          </w:p>
        </w:tc>
        <w:tc>
          <w:tcPr>
            <w:tcW w:w="2405" w:type="dxa"/>
            <w:tcBorders>
              <w:bottom w:val="single" w:sz="4" w:space="0" w:color="auto"/>
            </w:tcBorders>
            <w:vAlign w:val="center"/>
          </w:tcPr>
          <w:p w:rsidR="006B7287" w:rsidRPr="00CE4C1A" w:rsidRDefault="006B7287" w:rsidP="00904BB6">
            <w:pPr>
              <w:tabs>
                <w:tab w:val="left" w:pos="567"/>
              </w:tabs>
              <w:jc w:val="right"/>
              <w:rPr>
                <w:rFonts w:cs="Arial"/>
                <w:sz w:val="24"/>
                <w:szCs w:val="24"/>
              </w:rPr>
            </w:pPr>
            <w:r>
              <w:rPr>
                <w:rFonts w:cs="Arial"/>
                <w:sz w:val="24"/>
                <w:szCs w:val="24"/>
              </w:rPr>
              <w:t>5</w:t>
            </w:r>
            <w:r w:rsidRPr="00CE4C1A">
              <w:rPr>
                <w:rFonts w:cs="Arial"/>
                <w:sz w:val="24"/>
                <w:szCs w:val="24"/>
              </w:rPr>
              <w:t>0’000</w:t>
            </w:r>
          </w:p>
        </w:tc>
      </w:tr>
      <w:tr w:rsidR="006B7287" w:rsidRPr="00CE4C1A" w:rsidTr="00904BB6">
        <w:trPr>
          <w:trHeight w:val="454"/>
        </w:trPr>
        <w:tc>
          <w:tcPr>
            <w:tcW w:w="7088" w:type="dxa"/>
            <w:tcBorders>
              <w:top w:val="single" w:sz="4" w:space="0" w:color="auto"/>
              <w:bottom w:val="double" w:sz="4" w:space="0" w:color="auto"/>
            </w:tcBorders>
            <w:vAlign w:val="center"/>
          </w:tcPr>
          <w:p w:rsidR="006B7287" w:rsidRPr="00CE4C1A" w:rsidRDefault="006B7287" w:rsidP="00904BB6">
            <w:pPr>
              <w:tabs>
                <w:tab w:val="left" w:pos="567"/>
              </w:tabs>
              <w:rPr>
                <w:rFonts w:cs="Arial"/>
                <w:sz w:val="24"/>
                <w:szCs w:val="24"/>
              </w:rPr>
            </w:pPr>
            <w:r w:rsidRPr="00CE4C1A">
              <w:rPr>
                <w:rFonts w:cs="Arial"/>
                <w:sz w:val="24"/>
                <w:szCs w:val="24"/>
              </w:rPr>
              <w:t>Riserva (15%)</w:t>
            </w:r>
            <w:r>
              <w:rPr>
                <w:rFonts w:cs="Arial"/>
                <w:sz w:val="24"/>
                <w:szCs w:val="24"/>
              </w:rPr>
              <w:t>, legata alla importante quota-parte di componenti elettromeccaniche</w:t>
            </w:r>
          </w:p>
        </w:tc>
        <w:tc>
          <w:tcPr>
            <w:tcW w:w="2405" w:type="dxa"/>
            <w:tcBorders>
              <w:top w:val="single" w:sz="4" w:space="0" w:color="auto"/>
              <w:bottom w:val="double" w:sz="4" w:space="0" w:color="auto"/>
            </w:tcBorders>
            <w:vAlign w:val="center"/>
          </w:tcPr>
          <w:p w:rsidR="006B7287" w:rsidRPr="00CE4C1A" w:rsidRDefault="006B7287" w:rsidP="00904BB6">
            <w:pPr>
              <w:tabs>
                <w:tab w:val="left" w:pos="567"/>
              </w:tabs>
              <w:jc w:val="right"/>
              <w:rPr>
                <w:rFonts w:cs="Arial"/>
                <w:sz w:val="24"/>
                <w:szCs w:val="24"/>
              </w:rPr>
            </w:pPr>
            <w:r w:rsidRPr="00CE4C1A">
              <w:rPr>
                <w:rFonts w:cs="Arial"/>
                <w:sz w:val="24"/>
                <w:szCs w:val="24"/>
              </w:rPr>
              <w:t>263’000</w:t>
            </w:r>
          </w:p>
        </w:tc>
      </w:tr>
      <w:tr w:rsidR="006B7287" w:rsidRPr="00CE4C1A" w:rsidTr="00904BB6">
        <w:trPr>
          <w:trHeight w:val="454"/>
        </w:trPr>
        <w:tc>
          <w:tcPr>
            <w:tcW w:w="7088" w:type="dxa"/>
            <w:tcBorders>
              <w:top w:val="single" w:sz="4" w:space="0" w:color="auto"/>
              <w:bottom w:val="double" w:sz="4" w:space="0" w:color="auto"/>
            </w:tcBorders>
            <w:vAlign w:val="center"/>
          </w:tcPr>
          <w:p w:rsidR="006B7287" w:rsidRPr="00CE4C1A" w:rsidRDefault="006B7287" w:rsidP="00904BB6">
            <w:pPr>
              <w:tabs>
                <w:tab w:val="left" w:pos="567"/>
              </w:tabs>
              <w:rPr>
                <w:rFonts w:cs="Arial"/>
                <w:sz w:val="24"/>
                <w:szCs w:val="24"/>
              </w:rPr>
            </w:pPr>
            <w:r>
              <w:rPr>
                <w:rFonts w:cs="Arial"/>
                <w:sz w:val="24"/>
                <w:szCs w:val="24"/>
              </w:rPr>
              <w:t>Indicizzazione importi sulla base dei prezzi ottobre 2023</w:t>
            </w:r>
          </w:p>
        </w:tc>
        <w:tc>
          <w:tcPr>
            <w:tcW w:w="2405" w:type="dxa"/>
            <w:tcBorders>
              <w:top w:val="single" w:sz="4" w:space="0" w:color="auto"/>
              <w:bottom w:val="double" w:sz="4" w:space="0" w:color="auto"/>
            </w:tcBorders>
            <w:vAlign w:val="center"/>
          </w:tcPr>
          <w:p w:rsidR="006B7287" w:rsidRPr="00CE4C1A" w:rsidRDefault="006B7287" w:rsidP="00904BB6">
            <w:pPr>
              <w:tabs>
                <w:tab w:val="left" w:pos="567"/>
              </w:tabs>
              <w:jc w:val="right"/>
              <w:rPr>
                <w:rFonts w:cs="Arial"/>
                <w:sz w:val="24"/>
                <w:szCs w:val="24"/>
              </w:rPr>
            </w:pPr>
            <w:r>
              <w:rPr>
                <w:rFonts w:cs="Arial"/>
                <w:sz w:val="24"/>
                <w:szCs w:val="24"/>
              </w:rPr>
              <w:t>34’000</w:t>
            </w:r>
          </w:p>
        </w:tc>
      </w:tr>
      <w:tr w:rsidR="006B7287" w:rsidRPr="00CE4C1A" w:rsidTr="00904BB6">
        <w:trPr>
          <w:trHeight w:val="454"/>
        </w:trPr>
        <w:tc>
          <w:tcPr>
            <w:tcW w:w="7088" w:type="dxa"/>
            <w:tcBorders>
              <w:top w:val="double" w:sz="4" w:space="0" w:color="auto"/>
              <w:bottom w:val="single" w:sz="4" w:space="0" w:color="auto"/>
            </w:tcBorders>
            <w:vAlign w:val="center"/>
          </w:tcPr>
          <w:p w:rsidR="006B7287" w:rsidRPr="00CE4C1A" w:rsidRDefault="006B7287" w:rsidP="00904BB6">
            <w:pPr>
              <w:tabs>
                <w:tab w:val="left" w:pos="567"/>
              </w:tabs>
              <w:rPr>
                <w:rFonts w:cs="Arial"/>
                <w:b/>
                <w:sz w:val="24"/>
                <w:szCs w:val="24"/>
              </w:rPr>
            </w:pPr>
            <w:r w:rsidRPr="00CE4C1A">
              <w:rPr>
                <w:rFonts w:cs="Arial"/>
                <w:b/>
                <w:sz w:val="24"/>
                <w:szCs w:val="24"/>
              </w:rPr>
              <w:t>Totale (IVA inclusa) e arrotondamento</w:t>
            </w:r>
          </w:p>
        </w:tc>
        <w:tc>
          <w:tcPr>
            <w:tcW w:w="2405" w:type="dxa"/>
            <w:tcBorders>
              <w:top w:val="double" w:sz="4" w:space="0" w:color="auto"/>
              <w:bottom w:val="single" w:sz="4" w:space="0" w:color="auto"/>
            </w:tcBorders>
            <w:vAlign w:val="center"/>
          </w:tcPr>
          <w:p w:rsidR="006B7287" w:rsidRPr="00CE4C1A" w:rsidRDefault="006B7287" w:rsidP="00904BB6">
            <w:pPr>
              <w:tabs>
                <w:tab w:val="left" w:pos="567"/>
              </w:tabs>
              <w:jc w:val="right"/>
              <w:rPr>
                <w:rFonts w:cs="Arial"/>
                <w:b/>
                <w:sz w:val="24"/>
                <w:szCs w:val="24"/>
              </w:rPr>
            </w:pPr>
            <w:r w:rsidRPr="00CE4C1A">
              <w:rPr>
                <w:rFonts w:cs="Arial"/>
                <w:b/>
                <w:sz w:val="24"/>
                <w:szCs w:val="24"/>
              </w:rPr>
              <w:t>2'</w:t>
            </w:r>
            <w:r>
              <w:rPr>
                <w:rFonts w:cs="Arial"/>
                <w:b/>
                <w:sz w:val="24"/>
                <w:szCs w:val="24"/>
              </w:rPr>
              <w:t>091</w:t>
            </w:r>
            <w:r w:rsidRPr="00CE4C1A">
              <w:rPr>
                <w:rFonts w:cs="Arial"/>
                <w:b/>
                <w:sz w:val="24"/>
                <w:szCs w:val="24"/>
              </w:rPr>
              <w:t>’000</w:t>
            </w:r>
          </w:p>
        </w:tc>
      </w:tr>
    </w:tbl>
    <w:p w:rsidR="006B7287" w:rsidRDefault="006B7287" w:rsidP="006B7287"/>
    <w:p w:rsidR="006B7287" w:rsidRDefault="006B7287" w:rsidP="006B7287">
      <w:pPr>
        <w:rPr>
          <w:sz w:val="24"/>
          <w:szCs w:val="24"/>
        </w:rPr>
      </w:pPr>
      <w:r>
        <w:rPr>
          <w:sz w:val="24"/>
          <w:szCs w:val="24"/>
        </w:rPr>
        <w:t>Il</w:t>
      </w:r>
      <w:r w:rsidRPr="00CE4C1A">
        <w:rPr>
          <w:sz w:val="24"/>
          <w:szCs w:val="24"/>
        </w:rPr>
        <w:t xml:space="preserve"> finanziamento della </w:t>
      </w:r>
      <w:r>
        <w:rPr>
          <w:sz w:val="24"/>
          <w:szCs w:val="24"/>
        </w:rPr>
        <w:t xml:space="preserve">fase di </w:t>
      </w:r>
      <w:r w:rsidRPr="00CE4C1A">
        <w:rPr>
          <w:sz w:val="24"/>
          <w:szCs w:val="24"/>
        </w:rPr>
        <w:t xml:space="preserve">progettazione </w:t>
      </w:r>
      <w:r>
        <w:rPr>
          <w:sz w:val="24"/>
          <w:szCs w:val="24"/>
        </w:rPr>
        <w:t xml:space="preserve">definitiva </w:t>
      </w:r>
      <w:r w:rsidRPr="00CE4C1A">
        <w:rPr>
          <w:sz w:val="24"/>
          <w:szCs w:val="24"/>
        </w:rPr>
        <w:t xml:space="preserve">è </w:t>
      </w:r>
      <w:r>
        <w:rPr>
          <w:sz w:val="24"/>
          <w:szCs w:val="24"/>
        </w:rPr>
        <w:t xml:space="preserve">stato </w:t>
      </w:r>
      <w:r w:rsidRPr="00CE4C1A">
        <w:rPr>
          <w:sz w:val="24"/>
          <w:szCs w:val="24"/>
        </w:rPr>
        <w:t xml:space="preserve">assicurato dal credito stanziato con il Messaggio </w:t>
      </w:r>
      <w:r>
        <w:rPr>
          <w:sz w:val="24"/>
          <w:szCs w:val="24"/>
        </w:rPr>
        <w:t xml:space="preserve">n. </w:t>
      </w:r>
      <w:r w:rsidRPr="00CE4C1A">
        <w:rPr>
          <w:sz w:val="24"/>
          <w:szCs w:val="24"/>
        </w:rPr>
        <w:t>7996</w:t>
      </w:r>
      <w:r>
        <w:rPr>
          <w:sz w:val="24"/>
          <w:szCs w:val="24"/>
        </w:rPr>
        <w:t>.</w:t>
      </w:r>
    </w:p>
    <w:p w:rsidR="006B7287" w:rsidRDefault="006B7287" w:rsidP="006B7287">
      <w:pPr>
        <w:rPr>
          <w:sz w:val="24"/>
          <w:szCs w:val="24"/>
        </w:rPr>
      </w:pPr>
    </w:p>
    <w:p w:rsidR="006B7287" w:rsidRPr="00CE4C1A" w:rsidRDefault="006B7287" w:rsidP="006B7287">
      <w:pPr>
        <w:rPr>
          <w:sz w:val="24"/>
          <w:szCs w:val="24"/>
        </w:rPr>
      </w:pPr>
      <w:r>
        <w:rPr>
          <w:sz w:val="24"/>
          <w:szCs w:val="24"/>
        </w:rPr>
        <w:t>La ripartizione dei costi della misura risulta dalla tabella presente nel Messaggio, che si riproduce integralmente per comodità di lettura.</w:t>
      </w:r>
    </w:p>
    <w:p w:rsidR="006B7287" w:rsidRPr="00CE4C1A" w:rsidRDefault="006B7287" w:rsidP="006B7287"/>
    <w:p w:rsidR="006B7287" w:rsidRPr="00CE4C1A" w:rsidRDefault="006B7287" w:rsidP="006B7287">
      <w:r>
        <w:t xml:space="preserve"> </w:t>
      </w:r>
    </w:p>
    <w:tbl>
      <w:tblPr>
        <w:tblStyle w:val="TableNormal"/>
        <w:tblW w:w="955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10"/>
        <w:gridCol w:w="992"/>
        <w:gridCol w:w="1276"/>
        <w:gridCol w:w="992"/>
        <w:gridCol w:w="992"/>
        <w:gridCol w:w="992"/>
      </w:tblGrid>
      <w:tr w:rsidR="006B7287" w:rsidRPr="00CE4C1A" w:rsidTr="00904BB6">
        <w:trPr>
          <w:cantSplit/>
          <w:trHeight w:val="3048"/>
        </w:trPr>
        <w:tc>
          <w:tcPr>
            <w:tcW w:w="4310" w:type="dxa"/>
            <w:tcBorders>
              <w:top w:val="single" w:sz="4" w:space="0" w:color="000000"/>
              <w:left w:val="single" w:sz="4" w:space="0" w:color="000000"/>
              <w:right w:val="single" w:sz="4" w:space="0" w:color="000000"/>
            </w:tcBorders>
            <w:shd w:val="clear" w:color="auto" w:fill="auto"/>
            <w:tcMar>
              <w:top w:w="80" w:type="dxa"/>
              <w:left w:w="80" w:type="dxa"/>
              <w:bottom w:w="80" w:type="dxa"/>
              <w:right w:w="152" w:type="dxa"/>
            </w:tcMar>
            <w:vAlign w:val="center"/>
          </w:tcPr>
          <w:p w:rsidR="006B7287" w:rsidRPr="00CE4C1A" w:rsidRDefault="006B7287" w:rsidP="00904BB6"/>
        </w:tc>
        <w:tc>
          <w:tcPr>
            <w:tcW w:w="992" w:type="dxa"/>
            <w:tcBorders>
              <w:top w:val="single" w:sz="4" w:space="0" w:color="000000"/>
              <w:left w:val="single" w:sz="4" w:space="0" w:color="000000"/>
              <w:right w:val="single" w:sz="4" w:space="0" w:color="000000"/>
            </w:tcBorders>
            <w:textDirection w:val="btLr"/>
            <w:vAlign w:val="center"/>
          </w:tcPr>
          <w:p w:rsidR="006B7287" w:rsidRPr="00CE4C1A" w:rsidRDefault="006B7287" w:rsidP="00904BB6">
            <w:pPr>
              <w:spacing w:before="20" w:after="20"/>
              <w:ind w:left="113" w:right="113"/>
              <w:jc w:val="left"/>
              <w:rPr>
                <w:rFonts w:eastAsia="Times New Roman" w:cs="Times New Roman"/>
                <w:b/>
                <w:bCs/>
                <w:sz w:val="20"/>
                <w:szCs w:val="20"/>
              </w:rPr>
            </w:pPr>
            <w:r w:rsidRPr="00CE4C1A">
              <w:rPr>
                <w:rFonts w:eastAsia="Times New Roman" w:cs="Times New Roman"/>
                <w:b/>
                <w:bCs/>
                <w:sz w:val="20"/>
                <w:szCs w:val="20"/>
              </w:rPr>
              <w:t>Costo preventivato</w:t>
            </w:r>
          </w:p>
        </w:tc>
        <w:tc>
          <w:tcPr>
            <w:tcW w:w="1276" w:type="dxa"/>
            <w:tcBorders>
              <w:top w:val="single" w:sz="4" w:space="0" w:color="000000"/>
              <w:left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rsidR="006B7287" w:rsidRPr="00CE4C1A" w:rsidRDefault="006B7287" w:rsidP="00904BB6">
            <w:pPr>
              <w:spacing w:before="20" w:after="20"/>
              <w:ind w:left="113" w:right="113"/>
              <w:jc w:val="left"/>
              <w:rPr>
                <w:rFonts w:eastAsia="Times New Roman" w:cs="Times New Roman"/>
                <w:b/>
                <w:bCs/>
                <w:sz w:val="20"/>
                <w:szCs w:val="20"/>
              </w:rPr>
            </w:pPr>
            <w:r w:rsidRPr="00CE4C1A">
              <w:rPr>
                <w:rFonts w:eastAsia="Times New Roman" w:cs="Times New Roman"/>
                <w:b/>
                <w:bCs/>
                <w:sz w:val="20"/>
                <w:szCs w:val="20"/>
              </w:rPr>
              <w:t>Contributo Confederazione</w:t>
            </w:r>
          </w:p>
          <w:p w:rsidR="006B7287" w:rsidRPr="00CE4C1A" w:rsidRDefault="006B7287" w:rsidP="00904BB6">
            <w:pPr>
              <w:spacing w:before="20" w:after="20"/>
              <w:ind w:left="113" w:right="113"/>
              <w:jc w:val="left"/>
              <w:rPr>
                <w:rFonts w:eastAsia="Times New Roman" w:cs="Times New Roman"/>
                <w:b/>
                <w:bCs/>
                <w:sz w:val="20"/>
                <w:szCs w:val="20"/>
              </w:rPr>
            </w:pPr>
            <w:r w:rsidRPr="00CE4C1A">
              <w:rPr>
                <w:rFonts w:eastAsia="Times New Roman" w:cs="Times New Roman"/>
                <w:b/>
                <w:bCs/>
                <w:sz w:val="20"/>
                <w:szCs w:val="20"/>
              </w:rPr>
              <w:t xml:space="preserve">PAM3 </w:t>
            </w:r>
            <w:r w:rsidRPr="00CE4C1A">
              <w:rPr>
                <w:rFonts w:eastAsia="Times New Roman" w:cs="Times New Roman"/>
                <w:b/>
                <w:bCs/>
                <w:sz w:val="20"/>
                <w:szCs w:val="20"/>
                <w:vertAlign w:val="superscript"/>
              </w:rPr>
              <w:t>1)</w:t>
            </w:r>
          </w:p>
        </w:tc>
        <w:tc>
          <w:tcPr>
            <w:tcW w:w="992" w:type="dxa"/>
            <w:tcBorders>
              <w:top w:val="single" w:sz="4" w:space="0" w:color="000000"/>
              <w:left w:val="single" w:sz="4" w:space="0" w:color="000000"/>
              <w:right w:val="single" w:sz="4" w:space="0" w:color="000000"/>
            </w:tcBorders>
            <w:textDirection w:val="btLr"/>
            <w:vAlign w:val="center"/>
          </w:tcPr>
          <w:p w:rsidR="006B7287" w:rsidRPr="00CE4C1A" w:rsidRDefault="006B7287" w:rsidP="00904BB6">
            <w:pPr>
              <w:spacing w:before="20" w:after="20"/>
              <w:ind w:left="113" w:right="113"/>
              <w:jc w:val="left"/>
              <w:rPr>
                <w:rFonts w:eastAsia="Times New Roman" w:cs="Times New Roman"/>
                <w:b/>
                <w:bCs/>
                <w:sz w:val="20"/>
                <w:szCs w:val="20"/>
              </w:rPr>
            </w:pPr>
            <w:r w:rsidRPr="00CE4C1A">
              <w:rPr>
                <w:rFonts w:eastAsia="Times New Roman" w:cs="Times New Roman"/>
                <w:b/>
                <w:bCs/>
                <w:sz w:val="20"/>
                <w:szCs w:val="20"/>
              </w:rPr>
              <w:t>Comune di Balerna</w:t>
            </w:r>
          </w:p>
        </w:tc>
        <w:tc>
          <w:tcPr>
            <w:tcW w:w="992" w:type="dxa"/>
            <w:tcBorders>
              <w:top w:val="single" w:sz="4" w:space="0" w:color="000000"/>
              <w:left w:val="single" w:sz="4" w:space="0" w:color="000000"/>
              <w:right w:val="single" w:sz="4" w:space="0" w:color="000000"/>
            </w:tcBorders>
            <w:shd w:val="clear" w:color="auto" w:fill="D9D9D9" w:themeFill="background1" w:themeFillShade="D9"/>
            <w:tcMar>
              <w:top w:w="80" w:type="dxa"/>
              <w:left w:w="193" w:type="dxa"/>
              <w:bottom w:w="80" w:type="dxa"/>
              <w:right w:w="193" w:type="dxa"/>
            </w:tcMar>
            <w:textDirection w:val="btLr"/>
            <w:vAlign w:val="center"/>
          </w:tcPr>
          <w:p w:rsidR="006B7287" w:rsidRPr="00CE4C1A" w:rsidRDefault="006B7287" w:rsidP="00904BB6">
            <w:pPr>
              <w:spacing w:before="20" w:after="20"/>
              <w:ind w:left="113" w:right="113"/>
              <w:jc w:val="left"/>
              <w:rPr>
                <w:rFonts w:eastAsia="Times New Roman" w:cs="Times New Roman"/>
                <w:b/>
                <w:bCs/>
                <w:sz w:val="20"/>
                <w:szCs w:val="20"/>
              </w:rPr>
            </w:pPr>
            <w:r w:rsidRPr="00CE4C1A">
              <w:rPr>
                <w:rFonts w:eastAsia="Times New Roman" w:cs="Times New Roman"/>
                <w:b/>
                <w:bCs/>
                <w:sz w:val="20"/>
                <w:szCs w:val="20"/>
              </w:rPr>
              <w:t>Cantone Ticino (65%)</w:t>
            </w:r>
          </w:p>
        </w:tc>
        <w:tc>
          <w:tcPr>
            <w:tcW w:w="992" w:type="dxa"/>
            <w:tcBorders>
              <w:top w:val="single" w:sz="4" w:space="0" w:color="000000"/>
              <w:left w:val="single" w:sz="4" w:space="0" w:color="000000"/>
              <w:right w:val="single" w:sz="4" w:space="0" w:color="000000"/>
            </w:tcBorders>
            <w:shd w:val="clear" w:color="auto" w:fill="auto"/>
            <w:textDirection w:val="btLr"/>
            <w:vAlign w:val="center"/>
          </w:tcPr>
          <w:p w:rsidR="006B7287" w:rsidRPr="00CE4C1A" w:rsidRDefault="006B7287" w:rsidP="00904BB6">
            <w:pPr>
              <w:spacing w:before="20" w:after="20"/>
              <w:ind w:left="113" w:right="113"/>
              <w:jc w:val="left"/>
              <w:rPr>
                <w:rFonts w:eastAsia="Times New Roman" w:cs="Times New Roman"/>
                <w:b/>
                <w:bCs/>
                <w:sz w:val="20"/>
                <w:szCs w:val="20"/>
              </w:rPr>
            </w:pPr>
            <w:r w:rsidRPr="00CE4C1A">
              <w:rPr>
                <w:rFonts w:eastAsia="Times New Roman" w:cs="Times New Roman"/>
                <w:b/>
                <w:bCs/>
                <w:sz w:val="20"/>
                <w:szCs w:val="20"/>
              </w:rPr>
              <w:t>Comuni CRTM (35%)</w:t>
            </w:r>
          </w:p>
        </w:tc>
      </w:tr>
      <w:tr w:rsidR="006B7287" w:rsidRPr="00CE4C1A" w:rsidTr="00904BB6">
        <w:trPr>
          <w:trHeight w:val="231"/>
        </w:trPr>
        <w:tc>
          <w:tcPr>
            <w:tcW w:w="4310" w:type="dxa"/>
            <w:tcBorders>
              <w:top w:val="nil"/>
              <w:left w:val="single" w:sz="4" w:space="0" w:color="000000"/>
              <w:bottom w:val="double" w:sz="4" w:space="0" w:color="auto"/>
              <w:right w:val="single" w:sz="4" w:space="0" w:color="000000"/>
            </w:tcBorders>
            <w:shd w:val="clear" w:color="auto" w:fill="auto"/>
            <w:tcMar>
              <w:top w:w="80" w:type="dxa"/>
              <w:left w:w="80" w:type="dxa"/>
              <w:bottom w:w="80" w:type="dxa"/>
              <w:right w:w="152" w:type="dxa"/>
            </w:tcMar>
            <w:vAlign w:val="center"/>
          </w:tcPr>
          <w:p w:rsidR="006B7287" w:rsidRPr="00CE4C1A" w:rsidRDefault="006B7287" w:rsidP="00904BB6"/>
        </w:tc>
        <w:tc>
          <w:tcPr>
            <w:tcW w:w="992" w:type="dxa"/>
            <w:tcBorders>
              <w:top w:val="dotted" w:sz="4" w:space="0" w:color="000000"/>
              <w:left w:val="single" w:sz="4" w:space="0" w:color="000000"/>
              <w:bottom w:val="double" w:sz="4" w:space="0" w:color="auto"/>
              <w:right w:val="single" w:sz="4" w:space="0" w:color="000000"/>
            </w:tcBorders>
            <w:vAlign w:val="center"/>
          </w:tcPr>
          <w:p w:rsidR="006B7287" w:rsidRDefault="006B7287" w:rsidP="00904BB6">
            <w:pPr>
              <w:jc w:val="center"/>
              <w:rPr>
                <w:rFonts w:eastAsia="Times New Roman" w:cs="Times New Roman"/>
                <w:i/>
                <w:iCs/>
                <w:sz w:val="18"/>
                <w:szCs w:val="18"/>
              </w:rPr>
            </w:pPr>
            <w:r>
              <w:rPr>
                <w:rFonts w:eastAsia="Times New Roman" w:cs="Times New Roman"/>
                <w:i/>
                <w:iCs/>
                <w:sz w:val="18"/>
                <w:szCs w:val="18"/>
              </w:rPr>
              <w:t>fr.</w:t>
            </w:r>
          </w:p>
          <w:p w:rsidR="006B7287" w:rsidRPr="00CE4C1A" w:rsidRDefault="006B7287" w:rsidP="00904BB6">
            <w:pPr>
              <w:jc w:val="center"/>
              <w:rPr>
                <w:rFonts w:eastAsia="Times New Roman" w:cs="Times New Roman"/>
                <w:i/>
                <w:iCs/>
                <w:sz w:val="18"/>
                <w:szCs w:val="18"/>
              </w:rPr>
            </w:pPr>
            <w:r w:rsidRPr="00CE4C1A">
              <w:rPr>
                <w:rFonts w:eastAsia="Times New Roman" w:cs="Times New Roman"/>
                <w:i/>
                <w:iCs/>
                <w:sz w:val="18"/>
                <w:szCs w:val="18"/>
              </w:rPr>
              <w:t>[mio]</w:t>
            </w:r>
          </w:p>
        </w:tc>
        <w:tc>
          <w:tcPr>
            <w:tcW w:w="1276" w:type="dxa"/>
            <w:tcBorders>
              <w:top w:val="dotted"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6B7287" w:rsidRDefault="006B7287" w:rsidP="00904BB6">
            <w:pPr>
              <w:jc w:val="center"/>
              <w:rPr>
                <w:rFonts w:eastAsia="Times New Roman" w:cs="Times New Roman"/>
                <w:i/>
                <w:iCs/>
                <w:sz w:val="18"/>
                <w:szCs w:val="18"/>
              </w:rPr>
            </w:pPr>
            <w:r>
              <w:rPr>
                <w:rFonts w:eastAsia="Times New Roman" w:cs="Times New Roman"/>
                <w:i/>
                <w:iCs/>
                <w:sz w:val="18"/>
                <w:szCs w:val="18"/>
              </w:rPr>
              <w:t>fr.</w:t>
            </w:r>
          </w:p>
          <w:p w:rsidR="006B7287" w:rsidRPr="00CE4C1A" w:rsidRDefault="006B7287" w:rsidP="00904BB6">
            <w:pPr>
              <w:jc w:val="center"/>
              <w:rPr>
                <w:rFonts w:eastAsia="Times New Roman" w:cs="Times New Roman"/>
                <w:szCs w:val="20"/>
              </w:rPr>
            </w:pPr>
            <w:r w:rsidRPr="00CE4C1A">
              <w:rPr>
                <w:rFonts w:eastAsia="Times New Roman" w:cs="Times New Roman"/>
                <w:i/>
                <w:iCs/>
                <w:sz w:val="18"/>
                <w:szCs w:val="18"/>
              </w:rPr>
              <w:t>[mio]</w:t>
            </w:r>
            <w:r w:rsidRPr="00CE4C1A">
              <w:rPr>
                <w:rFonts w:eastAsia="Times New Roman" w:cs="Times New Roman"/>
                <w:b/>
                <w:bCs/>
                <w:sz w:val="20"/>
                <w:szCs w:val="20"/>
                <w:vertAlign w:val="superscript"/>
              </w:rPr>
              <w:t>1)</w:t>
            </w:r>
          </w:p>
        </w:tc>
        <w:tc>
          <w:tcPr>
            <w:tcW w:w="992" w:type="dxa"/>
            <w:tcBorders>
              <w:top w:val="dotted" w:sz="4" w:space="0" w:color="000000"/>
              <w:left w:val="single" w:sz="4" w:space="0" w:color="000000"/>
              <w:bottom w:val="double" w:sz="4" w:space="0" w:color="auto"/>
              <w:right w:val="single" w:sz="4" w:space="0" w:color="000000"/>
            </w:tcBorders>
            <w:vAlign w:val="center"/>
          </w:tcPr>
          <w:p w:rsidR="006B7287" w:rsidRDefault="006B7287" w:rsidP="00904BB6">
            <w:pPr>
              <w:jc w:val="center"/>
              <w:rPr>
                <w:i/>
                <w:iCs/>
                <w:sz w:val="18"/>
                <w:szCs w:val="18"/>
              </w:rPr>
            </w:pPr>
            <w:r>
              <w:rPr>
                <w:i/>
                <w:iCs/>
                <w:sz w:val="18"/>
                <w:szCs w:val="18"/>
              </w:rPr>
              <w:t>fr.</w:t>
            </w:r>
          </w:p>
          <w:p w:rsidR="006B7287" w:rsidRDefault="006B7287" w:rsidP="00904BB6">
            <w:pPr>
              <w:jc w:val="center"/>
              <w:rPr>
                <w:i/>
                <w:iCs/>
                <w:sz w:val="18"/>
                <w:szCs w:val="18"/>
              </w:rPr>
            </w:pPr>
            <w:r w:rsidRPr="00CE4C1A">
              <w:rPr>
                <w:i/>
                <w:iCs/>
                <w:sz w:val="18"/>
                <w:szCs w:val="18"/>
              </w:rPr>
              <w:t xml:space="preserve"> [mio]</w:t>
            </w:r>
          </w:p>
        </w:tc>
        <w:tc>
          <w:tcPr>
            <w:tcW w:w="992" w:type="dxa"/>
            <w:tcBorders>
              <w:top w:val="dotted" w:sz="4" w:space="0" w:color="000000"/>
              <w:left w:val="single" w:sz="4" w:space="0" w:color="000000"/>
              <w:bottom w:val="double" w:sz="4" w:space="0" w:color="auto"/>
              <w:right w:val="single" w:sz="4" w:space="0" w:color="000000"/>
            </w:tcBorders>
            <w:shd w:val="clear" w:color="auto" w:fill="D9D9D9" w:themeFill="background1" w:themeFillShade="D9"/>
            <w:tcMar>
              <w:top w:w="80" w:type="dxa"/>
              <w:left w:w="80" w:type="dxa"/>
              <w:bottom w:w="80" w:type="dxa"/>
              <w:right w:w="80" w:type="dxa"/>
            </w:tcMar>
            <w:vAlign w:val="center"/>
          </w:tcPr>
          <w:p w:rsidR="006B7287" w:rsidRDefault="006B7287" w:rsidP="00904BB6">
            <w:pPr>
              <w:jc w:val="center"/>
              <w:rPr>
                <w:i/>
                <w:iCs/>
                <w:sz w:val="18"/>
                <w:szCs w:val="18"/>
              </w:rPr>
            </w:pPr>
            <w:r>
              <w:rPr>
                <w:i/>
                <w:iCs/>
                <w:sz w:val="18"/>
                <w:szCs w:val="18"/>
              </w:rPr>
              <w:t>fr.</w:t>
            </w:r>
          </w:p>
          <w:p w:rsidR="006B7287" w:rsidRPr="00CE4C1A" w:rsidRDefault="006B7287" w:rsidP="00904BB6">
            <w:pPr>
              <w:jc w:val="center"/>
            </w:pPr>
            <w:r w:rsidRPr="00CE4C1A">
              <w:rPr>
                <w:i/>
                <w:iCs/>
                <w:sz w:val="18"/>
                <w:szCs w:val="18"/>
              </w:rPr>
              <w:t>[mio]</w:t>
            </w:r>
          </w:p>
        </w:tc>
        <w:tc>
          <w:tcPr>
            <w:tcW w:w="992" w:type="dxa"/>
            <w:tcBorders>
              <w:top w:val="dotted"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6B7287" w:rsidRDefault="006B7287" w:rsidP="00904BB6">
            <w:pPr>
              <w:jc w:val="center"/>
              <w:rPr>
                <w:i/>
                <w:iCs/>
                <w:sz w:val="18"/>
                <w:szCs w:val="18"/>
              </w:rPr>
            </w:pPr>
            <w:r>
              <w:rPr>
                <w:i/>
                <w:iCs/>
                <w:sz w:val="18"/>
                <w:szCs w:val="18"/>
              </w:rPr>
              <w:t>fr.</w:t>
            </w:r>
          </w:p>
          <w:p w:rsidR="006B7287" w:rsidRPr="00CE4C1A" w:rsidRDefault="006B7287" w:rsidP="00904BB6">
            <w:pPr>
              <w:jc w:val="center"/>
            </w:pPr>
            <w:r w:rsidRPr="00CE4C1A">
              <w:rPr>
                <w:i/>
                <w:iCs/>
                <w:sz w:val="18"/>
                <w:szCs w:val="18"/>
              </w:rPr>
              <w:t>[mio]</w:t>
            </w:r>
          </w:p>
        </w:tc>
      </w:tr>
      <w:tr w:rsidR="006B7287" w:rsidRPr="00CE4C1A" w:rsidTr="00904BB6">
        <w:trPr>
          <w:trHeight w:val="409"/>
        </w:trPr>
        <w:tc>
          <w:tcPr>
            <w:tcW w:w="4310" w:type="dxa"/>
            <w:tcBorders>
              <w:top w:val="doub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287" w:rsidRPr="00CE4C1A" w:rsidRDefault="006B7287" w:rsidP="00904BB6">
            <w:pPr>
              <w:pBdr>
                <w:top w:val="nil"/>
                <w:left w:val="nil"/>
                <w:bottom w:val="nil"/>
                <w:right w:val="nil"/>
                <w:between w:val="nil"/>
                <w:bar w:val="nil"/>
              </w:pBdr>
              <w:rPr>
                <w:rFonts w:eastAsia="Arial Unicode MS" w:cs="Arial Unicode MS"/>
                <w:b/>
                <w:u w:color="000000"/>
                <w:bdr w:val="nil"/>
              </w:rPr>
            </w:pPr>
            <w:r w:rsidRPr="00CE4C1A">
              <w:rPr>
                <w:rFonts w:eastAsia="Arial Unicode MS" w:cs="Arial Unicode MS"/>
                <w:b/>
                <w:u w:color="000000"/>
                <w:bdr w:val="nil"/>
              </w:rPr>
              <w:t xml:space="preserve">Totale </w:t>
            </w:r>
            <w:r w:rsidRPr="00CE4C1A">
              <w:rPr>
                <w:rFonts w:eastAsia="Arial Unicode MS" w:cs="Arial Unicode MS"/>
                <w:b/>
                <w:bCs/>
                <w:u w:color="000000"/>
                <w:bdr w:val="nil"/>
                <w:lang w:val="it-IT"/>
              </w:rPr>
              <w:t>(IVA inclusa)</w:t>
            </w:r>
          </w:p>
        </w:tc>
        <w:tc>
          <w:tcPr>
            <w:tcW w:w="992" w:type="dxa"/>
            <w:tcBorders>
              <w:top w:val="double" w:sz="4" w:space="0" w:color="auto"/>
              <w:left w:val="single" w:sz="4" w:space="0" w:color="000000"/>
              <w:bottom w:val="single" w:sz="4" w:space="0" w:color="000000"/>
              <w:right w:val="single" w:sz="4" w:space="0" w:color="000000"/>
            </w:tcBorders>
            <w:vAlign w:val="center"/>
          </w:tcPr>
          <w:p w:rsidR="006B7287" w:rsidRPr="00A24218" w:rsidRDefault="006B7287" w:rsidP="00904BB6">
            <w:pPr>
              <w:spacing w:before="20" w:after="20"/>
              <w:ind w:right="72"/>
              <w:jc w:val="center"/>
              <w:rPr>
                <w:rFonts w:eastAsia="Times New Roman" w:cs="Times New Roman"/>
                <w:b/>
              </w:rPr>
            </w:pPr>
            <w:r w:rsidRPr="00A24218">
              <w:rPr>
                <w:rFonts w:eastAsia="Times New Roman" w:cs="Times New Roman"/>
                <w:b/>
              </w:rPr>
              <w:t>2.0</w:t>
            </w:r>
            <w:r>
              <w:rPr>
                <w:rFonts w:eastAsia="Times New Roman" w:cs="Times New Roman"/>
                <w:b/>
              </w:rPr>
              <w:t>91</w:t>
            </w:r>
          </w:p>
        </w:tc>
        <w:tc>
          <w:tcPr>
            <w:tcW w:w="1276" w:type="dxa"/>
            <w:tcBorders>
              <w:top w:val="doub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152" w:type="dxa"/>
            </w:tcMar>
            <w:vAlign w:val="center"/>
          </w:tcPr>
          <w:p w:rsidR="006B7287" w:rsidRPr="00A24218" w:rsidRDefault="006B7287" w:rsidP="00904BB6">
            <w:pPr>
              <w:spacing w:before="20" w:after="20"/>
              <w:ind w:right="72"/>
              <w:jc w:val="center"/>
              <w:rPr>
                <w:rFonts w:eastAsia="Times New Roman" w:cs="Times New Roman"/>
                <w:b/>
              </w:rPr>
            </w:pPr>
            <w:r w:rsidRPr="00A24218">
              <w:rPr>
                <w:rFonts w:eastAsia="Times New Roman" w:cs="Times New Roman"/>
                <w:b/>
              </w:rPr>
              <w:t>0.473</w:t>
            </w:r>
          </w:p>
        </w:tc>
        <w:tc>
          <w:tcPr>
            <w:tcW w:w="992" w:type="dxa"/>
            <w:tcBorders>
              <w:top w:val="double" w:sz="4" w:space="0" w:color="auto"/>
              <w:left w:val="single" w:sz="4" w:space="0" w:color="000000"/>
              <w:bottom w:val="single" w:sz="4" w:space="0" w:color="auto"/>
              <w:right w:val="single" w:sz="4" w:space="0" w:color="000000"/>
            </w:tcBorders>
            <w:vAlign w:val="center"/>
          </w:tcPr>
          <w:p w:rsidR="006B7287" w:rsidRPr="00A24218" w:rsidRDefault="006B7287" w:rsidP="00904BB6">
            <w:pPr>
              <w:spacing w:before="20" w:after="20"/>
              <w:ind w:right="72"/>
              <w:jc w:val="center"/>
              <w:rPr>
                <w:rFonts w:eastAsia="Times New Roman" w:cs="Times New Roman"/>
                <w:b/>
              </w:rPr>
            </w:pPr>
            <w:r w:rsidRPr="00A24218">
              <w:rPr>
                <w:rFonts w:eastAsia="Times New Roman" w:cs="Times New Roman"/>
                <w:b/>
              </w:rPr>
              <w:t>0.312</w:t>
            </w:r>
          </w:p>
        </w:tc>
        <w:tc>
          <w:tcPr>
            <w:tcW w:w="992" w:type="dxa"/>
            <w:tcBorders>
              <w:top w:val="double" w:sz="4" w:space="0" w:color="auto"/>
              <w:left w:val="single" w:sz="4" w:space="0" w:color="000000"/>
              <w:bottom w:val="single" w:sz="4" w:space="0" w:color="auto"/>
              <w:right w:val="single" w:sz="4" w:space="0" w:color="000000"/>
            </w:tcBorders>
            <w:shd w:val="clear" w:color="auto" w:fill="D9D9D9" w:themeFill="background1" w:themeFillShade="D9"/>
            <w:tcMar>
              <w:top w:w="80" w:type="dxa"/>
              <w:left w:w="80" w:type="dxa"/>
              <w:bottom w:w="80" w:type="dxa"/>
              <w:right w:w="152" w:type="dxa"/>
            </w:tcMar>
            <w:vAlign w:val="center"/>
          </w:tcPr>
          <w:p w:rsidR="006B7287" w:rsidRPr="00A24218" w:rsidRDefault="006B7287" w:rsidP="00904BB6">
            <w:pPr>
              <w:spacing w:before="20" w:after="20"/>
              <w:ind w:right="72"/>
              <w:jc w:val="center"/>
              <w:rPr>
                <w:rFonts w:eastAsia="Times New Roman" w:cs="Times New Roman"/>
                <w:b/>
                <w:szCs w:val="20"/>
              </w:rPr>
            </w:pPr>
            <w:r w:rsidRPr="00A24218">
              <w:rPr>
                <w:rFonts w:eastAsia="Times New Roman" w:cs="Times New Roman"/>
                <w:b/>
              </w:rPr>
              <w:t>0.</w:t>
            </w:r>
            <w:r>
              <w:rPr>
                <w:rFonts w:eastAsia="Times New Roman" w:cs="Times New Roman"/>
                <w:b/>
              </w:rPr>
              <w:t>849</w:t>
            </w:r>
          </w:p>
        </w:tc>
        <w:tc>
          <w:tcPr>
            <w:tcW w:w="992" w:type="dxa"/>
            <w:tcBorders>
              <w:top w:val="doub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152" w:type="dxa"/>
            </w:tcMar>
            <w:vAlign w:val="center"/>
          </w:tcPr>
          <w:p w:rsidR="006B7287" w:rsidRPr="00A24218" w:rsidRDefault="006B7287" w:rsidP="00904BB6">
            <w:pPr>
              <w:spacing w:before="20" w:after="20"/>
              <w:ind w:right="72"/>
              <w:jc w:val="center"/>
              <w:rPr>
                <w:rFonts w:eastAsia="Times New Roman" w:cs="Times New Roman"/>
                <w:b/>
                <w:szCs w:val="20"/>
              </w:rPr>
            </w:pPr>
            <w:r w:rsidRPr="00A24218">
              <w:rPr>
                <w:rFonts w:eastAsia="Times New Roman" w:cs="Times New Roman"/>
                <w:b/>
              </w:rPr>
              <w:t>0.4</w:t>
            </w:r>
            <w:r>
              <w:rPr>
                <w:rFonts w:eastAsia="Times New Roman" w:cs="Times New Roman"/>
                <w:b/>
              </w:rPr>
              <w:t>57</w:t>
            </w:r>
          </w:p>
        </w:tc>
      </w:tr>
    </w:tbl>
    <w:p w:rsidR="006B7287" w:rsidRPr="00CE4C1A" w:rsidRDefault="006B7287" w:rsidP="006B7287">
      <w:pPr>
        <w:autoSpaceDE w:val="0"/>
        <w:autoSpaceDN w:val="0"/>
        <w:adjustRightInd w:val="0"/>
        <w:ind w:left="284"/>
        <w:contextualSpacing/>
        <w:rPr>
          <w:sz w:val="20"/>
          <w:szCs w:val="20"/>
        </w:rPr>
      </w:pPr>
    </w:p>
    <w:p w:rsidR="006B7287" w:rsidRPr="00CE4C1A" w:rsidRDefault="006B7287" w:rsidP="006B7287">
      <w:pPr>
        <w:tabs>
          <w:tab w:val="left" w:pos="284"/>
        </w:tabs>
        <w:autoSpaceDE w:val="0"/>
        <w:autoSpaceDN w:val="0"/>
        <w:adjustRightInd w:val="0"/>
        <w:jc w:val="left"/>
        <w:rPr>
          <w:rFonts w:cs="Arial"/>
          <w:sz w:val="20"/>
          <w:szCs w:val="20"/>
        </w:rPr>
      </w:pPr>
      <w:r w:rsidRPr="00CE4C1A">
        <w:rPr>
          <w:rFonts w:cs="Arial"/>
          <w:sz w:val="20"/>
          <w:szCs w:val="20"/>
          <w:vertAlign w:val="superscript"/>
        </w:rPr>
        <w:t>1)</w:t>
      </w:r>
      <w:r w:rsidRPr="00CE4C1A">
        <w:rPr>
          <w:rFonts w:cs="Arial"/>
          <w:sz w:val="20"/>
          <w:szCs w:val="20"/>
        </w:rPr>
        <w:tab/>
        <w:t>Sussidio proporzionale al costo annunciato della misura inserita nel pacchetto forfettario TL lista A</w:t>
      </w:r>
    </w:p>
    <w:p w:rsidR="006B7287" w:rsidRPr="00CE4C1A" w:rsidRDefault="006B7287" w:rsidP="006B7287">
      <w:pPr>
        <w:tabs>
          <w:tab w:val="left" w:pos="284"/>
        </w:tabs>
        <w:autoSpaceDE w:val="0"/>
        <w:autoSpaceDN w:val="0"/>
        <w:adjustRightInd w:val="0"/>
        <w:jc w:val="left"/>
        <w:rPr>
          <w:rFonts w:cs="Arial"/>
          <w:sz w:val="20"/>
          <w:szCs w:val="20"/>
        </w:rPr>
      </w:pPr>
      <w:r w:rsidRPr="00CE4C1A">
        <w:rPr>
          <w:rFonts w:cs="Arial"/>
          <w:sz w:val="20"/>
          <w:szCs w:val="20"/>
        </w:rPr>
        <w:tab/>
        <w:t>(v. ripartizione pacchetti forfettari CH).</w:t>
      </w:r>
    </w:p>
    <w:p w:rsidR="006B7287" w:rsidRDefault="006B7287" w:rsidP="006B7287">
      <w:pPr>
        <w:rPr>
          <w:sz w:val="24"/>
          <w:szCs w:val="24"/>
        </w:rPr>
      </w:pPr>
    </w:p>
    <w:p w:rsidR="006B7287" w:rsidRDefault="006B7287" w:rsidP="006B7287">
      <w:pPr>
        <w:rPr>
          <w:sz w:val="24"/>
          <w:szCs w:val="24"/>
        </w:rPr>
      </w:pPr>
      <w:r w:rsidRPr="0039537A">
        <w:rPr>
          <w:sz w:val="24"/>
          <w:szCs w:val="24"/>
        </w:rPr>
        <w:t>Per quanto attiene ai tempi di realizzazione, secondo il Messaggi</w:t>
      </w:r>
      <w:r>
        <w:rPr>
          <w:sz w:val="24"/>
          <w:szCs w:val="24"/>
        </w:rPr>
        <w:t>o</w:t>
      </w:r>
      <w:r w:rsidRPr="0039537A">
        <w:rPr>
          <w:sz w:val="24"/>
          <w:szCs w:val="24"/>
        </w:rPr>
        <w:t xml:space="preserve"> </w:t>
      </w:r>
      <w:r w:rsidRPr="00C443B2">
        <w:rPr>
          <w:i/>
          <w:iCs/>
          <w:sz w:val="24"/>
          <w:szCs w:val="24"/>
        </w:rPr>
        <w:t>“i lavori potrebbero prendere avvio nel corso del 2025. La durata dei lavori è stimata in circa 12 mesi”</w:t>
      </w:r>
      <w:r w:rsidRPr="00CE4C1A">
        <w:rPr>
          <w:sz w:val="24"/>
          <w:szCs w:val="24"/>
        </w:rPr>
        <w:t>.</w:t>
      </w:r>
    </w:p>
    <w:p w:rsidR="006B7287" w:rsidRDefault="006B7287" w:rsidP="006B7287">
      <w:pPr>
        <w:rPr>
          <w:sz w:val="24"/>
          <w:szCs w:val="24"/>
        </w:rPr>
      </w:pPr>
    </w:p>
    <w:p w:rsidR="006B7287" w:rsidRPr="00CE4C1A" w:rsidRDefault="006B7287" w:rsidP="006B7287">
      <w:pPr>
        <w:rPr>
          <w:sz w:val="24"/>
          <w:szCs w:val="24"/>
        </w:rPr>
      </w:pPr>
    </w:p>
    <w:p w:rsidR="006B7287" w:rsidRPr="002072B4" w:rsidRDefault="006B7287" w:rsidP="00F36404">
      <w:pPr>
        <w:pStyle w:val="StandardRisoluzionedelConsigliodiStato"/>
        <w:numPr>
          <w:ilvl w:val="0"/>
          <w:numId w:val="20"/>
        </w:numPr>
        <w:spacing w:after="120"/>
        <w:ind w:left="567" w:hanging="567"/>
        <w:rPr>
          <w:b/>
          <w:bCs/>
        </w:rPr>
      </w:pPr>
      <w:r w:rsidRPr="002072B4">
        <w:rPr>
          <w:b/>
          <w:bCs/>
        </w:rPr>
        <w:t>PAM3 Misura TP 3.1 Velocizzazione del TP su gomma sui principali assi transfrontalieri in uscita verso</w:t>
      </w:r>
      <w:r w:rsidR="00F36404">
        <w:rPr>
          <w:b/>
          <w:bCs/>
        </w:rPr>
        <w:t xml:space="preserve"> l’Italia-Via Gaggiolo a Stabio</w:t>
      </w:r>
    </w:p>
    <w:p w:rsidR="006B7287" w:rsidRPr="003114A6" w:rsidRDefault="006B7287" w:rsidP="006B7287">
      <w:pPr>
        <w:pStyle w:val="StandardRisoluzionedelConsigliodiStato"/>
        <w:ind w:right="-1"/>
        <w:rPr>
          <w:szCs w:val="24"/>
        </w:rPr>
      </w:pPr>
      <w:r>
        <w:t xml:space="preserve">Come già prospettato nel Messaggio </w:t>
      </w:r>
      <w:r w:rsidRPr="00A5390E">
        <w:rPr>
          <w:szCs w:val="24"/>
        </w:rPr>
        <w:t>n. 7996 del 14 maggio 2021</w:t>
      </w:r>
      <w:r>
        <w:rPr>
          <w:szCs w:val="24"/>
        </w:rPr>
        <w:t>, “</w:t>
      </w:r>
      <w:r w:rsidRPr="003114A6">
        <w:rPr>
          <w:i/>
          <w:iCs/>
          <w:szCs w:val="24"/>
        </w:rPr>
        <w:t>la misura PAM 3 TP 3 ha come obiettivo quello di stabilizzare gli orari delle corse del TP attuali, ridurre i tempi di percorrenza/migliorare la velocità commerciale dei bus lungo gli assi principali di uscita dall’agglomerato verso l’Italia e aumentare l’attrattività dell’intero sistema di trasporto pubblico dell’agglomerato favorendo un cambiamento di ripartizione modale, a favore del trasporto pubblico, negli spostamenti da e per l’Italia</w:t>
      </w:r>
      <w:r>
        <w:rPr>
          <w:szCs w:val="24"/>
        </w:rPr>
        <w:t>”</w:t>
      </w:r>
      <w:r w:rsidRPr="003114A6">
        <w:rPr>
          <w:szCs w:val="24"/>
        </w:rPr>
        <w:t xml:space="preserve">. </w:t>
      </w:r>
    </w:p>
    <w:p w:rsidR="006B7287" w:rsidRPr="003114A6" w:rsidRDefault="006B7287" w:rsidP="006B7287">
      <w:pPr>
        <w:pStyle w:val="StandardRisoluzionedelConsigliodiStato"/>
        <w:ind w:right="-1"/>
        <w:rPr>
          <w:szCs w:val="24"/>
        </w:rPr>
      </w:pPr>
    </w:p>
    <w:p w:rsidR="006B7287" w:rsidRDefault="006B7287" w:rsidP="006B7287">
      <w:pPr>
        <w:pStyle w:val="StandardRisoluzionedelConsigliodiStato"/>
        <w:ind w:right="-1"/>
        <w:rPr>
          <w:szCs w:val="24"/>
        </w:rPr>
      </w:pPr>
      <w:r>
        <w:rPr>
          <w:szCs w:val="24"/>
        </w:rPr>
        <w:t xml:space="preserve">La Misura TP 3.1, in particolare, persegue questo </w:t>
      </w:r>
      <w:r w:rsidRPr="003114A6">
        <w:rPr>
          <w:szCs w:val="24"/>
        </w:rPr>
        <w:t>obiettivo</w:t>
      </w:r>
      <w:r w:rsidRPr="003114A6">
        <w:rPr>
          <w:i/>
          <w:iCs/>
          <w:szCs w:val="24"/>
        </w:rPr>
        <w:t xml:space="preserve"> “tramite l’introduzione di corsie preferenziali su via Gaggiolo a Stabio”</w:t>
      </w:r>
      <w:r>
        <w:rPr>
          <w:szCs w:val="24"/>
        </w:rPr>
        <w:t>.</w:t>
      </w:r>
      <w:r w:rsidRPr="003114A6">
        <w:rPr>
          <w:szCs w:val="24"/>
        </w:rPr>
        <w:t xml:space="preserve"> (misura TP 3.1) </w:t>
      </w:r>
      <w:r>
        <w:rPr>
          <w:szCs w:val="24"/>
        </w:rPr>
        <w:t xml:space="preserve">[…] </w:t>
      </w:r>
      <w:r w:rsidRPr="003114A6">
        <w:rPr>
          <w:i/>
          <w:iCs/>
          <w:szCs w:val="24"/>
        </w:rPr>
        <w:t>“per stabilizzare gli orari e influenzare la domanda rendendo più attrattivo il servizio di trasporto pubblico nonché migliorando il confort delle fermate del TP esistenti ai sensi della Legge disabili</w:t>
      </w:r>
      <w:r>
        <w:rPr>
          <w:i/>
          <w:iCs/>
          <w:szCs w:val="24"/>
        </w:rPr>
        <w:t>”</w:t>
      </w:r>
      <w:r w:rsidRPr="003114A6">
        <w:rPr>
          <w:szCs w:val="24"/>
        </w:rPr>
        <w:t>.</w:t>
      </w:r>
    </w:p>
    <w:p w:rsidR="006B7287" w:rsidRDefault="006B7287" w:rsidP="006B7287">
      <w:pPr>
        <w:rPr>
          <w:sz w:val="24"/>
          <w:szCs w:val="24"/>
        </w:rPr>
      </w:pPr>
    </w:p>
    <w:p w:rsidR="006B7287" w:rsidRDefault="006B7287" w:rsidP="006B7287">
      <w:pPr>
        <w:pStyle w:val="StandardRisoluzionedelConsigliodiStato"/>
        <w:ind w:right="-1"/>
      </w:pPr>
      <w:r>
        <w:t xml:space="preserve">Con il Messaggio </w:t>
      </w:r>
      <w:r w:rsidRPr="00A5390E">
        <w:rPr>
          <w:szCs w:val="24"/>
        </w:rPr>
        <w:t>n. 7996 del 14 maggio 2021</w:t>
      </w:r>
      <w:r>
        <w:rPr>
          <w:szCs w:val="24"/>
        </w:rPr>
        <w:t xml:space="preserve"> era stato richiesto – e poi concesso dal Gran Consiglio – un credito per la progettazione definitiva (compresa la misura TP 3.2) di </w:t>
      </w:r>
      <w:r w:rsidRPr="003114A6">
        <w:rPr>
          <w:szCs w:val="24"/>
        </w:rPr>
        <w:t>CHF 300'000 (autorizzazione alla spesa), di cui CHF 195'000 a carico del Cantone (onere netto).</w:t>
      </w:r>
    </w:p>
    <w:p w:rsidR="006B7287" w:rsidRDefault="006B7287" w:rsidP="006B7287">
      <w:pPr>
        <w:rPr>
          <w:sz w:val="24"/>
          <w:szCs w:val="24"/>
        </w:rPr>
      </w:pPr>
    </w:p>
    <w:p w:rsidR="006B7287" w:rsidRDefault="006B7287" w:rsidP="006B7287">
      <w:pPr>
        <w:rPr>
          <w:sz w:val="24"/>
          <w:szCs w:val="24"/>
        </w:rPr>
      </w:pPr>
      <w:r w:rsidRPr="00CE4C1A">
        <w:rPr>
          <w:sz w:val="24"/>
          <w:szCs w:val="24"/>
        </w:rPr>
        <w:t>I costi</w:t>
      </w:r>
      <w:r>
        <w:rPr>
          <w:sz w:val="24"/>
          <w:szCs w:val="24"/>
        </w:rPr>
        <w:t xml:space="preserve"> complessivi,</w:t>
      </w:r>
      <w:r w:rsidRPr="00CE4C1A">
        <w:rPr>
          <w:sz w:val="24"/>
          <w:szCs w:val="24"/>
        </w:rPr>
        <w:t xml:space="preserve"> calcolati sulla base del progetto definitivo</w:t>
      </w:r>
      <w:r>
        <w:rPr>
          <w:sz w:val="24"/>
          <w:szCs w:val="24"/>
        </w:rPr>
        <w:t>,</w:t>
      </w:r>
      <w:r w:rsidRPr="00CE4C1A">
        <w:rPr>
          <w:sz w:val="24"/>
          <w:szCs w:val="24"/>
        </w:rPr>
        <w:t xml:space="preserve"> ammontano a</w:t>
      </w:r>
      <w:r>
        <w:rPr>
          <w:sz w:val="24"/>
          <w:szCs w:val="24"/>
        </w:rPr>
        <w:t xml:space="preserve"> </w:t>
      </w:r>
      <w:r>
        <w:rPr>
          <w:b/>
          <w:sz w:val="24"/>
          <w:szCs w:val="24"/>
        </w:rPr>
        <w:t>fr.</w:t>
      </w:r>
      <w:r w:rsidRPr="00372FBD">
        <w:rPr>
          <w:b/>
          <w:sz w:val="24"/>
          <w:szCs w:val="24"/>
        </w:rPr>
        <w:t xml:space="preserve"> 4'</w:t>
      </w:r>
      <w:r>
        <w:rPr>
          <w:b/>
          <w:sz w:val="24"/>
          <w:szCs w:val="24"/>
        </w:rPr>
        <w:t>753'</w:t>
      </w:r>
      <w:r w:rsidRPr="00372FBD">
        <w:rPr>
          <w:b/>
          <w:sz w:val="24"/>
          <w:szCs w:val="24"/>
        </w:rPr>
        <w:t>000</w:t>
      </w:r>
      <w:r>
        <w:rPr>
          <w:b/>
          <w:sz w:val="24"/>
          <w:szCs w:val="24"/>
        </w:rPr>
        <w:t>.-</w:t>
      </w:r>
      <w:r w:rsidRPr="00CE4C1A">
        <w:rPr>
          <w:sz w:val="24"/>
          <w:szCs w:val="24"/>
        </w:rPr>
        <w:t xml:space="preserve"> (IVA inclusa), con la seguente suddivisione:</w:t>
      </w:r>
    </w:p>
    <w:p w:rsidR="006B7287" w:rsidRPr="00CE4C1A" w:rsidRDefault="006B7287" w:rsidP="006B7287">
      <w:pPr>
        <w:rPr>
          <w:sz w:val="24"/>
          <w:szCs w:val="24"/>
        </w:rPr>
      </w:pPr>
    </w:p>
    <w:tbl>
      <w:tblPr>
        <w:tblStyle w:val="Grigliatabella"/>
        <w:tblW w:w="9493" w:type="dxa"/>
        <w:tblBorders>
          <w:left w:val="none" w:sz="0" w:space="0" w:color="auto"/>
          <w:right w:val="none" w:sz="0" w:space="0" w:color="auto"/>
          <w:insideV w:val="none" w:sz="0" w:space="0" w:color="auto"/>
        </w:tblBorders>
        <w:tblLook w:val="04A0" w:firstRow="1" w:lastRow="0" w:firstColumn="1" w:lastColumn="0" w:noHBand="0" w:noVBand="1"/>
      </w:tblPr>
      <w:tblGrid>
        <w:gridCol w:w="7933"/>
        <w:gridCol w:w="1560"/>
      </w:tblGrid>
      <w:tr w:rsidR="006B7287" w:rsidRPr="00CE4C1A" w:rsidTr="00904BB6">
        <w:trPr>
          <w:trHeight w:val="454"/>
        </w:trPr>
        <w:tc>
          <w:tcPr>
            <w:tcW w:w="7933" w:type="dxa"/>
            <w:tcBorders>
              <w:top w:val="nil"/>
            </w:tcBorders>
            <w:vAlign w:val="center"/>
          </w:tcPr>
          <w:p w:rsidR="006B7287" w:rsidRPr="00CE4C1A" w:rsidRDefault="006B7287" w:rsidP="00904BB6">
            <w:pPr>
              <w:tabs>
                <w:tab w:val="left" w:pos="567"/>
              </w:tabs>
              <w:rPr>
                <w:rFonts w:cs="Arial"/>
                <w:sz w:val="24"/>
                <w:szCs w:val="24"/>
              </w:rPr>
            </w:pPr>
            <w:r w:rsidRPr="00CE4C1A">
              <w:rPr>
                <w:rFonts w:cs="Arial"/>
                <w:sz w:val="24"/>
                <w:szCs w:val="24"/>
              </w:rPr>
              <w:t xml:space="preserve">Costi di costruzione </w:t>
            </w:r>
            <w:r w:rsidRPr="00CE4C1A">
              <w:rPr>
                <w:rFonts w:cs="Arial"/>
                <w:sz w:val="24"/>
                <w:szCs w:val="24"/>
                <w:vertAlign w:val="superscript"/>
              </w:rPr>
              <w:t>1)</w:t>
            </w:r>
          </w:p>
        </w:tc>
        <w:tc>
          <w:tcPr>
            <w:tcW w:w="1560" w:type="dxa"/>
            <w:tcBorders>
              <w:top w:val="nil"/>
            </w:tcBorders>
            <w:vAlign w:val="center"/>
          </w:tcPr>
          <w:p w:rsidR="006B7287" w:rsidRPr="00CE4C1A" w:rsidRDefault="006B7287" w:rsidP="00904BB6">
            <w:pPr>
              <w:tabs>
                <w:tab w:val="left" w:pos="567"/>
              </w:tabs>
              <w:jc w:val="right"/>
              <w:rPr>
                <w:rFonts w:cs="Arial"/>
                <w:sz w:val="24"/>
                <w:szCs w:val="24"/>
              </w:rPr>
            </w:pPr>
            <w:r w:rsidRPr="00CE4C1A">
              <w:rPr>
                <w:rFonts w:cs="Arial"/>
                <w:sz w:val="24"/>
                <w:szCs w:val="24"/>
              </w:rPr>
              <w:t>2'930’000</w:t>
            </w:r>
          </w:p>
        </w:tc>
      </w:tr>
      <w:tr w:rsidR="006B7287" w:rsidRPr="00CE4C1A" w:rsidTr="00904BB6">
        <w:trPr>
          <w:trHeight w:val="454"/>
        </w:trPr>
        <w:tc>
          <w:tcPr>
            <w:tcW w:w="7933" w:type="dxa"/>
            <w:vAlign w:val="center"/>
          </w:tcPr>
          <w:p w:rsidR="006B7287" w:rsidRPr="00CE4C1A" w:rsidRDefault="006B7287" w:rsidP="00904BB6">
            <w:pPr>
              <w:tabs>
                <w:tab w:val="left" w:pos="567"/>
              </w:tabs>
              <w:rPr>
                <w:rFonts w:cs="Arial"/>
                <w:sz w:val="24"/>
                <w:szCs w:val="24"/>
              </w:rPr>
            </w:pPr>
            <w:r w:rsidRPr="00CE4C1A">
              <w:rPr>
                <w:rFonts w:cs="Arial"/>
                <w:sz w:val="24"/>
                <w:szCs w:val="24"/>
              </w:rPr>
              <w:t xml:space="preserve">Onorari di progettazione incluso specialisti </w:t>
            </w:r>
            <w:r w:rsidRPr="00CE4C1A">
              <w:rPr>
                <w:rFonts w:cs="Arial"/>
                <w:sz w:val="24"/>
                <w:szCs w:val="24"/>
                <w:vertAlign w:val="superscript"/>
              </w:rPr>
              <w:t>2)</w:t>
            </w:r>
          </w:p>
        </w:tc>
        <w:tc>
          <w:tcPr>
            <w:tcW w:w="1560" w:type="dxa"/>
            <w:vAlign w:val="center"/>
          </w:tcPr>
          <w:p w:rsidR="006B7287" w:rsidRPr="00CE4C1A" w:rsidRDefault="006B7287" w:rsidP="00904BB6">
            <w:pPr>
              <w:tabs>
                <w:tab w:val="left" w:pos="567"/>
              </w:tabs>
              <w:jc w:val="right"/>
              <w:rPr>
                <w:rFonts w:cs="Arial"/>
                <w:sz w:val="24"/>
                <w:szCs w:val="24"/>
              </w:rPr>
            </w:pPr>
            <w:r w:rsidRPr="00CE4C1A">
              <w:rPr>
                <w:rFonts w:cs="Arial"/>
                <w:sz w:val="24"/>
                <w:szCs w:val="24"/>
              </w:rPr>
              <w:t>405’000</w:t>
            </w:r>
          </w:p>
        </w:tc>
      </w:tr>
      <w:tr w:rsidR="006B7287" w:rsidRPr="00CE4C1A" w:rsidTr="00904BB6">
        <w:trPr>
          <w:trHeight w:val="454"/>
        </w:trPr>
        <w:tc>
          <w:tcPr>
            <w:tcW w:w="7933" w:type="dxa"/>
            <w:vAlign w:val="center"/>
          </w:tcPr>
          <w:p w:rsidR="006B7287" w:rsidRPr="00CE4C1A" w:rsidRDefault="006B7287" w:rsidP="00904BB6">
            <w:pPr>
              <w:tabs>
                <w:tab w:val="left" w:pos="567"/>
              </w:tabs>
              <w:rPr>
                <w:rFonts w:cs="Arial"/>
                <w:sz w:val="24"/>
                <w:szCs w:val="24"/>
              </w:rPr>
            </w:pPr>
            <w:r w:rsidRPr="00CE4C1A">
              <w:rPr>
                <w:rFonts w:cs="Arial"/>
                <w:sz w:val="24"/>
                <w:szCs w:val="24"/>
              </w:rPr>
              <w:lastRenderedPageBreak/>
              <w:t>Imprevisti (10%)</w:t>
            </w:r>
          </w:p>
        </w:tc>
        <w:tc>
          <w:tcPr>
            <w:tcW w:w="1560" w:type="dxa"/>
            <w:vAlign w:val="center"/>
          </w:tcPr>
          <w:p w:rsidR="006B7287" w:rsidRPr="00CE4C1A" w:rsidRDefault="006B7287" w:rsidP="00904BB6">
            <w:pPr>
              <w:tabs>
                <w:tab w:val="left" w:pos="567"/>
              </w:tabs>
              <w:jc w:val="right"/>
              <w:rPr>
                <w:rFonts w:cs="Arial"/>
                <w:sz w:val="24"/>
                <w:szCs w:val="24"/>
              </w:rPr>
            </w:pPr>
            <w:r w:rsidRPr="00CE4C1A">
              <w:rPr>
                <w:rFonts w:cs="Arial"/>
                <w:sz w:val="24"/>
                <w:szCs w:val="24"/>
              </w:rPr>
              <w:t>333’000</w:t>
            </w:r>
          </w:p>
        </w:tc>
      </w:tr>
      <w:tr w:rsidR="006B7287" w:rsidRPr="0035103D" w:rsidTr="00904BB6">
        <w:trPr>
          <w:trHeight w:val="454"/>
        </w:trPr>
        <w:tc>
          <w:tcPr>
            <w:tcW w:w="7933" w:type="dxa"/>
            <w:tcBorders>
              <w:bottom w:val="single" w:sz="4" w:space="0" w:color="auto"/>
            </w:tcBorders>
            <w:vAlign w:val="center"/>
          </w:tcPr>
          <w:p w:rsidR="006B7287" w:rsidRPr="0035103D" w:rsidRDefault="006B7287" w:rsidP="00904BB6">
            <w:pPr>
              <w:tabs>
                <w:tab w:val="left" w:pos="567"/>
              </w:tabs>
              <w:rPr>
                <w:rFonts w:cs="Arial"/>
                <w:sz w:val="24"/>
                <w:szCs w:val="24"/>
              </w:rPr>
            </w:pPr>
            <w:r w:rsidRPr="0035103D">
              <w:rPr>
                <w:rFonts w:cs="Arial"/>
                <w:sz w:val="24"/>
                <w:szCs w:val="24"/>
              </w:rPr>
              <w:t>IVA 8.1%</w:t>
            </w:r>
          </w:p>
        </w:tc>
        <w:tc>
          <w:tcPr>
            <w:tcW w:w="1560" w:type="dxa"/>
            <w:tcBorders>
              <w:bottom w:val="single" w:sz="4" w:space="0" w:color="auto"/>
            </w:tcBorders>
            <w:vAlign w:val="center"/>
          </w:tcPr>
          <w:p w:rsidR="006B7287" w:rsidRPr="0035103D" w:rsidRDefault="006B7287" w:rsidP="00904BB6">
            <w:pPr>
              <w:tabs>
                <w:tab w:val="left" w:pos="567"/>
              </w:tabs>
              <w:jc w:val="right"/>
              <w:rPr>
                <w:rFonts w:cs="Arial"/>
                <w:sz w:val="24"/>
                <w:szCs w:val="24"/>
              </w:rPr>
            </w:pPr>
            <w:r w:rsidRPr="0035103D">
              <w:rPr>
                <w:rFonts w:cs="Arial"/>
                <w:sz w:val="24"/>
                <w:szCs w:val="24"/>
              </w:rPr>
              <w:t>297’000</w:t>
            </w:r>
          </w:p>
        </w:tc>
      </w:tr>
      <w:tr w:rsidR="006B7287" w:rsidRPr="0035103D" w:rsidTr="00904BB6">
        <w:trPr>
          <w:trHeight w:val="454"/>
        </w:trPr>
        <w:tc>
          <w:tcPr>
            <w:tcW w:w="7933" w:type="dxa"/>
            <w:tcBorders>
              <w:bottom w:val="single" w:sz="4" w:space="0" w:color="auto"/>
            </w:tcBorders>
            <w:vAlign w:val="center"/>
          </w:tcPr>
          <w:p w:rsidR="006B7287" w:rsidRPr="0035103D" w:rsidRDefault="006B7287" w:rsidP="00904BB6">
            <w:pPr>
              <w:tabs>
                <w:tab w:val="left" w:pos="567"/>
              </w:tabs>
              <w:rPr>
                <w:rFonts w:cs="Arial"/>
                <w:sz w:val="24"/>
                <w:szCs w:val="24"/>
              </w:rPr>
            </w:pPr>
            <w:r w:rsidRPr="0035103D">
              <w:rPr>
                <w:rFonts w:cs="Arial"/>
                <w:sz w:val="24"/>
                <w:szCs w:val="24"/>
              </w:rPr>
              <w:t>Espropriazioni</w:t>
            </w:r>
          </w:p>
        </w:tc>
        <w:tc>
          <w:tcPr>
            <w:tcW w:w="1560" w:type="dxa"/>
            <w:tcBorders>
              <w:bottom w:val="single" w:sz="4" w:space="0" w:color="auto"/>
            </w:tcBorders>
            <w:vAlign w:val="center"/>
          </w:tcPr>
          <w:p w:rsidR="006B7287" w:rsidRPr="0035103D" w:rsidRDefault="006B7287" w:rsidP="00904BB6">
            <w:pPr>
              <w:tabs>
                <w:tab w:val="left" w:pos="567"/>
              </w:tabs>
              <w:jc w:val="right"/>
              <w:rPr>
                <w:rFonts w:cs="Arial"/>
                <w:sz w:val="24"/>
                <w:szCs w:val="24"/>
              </w:rPr>
            </w:pPr>
            <w:r w:rsidRPr="0035103D">
              <w:rPr>
                <w:rFonts w:cs="Arial"/>
                <w:sz w:val="24"/>
                <w:szCs w:val="24"/>
              </w:rPr>
              <w:t>300’000</w:t>
            </w:r>
          </w:p>
        </w:tc>
      </w:tr>
      <w:tr w:rsidR="006B7287" w:rsidRPr="0035103D" w:rsidTr="00904BB6">
        <w:trPr>
          <w:trHeight w:val="454"/>
        </w:trPr>
        <w:tc>
          <w:tcPr>
            <w:tcW w:w="7933" w:type="dxa"/>
            <w:tcBorders>
              <w:top w:val="single" w:sz="4" w:space="0" w:color="auto"/>
              <w:bottom w:val="double" w:sz="4" w:space="0" w:color="auto"/>
            </w:tcBorders>
            <w:vAlign w:val="center"/>
          </w:tcPr>
          <w:p w:rsidR="006B7287" w:rsidRPr="0035103D" w:rsidRDefault="006B7287" w:rsidP="00904BB6">
            <w:pPr>
              <w:tabs>
                <w:tab w:val="left" w:pos="567"/>
              </w:tabs>
              <w:rPr>
                <w:rFonts w:cs="Arial"/>
                <w:sz w:val="24"/>
                <w:szCs w:val="24"/>
              </w:rPr>
            </w:pPr>
            <w:r w:rsidRPr="0035103D">
              <w:rPr>
                <w:rFonts w:cs="Arial"/>
                <w:sz w:val="24"/>
                <w:szCs w:val="24"/>
              </w:rPr>
              <w:t>Riserva (10%)</w:t>
            </w:r>
          </w:p>
        </w:tc>
        <w:tc>
          <w:tcPr>
            <w:tcW w:w="1560" w:type="dxa"/>
            <w:tcBorders>
              <w:top w:val="single" w:sz="4" w:space="0" w:color="auto"/>
              <w:bottom w:val="double" w:sz="4" w:space="0" w:color="auto"/>
            </w:tcBorders>
            <w:vAlign w:val="center"/>
          </w:tcPr>
          <w:p w:rsidR="006B7287" w:rsidRPr="0035103D" w:rsidRDefault="006B7287" w:rsidP="00904BB6">
            <w:pPr>
              <w:tabs>
                <w:tab w:val="left" w:pos="567"/>
              </w:tabs>
              <w:jc w:val="right"/>
              <w:rPr>
                <w:rFonts w:cs="Arial"/>
                <w:sz w:val="24"/>
                <w:szCs w:val="24"/>
              </w:rPr>
            </w:pPr>
            <w:r w:rsidRPr="0035103D">
              <w:rPr>
                <w:rFonts w:cs="Arial"/>
                <w:sz w:val="24"/>
                <w:szCs w:val="24"/>
              </w:rPr>
              <w:t>426’000</w:t>
            </w:r>
          </w:p>
        </w:tc>
      </w:tr>
      <w:tr w:rsidR="006B7287" w:rsidRPr="0035103D" w:rsidTr="00904BB6">
        <w:trPr>
          <w:trHeight w:val="454"/>
        </w:trPr>
        <w:tc>
          <w:tcPr>
            <w:tcW w:w="7933" w:type="dxa"/>
            <w:tcBorders>
              <w:top w:val="single" w:sz="4" w:space="0" w:color="auto"/>
              <w:bottom w:val="double" w:sz="4" w:space="0" w:color="auto"/>
            </w:tcBorders>
            <w:vAlign w:val="center"/>
          </w:tcPr>
          <w:p w:rsidR="006B7287" w:rsidRPr="0035103D" w:rsidRDefault="006B7287" w:rsidP="00904BB6">
            <w:pPr>
              <w:tabs>
                <w:tab w:val="left" w:pos="567"/>
              </w:tabs>
              <w:rPr>
                <w:rFonts w:cs="Arial"/>
                <w:sz w:val="24"/>
                <w:szCs w:val="24"/>
              </w:rPr>
            </w:pPr>
            <w:r>
              <w:rPr>
                <w:rFonts w:cs="Arial"/>
                <w:sz w:val="24"/>
                <w:szCs w:val="24"/>
              </w:rPr>
              <w:t>Indicizzazione importi sulla base dei prezzi ottobre 2023</w:t>
            </w:r>
          </w:p>
        </w:tc>
        <w:tc>
          <w:tcPr>
            <w:tcW w:w="1560" w:type="dxa"/>
            <w:tcBorders>
              <w:top w:val="single" w:sz="4" w:space="0" w:color="auto"/>
              <w:bottom w:val="double" w:sz="4" w:space="0" w:color="auto"/>
            </w:tcBorders>
            <w:vAlign w:val="center"/>
          </w:tcPr>
          <w:p w:rsidR="006B7287" w:rsidRPr="0035103D" w:rsidRDefault="006B7287" w:rsidP="00904BB6">
            <w:pPr>
              <w:tabs>
                <w:tab w:val="left" w:pos="567"/>
              </w:tabs>
              <w:jc w:val="right"/>
              <w:rPr>
                <w:rFonts w:cs="Arial"/>
                <w:sz w:val="24"/>
                <w:szCs w:val="24"/>
              </w:rPr>
            </w:pPr>
            <w:r>
              <w:rPr>
                <w:rFonts w:cs="Arial"/>
                <w:sz w:val="24"/>
                <w:szCs w:val="24"/>
              </w:rPr>
              <w:t>62’000</w:t>
            </w:r>
          </w:p>
        </w:tc>
      </w:tr>
      <w:tr w:rsidR="006B7287" w:rsidRPr="0035103D" w:rsidTr="00904BB6">
        <w:trPr>
          <w:trHeight w:val="454"/>
        </w:trPr>
        <w:tc>
          <w:tcPr>
            <w:tcW w:w="7933" w:type="dxa"/>
            <w:tcBorders>
              <w:top w:val="double" w:sz="4" w:space="0" w:color="auto"/>
              <w:bottom w:val="single" w:sz="4" w:space="0" w:color="auto"/>
            </w:tcBorders>
            <w:vAlign w:val="center"/>
          </w:tcPr>
          <w:p w:rsidR="006B7287" w:rsidRPr="0035103D" w:rsidRDefault="006B7287" w:rsidP="00904BB6">
            <w:pPr>
              <w:tabs>
                <w:tab w:val="left" w:pos="567"/>
              </w:tabs>
              <w:rPr>
                <w:rFonts w:cs="Arial"/>
                <w:b/>
                <w:sz w:val="24"/>
                <w:szCs w:val="24"/>
              </w:rPr>
            </w:pPr>
            <w:r w:rsidRPr="0035103D">
              <w:rPr>
                <w:rFonts w:cs="Arial"/>
                <w:b/>
                <w:sz w:val="24"/>
                <w:szCs w:val="24"/>
              </w:rPr>
              <w:t>Totale (IVA inclusa) e arrotondamento</w:t>
            </w:r>
            <w:r w:rsidRPr="0035103D">
              <w:rPr>
                <w:rFonts w:cs="Arial"/>
                <w:sz w:val="24"/>
                <w:szCs w:val="24"/>
                <w:vertAlign w:val="superscript"/>
              </w:rPr>
              <w:t xml:space="preserve"> </w:t>
            </w:r>
            <w:r w:rsidRPr="0035103D">
              <w:rPr>
                <w:rFonts w:cs="Arial"/>
                <w:b/>
                <w:sz w:val="24"/>
                <w:szCs w:val="24"/>
                <w:vertAlign w:val="superscript"/>
              </w:rPr>
              <w:t>2)</w:t>
            </w:r>
          </w:p>
        </w:tc>
        <w:tc>
          <w:tcPr>
            <w:tcW w:w="1560" w:type="dxa"/>
            <w:tcBorders>
              <w:top w:val="double" w:sz="4" w:space="0" w:color="auto"/>
              <w:bottom w:val="single" w:sz="4" w:space="0" w:color="auto"/>
            </w:tcBorders>
            <w:vAlign w:val="center"/>
          </w:tcPr>
          <w:p w:rsidR="006B7287" w:rsidRPr="0035103D" w:rsidRDefault="006B7287" w:rsidP="00904BB6">
            <w:pPr>
              <w:tabs>
                <w:tab w:val="left" w:pos="567"/>
              </w:tabs>
              <w:jc w:val="right"/>
              <w:rPr>
                <w:rFonts w:cs="Arial"/>
                <w:b/>
                <w:sz w:val="24"/>
                <w:szCs w:val="24"/>
              </w:rPr>
            </w:pPr>
            <w:r w:rsidRPr="0035103D">
              <w:rPr>
                <w:rFonts w:cs="Arial"/>
                <w:b/>
                <w:sz w:val="24"/>
                <w:szCs w:val="24"/>
              </w:rPr>
              <w:t>4</w:t>
            </w:r>
            <w:r>
              <w:rPr>
                <w:rFonts w:cs="Arial"/>
                <w:b/>
                <w:sz w:val="24"/>
                <w:szCs w:val="24"/>
              </w:rPr>
              <w:t>’753</w:t>
            </w:r>
            <w:r w:rsidRPr="0035103D">
              <w:rPr>
                <w:rFonts w:cs="Arial"/>
                <w:b/>
                <w:sz w:val="24"/>
                <w:szCs w:val="24"/>
              </w:rPr>
              <w:t>’000</w:t>
            </w:r>
          </w:p>
        </w:tc>
      </w:tr>
    </w:tbl>
    <w:p w:rsidR="006B7287" w:rsidRDefault="006B7287" w:rsidP="006B7287">
      <w:pPr>
        <w:autoSpaceDE w:val="0"/>
        <w:autoSpaceDN w:val="0"/>
        <w:adjustRightInd w:val="0"/>
        <w:rPr>
          <w:rFonts w:cs="Arial"/>
          <w:bCs/>
          <w:sz w:val="24"/>
          <w:szCs w:val="24"/>
        </w:rPr>
      </w:pPr>
    </w:p>
    <w:p w:rsidR="006B7287" w:rsidRDefault="006B7287" w:rsidP="006B7287">
      <w:pPr>
        <w:rPr>
          <w:sz w:val="24"/>
          <w:szCs w:val="24"/>
        </w:rPr>
      </w:pPr>
      <w:r>
        <w:rPr>
          <w:sz w:val="24"/>
          <w:szCs w:val="24"/>
        </w:rPr>
        <w:t>Il</w:t>
      </w:r>
      <w:r w:rsidRPr="00CE4C1A">
        <w:rPr>
          <w:sz w:val="24"/>
          <w:szCs w:val="24"/>
        </w:rPr>
        <w:t xml:space="preserve"> finanziamento della </w:t>
      </w:r>
      <w:r>
        <w:rPr>
          <w:sz w:val="24"/>
          <w:szCs w:val="24"/>
        </w:rPr>
        <w:t xml:space="preserve">fase di </w:t>
      </w:r>
      <w:r w:rsidRPr="00CE4C1A">
        <w:rPr>
          <w:sz w:val="24"/>
          <w:szCs w:val="24"/>
        </w:rPr>
        <w:t xml:space="preserve">progettazione </w:t>
      </w:r>
      <w:r>
        <w:rPr>
          <w:sz w:val="24"/>
          <w:szCs w:val="24"/>
        </w:rPr>
        <w:t xml:space="preserve">definitiva </w:t>
      </w:r>
      <w:r w:rsidRPr="00CE4C1A">
        <w:rPr>
          <w:sz w:val="24"/>
          <w:szCs w:val="24"/>
        </w:rPr>
        <w:t xml:space="preserve">è </w:t>
      </w:r>
      <w:r>
        <w:rPr>
          <w:sz w:val="24"/>
          <w:szCs w:val="24"/>
        </w:rPr>
        <w:t xml:space="preserve">stato </w:t>
      </w:r>
      <w:r w:rsidRPr="00CE4C1A">
        <w:rPr>
          <w:sz w:val="24"/>
          <w:szCs w:val="24"/>
        </w:rPr>
        <w:t xml:space="preserve">assicurato dal credito stanziato con il Messaggio </w:t>
      </w:r>
      <w:r>
        <w:rPr>
          <w:sz w:val="24"/>
          <w:szCs w:val="24"/>
        </w:rPr>
        <w:t xml:space="preserve">n. </w:t>
      </w:r>
      <w:r w:rsidRPr="00CE4C1A">
        <w:rPr>
          <w:sz w:val="24"/>
          <w:szCs w:val="24"/>
        </w:rPr>
        <w:t>7996</w:t>
      </w:r>
      <w:r>
        <w:rPr>
          <w:sz w:val="24"/>
          <w:szCs w:val="24"/>
        </w:rPr>
        <w:t>.</w:t>
      </w:r>
    </w:p>
    <w:p w:rsidR="006B7287" w:rsidRDefault="006B7287" w:rsidP="006B7287">
      <w:pPr>
        <w:rPr>
          <w:sz w:val="24"/>
          <w:szCs w:val="24"/>
        </w:rPr>
      </w:pPr>
    </w:p>
    <w:p w:rsidR="006B7287" w:rsidRPr="00CE4C1A" w:rsidRDefault="006B7287" w:rsidP="006B7287">
      <w:pPr>
        <w:rPr>
          <w:sz w:val="24"/>
          <w:szCs w:val="24"/>
        </w:rPr>
      </w:pPr>
      <w:r>
        <w:rPr>
          <w:sz w:val="24"/>
          <w:szCs w:val="24"/>
        </w:rPr>
        <w:t>La ripartizione dei costi della misura risulta dalla tabella presente nel Messaggio, che si riproduce integralmente per comodità di lettura.</w:t>
      </w:r>
    </w:p>
    <w:p w:rsidR="006B7287" w:rsidRDefault="006B7287" w:rsidP="006B7287">
      <w:pPr>
        <w:autoSpaceDE w:val="0"/>
        <w:autoSpaceDN w:val="0"/>
        <w:adjustRightInd w:val="0"/>
        <w:rPr>
          <w:rFonts w:cs="Arial"/>
          <w:bCs/>
          <w:szCs w:val="24"/>
        </w:rPr>
      </w:pPr>
    </w:p>
    <w:p w:rsidR="006B7287" w:rsidRPr="00CE4C1A" w:rsidRDefault="006B7287" w:rsidP="006B7287">
      <w:pPr>
        <w:autoSpaceDE w:val="0"/>
        <w:autoSpaceDN w:val="0"/>
        <w:adjustRightInd w:val="0"/>
        <w:rPr>
          <w:rFonts w:cs="Arial"/>
          <w:bCs/>
          <w:szCs w:val="24"/>
        </w:rPr>
      </w:pPr>
    </w:p>
    <w:tbl>
      <w:tblPr>
        <w:tblStyle w:val="TableNormal"/>
        <w:tblW w:w="961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02"/>
        <w:gridCol w:w="1102"/>
        <w:gridCol w:w="1209"/>
        <w:gridCol w:w="995"/>
        <w:gridCol w:w="1102"/>
      </w:tblGrid>
      <w:tr w:rsidR="006B7287" w:rsidRPr="00CE4C1A" w:rsidTr="00904BB6">
        <w:trPr>
          <w:cantSplit/>
          <w:trHeight w:val="2473"/>
        </w:trPr>
        <w:tc>
          <w:tcPr>
            <w:tcW w:w="520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152" w:type="dxa"/>
            </w:tcMar>
            <w:vAlign w:val="center"/>
          </w:tcPr>
          <w:p w:rsidR="006B7287" w:rsidRPr="00CE4C1A" w:rsidRDefault="006B7287" w:rsidP="00904BB6"/>
        </w:tc>
        <w:tc>
          <w:tcPr>
            <w:tcW w:w="1102" w:type="dxa"/>
            <w:tcBorders>
              <w:top w:val="single" w:sz="4" w:space="0" w:color="000000"/>
              <w:left w:val="single" w:sz="4" w:space="0" w:color="000000"/>
              <w:bottom w:val="dotted" w:sz="4" w:space="0" w:color="000000"/>
              <w:right w:val="single" w:sz="4" w:space="0" w:color="000000"/>
            </w:tcBorders>
            <w:textDirection w:val="btLr"/>
            <w:vAlign w:val="center"/>
          </w:tcPr>
          <w:p w:rsidR="006B7287" w:rsidRPr="00CE4C1A" w:rsidRDefault="006B7287" w:rsidP="00904BB6">
            <w:pPr>
              <w:spacing w:before="20" w:after="20"/>
              <w:ind w:left="113" w:right="113"/>
              <w:jc w:val="left"/>
              <w:rPr>
                <w:rFonts w:eastAsia="Times New Roman" w:cs="Times New Roman"/>
                <w:b/>
                <w:bCs/>
                <w:sz w:val="20"/>
                <w:szCs w:val="20"/>
              </w:rPr>
            </w:pPr>
            <w:r w:rsidRPr="00CE4C1A">
              <w:rPr>
                <w:rFonts w:eastAsia="Times New Roman" w:cs="Times New Roman"/>
                <w:b/>
                <w:bCs/>
                <w:sz w:val="20"/>
                <w:szCs w:val="20"/>
              </w:rPr>
              <w:t>Costo preventivato</w:t>
            </w:r>
          </w:p>
        </w:tc>
        <w:tc>
          <w:tcPr>
            <w:tcW w:w="1209" w:type="dxa"/>
            <w:tcBorders>
              <w:top w:val="single" w:sz="4" w:space="0" w:color="000000"/>
              <w:left w:val="single" w:sz="4" w:space="0" w:color="000000"/>
              <w:bottom w:val="dotted" w:sz="4" w:space="0" w:color="000000"/>
              <w:right w:val="single" w:sz="4" w:space="0" w:color="000000"/>
            </w:tcBorders>
            <w:shd w:val="clear" w:color="auto" w:fill="auto"/>
            <w:tcMar>
              <w:top w:w="80" w:type="dxa"/>
              <w:left w:w="193" w:type="dxa"/>
              <w:bottom w:w="80" w:type="dxa"/>
              <w:right w:w="193" w:type="dxa"/>
            </w:tcMar>
            <w:textDirection w:val="btLr"/>
            <w:vAlign w:val="center"/>
          </w:tcPr>
          <w:p w:rsidR="006B7287" w:rsidRPr="00CE4C1A" w:rsidRDefault="006B7287" w:rsidP="00904BB6">
            <w:pPr>
              <w:spacing w:before="20" w:after="20"/>
              <w:ind w:left="113" w:right="113"/>
              <w:jc w:val="left"/>
              <w:rPr>
                <w:rFonts w:eastAsia="Times New Roman" w:cs="Times New Roman"/>
                <w:b/>
                <w:bCs/>
                <w:sz w:val="20"/>
                <w:szCs w:val="20"/>
              </w:rPr>
            </w:pPr>
            <w:r w:rsidRPr="00CE4C1A">
              <w:rPr>
                <w:rFonts w:eastAsia="Times New Roman" w:cs="Times New Roman"/>
                <w:b/>
                <w:bCs/>
                <w:sz w:val="20"/>
                <w:szCs w:val="20"/>
              </w:rPr>
              <w:t>Contributo Confederazione</w:t>
            </w:r>
          </w:p>
          <w:p w:rsidR="006B7287" w:rsidRPr="00CE4C1A" w:rsidRDefault="006B7287" w:rsidP="00904BB6">
            <w:pPr>
              <w:spacing w:before="20" w:after="20"/>
              <w:ind w:left="113" w:right="113"/>
              <w:jc w:val="left"/>
              <w:rPr>
                <w:rFonts w:eastAsia="Times New Roman" w:cs="Times New Roman"/>
                <w:szCs w:val="20"/>
                <w:u w:val="single"/>
              </w:rPr>
            </w:pPr>
            <w:r w:rsidRPr="00CE4C1A">
              <w:rPr>
                <w:rFonts w:eastAsia="Times New Roman" w:cs="Times New Roman"/>
                <w:b/>
                <w:bCs/>
                <w:sz w:val="20"/>
                <w:szCs w:val="20"/>
              </w:rPr>
              <w:t>PAM3</w:t>
            </w:r>
          </w:p>
        </w:tc>
        <w:tc>
          <w:tcPr>
            <w:tcW w:w="995" w:type="dxa"/>
            <w:tcBorders>
              <w:top w:val="single" w:sz="4" w:space="0" w:color="000000"/>
              <w:left w:val="single" w:sz="4" w:space="0" w:color="000000"/>
              <w:bottom w:val="dotted" w:sz="4" w:space="0" w:color="000000"/>
              <w:right w:val="single" w:sz="4" w:space="0" w:color="000000"/>
            </w:tcBorders>
            <w:shd w:val="clear" w:color="auto" w:fill="D9D9D9"/>
            <w:tcMar>
              <w:top w:w="80" w:type="dxa"/>
              <w:left w:w="193" w:type="dxa"/>
              <w:bottom w:w="80" w:type="dxa"/>
              <w:right w:w="193" w:type="dxa"/>
            </w:tcMar>
            <w:textDirection w:val="btLr"/>
            <w:vAlign w:val="center"/>
          </w:tcPr>
          <w:p w:rsidR="006B7287" w:rsidRPr="00CE4C1A" w:rsidRDefault="006B7287" w:rsidP="00904BB6">
            <w:pPr>
              <w:spacing w:before="20" w:after="20"/>
              <w:ind w:left="113" w:right="113"/>
              <w:jc w:val="left"/>
              <w:rPr>
                <w:rFonts w:eastAsia="Times New Roman" w:cs="Times New Roman"/>
                <w:szCs w:val="20"/>
              </w:rPr>
            </w:pPr>
            <w:r w:rsidRPr="00CE4C1A">
              <w:rPr>
                <w:rFonts w:eastAsia="Times New Roman" w:cs="Times New Roman"/>
                <w:b/>
                <w:bCs/>
                <w:sz w:val="20"/>
                <w:szCs w:val="20"/>
              </w:rPr>
              <w:t>Cantone Ticino (65%)</w:t>
            </w:r>
          </w:p>
        </w:tc>
        <w:tc>
          <w:tcPr>
            <w:tcW w:w="1102" w:type="dxa"/>
            <w:tcBorders>
              <w:top w:val="single" w:sz="4" w:space="0" w:color="000000"/>
              <w:left w:val="single" w:sz="4" w:space="0" w:color="000000"/>
              <w:bottom w:val="dotted" w:sz="4" w:space="0" w:color="000000"/>
              <w:right w:val="single" w:sz="4" w:space="0" w:color="000000"/>
            </w:tcBorders>
            <w:shd w:val="clear" w:color="auto" w:fill="auto"/>
            <w:tcMar>
              <w:top w:w="80" w:type="dxa"/>
              <w:left w:w="193" w:type="dxa"/>
              <w:bottom w:w="80" w:type="dxa"/>
              <w:right w:w="193" w:type="dxa"/>
            </w:tcMar>
            <w:textDirection w:val="btLr"/>
            <w:vAlign w:val="center"/>
          </w:tcPr>
          <w:p w:rsidR="006B7287" w:rsidRPr="00CE4C1A" w:rsidRDefault="006B7287" w:rsidP="00904BB6">
            <w:pPr>
              <w:spacing w:before="20" w:after="20"/>
              <w:ind w:left="113" w:right="113"/>
              <w:jc w:val="left"/>
              <w:rPr>
                <w:rFonts w:eastAsia="Times New Roman" w:cs="Times New Roman"/>
                <w:szCs w:val="20"/>
              </w:rPr>
            </w:pPr>
            <w:r w:rsidRPr="00CE4C1A">
              <w:rPr>
                <w:rFonts w:eastAsia="Times New Roman" w:cs="Times New Roman"/>
                <w:b/>
                <w:bCs/>
                <w:sz w:val="20"/>
                <w:szCs w:val="20"/>
              </w:rPr>
              <w:t>Comuni CRTM (35%)</w:t>
            </w:r>
          </w:p>
        </w:tc>
      </w:tr>
      <w:tr w:rsidR="006B7287" w:rsidRPr="00CE4C1A" w:rsidTr="00904BB6">
        <w:trPr>
          <w:trHeight w:val="231"/>
        </w:trPr>
        <w:tc>
          <w:tcPr>
            <w:tcW w:w="5202" w:type="dxa"/>
            <w:tcBorders>
              <w:top w:val="nil"/>
              <w:left w:val="single" w:sz="4" w:space="0" w:color="000000"/>
              <w:bottom w:val="double" w:sz="4" w:space="0" w:color="auto"/>
              <w:right w:val="single" w:sz="4" w:space="0" w:color="000000"/>
            </w:tcBorders>
            <w:shd w:val="clear" w:color="auto" w:fill="auto"/>
            <w:tcMar>
              <w:top w:w="80" w:type="dxa"/>
              <w:left w:w="80" w:type="dxa"/>
              <w:bottom w:w="80" w:type="dxa"/>
              <w:right w:w="152" w:type="dxa"/>
            </w:tcMar>
            <w:vAlign w:val="center"/>
          </w:tcPr>
          <w:p w:rsidR="006B7287" w:rsidRPr="00CE4C1A" w:rsidRDefault="006B7287" w:rsidP="00904BB6"/>
        </w:tc>
        <w:tc>
          <w:tcPr>
            <w:tcW w:w="1102" w:type="dxa"/>
            <w:tcBorders>
              <w:top w:val="dotted" w:sz="4" w:space="0" w:color="000000"/>
              <w:left w:val="single" w:sz="4" w:space="0" w:color="000000"/>
              <w:bottom w:val="double" w:sz="4" w:space="0" w:color="auto"/>
              <w:right w:val="single" w:sz="4" w:space="0" w:color="000000"/>
            </w:tcBorders>
            <w:vAlign w:val="center"/>
          </w:tcPr>
          <w:p w:rsidR="006B7287" w:rsidRDefault="006B7287" w:rsidP="00904BB6">
            <w:pPr>
              <w:jc w:val="center"/>
              <w:rPr>
                <w:rFonts w:eastAsia="Times New Roman" w:cs="Times New Roman"/>
                <w:i/>
                <w:iCs/>
                <w:sz w:val="18"/>
                <w:szCs w:val="18"/>
              </w:rPr>
            </w:pPr>
            <w:r>
              <w:rPr>
                <w:rFonts w:eastAsia="Times New Roman" w:cs="Times New Roman"/>
                <w:i/>
                <w:iCs/>
                <w:sz w:val="18"/>
                <w:szCs w:val="18"/>
              </w:rPr>
              <w:t>fr.</w:t>
            </w:r>
          </w:p>
          <w:p w:rsidR="006B7287" w:rsidRPr="00CE4C1A" w:rsidRDefault="006B7287" w:rsidP="00904BB6">
            <w:pPr>
              <w:jc w:val="center"/>
              <w:rPr>
                <w:rFonts w:eastAsia="Times New Roman" w:cs="Times New Roman"/>
                <w:i/>
                <w:iCs/>
                <w:sz w:val="18"/>
                <w:szCs w:val="18"/>
              </w:rPr>
            </w:pPr>
            <w:r w:rsidRPr="00CE4C1A">
              <w:rPr>
                <w:rFonts w:eastAsia="Times New Roman" w:cs="Times New Roman"/>
                <w:i/>
                <w:iCs/>
                <w:sz w:val="18"/>
                <w:szCs w:val="18"/>
              </w:rPr>
              <w:t>[mio]</w:t>
            </w:r>
          </w:p>
        </w:tc>
        <w:tc>
          <w:tcPr>
            <w:tcW w:w="1209" w:type="dxa"/>
            <w:tcBorders>
              <w:top w:val="dotted"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6B7287" w:rsidRPr="00373B06" w:rsidRDefault="006B7287" w:rsidP="00904BB6">
            <w:pPr>
              <w:jc w:val="center"/>
              <w:rPr>
                <w:rFonts w:eastAsia="Times New Roman" w:cs="Times New Roman"/>
                <w:i/>
                <w:iCs/>
                <w:sz w:val="18"/>
                <w:szCs w:val="18"/>
              </w:rPr>
            </w:pPr>
            <w:r>
              <w:rPr>
                <w:rFonts w:eastAsia="Times New Roman" w:cs="Times New Roman"/>
                <w:i/>
                <w:iCs/>
                <w:sz w:val="18"/>
                <w:szCs w:val="18"/>
              </w:rPr>
              <w:t>fr</w:t>
            </w:r>
            <w:r w:rsidRPr="00373B06">
              <w:rPr>
                <w:rFonts w:eastAsia="Times New Roman" w:cs="Times New Roman"/>
                <w:i/>
                <w:iCs/>
                <w:sz w:val="18"/>
                <w:szCs w:val="18"/>
              </w:rPr>
              <w:t>.</w:t>
            </w:r>
          </w:p>
          <w:p w:rsidR="006B7287" w:rsidRPr="00CE4C1A" w:rsidRDefault="006B7287" w:rsidP="00904BB6">
            <w:pPr>
              <w:jc w:val="center"/>
              <w:rPr>
                <w:rFonts w:eastAsia="Times New Roman" w:cs="Times New Roman"/>
                <w:szCs w:val="20"/>
              </w:rPr>
            </w:pPr>
            <w:r w:rsidRPr="00373B06">
              <w:rPr>
                <w:rFonts w:eastAsia="Times New Roman" w:cs="Times New Roman"/>
                <w:i/>
                <w:iCs/>
                <w:sz w:val="18"/>
                <w:szCs w:val="18"/>
              </w:rPr>
              <w:t>[mio</w:t>
            </w:r>
            <w:r w:rsidRPr="00996C72">
              <w:rPr>
                <w:rFonts w:eastAsia="Times New Roman" w:cs="Times New Roman"/>
                <w:i/>
                <w:iCs/>
                <w:sz w:val="18"/>
                <w:szCs w:val="18"/>
              </w:rPr>
              <w:t>]</w:t>
            </w:r>
            <w:r w:rsidRPr="00996C72">
              <w:rPr>
                <w:rFonts w:eastAsia="Times New Roman" w:cs="Times New Roman"/>
                <w:b/>
                <w:bCs/>
                <w:sz w:val="20"/>
                <w:szCs w:val="20"/>
                <w:vertAlign w:val="superscript"/>
              </w:rPr>
              <w:t>)</w:t>
            </w:r>
          </w:p>
        </w:tc>
        <w:tc>
          <w:tcPr>
            <w:tcW w:w="995" w:type="dxa"/>
            <w:tcBorders>
              <w:top w:val="dotted" w:sz="4" w:space="0" w:color="000000"/>
              <w:left w:val="single" w:sz="4" w:space="0" w:color="000000"/>
              <w:bottom w:val="double" w:sz="4" w:space="0" w:color="auto"/>
              <w:right w:val="single" w:sz="4" w:space="0" w:color="000000"/>
            </w:tcBorders>
            <w:shd w:val="clear" w:color="auto" w:fill="D9D9D9"/>
            <w:tcMar>
              <w:top w:w="80" w:type="dxa"/>
              <w:left w:w="80" w:type="dxa"/>
              <w:bottom w:w="80" w:type="dxa"/>
              <w:right w:w="80" w:type="dxa"/>
            </w:tcMar>
            <w:vAlign w:val="center"/>
          </w:tcPr>
          <w:p w:rsidR="006B7287" w:rsidRDefault="006B7287" w:rsidP="00904BB6">
            <w:pPr>
              <w:jc w:val="center"/>
              <w:rPr>
                <w:i/>
                <w:iCs/>
                <w:sz w:val="18"/>
                <w:szCs w:val="18"/>
              </w:rPr>
            </w:pPr>
            <w:r>
              <w:rPr>
                <w:rFonts w:eastAsia="Times New Roman" w:cs="Times New Roman"/>
                <w:i/>
                <w:iCs/>
                <w:sz w:val="18"/>
                <w:szCs w:val="18"/>
              </w:rPr>
              <w:t>fr.</w:t>
            </w:r>
          </w:p>
          <w:p w:rsidR="006B7287" w:rsidRPr="00CE4C1A" w:rsidRDefault="006B7287" w:rsidP="00904BB6">
            <w:pPr>
              <w:jc w:val="center"/>
            </w:pPr>
            <w:r w:rsidRPr="00CE4C1A">
              <w:rPr>
                <w:i/>
                <w:iCs/>
                <w:sz w:val="18"/>
                <w:szCs w:val="18"/>
              </w:rPr>
              <w:t>[mio]</w:t>
            </w:r>
          </w:p>
        </w:tc>
        <w:tc>
          <w:tcPr>
            <w:tcW w:w="1102" w:type="dxa"/>
            <w:tcBorders>
              <w:top w:val="dotted"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6B7287" w:rsidRDefault="006B7287" w:rsidP="00904BB6">
            <w:pPr>
              <w:jc w:val="center"/>
              <w:rPr>
                <w:i/>
                <w:iCs/>
                <w:sz w:val="18"/>
                <w:szCs w:val="18"/>
              </w:rPr>
            </w:pPr>
            <w:r>
              <w:rPr>
                <w:rFonts w:eastAsia="Times New Roman" w:cs="Times New Roman"/>
                <w:i/>
                <w:iCs/>
                <w:sz w:val="18"/>
                <w:szCs w:val="18"/>
              </w:rPr>
              <w:t>fr.</w:t>
            </w:r>
            <w:r w:rsidRPr="00CE4C1A">
              <w:rPr>
                <w:i/>
                <w:iCs/>
                <w:sz w:val="18"/>
                <w:szCs w:val="18"/>
              </w:rPr>
              <w:t xml:space="preserve"> </w:t>
            </w:r>
          </w:p>
          <w:p w:rsidR="006B7287" w:rsidRPr="00CE4C1A" w:rsidRDefault="006B7287" w:rsidP="00904BB6">
            <w:pPr>
              <w:jc w:val="center"/>
            </w:pPr>
            <w:r w:rsidRPr="00CE4C1A">
              <w:rPr>
                <w:i/>
                <w:iCs/>
                <w:sz w:val="18"/>
                <w:szCs w:val="18"/>
              </w:rPr>
              <w:t>[mio]</w:t>
            </w:r>
          </w:p>
        </w:tc>
      </w:tr>
      <w:tr w:rsidR="006B7287" w:rsidRPr="00CE4C1A" w:rsidTr="00904BB6">
        <w:trPr>
          <w:trHeight w:val="409"/>
        </w:trPr>
        <w:tc>
          <w:tcPr>
            <w:tcW w:w="5202" w:type="dxa"/>
            <w:tcBorders>
              <w:top w:val="doub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287" w:rsidRPr="00CE4C1A" w:rsidRDefault="006B7287" w:rsidP="00904BB6">
            <w:pPr>
              <w:pBdr>
                <w:top w:val="nil"/>
                <w:left w:val="nil"/>
                <w:bottom w:val="nil"/>
                <w:right w:val="nil"/>
                <w:between w:val="nil"/>
                <w:bar w:val="nil"/>
              </w:pBdr>
              <w:rPr>
                <w:rFonts w:eastAsia="Arial Unicode MS" w:cs="Arial Unicode MS"/>
                <w:b/>
                <w:u w:color="000000"/>
                <w:bdr w:val="nil"/>
              </w:rPr>
            </w:pPr>
            <w:r w:rsidRPr="00CE4C1A">
              <w:rPr>
                <w:rFonts w:eastAsia="Arial Unicode MS" w:cs="Arial Unicode MS"/>
                <w:b/>
                <w:u w:color="000000"/>
                <w:bdr w:val="nil"/>
              </w:rPr>
              <w:t xml:space="preserve">Totale: </w:t>
            </w:r>
            <w:r w:rsidRPr="00CE4C1A">
              <w:rPr>
                <w:rFonts w:eastAsia="Arial Unicode MS" w:cs="Arial Unicode MS"/>
                <w:b/>
                <w:bCs/>
                <w:u w:color="000000"/>
                <w:bdr w:val="nil"/>
                <w:lang w:val="it-IT"/>
              </w:rPr>
              <w:t>(IVA inclusa)</w:t>
            </w:r>
          </w:p>
        </w:tc>
        <w:tc>
          <w:tcPr>
            <w:tcW w:w="1102" w:type="dxa"/>
            <w:tcBorders>
              <w:top w:val="double" w:sz="4" w:space="0" w:color="auto"/>
              <w:left w:val="single" w:sz="4" w:space="0" w:color="000000"/>
              <w:bottom w:val="single" w:sz="4" w:space="0" w:color="000000"/>
              <w:right w:val="single" w:sz="4" w:space="0" w:color="000000"/>
            </w:tcBorders>
            <w:vAlign w:val="center"/>
          </w:tcPr>
          <w:p w:rsidR="006B7287" w:rsidRPr="00D179CC" w:rsidRDefault="006B7287" w:rsidP="00904BB6">
            <w:pPr>
              <w:spacing w:before="20" w:after="20"/>
              <w:ind w:right="72"/>
              <w:jc w:val="right"/>
              <w:rPr>
                <w:rFonts w:eastAsia="Times New Roman" w:cs="Times New Roman"/>
                <w:b/>
              </w:rPr>
            </w:pPr>
            <w:r w:rsidRPr="00D179CC">
              <w:rPr>
                <w:rFonts w:eastAsia="Times New Roman" w:cs="Times New Roman"/>
                <w:b/>
              </w:rPr>
              <w:t>4.</w:t>
            </w:r>
            <w:r>
              <w:rPr>
                <w:rFonts w:eastAsia="Times New Roman" w:cs="Times New Roman"/>
                <w:b/>
              </w:rPr>
              <w:t>753</w:t>
            </w:r>
          </w:p>
        </w:tc>
        <w:tc>
          <w:tcPr>
            <w:tcW w:w="1209" w:type="dxa"/>
            <w:tcBorders>
              <w:top w:val="doub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152" w:type="dxa"/>
            </w:tcMar>
            <w:vAlign w:val="center"/>
          </w:tcPr>
          <w:p w:rsidR="006B7287" w:rsidRPr="00D179CC" w:rsidRDefault="006B7287" w:rsidP="00904BB6">
            <w:pPr>
              <w:spacing w:before="20" w:after="20"/>
              <w:ind w:right="72"/>
              <w:jc w:val="right"/>
              <w:rPr>
                <w:rFonts w:eastAsia="Times New Roman" w:cs="Times New Roman"/>
                <w:b/>
              </w:rPr>
            </w:pPr>
            <w:r>
              <w:rPr>
                <w:rFonts w:eastAsia="Times New Roman" w:cs="Times New Roman"/>
                <w:b/>
              </w:rPr>
              <w:t>1.237</w:t>
            </w:r>
          </w:p>
        </w:tc>
        <w:tc>
          <w:tcPr>
            <w:tcW w:w="995" w:type="dxa"/>
            <w:tcBorders>
              <w:top w:val="double" w:sz="4" w:space="0" w:color="auto"/>
              <w:left w:val="single" w:sz="4" w:space="0" w:color="000000"/>
              <w:bottom w:val="single" w:sz="4" w:space="0" w:color="auto"/>
              <w:right w:val="single" w:sz="4" w:space="0" w:color="000000"/>
            </w:tcBorders>
            <w:shd w:val="clear" w:color="auto" w:fill="D9D9D9"/>
            <w:tcMar>
              <w:top w:w="80" w:type="dxa"/>
              <w:left w:w="80" w:type="dxa"/>
              <w:bottom w:w="80" w:type="dxa"/>
              <w:right w:w="152" w:type="dxa"/>
            </w:tcMar>
            <w:vAlign w:val="center"/>
          </w:tcPr>
          <w:p w:rsidR="006B7287" w:rsidRPr="00D179CC" w:rsidRDefault="006B7287" w:rsidP="00904BB6">
            <w:pPr>
              <w:spacing w:before="20" w:after="20"/>
              <w:ind w:right="72"/>
              <w:jc w:val="right"/>
              <w:rPr>
                <w:rFonts w:eastAsia="Times New Roman" w:cs="Times New Roman"/>
                <w:b/>
                <w:szCs w:val="20"/>
              </w:rPr>
            </w:pPr>
            <w:r>
              <w:rPr>
                <w:rFonts w:eastAsia="Times New Roman" w:cs="Times New Roman"/>
                <w:b/>
              </w:rPr>
              <w:t>2.285</w:t>
            </w:r>
          </w:p>
        </w:tc>
        <w:tc>
          <w:tcPr>
            <w:tcW w:w="1102" w:type="dxa"/>
            <w:tcBorders>
              <w:top w:val="doub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152" w:type="dxa"/>
            </w:tcMar>
            <w:vAlign w:val="center"/>
          </w:tcPr>
          <w:p w:rsidR="006B7287" w:rsidRPr="00D179CC" w:rsidRDefault="006B7287" w:rsidP="00904BB6">
            <w:pPr>
              <w:spacing w:before="20" w:after="20"/>
              <w:ind w:right="72"/>
              <w:jc w:val="right"/>
              <w:rPr>
                <w:rFonts w:eastAsia="Times New Roman" w:cs="Times New Roman"/>
                <w:b/>
                <w:szCs w:val="20"/>
              </w:rPr>
            </w:pPr>
            <w:r>
              <w:rPr>
                <w:rFonts w:eastAsia="Times New Roman" w:cs="Times New Roman"/>
                <w:b/>
              </w:rPr>
              <w:t>1.231</w:t>
            </w:r>
          </w:p>
        </w:tc>
      </w:tr>
    </w:tbl>
    <w:p w:rsidR="006B7287" w:rsidRPr="0039537A" w:rsidRDefault="006B7287" w:rsidP="006B7287">
      <w:pPr>
        <w:rPr>
          <w:sz w:val="24"/>
          <w:szCs w:val="24"/>
        </w:rPr>
      </w:pPr>
    </w:p>
    <w:p w:rsidR="006B7287" w:rsidRPr="00D46B4E" w:rsidRDefault="006B7287" w:rsidP="006B7287">
      <w:pPr>
        <w:rPr>
          <w:sz w:val="24"/>
          <w:szCs w:val="24"/>
        </w:rPr>
      </w:pPr>
      <w:r w:rsidRPr="0039537A">
        <w:rPr>
          <w:sz w:val="24"/>
          <w:szCs w:val="24"/>
        </w:rPr>
        <w:t>Per quanto attiene ai tempi di realizzazione, secondo il Messaggi</w:t>
      </w:r>
      <w:r>
        <w:rPr>
          <w:sz w:val="24"/>
          <w:szCs w:val="24"/>
        </w:rPr>
        <w:t>o</w:t>
      </w:r>
      <w:r w:rsidRPr="0039537A">
        <w:rPr>
          <w:sz w:val="24"/>
          <w:szCs w:val="24"/>
        </w:rPr>
        <w:t xml:space="preserve"> </w:t>
      </w:r>
      <w:r w:rsidRPr="00C443B2">
        <w:rPr>
          <w:i/>
          <w:iCs/>
          <w:sz w:val="24"/>
          <w:szCs w:val="24"/>
        </w:rPr>
        <w:t>“i lavori potrebbero prendere avvio nel corso del 2025. La durata dei lavori è stimata in circa 14 mesi”</w:t>
      </w:r>
      <w:r w:rsidRPr="00D46B4E">
        <w:rPr>
          <w:sz w:val="24"/>
          <w:szCs w:val="24"/>
        </w:rPr>
        <w:t>.</w:t>
      </w:r>
    </w:p>
    <w:p w:rsidR="006B7287" w:rsidRDefault="006B7287" w:rsidP="006B7287">
      <w:pPr>
        <w:rPr>
          <w:sz w:val="24"/>
          <w:szCs w:val="24"/>
        </w:rPr>
      </w:pPr>
    </w:p>
    <w:p w:rsidR="006B7287" w:rsidRDefault="006B7287" w:rsidP="006B7287"/>
    <w:p w:rsidR="006B7287" w:rsidRPr="00F36404" w:rsidRDefault="006B7287" w:rsidP="00F36404">
      <w:pPr>
        <w:pStyle w:val="Paragrafoelenco"/>
        <w:numPr>
          <w:ilvl w:val="0"/>
          <w:numId w:val="18"/>
        </w:numPr>
        <w:tabs>
          <w:tab w:val="left" w:pos="3686"/>
          <w:tab w:val="right" w:pos="5670"/>
          <w:tab w:val="left" w:pos="5812"/>
        </w:tabs>
        <w:suppressAutoHyphens/>
        <w:spacing w:after="120"/>
        <w:ind w:left="567" w:hanging="567"/>
        <w:rPr>
          <w:b/>
          <w:bCs/>
          <w:sz w:val="24"/>
          <w:szCs w:val="24"/>
        </w:rPr>
      </w:pPr>
      <w:r w:rsidRPr="003114A6">
        <w:rPr>
          <w:b/>
          <w:bCs/>
          <w:sz w:val="24"/>
          <w:szCs w:val="24"/>
        </w:rPr>
        <w:t>PAM3 Misura TP 3.2 Velocizzazione del TP su gomma sui principali assi transfrontalieri in uscita verso l’Italia tra Novazzano e Mendrisio-Genestrerio.</w:t>
      </w:r>
    </w:p>
    <w:p w:rsidR="006B7287" w:rsidRDefault="006B7287" w:rsidP="006B7287">
      <w:pPr>
        <w:rPr>
          <w:sz w:val="24"/>
          <w:szCs w:val="24"/>
        </w:rPr>
      </w:pPr>
      <w:r w:rsidRPr="003114A6">
        <w:rPr>
          <w:sz w:val="24"/>
          <w:szCs w:val="24"/>
        </w:rPr>
        <w:t>Gli obi</w:t>
      </w:r>
      <w:r>
        <w:rPr>
          <w:sz w:val="24"/>
          <w:szCs w:val="24"/>
        </w:rPr>
        <w:t>ettivi e le modalità di intervento corrispondono a quelli già illustrati con riferimento alla Misura TP 3.1, per cui ci si può limitare a rinviare al relativo passaggio del presente Rapporto.</w:t>
      </w:r>
    </w:p>
    <w:p w:rsidR="006B7287" w:rsidRDefault="006B7287" w:rsidP="006B7287">
      <w:pPr>
        <w:pStyle w:val="StandardRisoluzionedelConsigliodiStato"/>
        <w:ind w:right="-1"/>
      </w:pPr>
      <w:r>
        <w:t>¨</w:t>
      </w:r>
    </w:p>
    <w:p w:rsidR="006B7287" w:rsidRDefault="006B7287" w:rsidP="006B7287">
      <w:pPr>
        <w:pStyle w:val="StandardRisoluzionedelConsigliodiStato"/>
        <w:ind w:right="-1"/>
      </w:pPr>
      <w:r>
        <w:t xml:space="preserve">Con il Messaggio </w:t>
      </w:r>
      <w:r w:rsidRPr="00A5390E">
        <w:rPr>
          <w:szCs w:val="24"/>
        </w:rPr>
        <w:t>n. 7996 del 14 maggio 2021</w:t>
      </w:r>
      <w:r>
        <w:rPr>
          <w:szCs w:val="24"/>
        </w:rPr>
        <w:t xml:space="preserve"> era stato richiesto – e poi concesso dal Gran Consiglio – un credito per la progettazione definitiva (compresa la misura TP 3.1) di </w:t>
      </w:r>
      <w:r w:rsidRPr="003114A6">
        <w:rPr>
          <w:szCs w:val="24"/>
        </w:rPr>
        <w:t>CHF 300'000 (autorizzazione alla spesa), di cui CHF 195'000 a carico del Cantone (onere netto).</w:t>
      </w:r>
    </w:p>
    <w:p w:rsidR="006B7287" w:rsidRDefault="006B7287" w:rsidP="006B7287">
      <w:pPr>
        <w:rPr>
          <w:sz w:val="24"/>
          <w:szCs w:val="24"/>
        </w:rPr>
      </w:pPr>
    </w:p>
    <w:p w:rsidR="006B7287" w:rsidRPr="00963A01" w:rsidRDefault="006B7287" w:rsidP="006B7287">
      <w:pPr>
        <w:tabs>
          <w:tab w:val="left" w:pos="567"/>
          <w:tab w:val="left" w:pos="2041"/>
          <w:tab w:val="left" w:pos="4933"/>
        </w:tabs>
        <w:rPr>
          <w:sz w:val="24"/>
          <w:szCs w:val="24"/>
        </w:rPr>
      </w:pPr>
      <w:r w:rsidRPr="00963A01">
        <w:rPr>
          <w:sz w:val="24"/>
          <w:szCs w:val="24"/>
        </w:rPr>
        <w:lastRenderedPageBreak/>
        <w:t>I costi</w:t>
      </w:r>
      <w:r>
        <w:rPr>
          <w:sz w:val="24"/>
          <w:szCs w:val="24"/>
        </w:rPr>
        <w:t xml:space="preserve"> complessivi,</w:t>
      </w:r>
      <w:r w:rsidRPr="00963A01">
        <w:rPr>
          <w:sz w:val="24"/>
          <w:szCs w:val="24"/>
        </w:rPr>
        <w:t xml:space="preserve"> calcolati sulla base del progetto definitivo</w:t>
      </w:r>
      <w:r>
        <w:rPr>
          <w:sz w:val="24"/>
          <w:szCs w:val="24"/>
        </w:rPr>
        <w:t>,</w:t>
      </w:r>
      <w:r w:rsidRPr="00963A01">
        <w:rPr>
          <w:sz w:val="24"/>
          <w:szCs w:val="24"/>
        </w:rPr>
        <w:t xml:space="preserve"> ammontano a </w:t>
      </w:r>
      <w:r w:rsidRPr="00DB0708">
        <w:rPr>
          <w:b/>
          <w:bCs/>
          <w:sz w:val="24"/>
          <w:szCs w:val="24"/>
        </w:rPr>
        <w:t>fr. 3'409'000.-</w:t>
      </w:r>
      <w:r w:rsidRPr="00963A01">
        <w:rPr>
          <w:sz w:val="24"/>
          <w:szCs w:val="24"/>
        </w:rPr>
        <w:t xml:space="preserve"> (IVA inclusa), con la seguente suddivisione:</w:t>
      </w:r>
    </w:p>
    <w:p w:rsidR="006B7287" w:rsidRPr="00CE4C1A" w:rsidRDefault="006B7287" w:rsidP="006B7287">
      <w:pPr>
        <w:rPr>
          <w:szCs w:val="24"/>
        </w:rPr>
      </w:pPr>
    </w:p>
    <w:tbl>
      <w:tblPr>
        <w:tblStyle w:val="Grigliatabella"/>
        <w:tblW w:w="9493" w:type="dxa"/>
        <w:tblBorders>
          <w:left w:val="none" w:sz="0" w:space="0" w:color="auto"/>
          <w:right w:val="none" w:sz="0" w:space="0" w:color="auto"/>
          <w:insideV w:val="none" w:sz="0" w:space="0" w:color="auto"/>
        </w:tblBorders>
        <w:tblLook w:val="04A0" w:firstRow="1" w:lastRow="0" w:firstColumn="1" w:lastColumn="0" w:noHBand="0" w:noVBand="1"/>
      </w:tblPr>
      <w:tblGrid>
        <w:gridCol w:w="7933"/>
        <w:gridCol w:w="1560"/>
      </w:tblGrid>
      <w:tr w:rsidR="006B7287" w:rsidRPr="00D84F74" w:rsidTr="00904BB6">
        <w:trPr>
          <w:trHeight w:val="454"/>
        </w:trPr>
        <w:tc>
          <w:tcPr>
            <w:tcW w:w="7933" w:type="dxa"/>
            <w:tcBorders>
              <w:top w:val="nil"/>
            </w:tcBorders>
            <w:vAlign w:val="center"/>
          </w:tcPr>
          <w:p w:rsidR="006B7287" w:rsidRPr="00D84F74" w:rsidRDefault="006B7287" w:rsidP="00904BB6">
            <w:pPr>
              <w:tabs>
                <w:tab w:val="left" w:pos="567"/>
              </w:tabs>
              <w:rPr>
                <w:rFonts w:cs="Arial"/>
                <w:sz w:val="24"/>
                <w:szCs w:val="24"/>
              </w:rPr>
            </w:pPr>
            <w:r w:rsidRPr="00D84F74">
              <w:rPr>
                <w:rFonts w:cs="Arial"/>
                <w:sz w:val="24"/>
                <w:szCs w:val="24"/>
              </w:rPr>
              <w:t xml:space="preserve">Costi di costruzione </w:t>
            </w:r>
          </w:p>
        </w:tc>
        <w:tc>
          <w:tcPr>
            <w:tcW w:w="1560" w:type="dxa"/>
            <w:tcBorders>
              <w:top w:val="nil"/>
            </w:tcBorders>
            <w:vAlign w:val="center"/>
          </w:tcPr>
          <w:p w:rsidR="006B7287" w:rsidRPr="00D84F74" w:rsidRDefault="006B7287" w:rsidP="00904BB6">
            <w:pPr>
              <w:tabs>
                <w:tab w:val="left" w:pos="567"/>
              </w:tabs>
              <w:jc w:val="right"/>
              <w:rPr>
                <w:sz w:val="24"/>
                <w:szCs w:val="24"/>
              </w:rPr>
            </w:pPr>
            <w:r w:rsidRPr="00D84F74">
              <w:rPr>
                <w:sz w:val="24"/>
                <w:szCs w:val="24"/>
              </w:rPr>
              <w:t>2’234’000</w:t>
            </w:r>
          </w:p>
        </w:tc>
      </w:tr>
      <w:tr w:rsidR="006B7287" w:rsidRPr="00D84F74" w:rsidTr="00904BB6">
        <w:trPr>
          <w:trHeight w:val="454"/>
        </w:trPr>
        <w:tc>
          <w:tcPr>
            <w:tcW w:w="7933" w:type="dxa"/>
            <w:vAlign w:val="center"/>
          </w:tcPr>
          <w:p w:rsidR="006B7287" w:rsidRPr="00D84F74" w:rsidRDefault="006B7287" w:rsidP="00904BB6">
            <w:pPr>
              <w:tabs>
                <w:tab w:val="left" w:pos="567"/>
              </w:tabs>
              <w:rPr>
                <w:rFonts w:cs="Arial"/>
                <w:sz w:val="24"/>
                <w:szCs w:val="24"/>
              </w:rPr>
            </w:pPr>
            <w:r w:rsidRPr="00D84F74">
              <w:rPr>
                <w:rFonts w:cs="Arial"/>
                <w:sz w:val="24"/>
                <w:szCs w:val="24"/>
              </w:rPr>
              <w:t>Onorari di progettazione incluso specialisti</w:t>
            </w:r>
          </w:p>
        </w:tc>
        <w:tc>
          <w:tcPr>
            <w:tcW w:w="1560" w:type="dxa"/>
            <w:vAlign w:val="center"/>
          </w:tcPr>
          <w:p w:rsidR="006B7287" w:rsidRPr="00D84F74" w:rsidRDefault="006B7287" w:rsidP="00904BB6">
            <w:pPr>
              <w:tabs>
                <w:tab w:val="left" w:pos="567"/>
              </w:tabs>
              <w:jc w:val="right"/>
              <w:rPr>
                <w:rFonts w:cs="Arial"/>
                <w:sz w:val="24"/>
                <w:szCs w:val="24"/>
              </w:rPr>
            </w:pPr>
            <w:r w:rsidRPr="00D84F74">
              <w:rPr>
                <w:sz w:val="24"/>
                <w:szCs w:val="24"/>
              </w:rPr>
              <w:t xml:space="preserve">183'000 </w:t>
            </w:r>
          </w:p>
        </w:tc>
      </w:tr>
      <w:tr w:rsidR="006B7287" w:rsidRPr="00D84F74" w:rsidTr="00904BB6">
        <w:trPr>
          <w:trHeight w:val="454"/>
        </w:trPr>
        <w:tc>
          <w:tcPr>
            <w:tcW w:w="7933" w:type="dxa"/>
            <w:vAlign w:val="center"/>
          </w:tcPr>
          <w:p w:rsidR="006B7287" w:rsidRPr="00D84F74" w:rsidRDefault="006B7287" w:rsidP="00904BB6">
            <w:pPr>
              <w:tabs>
                <w:tab w:val="left" w:pos="567"/>
              </w:tabs>
              <w:rPr>
                <w:rFonts w:cs="Arial"/>
                <w:sz w:val="24"/>
                <w:szCs w:val="24"/>
              </w:rPr>
            </w:pPr>
            <w:r w:rsidRPr="00D84F74">
              <w:rPr>
                <w:rFonts w:cs="Arial"/>
                <w:sz w:val="24"/>
                <w:szCs w:val="24"/>
              </w:rPr>
              <w:t>Imprevisti (10%)</w:t>
            </w:r>
          </w:p>
        </w:tc>
        <w:tc>
          <w:tcPr>
            <w:tcW w:w="1560" w:type="dxa"/>
            <w:vAlign w:val="center"/>
          </w:tcPr>
          <w:p w:rsidR="006B7287" w:rsidRPr="00D84F74" w:rsidRDefault="006B7287" w:rsidP="00904BB6">
            <w:pPr>
              <w:tabs>
                <w:tab w:val="left" w:pos="567"/>
              </w:tabs>
              <w:jc w:val="right"/>
              <w:rPr>
                <w:sz w:val="24"/>
                <w:szCs w:val="24"/>
              </w:rPr>
            </w:pPr>
            <w:r w:rsidRPr="00D84F74">
              <w:rPr>
                <w:sz w:val="24"/>
                <w:szCs w:val="24"/>
              </w:rPr>
              <w:t>242'000</w:t>
            </w:r>
          </w:p>
        </w:tc>
      </w:tr>
      <w:tr w:rsidR="006B7287" w:rsidRPr="00D84F74" w:rsidTr="00904BB6">
        <w:trPr>
          <w:trHeight w:val="454"/>
        </w:trPr>
        <w:tc>
          <w:tcPr>
            <w:tcW w:w="7933" w:type="dxa"/>
            <w:tcBorders>
              <w:bottom w:val="single" w:sz="4" w:space="0" w:color="auto"/>
            </w:tcBorders>
            <w:vAlign w:val="center"/>
          </w:tcPr>
          <w:p w:rsidR="006B7287" w:rsidRPr="00D84F74" w:rsidRDefault="006B7287" w:rsidP="00904BB6">
            <w:pPr>
              <w:tabs>
                <w:tab w:val="left" w:pos="567"/>
              </w:tabs>
              <w:rPr>
                <w:rFonts w:cs="Arial"/>
                <w:sz w:val="24"/>
                <w:szCs w:val="24"/>
              </w:rPr>
            </w:pPr>
            <w:r w:rsidRPr="00D84F74">
              <w:rPr>
                <w:rFonts w:cs="Arial"/>
                <w:sz w:val="24"/>
                <w:szCs w:val="24"/>
              </w:rPr>
              <w:t>IVA 8.1%</w:t>
            </w:r>
          </w:p>
        </w:tc>
        <w:tc>
          <w:tcPr>
            <w:tcW w:w="1560" w:type="dxa"/>
            <w:tcBorders>
              <w:bottom w:val="single" w:sz="4" w:space="0" w:color="auto"/>
            </w:tcBorders>
            <w:vAlign w:val="center"/>
          </w:tcPr>
          <w:p w:rsidR="006B7287" w:rsidRPr="00D84F74" w:rsidRDefault="006B7287" w:rsidP="00904BB6">
            <w:pPr>
              <w:tabs>
                <w:tab w:val="left" w:pos="567"/>
              </w:tabs>
              <w:jc w:val="right"/>
              <w:rPr>
                <w:sz w:val="24"/>
                <w:szCs w:val="24"/>
              </w:rPr>
            </w:pPr>
            <w:r w:rsidRPr="00D84F74">
              <w:rPr>
                <w:sz w:val="24"/>
                <w:szCs w:val="24"/>
              </w:rPr>
              <w:t>215’000</w:t>
            </w:r>
          </w:p>
        </w:tc>
      </w:tr>
      <w:tr w:rsidR="006B7287" w:rsidRPr="00D84F74" w:rsidTr="00904BB6">
        <w:trPr>
          <w:trHeight w:val="454"/>
        </w:trPr>
        <w:tc>
          <w:tcPr>
            <w:tcW w:w="7933" w:type="dxa"/>
            <w:tcBorders>
              <w:bottom w:val="single" w:sz="4" w:space="0" w:color="auto"/>
            </w:tcBorders>
            <w:vAlign w:val="center"/>
          </w:tcPr>
          <w:p w:rsidR="006B7287" w:rsidRPr="00D84F74" w:rsidRDefault="006B7287" w:rsidP="00904BB6">
            <w:pPr>
              <w:tabs>
                <w:tab w:val="left" w:pos="567"/>
              </w:tabs>
              <w:rPr>
                <w:rFonts w:cs="Arial"/>
                <w:sz w:val="24"/>
                <w:szCs w:val="24"/>
              </w:rPr>
            </w:pPr>
            <w:r w:rsidRPr="00D84F74">
              <w:rPr>
                <w:rFonts w:cs="Arial"/>
                <w:sz w:val="24"/>
                <w:szCs w:val="24"/>
              </w:rPr>
              <w:t>Espropriazioni</w:t>
            </w:r>
          </w:p>
        </w:tc>
        <w:tc>
          <w:tcPr>
            <w:tcW w:w="1560" w:type="dxa"/>
            <w:tcBorders>
              <w:bottom w:val="single" w:sz="4" w:space="0" w:color="auto"/>
            </w:tcBorders>
            <w:vAlign w:val="center"/>
          </w:tcPr>
          <w:p w:rsidR="006B7287" w:rsidRPr="00D84F74" w:rsidRDefault="006B7287" w:rsidP="00904BB6">
            <w:pPr>
              <w:tabs>
                <w:tab w:val="left" w:pos="567"/>
              </w:tabs>
              <w:jc w:val="right"/>
              <w:rPr>
                <w:rFonts w:cs="Arial"/>
                <w:sz w:val="24"/>
                <w:szCs w:val="24"/>
              </w:rPr>
            </w:pPr>
            <w:r w:rsidRPr="00D84F74">
              <w:rPr>
                <w:sz w:val="24"/>
                <w:szCs w:val="24"/>
              </w:rPr>
              <w:t>90’000</w:t>
            </w:r>
          </w:p>
        </w:tc>
      </w:tr>
      <w:tr w:rsidR="006B7287" w:rsidRPr="00D84F74" w:rsidTr="00904BB6">
        <w:trPr>
          <w:trHeight w:val="454"/>
        </w:trPr>
        <w:tc>
          <w:tcPr>
            <w:tcW w:w="7933" w:type="dxa"/>
            <w:tcBorders>
              <w:top w:val="single" w:sz="4" w:space="0" w:color="auto"/>
              <w:bottom w:val="double" w:sz="4" w:space="0" w:color="auto"/>
            </w:tcBorders>
            <w:vAlign w:val="center"/>
          </w:tcPr>
          <w:p w:rsidR="006B7287" w:rsidRPr="00D84F74" w:rsidRDefault="006B7287" w:rsidP="00904BB6">
            <w:pPr>
              <w:tabs>
                <w:tab w:val="left" w:pos="567"/>
              </w:tabs>
              <w:rPr>
                <w:rFonts w:cs="Arial"/>
                <w:sz w:val="24"/>
                <w:szCs w:val="24"/>
              </w:rPr>
            </w:pPr>
            <w:r w:rsidRPr="00D84F74">
              <w:rPr>
                <w:rFonts w:cs="Arial"/>
                <w:sz w:val="24"/>
                <w:szCs w:val="24"/>
              </w:rPr>
              <w:t>Riserva (15%)</w:t>
            </w:r>
            <w:r>
              <w:rPr>
                <w:rFonts w:cs="Arial"/>
                <w:sz w:val="24"/>
                <w:szCs w:val="24"/>
              </w:rPr>
              <w:t xml:space="preserve"> per ev. sostituzioni/consolidamento terreno</w:t>
            </w:r>
          </w:p>
        </w:tc>
        <w:tc>
          <w:tcPr>
            <w:tcW w:w="1560" w:type="dxa"/>
            <w:tcBorders>
              <w:top w:val="single" w:sz="4" w:space="0" w:color="auto"/>
              <w:bottom w:val="double" w:sz="4" w:space="0" w:color="auto"/>
            </w:tcBorders>
            <w:vAlign w:val="center"/>
          </w:tcPr>
          <w:p w:rsidR="006B7287" w:rsidRPr="00D84F74" w:rsidRDefault="006B7287" w:rsidP="00904BB6">
            <w:pPr>
              <w:tabs>
                <w:tab w:val="left" w:pos="567"/>
              </w:tabs>
              <w:jc w:val="right"/>
              <w:rPr>
                <w:sz w:val="24"/>
                <w:szCs w:val="24"/>
              </w:rPr>
            </w:pPr>
            <w:r>
              <w:rPr>
                <w:sz w:val="24"/>
                <w:szCs w:val="24"/>
              </w:rPr>
              <w:t>444’600</w:t>
            </w:r>
          </w:p>
        </w:tc>
      </w:tr>
      <w:tr w:rsidR="006B7287" w:rsidRPr="00D84F74" w:rsidTr="00904BB6">
        <w:trPr>
          <w:trHeight w:val="454"/>
        </w:trPr>
        <w:tc>
          <w:tcPr>
            <w:tcW w:w="7933" w:type="dxa"/>
            <w:tcBorders>
              <w:top w:val="double" w:sz="4" w:space="0" w:color="auto"/>
              <w:bottom w:val="single" w:sz="4" w:space="0" w:color="auto"/>
            </w:tcBorders>
            <w:vAlign w:val="center"/>
          </w:tcPr>
          <w:p w:rsidR="006B7287" w:rsidRPr="00D84F74" w:rsidRDefault="006B7287" w:rsidP="00904BB6">
            <w:pPr>
              <w:tabs>
                <w:tab w:val="left" w:pos="567"/>
              </w:tabs>
              <w:rPr>
                <w:rFonts w:cs="Arial"/>
                <w:b/>
                <w:sz w:val="24"/>
                <w:szCs w:val="24"/>
              </w:rPr>
            </w:pPr>
            <w:r w:rsidRPr="00D84F74">
              <w:rPr>
                <w:rFonts w:cs="Arial"/>
                <w:b/>
                <w:sz w:val="24"/>
                <w:szCs w:val="24"/>
              </w:rPr>
              <w:t>Totale (IVA inclusa) e arrotondamento</w:t>
            </w:r>
            <w:r w:rsidRPr="00D84F74">
              <w:rPr>
                <w:rFonts w:cs="Arial"/>
                <w:sz w:val="24"/>
                <w:szCs w:val="24"/>
                <w:vertAlign w:val="superscript"/>
              </w:rPr>
              <w:t xml:space="preserve"> </w:t>
            </w:r>
            <w:r>
              <w:rPr>
                <w:rFonts w:cs="Arial"/>
                <w:b/>
                <w:sz w:val="24"/>
                <w:szCs w:val="24"/>
                <w:vertAlign w:val="superscript"/>
              </w:rPr>
              <w:t>1</w:t>
            </w:r>
            <w:r w:rsidRPr="00D84F74">
              <w:rPr>
                <w:rFonts w:cs="Arial"/>
                <w:b/>
                <w:sz w:val="24"/>
                <w:szCs w:val="24"/>
                <w:vertAlign w:val="superscript"/>
              </w:rPr>
              <w:t>)</w:t>
            </w:r>
          </w:p>
        </w:tc>
        <w:tc>
          <w:tcPr>
            <w:tcW w:w="1560" w:type="dxa"/>
            <w:tcBorders>
              <w:top w:val="double" w:sz="4" w:space="0" w:color="auto"/>
              <w:bottom w:val="single" w:sz="4" w:space="0" w:color="auto"/>
            </w:tcBorders>
            <w:vAlign w:val="center"/>
          </w:tcPr>
          <w:p w:rsidR="006B7287" w:rsidRPr="000853AB" w:rsidRDefault="006B7287" w:rsidP="00904BB6">
            <w:pPr>
              <w:tabs>
                <w:tab w:val="left" w:pos="567"/>
              </w:tabs>
              <w:jc w:val="right"/>
              <w:rPr>
                <w:b/>
                <w:sz w:val="24"/>
                <w:szCs w:val="24"/>
              </w:rPr>
            </w:pPr>
            <w:r w:rsidRPr="00D84F74">
              <w:rPr>
                <w:b/>
                <w:sz w:val="24"/>
                <w:szCs w:val="24"/>
              </w:rPr>
              <w:t>3'409</w:t>
            </w:r>
            <w:r>
              <w:rPr>
                <w:b/>
                <w:sz w:val="24"/>
                <w:szCs w:val="24"/>
              </w:rPr>
              <w:t>’000</w:t>
            </w:r>
          </w:p>
        </w:tc>
      </w:tr>
    </w:tbl>
    <w:p w:rsidR="006B7287" w:rsidRPr="00CE4C1A" w:rsidRDefault="006B7287" w:rsidP="006B7287">
      <w:pPr>
        <w:rPr>
          <w:szCs w:val="24"/>
        </w:rPr>
      </w:pPr>
    </w:p>
    <w:p w:rsidR="006B7287" w:rsidRPr="008F5BF1" w:rsidRDefault="006B7287" w:rsidP="006B7287">
      <w:pPr>
        <w:autoSpaceDE w:val="0"/>
        <w:autoSpaceDN w:val="0"/>
        <w:adjustRightInd w:val="0"/>
        <w:jc w:val="left"/>
        <w:rPr>
          <w:rFonts w:cs="Arial"/>
          <w:sz w:val="20"/>
          <w:szCs w:val="20"/>
        </w:rPr>
      </w:pPr>
      <w:r w:rsidRPr="00A57A05">
        <w:rPr>
          <w:rFonts w:cs="Arial"/>
          <w:sz w:val="20"/>
          <w:szCs w:val="20"/>
          <w:vertAlign w:val="superscript"/>
        </w:rPr>
        <w:t>1)</w:t>
      </w:r>
      <w:r w:rsidRPr="008F5BF1">
        <w:rPr>
          <w:rFonts w:cs="Arial"/>
          <w:sz w:val="20"/>
          <w:szCs w:val="20"/>
        </w:rPr>
        <w:t xml:space="preserve"> Base preventivo progetto definitivo del 01.20</w:t>
      </w:r>
      <w:r w:rsidRPr="00606288">
        <w:rPr>
          <w:rFonts w:cs="Arial"/>
          <w:sz w:val="20"/>
          <w:szCs w:val="20"/>
        </w:rPr>
        <w:t>24</w:t>
      </w:r>
      <w:r w:rsidRPr="008F5BF1">
        <w:rPr>
          <w:rFonts w:cs="Arial"/>
          <w:sz w:val="20"/>
          <w:szCs w:val="20"/>
        </w:rPr>
        <w:t>, grado di attendibilità del +/- 10%.</w:t>
      </w:r>
    </w:p>
    <w:p w:rsidR="006B7287" w:rsidRPr="008F5BF1" w:rsidRDefault="006B7287" w:rsidP="006B7287">
      <w:pPr>
        <w:autoSpaceDE w:val="0"/>
        <w:autoSpaceDN w:val="0"/>
        <w:adjustRightInd w:val="0"/>
        <w:rPr>
          <w:rFonts w:cs="Arial"/>
          <w:bCs/>
          <w:szCs w:val="24"/>
        </w:rPr>
      </w:pPr>
    </w:p>
    <w:p w:rsidR="006B7287" w:rsidRPr="00CE4C1A" w:rsidRDefault="006B7287" w:rsidP="006B7287">
      <w:pPr>
        <w:rPr>
          <w:sz w:val="24"/>
          <w:szCs w:val="24"/>
        </w:rPr>
      </w:pPr>
      <w:r>
        <w:rPr>
          <w:sz w:val="24"/>
          <w:szCs w:val="24"/>
        </w:rPr>
        <w:t>La ripartizione dei costi della misura risulta dalla tabella presente nel Messaggio, che si riproduce integralmente per comodità di lettura.</w:t>
      </w:r>
    </w:p>
    <w:p w:rsidR="006B7287" w:rsidRPr="00CE4C1A" w:rsidRDefault="006B7287" w:rsidP="006B7287">
      <w:pPr>
        <w:rPr>
          <w:szCs w:val="24"/>
        </w:rPr>
      </w:pPr>
    </w:p>
    <w:tbl>
      <w:tblPr>
        <w:tblStyle w:val="TableNormal"/>
        <w:tblW w:w="961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02"/>
        <w:gridCol w:w="1102"/>
        <w:gridCol w:w="1209"/>
        <w:gridCol w:w="995"/>
        <w:gridCol w:w="1102"/>
      </w:tblGrid>
      <w:tr w:rsidR="006B7287" w:rsidRPr="00C34545" w:rsidTr="00904BB6">
        <w:trPr>
          <w:cantSplit/>
          <w:trHeight w:val="2473"/>
        </w:trPr>
        <w:tc>
          <w:tcPr>
            <w:tcW w:w="520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152" w:type="dxa"/>
            </w:tcMar>
            <w:vAlign w:val="center"/>
          </w:tcPr>
          <w:p w:rsidR="006B7287" w:rsidRPr="00C34545" w:rsidRDefault="006B7287" w:rsidP="00904BB6"/>
        </w:tc>
        <w:tc>
          <w:tcPr>
            <w:tcW w:w="1102" w:type="dxa"/>
            <w:tcBorders>
              <w:top w:val="single" w:sz="4" w:space="0" w:color="000000"/>
              <w:left w:val="single" w:sz="4" w:space="0" w:color="000000"/>
              <w:bottom w:val="dotted" w:sz="4" w:space="0" w:color="000000"/>
              <w:right w:val="single" w:sz="4" w:space="0" w:color="000000"/>
            </w:tcBorders>
            <w:textDirection w:val="btLr"/>
            <w:vAlign w:val="center"/>
          </w:tcPr>
          <w:p w:rsidR="006B7287" w:rsidRPr="00C34545" w:rsidRDefault="006B7287" w:rsidP="00904BB6">
            <w:pPr>
              <w:spacing w:before="20" w:after="20"/>
              <w:ind w:left="113" w:right="113"/>
              <w:jc w:val="left"/>
              <w:rPr>
                <w:rFonts w:eastAsia="Times New Roman" w:cs="Times New Roman"/>
                <w:b/>
                <w:bCs/>
                <w:sz w:val="20"/>
                <w:szCs w:val="20"/>
              </w:rPr>
            </w:pPr>
            <w:r w:rsidRPr="00C34545">
              <w:rPr>
                <w:rFonts w:eastAsia="Times New Roman" w:cs="Times New Roman"/>
                <w:b/>
                <w:bCs/>
                <w:sz w:val="20"/>
                <w:szCs w:val="20"/>
              </w:rPr>
              <w:t>Costo preventivato</w:t>
            </w:r>
          </w:p>
        </w:tc>
        <w:tc>
          <w:tcPr>
            <w:tcW w:w="1209" w:type="dxa"/>
            <w:tcBorders>
              <w:top w:val="single" w:sz="4" w:space="0" w:color="000000"/>
              <w:left w:val="single" w:sz="4" w:space="0" w:color="000000"/>
              <w:bottom w:val="dotted" w:sz="4" w:space="0" w:color="000000"/>
              <w:right w:val="single" w:sz="4" w:space="0" w:color="000000"/>
            </w:tcBorders>
            <w:shd w:val="clear" w:color="auto" w:fill="auto"/>
            <w:tcMar>
              <w:top w:w="80" w:type="dxa"/>
              <w:left w:w="193" w:type="dxa"/>
              <w:bottom w:w="80" w:type="dxa"/>
              <w:right w:w="193" w:type="dxa"/>
            </w:tcMar>
            <w:textDirection w:val="btLr"/>
            <w:vAlign w:val="center"/>
          </w:tcPr>
          <w:p w:rsidR="006B7287" w:rsidRPr="00C34545" w:rsidRDefault="006B7287" w:rsidP="00904BB6">
            <w:pPr>
              <w:spacing w:before="20" w:after="20"/>
              <w:ind w:left="113" w:right="113"/>
              <w:jc w:val="left"/>
              <w:rPr>
                <w:rFonts w:eastAsia="Times New Roman" w:cs="Times New Roman"/>
                <w:b/>
                <w:bCs/>
                <w:sz w:val="20"/>
                <w:szCs w:val="20"/>
              </w:rPr>
            </w:pPr>
            <w:r w:rsidRPr="00C34545">
              <w:rPr>
                <w:rFonts w:eastAsia="Times New Roman" w:cs="Times New Roman"/>
                <w:b/>
                <w:bCs/>
                <w:sz w:val="20"/>
                <w:szCs w:val="20"/>
              </w:rPr>
              <w:t>Contributo Confederazione</w:t>
            </w:r>
          </w:p>
          <w:p w:rsidR="006B7287" w:rsidRPr="00C34545" w:rsidRDefault="006B7287" w:rsidP="00904BB6">
            <w:pPr>
              <w:spacing w:before="20" w:after="20"/>
              <w:ind w:left="113" w:right="113"/>
              <w:jc w:val="left"/>
              <w:rPr>
                <w:rFonts w:eastAsia="Times New Roman" w:cs="Times New Roman"/>
                <w:szCs w:val="20"/>
                <w:u w:val="single"/>
              </w:rPr>
            </w:pPr>
            <w:r w:rsidRPr="00C34545">
              <w:rPr>
                <w:rFonts w:eastAsia="Times New Roman" w:cs="Times New Roman"/>
                <w:b/>
                <w:bCs/>
                <w:sz w:val="20"/>
                <w:szCs w:val="20"/>
              </w:rPr>
              <w:t>PAM3</w:t>
            </w:r>
          </w:p>
        </w:tc>
        <w:tc>
          <w:tcPr>
            <w:tcW w:w="995" w:type="dxa"/>
            <w:tcBorders>
              <w:top w:val="single" w:sz="4" w:space="0" w:color="000000"/>
              <w:left w:val="single" w:sz="4" w:space="0" w:color="000000"/>
              <w:bottom w:val="dotted" w:sz="4" w:space="0" w:color="000000"/>
              <w:right w:val="single" w:sz="4" w:space="0" w:color="000000"/>
            </w:tcBorders>
            <w:shd w:val="clear" w:color="auto" w:fill="D9D9D9"/>
            <w:tcMar>
              <w:top w:w="80" w:type="dxa"/>
              <w:left w:w="193" w:type="dxa"/>
              <w:bottom w:w="80" w:type="dxa"/>
              <w:right w:w="193" w:type="dxa"/>
            </w:tcMar>
            <w:textDirection w:val="btLr"/>
            <w:vAlign w:val="center"/>
          </w:tcPr>
          <w:p w:rsidR="006B7287" w:rsidRPr="00C34545" w:rsidRDefault="006B7287" w:rsidP="00904BB6">
            <w:pPr>
              <w:spacing w:before="20" w:after="20"/>
              <w:ind w:left="113" w:right="113"/>
              <w:jc w:val="left"/>
              <w:rPr>
                <w:rFonts w:eastAsia="Times New Roman" w:cs="Times New Roman"/>
                <w:szCs w:val="20"/>
              </w:rPr>
            </w:pPr>
            <w:r w:rsidRPr="00C34545">
              <w:rPr>
                <w:rFonts w:eastAsia="Times New Roman" w:cs="Times New Roman"/>
                <w:b/>
                <w:bCs/>
                <w:sz w:val="20"/>
                <w:szCs w:val="20"/>
              </w:rPr>
              <w:t>Cantone Ticino (65%)</w:t>
            </w:r>
          </w:p>
        </w:tc>
        <w:tc>
          <w:tcPr>
            <w:tcW w:w="1102" w:type="dxa"/>
            <w:tcBorders>
              <w:top w:val="single" w:sz="4" w:space="0" w:color="000000"/>
              <w:left w:val="single" w:sz="4" w:space="0" w:color="000000"/>
              <w:bottom w:val="dotted" w:sz="4" w:space="0" w:color="000000"/>
              <w:right w:val="single" w:sz="4" w:space="0" w:color="000000"/>
            </w:tcBorders>
            <w:shd w:val="clear" w:color="auto" w:fill="auto"/>
            <w:tcMar>
              <w:top w:w="80" w:type="dxa"/>
              <w:left w:w="193" w:type="dxa"/>
              <w:bottom w:w="80" w:type="dxa"/>
              <w:right w:w="193" w:type="dxa"/>
            </w:tcMar>
            <w:textDirection w:val="btLr"/>
            <w:vAlign w:val="center"/>
          </w:tcPr>
          <w:p w:rsidR="006B7287" w:rsidRPr="00C34545" w:rsidRDefault="006B7287" w:rsidP="00904BB6">
            <w:pPr>
              <w:spacing w:before="20" w:after="20"/>
              <w:ind w:left="113" w:right="113"/>
              <w:jc w:val="left"/>
              <w:rPr>
                <w:rFonts w:eastAsia="Times New Roman" w:cs="Times New Roman"/>
                <w:szCs w:val="20"/>
              </w:rPr>
            </w:pPr>
            <w:r w:rsidRPr="00C34545">
              <w:rPr>
                <w:rFonts w:eastAsia="Times New Roman" w:cs="Times New Roman"/>
                <w:b/>
                <w:bCs/>
                <w:sz w:val="20"/>
                <w:szCs w:val="20"/>
              </w:rPr>
              <w:t>Comuni CRTM (35%)</w:t>
            </w:r>
          </w:p>
        </w:tc>
      </w:tr>
      <w:tr w:rsidR="006B7287" w:rsidRPr="00C34545" w:rsidTr="00904BB6">
        <w:trPr>
          <w:trHeight w:val="231"/>
        </w:trPr>
        <w:tc>
          <w:tcPr>
            <w:tcW w:w="5202" w:type="dxa"/>
            <w:tcBorders>
              <w:top w:val="nil"/>
              <w:left w:val="single" w:sz="4" w:space="0" w:color="000000"/>
              <w:bottom w:val="double" w:sz="4" w:space="0" w:color="auto"/>
              <w:right w:val="single" w:sz="4" w:space="0" w:color="000000"/>
            </w:tcBorders>
            <w:shd w:val="clear" w:color="auto" w:fill="auto"/>
            <w:tcMar>
              <w:top w:w="80" w:type="dxa"/>
              <w:left w:w="80" w:type="dxa"/>
              <w:bottom w:w="80" w:type="dxa"/>
              <w:right w:w="152" w:type="dxa"/>
            </w:tcMar>
            <w:vAlign w:val="center"/>
          </w:tcPr>
          <w:p w:rsidR="006B7287" w:rsidRPr="00C34545" w:rsidRDefault="006B7287" w:rsidP="00904BB6"/>
        </w:tc>
        <w:tc>
          <w:tcPr>
            <w:tcW w:w="1102" w:type="dxa"/>
            <w:tcBorders>
              <w:top w:val="dotted" w:sz="4" w:space="0" w:color="000000"/>
              <w:left w:val="single" w:sz="4" w:space="0" w:color="000000"/>
              <w:bottom w:val="double" w:sz="4" w:space="0" w:color="auto"/>
              <w:right w:val="single" w:sz="4" w:space="0" w:color="000000"/>
            </w:tcBorders>
            <w:vAlign w:val="center"/>
          </w:tcPr>
          <w:p w:rsidR="006B7287" w:rsidRDefault="006B7287" w:rsidP="00904BB6">
            <w:pPr>
              <w:jc w:val="center"/>
              <w:rPr>
                <w:rFonts w:eastAsia="Times New Roman" w:cs="Times New Roman"/>
                <w:i/>
                <w:iCs/>
                <w:sz w:val="18"/>
                <w:szCs w:val="18"/>
              </w:rPr>
            </w:pPr>
            <w:r>
              <w:rPr>
                <w:rFonts w:eastAsia="Times New Roman" w:cs="Times New Roman"/>
                <w:i/>
                <w:iCs/>
                <w:sz w:val="18"/>
                <w:szCs w:val="18"/>
              </w:rPr>
              <w:t>fr.</w:t>
            </w:r>
          </w:p>
          <w:p w:rsidR="006B7287" w:rsidRPr="00C34545" w:rsidRDefault="006B7287" w:rsidP="00904BB6">
            <w:pPr>
              <w:jc w:val="center"/>
              <w:rPr>
                <w:rFonts w:eastAsia="Times New Roman" w:cs="Times New Roman"/>
                <w:i/>
                <w:iCs/>
                <w:sz w:val="18"/>
                <w:szCs w:val="18"/>
              </w:rPr>
            </w:pPr>
            <w:r w:rsidRPr="00C34545">
              <w:rPr>
                <w:rFonts w:eastAsia="Times New Roman" w:cs="Times New Roman"/>
                <w:i/>
                <w:iCs/>
                <w:sz w:val="18"/>
                <w:szCs w:val="18"/>
              </w:rPr>
              <w:t>[mio]</w:t>
            </w:r>
          </w:p>
        </w:tc>
        <w:tc>
          <w:tcPr>
            <w:tcW w:w="1209" w:type="dxa"/>
            <w:tcBorders>
              <w:top w:val="dotted"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6B7287" w:rsidRDefault="006B7287" w:rsidP="00904BB6">
            <w:pPr>
              <w:jc w:val="center"/>
              <w:rPr>
                <w:rFonts w:eastAsia="Times New Roman" w:cs="Times New Roman"/>
                <w:i/>
                <w:iCs/>
                <w:sz w:val="18"/>
                <w:szCs w:val="18"/>
              </w:rPr>
            </w:pPr>
            <w:r>
              <w:rPr>
                <w:rFonts w:eastAsia="Times New Roman" w:cs="Times New Roman"/>
                <w:i/>
                <w:iCs/>
                <w:sz w:val="18"/>
                <w:szCs w:val="18"/>
              </w:rPr>
              <w:t>fr.</w:t>
            </w:r>
            <w:r w:rsidRPr="00373B06">
              <w:rPr>
                <w:rFonts w:eastAsia="Times New Roman" w:cs="Times New Roman"/>
                <w:i/>
                <w:iCs/>
                <w:sz w:val="18"/>
                <w:szCs w:val="18"/>
              </w:rPr>
              <w:t xml:space="preserve"> </w:t>
            </w:r>
          </w:p>
          <w:p w:rsidR="006B7287" w:rsidRPr="00C34545" w:rsidRDefault="006B7287" w:rsidP="00904BB6">
            <w:pPr>
              <w:jc w:val="center"/>
              <w:rPr>
                <w:rFonts w:eastAsia="Times New Roman" w:cs="Times New Roman"/>
                <w:szCs w:val="20"/>
              </w:rPr>
            </w:pPr>
            <w:r w:rsidRPr="00373B06">
              <w:rPr>
                <w:rFonts w:eastAsia="Times New Roman" w:cs="Times New Roman"/>
                <w:i/>
                <w:iCs/>
                <w:sz w:val="18"/>
                <w:szCs w:val="18"/>
              </w:rPr>
              <w:t xml:space="preserve">[mio] </w:t>
            </w:r>
          </w:p>
        </w:tc>
        <w:tc>
          <w:tcPr>
            <w:tcW w:w="995" w:type="dxa"/>
            <w:tcBorders>
              <w:top w:val="dotted" w:sz="4" w:space="0" w:color="000000"/>
              <w:left w:val="single" w:sz="4" w:space="0" w:color="000000"/>
              <w:bottom w:val="double" w:sz="4" w:space="0" w:color="auto"/>
              <w:right w:val="single" w:sz="4" w:space="0" w:color="000000"/>
            </w:tcBorders>
            <w:shd w:val="clear" w:color="auto" w:fill="D9D9D9"/>
            <w:tcMar>
              <w:top w:w="80" w:type="dxa"/>
              <w:left w:w="80" w:type="dxa"/>
              <w:bottom w:w="80" w:type="dxa"/>
              <w:right w:w="80" w:type="dxa"/>
            </w:tcMar>
            <w:vAlign w:val="center"/>
          </w:tcPr>
          <w:p w:rsidR="006B7287" w:rsidRDefault="006B7287" w:rsidP="00904BB6">
            <w:pPr>
              <w:jc w:val="center"/>
              <w:rPr>
                <w:i/>
                <w:iCs/>
                <w:sz w:val="18"/>
                <w:szCs w:val="18"/>
              </w:rPr>
            </w:pPr>
            <w:r>
              <w:rPr>
                <w:rFonts w:eastAsia="Times New Roman" w:cs="Times New Roman"/>
                <w:i/>
                <w:iCs/>
                <w:sz w:val="18"/>
                <w:szCs w:val="18"/>
              </w:rPr>
              <w:t>fr.</w:t>
            </w:r>
          </w:p>
          <w:p w:rsidR="006B7287" w:rsidRPr="00C34545" w:rsidRDefault="006B7287" w:rsidP="00904BB6">
            <w:pPr>
              <w:jc w:val="center"/>
            </w:pPr>
            <w:r w:rsidRPr="00C34545">
              <w:rPr>
                <w:i/>
                <w:iCs/>
                <w:sz w:val="18"/>
                <w:szCs w:val="18"/>
              </w:rPr>
              <w:t xml:space="preserve"> [mio]</w:t>
            </w:r>
          </w:p>
        </w:tc>
        <w:tc>
          <w:tcPr>
            <w:tcW w:w="1102" w:type="dxa"/>
            <w:tcBorders>
              <w:top w:val="dotted"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6B7287" w:rsidRDefault="006B7287" w:rsidP="00904BB6">
            <w:pPr>
              <w:jc w:val="center"/>
              <w:rPr>
                <w:i/>
                <w:iCs/>
                <w:sz w:val="18"/>
                <w:szCs w:val="18"/>
              </w:rPr>
            </w:pPr>
            <w:r>
              <w:rPr>
                <w:rFonts w:eastAsia="Times New Roman" w:cs="Times New Roman"/>
                <w:i/>
                <w:iCs/>
                <w:sz w:val="18"/>
                <w:szCs w:val="18"/>
              </w:rPr>
              <w:t>fr</w:t>
            </w:r>
            <w:r>
              <w:rPr>
                <w:i/>
                <w:iCs/>
                <w:sz w:val="18"/>
                <w:szCs w:val="18"/>
              </w:rPr>
              <w:t>.</w:t>
            </w:r>
          </w:p>
          <w:p w:rsidR="006B7287" w:rsidRPr="00C34545" w:rsidRDefault="006B7287" w:rsidP="00904BB6">
            <w:pPr>
              <w:jc w:val="center"/>
            </w:pPr>
            <w:r w:rsidRPr="00C34545">
              <w:rPr>
                <w:i/>
                <w:iCs/>
                <w:sz w:val="18"/>
                <w:szCs w:val="18"/>
              </w:rPr>
              <w:t>[mio]</w:t>
            </w:r>
          </w:p>
        </w:tc>
      </w:tr>
      <w:tr w:rsidR="006B7287" w:rsidRPr="00C34545" w:rsidTr="00904BB6">
        <w:trPr>
          <w:trHeight w:val="409"/>
        </w:trPr>
        <w:tc>
          <w:tcPr>
            <w:tcW w:w="5202" w:type="dxa"/>
            <w:tcBorders>
              <w:top w:val="doub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287" w:rsidRPr="00C34545" w:rsidRDefault="006B7287" w:rsidP="00904BB6">
            <w:pPr>
              <w:pBdr>
                <w:top w:val="nil"/>
                <w:left w:val="nil"/>
                <w:bottom w:val="nil"/>
                <w:right w:val="nil"/>
                <w:between w:val="nil"/>
                <w:bar w:val="nil"/>
              </w:pBdr>
              <w:rPr>
                <w:rFonts w:eastAsia="Arial Unicode MS" w:cs="Arial Unicode MS"/>
                <w:b/>
                <w:u w:color="000000"/>
                <w:bdr w:val="nil"/>
              </w:rPr>
            </w:pPr>
            <w:r w:rsidRPr="00C34545">
              <w:rPr>
                <w:rFonts w:eastAsia="Arial Unicode MS" w:cs="Arial Unicode MS"/>
                <w:b/>
                <w:u w:color="000000"/>
                <w:bdr w:val="nil"/>
              </w:rPr>
              <w:t xml:space="preserve">Totale: </w:t>
            </w:r>
            <w:r w:rsidRPr="00C34545">
              <w:rPr>
                <w:rFonts w:eastAsia="Arial Unicode MS" w:cs="Arial Unicode MS"/>
                <w:b/>
                <w:bCs/>
                <w:u w:color="000000"/>
                <w:bdr w:val="nil"/>
                <w:lang w:val="it-IT"/>
              </w:rPr>
              <w:t>(IVA inclusa)</w:t>
            </w:r>
          </w:p>
        </w:tc>
        <w:tc>
          <w:tcPr>
            <w:tcW w:w="1102" w:type="dxa"/>
            <w:tcBorders>
              <w:top w:val="double" w:sz="4" w:space="0" w:color="auto"/>
              <w:left w:val="single" w:sz="4" w:space="0" w:color="000000"/>
              <w:bottom w:val="single" w:sz="4" w:space="0" w:color="000000"/>
              <w:right w:val="single" w:sz="4" w:space="0" w:color="000000"/>
            </w:tcBorders>
            <w:vAlign w:val="center"/>
          </w:tcPr>
          <w:p w:rsidR="006B7287" w:rsidRPr="00C34545" w:rsidRDefault="006B7287" w:rsidP="00904BB6">
            <w:pPr>
              <w:spacing w:before="20" w:after="20"/>
              <w:ind w:right="72"/>
              <w:jc w:val="right"/>
              <w:rPr>
                <w:rFonts w:eastAsia="Times New Roman" w:cs="Times New Roman"/>
                <w:b/>
              </w:rPr>
            </w:pPr>
            <w:r w:rsidRPr="00C34545">
              <w:rPr>
                <w:rFonts w:eastAsia="Times New Roman" w:cs="Times New Roman"/>
                <w:b/>
              </w:rPr>
              <w:t>3.409</w:t>
            </w:r>
          </w:p>
        </w:tc>
        <w:tc>
          <w:tcPr>
            <w:tcW w:w="1209" w:type="dxa"/>
            <w:tcBorders>
              <w:top w:val="doub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152" w:type="dxa"/>
            </w:tcMar>
            <w:vAlign w:val="center"/>
          </w:tcPr>
          <w:p w:rsidR="006B7287" w:rsidRPr="00C34545" w:rsidRDefault="006B7287" w:rsidP="00904BB6">
            <w:pPr>
              <w:spacing w:before="20" w:after="20"/>
              <w:ind w:right="72"/>
              <w:jc w:val="right"/>
              <w:rPr>
                <w:rFonts w:eastAsia="Times New Roman" w:cs="Times New Roman"/>
                <w:b/>
              </w:rPr>
            </w:pPr>
            <w:r>
              <w:rPr>
                <w:rFonts w:eastAsia="Times New Roman" w:cs="Times New Roman"/>
                <w:b/>
              </w:rPr>
              <w:t>0.878</w:t>
            </w:r>
          </w:p>
        </w:tc>
        <w:tc>
          <w:tcPr>
            <w:tcW w:w="995" w:type="dxa"/>
            <w:tcBorders>
              <w:top w:val="double" w:sz="4" w:space="0" w:color="auto"/>
              <w:left w:val="single" w:sz="4" w:space="0" w:color="000000"/>
              <w:bottom w:val="single" w:sz="4" w:space="0" w:color="auto"/>
              <w:right w:val="single" w:sz="4" w:space="0" w:color="000000"/>
            </w:tcBorders>
            <w:shd w:val="clear" w:color="auto" w:fill="D9D9D9"/>
            <w:tcMar>
              <w:top w:w="80" w:type="dxa"/>
              <w:left w:w="80" w:type="dxa"/>
              <w:bottom w:w="80" w:type="dxa"/>
              <w:right w:w="152" w:type="dxa"/>
            </w:tcMar>
            <w:vAlign w:val="center"/>
          </w:tcPr>
          <w:p w:rsidR="006B7287" w:rsidRPr="00C34545" w:rsidRDefault="006B7287" w:rsidP="00904BB6">
            <w:pPr>
              <w:spacing w:before="20" w:after="20"/>
              <w:ind w:right="72"/>
              <w:jc w:val="right"/>
              <w:rPr>
                <w:rFonts w:eastAsia="Times New Roman" w:cs="Times New Roman"/>
                <w:b/>
                <w:szCs w:val="20"/>
              </w:rPr>
            </w:pPr>
            <w:r>
              <w:rPr>
                <w:rFonts w:eastAsia="Times New Roman" w:cs="Times New Roman"/>
                <w:b/>
              </w:rPr>
              <w:t>1.645</w:t>
            </w:r>
          </w:p>
        </w:tc>
        <w:tc>
          <w:tcPr>
            <w:tcW w:w="1102" w:type="dxa"/>
            <w:tcBorders>
              <w:top w:val="doub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152" w:type="dxa"/>
            </w:tcMar>
            <w:vAlign w:val="center"/>
          </w:tcPr>
          <w:p w:rsidR="006B7287" w:rsidRPr="00C34545" w:rsidRDefault="006B7287" w:rsidP="00904BB6">
            <w:pPr>
              <w:spacing w:before="20" w:after="20"/>
              <w:ind w:right="72"/>
              <w:jc w:val="right"/>
              <w:rPr>
                <w:rFonts w:eastAsia="Times New Roman" w:cs="Times New Roman"/>
                <w:b/>
                <w:szCs w:val="20"/>
              </w:rPr>
            </w:pPr>
            <w:r>
              <w:rPr>
                <w:rFonts w:eastAsia="Times New Roman" w:cs="Times New Roman"/>
                <w:b/>
              </w:rPr>
              <w:t>0.886</w:t>
            </w:r>
          </w:p>
        </w:tc>
      </w:tr>
    </w:tbl>
    <w:p w:rsidR="006B7287" w:rsidRPr="00CE4C1A" w:rsidRDefault="006B7287" w:rsidP="006B7287"/>
    <w:p w:rsidR="006B7287" w:rsidRPr="00D46B4E" w:rsidRDefault="006B7287" w:rsidP="006B7287">
      <w:pPr>
        <w:rPr>
          <w:sz w:val="24"/>
          <w:szCs w:val="24"/>
        </w:rPr>
      </w:pPr>
      <w:r w:rsidRPr="0039537A">
        <w:rPr>
          <w:sz w:val="24"/>
          <w:szCs w:val="24"/>
        </w:rPr>
        <w:t>Per quanto attiene ai tempi di realizzazione, secondo il Messaggi</w:t>
      </w:r>
      <w:r>
        <w:rPr>
          <w:sz w:val="24"/>
          <w:szCs w:val="24"/>
        </w:rPr>
        <w:t>o</w:t>
      </w:r>
      <w:r w:rsidRPr="0039537A">
        <w:rPr>
          <w:sz w:val="24"/>
          <w:szCs w:val="24"/>
        </w:rPr>
        <w:t xml:space="preserve"> </w:t>
      </w:r>
      <w:r w:rsidRPr="00C443B2">
        <w:rPr>
          <w:i/>
          <w:iCs/>
          <w:sz w:val="24"/>
          <w:szCs w:val="24"/>
        </w:rPr>
        <w:t>“i lavori potrebbero prendere avvio nel corso del 2025. La durata dei lavori è stimata in circa 1</w:t>
      </w:r>
      <w:r>
        <w:rPr>
          <w:i/>
          <w:iCs/>
          <w:sz w:val="24"/>
          <w:szCs w:val="24"/>
        </w:rPr>
        <w:t>6</w:t>
      </w:r>
      <w:r w:rsidRPr="00C443B2">
        <w:rPr>
          <w:i/>
          <w:iCs/>
          <w:sz w:val="24"/>
          <w:szCs w:val="24"/>
        </w:rPr>
        <w:t xml:space="preserve"> mesi”</w:t>
      </w:r>
      <w:r w:rsidRPr="00D46B4E">
        <w:rPr>
          <w:sz w:val="24"/>
          <w:szCs w:val="24"/>
        </w:rPr>
        <w:t>.</w:t>
      </w:r>
    </w:p>
    <w:p w:rsidR="006B7287" w:rsidRPr="003114A6" w:rsidRDefault="006B7287" w:rsidP="006B7287">
      <w:pPr>
        <w:rPr>
          <w:sz w:val="24"/>
          <w:szCs w:val="24"/>
        </w:rPr>
      </w:pPr>
    </w:p>
    <w:p w:rsidR="00F36404" w:rsidRPr="00F36404" w:rsidRDefault="006B7287" w:rsidP="006B7287">
      <w:pPr>
        <w:pStyle w:val="Paragrafoelenco"/>
        <w:numPr>
          <w:ilvl w:val="0"/>
          <w:numId w:val="18"/>
        </w:numPr>
        <w:tabs>
          <w:tab w:val="left" w:pos="567"/>
          <w:tab w:val="left" w:pos="3686"/>
          <w:tab w:val="right" w:pos="5670"/>
          <w:tab w:val="left" w:pos="5812"/>
        </w:tabs>
        <w:suppressAutoHyphens/>
        <w:spacing w:after="120"/>
        <w:ind w:left="567" w:hanging="567"/>
        <w:contextualSpacing w:val="0"/>
        <w:rPr>
          <w:b/>
          <w:bCs/>
        </w:rPr>
      </w:pPr>
      <w:r w:rsidRPr="00DB0708">
        <w:rPr>
          <w:b/>
          <w:bCs/>
          <w:sz w:val="24"/>
          <w:szCs w:val="24"/>
        </w:rPr>
        <w:t>PAM3 Misura ML 7 Collegamento ciclopedonale tra i Comuni di Bissone e Maroggia.</w:t>
      </w:r>
      <w:r w:rsidRPr="00DB0708">
        <w:rPr>
          <w:b/>
          <w:bCs/>
          <w:sz w:val="24"/>
          <w:szCs w:val="24"/>
        </w:rPr>
        <w:cr/>
      </w:r>
    </w:p>
    <w:p w:rsidR="006B7287" w:rsidRPr="00F36404" w:rsidRDefault="006B7287" w:rsidP="00F36404">
      <w:pPr>
        <w:pStyle w:val="Paragrafoelenco"/>
        <w:tabs>
          <w:tab w:val="left" w:pos="0"/>
          <w:tab w:val="left" w:pos="3686"/>
          <w:tab w:val="right" w:pos="5670"/>
          <w:tab w:val="left" w:pos="5812"/>
        </w:tabs>
        <w:suppressAutoHyphens/>
        <w:spacing w:after="120"/>
        <w:ind w:left="0"/>
        <w:contextualSpacing w:val="0"/>
        <w:rPr>
          <w:b/>
          <w:bCs/>
        </w:rPr>
      </w:pPr>
      <w:r w:rsidRPr="00F36404">
        <w:rPr>
          <w:sz w:val="24"/>
          <w:szCs w:val="24"/>
        </w:rPr>
        <w:t xml:space="preserve">La Misura consiste sostanzialmente nella realizzazione di un percorso ciclopedonale tra Bissone e Maroggia, per una lunghezza di ca. 2 km, a completamento delle misure già previste nel PAM1 e PAM2, quale ulteriore tappa verso l’ultimazione della rete ciclabile regionale in modo da renderla sicura ed attrattiva. </w:t>
      </w:r>
    </w:p>
    <w:p w:rsidR="006B7287" w:rsidRDefault="006B7287" w:rsidP="006B7287">
      <w:pPr>
        <w:autoSpaceDE w:val="0"/>
        <w:autoSpaceDN w:val="0"/>
        <w:adjustRightInd w:val="0"/>
        <w:rPr>
          <w:rFonts w:cs="Arial"/>
          <w:sz w:val="24"/>
          <w:szCs w:val="24"/>
        </w:rPr>
      </w:pPr>
      <w:r w:rsidRPr="00D46B4E">
        <w:rPr>
          <w:rFonts w:cs="Arial"/>
          <w:sz w:val="24"/>
          <w:szCs w:val="24"/>
        </w:rPr>
        <w:t>Il progetto prevede la realizzazione di una nuova pista ciclabile di larghezza costante di minimo 2.50 m lato lago per una lun</w:t>
      </w:r>
      <w:r>
        <w:rPr>
          <w:rFonts w:cs="Arial"/>
          <w:sz w:val="24"/>
          <w:szCs w:val="24"/>
        </w:rPr>
        <w:t>ghezza complessiva di ca. 2 km.</w:t>
      </w:r>
    </w:p>
    <w:p w:rsidR="006B7287" w:rsidRDefault="006B7287" w:rsidP="006B7287">
      <w:pPr>
        <w:autoSpaceDE w:val="0"/>
        <w:autoSpaceDN w:val="0"/>
        <w:adjustRightInd w:val="0"/>
        <w:rPr>
          <w:rFonts w:cs="Arial"/>
          <w:sz w:val="24"/>
          <w:szCs w:val="24"/>
        </w:rPr>
      </w:pPr>
      <w:r w:rsidRPr="007013B2">
        <w:rPr>
          <w:rFonts w:cs="Arial"/>
          <w:sz w:val="24"/>
          <w:szCs w:val="24"/>
        </w:rPr>
        <w:lastRenderedPageBreak/>
        <w:t>L’intervento, al di fuori dei nuclei di Bissone e Maroggia, consiste nell’allargamento del marciapiede esistente lato lago per consentire ai ciclisti e ai pedoni di percorrere il tratto in entrambe le direzioni con un’infrastruttura indipendente dalla strada cantonale.</w:t>
      </w:r>
    </w:p>
    <w:p w:rsidR="006B7287" w:rsidRPr="007013B2" w:rsidRDefault="006B7287" w:rsidP="006B7287">
      <w:pPr>
        <w:autoSpaceDE w:val="0"/>
        <w:autoSpaceDN w:val="0"/>
        <w:adjustRightInd w:val="0"/>
        <w:rPr>
          <w:rFonts w:cs="Arial"/>
          <w:sz w:val="24"/>
          <w:szCs w:val="24"/>
        </w:rPr>
      </w:pPr>
      <w:r w:rsidRPr="007013B2">
        <w:rPr>
          <w:rFonts w:cs="Arial"/>
          <w:sz w:val="24"/>
          <w:szCs w:val="24"/>
        </w:rPr>
        <w:t xml:space="preserve">Per la sistemazione del tratto nel nucleo di Bissone si attende l’esito dello studio in corso da parte del Comune. Nel nucleo di Maroggia ci si limita all’eliminazione dell’isola centrale. </w:t>
      </w:r>
    </w:p>
    <w:p w:rsidR="006B7287" w:rsidRPr="00DC5B0D" w:rsidRDefault="006B7287" w:rsidP="006B7287">
      <w:pPr>
        <w:autoSpaceDE w:val="0"/>
        <w:autoSpaceDN w:val="0"/>
        <w:adjustRightInd w:val="0"/>
        <w:rPr>
          <w:rFonts w:asciiTheme="minorHAnsi" w:hAnsiTheme="minorHAnsi" w:cstheme="minorHAnsi"/>
          <w:bCs/>
          <w:sz w:val="24"/>
          <w:szCs w:val="24"/>
          <w:lang w:eastAsia="it-IT"/>
        </w:rPr>
      </w:pPr>
    </w:p>
    <w:p w:rsidR="006B7287" w:rsidRDefault="006B7287" w:rsidP="006B7287">
      <w:pPr>
        <w:tabs>
          <w:tab w:val="left" w:pos="567"/>
          <w:tab w:val="left" w:pos="2041"/>
          <w:tab w:val="left" w:pos="4933"/>
        </w:tabs>
        <w:rPr>
          <w:sz w:val="24"/>
          <w:szCs w:val="24"/>
        </w:rPr>
      </w:pPr>
    </w:p>
    <w:p w:rsidR="006B7287" w:rsidRDefault="006B7287" w:rsidP="006B7287">
      <w:pPr>
        <w:pStyle w:val="StandardRisoluzionedelConsigliodiStato"/>
        <w:ind w:right="-1"/>
      </w:pPr>
      <w:r>
        <w:t xml:space="preserve">Con il Messaggio </w:t>
      </w:r>
      <w:r w:rsidRPr="00A5390E">
        <w:rPr>
          <w:szCs w:val="24"/>
        </w:rPr>
        <w:t>n. 7996 del 14 maggio 2021</w:t>
      </w:r>
      <w:r>
        <w:rPr>
          <w:szCs w:val="24"/>
        </w:rPr>
        <w:t xml:space="preserve"> era stato richiesto – e poi concesso dal Gran Consiglio – un credito per la progettazione definitiva (compresa la misura TP 3.2) di </w:t>
      </w:r>
      <w:r w:rsidRPr="003114A6">
        <w:rPr>
          <w:szCs w:val="24"/>
        </w:rPr>
        <w:t>CHF 300'000 (autorizzazione alla spesa), di cui CHF 195'000 a carico del Cantone (onere netto).</w:t>
      </w:r>
    </w:p>
    <w:p w:rsidR="006B7287" w:rsidRDefault="006B7287" w:rsidP="006B7287">
      <w:pPr>
        <w:tabs>
          <w:tab w:val="left" w:pos="567"/>
          <w:tab w:val="left" w:pos="2041"/>
          <w:tab w:val="left" w:pos="4933"/>
        </w:tabs>
        <w:rPr>
          <w:sz w:val="24"/>
          <w:szCs w:val="24"/>
        </w:rPr>
      </w:pPr>
    </w:p>
    <w:p w:rsidR="006B7287" w:rsidRDefault="006B7287" w:rsidP="006B7287">
      <w:pPr>
        <w:tabs>
          <w:tab w:val="left" w:pos="567"/>
          <w:tab w:val="left" w:pos="2041"/>
          <w:tab w:val="left" w:pos="4933"/>
        </w:tabs>
        <w:rPr>
          <w:sz w:val="24"/>
          <w:szCs w:val="24"/>
        </w:rPr>
      </w:pPr>
      <w:r w:rsidRPr="00606288">
        <w:rPr>
          <w:sz w:val="24"/>
          <w:szCs w:val="24"/>
        </w:rPr>
        <w:t>I costi</w:t>
      </w:r>
      <w:r>
        <w:rPr>
          <w:sz w:val="24"/>
          <w:szCs w:val="24"/>
        </w:rPr>
        <w:t xml:space="preserve"> complessivi,</w:t>
      </w:r>
      <w:r w:rsidRPr="00606288">
        <w:rPr>
          <w:sz w:val="24"/>
          <w:szCs w:val="24"/>
        </w:rPr>
        <w:t xml:space="preserve"> </w:t>
      </w:r>
      <w:r>
        <w:rPr>
          <w:sz w:val="24"/>
          <w:szCs w:val="24"/>
        </w:rPr>
        <w:t>c</w:t>
      </w:r>
      <w:r w:rsidRPr="00606288">
        <w:rPr>
          <w:sz w:val="24"/>
          <w:szCs w:val="24"/>
        </w:rPr>
        <w:t>alcolati sulla base del consolidamento del progetto di massima (2023) con un grado di attendibilità del +/- 15%</w:t>
      </w:r>
      <w:r>
        <w:rPr>
          <w:sz w:val="24"/>
          <w:szCs w:val="24"/>
        </w:rPr>
        <w:t xml:space="preserve">, </w:t>
      </w:r>
      <w:r w:rsidRPr="008F5BF1">
        <w:rPr>
          <w:sz w:val="24"/>
          <w:szCs w:val="24"/>
        </w:rPr>
        <w:t xml:space="preserve">ammontano a </w:t>
      </w:r>
      <w:r w:rsidRPr="0039537A">
        <w:rPr>
          <w:b/>
          <w:bCs/>
          <w:sz w:val="24"/>
          <w:szCs w:val="24"/>
        </w:rPr>
        <w:t>fr. 6'300'000.-</w:t>
      </w:r>
      <w:r w:rsidRPr="008F5BF1">
        <w:rPr>
          <w:sz w:val="24"/>
          <w:szCs w:val="24"/>
        </w:rPr>
        <w:t xml:space="preserve"> (IVA inclusa), con la seguente suddivisione</w:t>
      </w:r>
      <w:r w:rsidRPr="00963A01">
        <w:rPr>
          <w:sz w:val="24"/>
          <w:szCs w:val="24"/>
        </w:rPr>
        <w:t>:</w:t>
      </w:r>
    </w:p>
    <w:p w:rsidR="006B7287" w:rsidRDefault="006B7287" w:rsidP="006B7287">
      <w:pPr>
        <w:rPr>
          <w:sz w:val="24"/>
          <w:szCs w:val="24"/>
        </w:rPr>
      </w:pPr>
    </w:p>
    <w:p w:rsidR="006B7287" w:rsidRDefault="006B7287" w:rsidP="006B7287">
      <w:pPr>
        <w:rPr>
          <w:sz w:val="24"/>
          <w:szCs w:val="24"/>
        </w:rPr>
      </w:pPr>
      <w:r w:rsidRPr="005D0803">
        <w:t>Bissone Maroggia Progetto definitivo pista Bissone Maroggia 0.350 PAM3 Progetto definitivo</w:t>
      </w:r>
    </w:p>
    <w:p w:rsidR="006B7287" w:rsidRDefault="006B7287" w:rsidP="006B7287">
      <w:pPr>
        <w:rPr>
          <w:sz w:val="24"/>
          <w:szCs w:val="24"/>
        </w:rPr>
      </w:pPr>
    </w:p>
    <w:tbl>
      <w:tblPr>
        <w:tblStyle w:val="Grigliatabella"/>
        <w:tblW w:w="9493" w:type="dxa"/>
        <w:tblBorders>
          <w:left w:val="none" w:sz="0" w:space="0" w:color="auto"/>
          <w:right w:val="none" w:sz="0" w:space="0" w:color="auto"/>
          <w:insideV w:val="none" w:sz="0" w:space="0" w:color="auto"/>
        </w:tblBorders>
        <w:tblLook w:val="04A0" w:firstRow="1" w:lastRow="0" w:firstColumn="1" w:lastColumn="0" w:noHBand="0" w:noVBand="1"/>
      </w:tblPr>
      <w:tblGrid>
        <w:gridCol w:w="7933"/>
        <w:gridCol w:w="1560"/>
      </w:tblGrid>
      <w:tr w:rsidR="006B7287" w:rsidRPr="00EC3890" w:rsidTr="00904BB6">
        <w:trPr>
          <w:trHeight w:val="454"/>
        </w:trPr>
        <w:tc>
          <w:tcPr>
            <w:tcW w:w="7933" w:type="dxa"/>
            <w:tcBorders>
              <w:top w:val="nil"/>
            </w:tcBorders>
            <w:vAlign w:val="center"/>
          </w:tcPr>
          <w:p w:rsidR="006B7287" w:rsidRPr="00EC3890" w:rsidRDefault="006B7287" w:rsidP="00904BB6">
            <w:pPr>
              <w:tabs>
                <w:tab w:val="left" w:pos="567"/>
              </w:tabs>
              <w:rPr>
                <w:rFonts w:cs="Arial"/>
                <w:sz w:val="24"/>
                <w:szCs w:val="24"/>
              </w:rPr>
            </w:pPr>
            <w:r w:rsidRPr="00EC3890">
              <w:rPr>
                <w:rFonts w:cs="Arial"/>
                <w:sz w:val="24"/>
                <w:szCs w:val="24"/>
              </w:rPr>
              <w:t xml:space="preserve">Costi di costruzione </w:t>
            </w:r>
          </w:p>
        </w:tc>
        <w:tc>
          <w:tcPr>
            <w:tcW w:w="1560" w:type="dxa"/>
            <w:tcBorders>
              <w:top w:val="nil"/>
            </w:tcBorders>
            <w:vAlign w:val="center"/>
          </w:tcPr>
          <w:p w:rsidR="006B7287" w:rsidRPr="00EC3890" w:rsidRDefault="006B7287" w:rsidP="00904BB6">
            <w:pPr>
              <w:tabs>
                <w:tab w:val="left" w:pos="567"/>
              </w:tabs>
              <w:jc w:val="right"/>
              <w:rPr>
                <w:rFonts w:cs="Arial"/>
                <w:sz w:val="24"/>
                <w:szCs w:val="24"/>
              </w:rPr>
            </w:pPr>
            <w:r w:rsidRPr="00EC3890">
              <w:rPr>
                <w:sz w:val="24"/>
                <w:szCs w:val="24"/>
              </w:rPr>
              <w:t>3’</w:t>
            </w:r>
            <w:r>
              <w:rPr>
                <w:sz w:val="24"/>
                <w:szCs w:val="24"/>
              </w:rPr>
              <w:t>85</w:t>
            </w:r>
            <w:r w:rsidRPr="00EC3890">
              <w:rPr>
                <w:sz w:val="24"/>
                <w:szCs w:val="24"/>
              </w:rPr>
              <w:t>0’000</w:t>
            </w:r>
          </w:p>
        </w:tc>
      </w:tr>
      <w:tr w:rsidR="006B7287" w:rsidRPr="00EC3890" w:rsidTr="00904BB6">
        <w:trPr>
          <w:trHeight w:val="454"/>
        </w:trPr>
        <w:tc>
          <w:tcPr>
            <w:tcW w:w="7933" w:type="dxa"/>
            <w:vAlign w:val="center"/>
          </w:tcPr>
          <w:p w:rsidR="006B7287" w:rsidRPr="00EC3890" w:rsidRDefault="006B7287" w:rsidP="00904BB6">
            <w:pPr>
              <w:tabs>
                <w:tab w:val="left" w:pos="567"/>
              </w:tabs>
              <w:rPr>
                <w:rFonts w:cs="Arial"/>
                <w:sz w:val="24"/>
                <w:szCs w:val="24"/>
              </w:rPr>
            </w:pPr>
            <w:r w:rsidRPr="00EC3890">
              <w:rPr>
                <w:rFonts w:cs="Arial"/>
                <w:sz w:val="24"/>
                <w:szCs w:val="24"/>
              </w:rPr>
              <w:t>Onorari di progettazione incluso specialisti</w:t>
            </w:r>
          </w:p>
        </w:tc>
        <w:tc>
          <w:tcPr>
            <w:tcW w:w="1560" w:type="dxa"/>
            <w:vAlign w:val="center"/>
          </w:tcPr>
          <w:p w:rsidR="006B7287" w:rsidRPr="00EC3890" w:rsidRDefault="006B7287" w:rsidP="00904BB6">
            <w:pPr>
              <w:tabs>
                <w:tab w:val="left" w:pos="567"/>
              </w:tabs>
              <w:jc w:val="right"/>
              <w:rPr>
                <w:rFonts w:cs="Arial"/>
                <w:sz w:val="24"/>
                <w:szCs w:val="24"/>
              </w:rPr>
            </w:pPr>
            <w:r w:rsidRPr="00EC3890">
              <w:rPr>
                <w:sz w:val="24"/>
                <w:szCs w:val="24"/>
              </w:rPr>
              <w:t>3</w:t>
            </w:r>
            <w:r>
              <w:rPr>
                <w:sz w:val="24"/>
                <w:szCs w:val="24"/>
              </w:rPr>
              <w:t>7</w:t>
            </w:r>
            <w:r w:rsidRPr="00EC3890">
              <w:rPr>
                <w:sz w:val="24"/>
                <w:szCs w:val="24"/>
              </w:rPr>
              <w:t>0’000</w:t>
            </w:r>
          </w:p>
        </w:tc>
      </w:tr>
      <w:tr w:rsidR="006B7287" w:rsidRPr="00EC3890" w:rsidTr="00904BB6">
        <w:trPr>
          <w:trHeight w:val="454"/>
        </w:trPr>
        <w:tc>
          <w:tcPr>
            <w:tcW w:w="7933" w:type="dxa"/>
            <w:vAlign w:val="center"/>
          </w:tcPr>
          <w:p w:rsidR="006B7287" w:rsidRPr="00EC3890" w:rsidRDefault="006B7287" w:rsidP="00904BB6">
            <w:pPr>
              <w:tabs>
                <w:tab w:val="left" w:pos="567"/>
              </w:tabs>
              <w:rPr>
                <w:rFonts w:cs="Arial"/>
                <w:sz w:val="24"/>
                <w:szCs w:val="24"/>
              </w:rPr>
            </w:pPr>
            <w:r w:rsidRPr="00EC3890">
              <w:rPr>
                <w:rFonts w:cs="Arial"/>
                <w:sz w:val="24"/>
                <w:szCs w:val="24"/>
              </w:rPr>
              <w:t>Imprevisti (10%)</w:t>
            </w:r>
          </w:p>
        </w:tc>
        <w:tc>
          <w:tcPr>
            <w:tcW w:w="1560" w:type="dxa"/>
            <w:vAlign w:val="center"/>
          </w:tcPr>
          <w:p w:rsidR="006B7287" w:rsidRPr="00EC3890" w:rsidRDefault="006B7287" w:rsidP="00904BB6">
            <w:pPr>
              <w:tabs>
                <w:tab w:val="left" w:pos="567"/>
              </w:tabs>
              <w:jc w:val="right"/>
              <w:rPr>
                <w:rFonts w:cs="Arial"/>
                <w:sz w:val="24"/>
                <w:szCs w:val="24"/>
              </w:rPr>
            </w:pPr>
            <w:r>
              <w:rPr>
                <w:sz w:val="24"/>
                <w:szCs w:val="24"/>
              </w:rPr>
              <w:t>425</w:t>
            </w:r>
            <w:r w:rsidRPr="00EC3890">
              <w:rPr>
                <w:sz w:val="24"/>
                <w:szCs w:val="24"/>
              </w:rPr>
              <w:t>’000</w:t>
            </w:r>
          </w:p>
        </w:tc>
      </w:tr>
      <w:tr w:rsidR="006B7287" w:rsidRPr="00EC3890" w:rsidTr="00904BB6">
        <w:trPr>
          <w:trHeight w:val="454"/>
        </w:trPr>
        <w:tc>
          <w:tcPr>
            <w:tcW w:w="7933" w:type="dxa"/>
            <w:tcBorders>
              <w:bottom w:val="single" w:sz="4" w:space="0" w:color="auto"/>
            </w:tcBorders>
            <w:vAlign w:val="center"/>
          </w:tcPr>
          <w:p w:rsidR="006B7287" w:rsidRPr="00EC3890" w:rsidRDefault="006B7287" w:rsidP="00904BB6">
            <w:pPr>
              <w:tabs>
                <w:tab w:val="left" w:pos="567"/>
              </w:tabs>
              <w:rPr>
                <w:rFonts w:cs="Arial"/>
                <w:sz w:val="24"/>
                <w:szCs w:val="24"/>
              </w:rPr>
            </w:pPr>
            <w:r w:rsidRPr="00EC3890">
              <w:rPr>
                <w:rFonts w:cs="Arial"/>
                <w:sz w:val="24"/>
                <w:szCs w:val="24"/>
              </w:rPr>
              <w:t>IVA 8.1%</w:t>
            </w:r>
          </w:p>
        </w:tc>
        <w:tc>
          <w:tcPr>
            <w:tcW w:w="1560" w:type="dxa"/>
            <w:tcBorders>
              <w:bottom w:val="single" w:sz="4" w:space="0" w:color="auto"/>
            </w:tcBorders>
            <w:vAlign w:val="center"/>
          </w:tcPr>
          <w:p w:rsidR="006B7287" w:rsidRPr="00EC3890" w:rsidRDefault="006B7287" w:rsidP="00904BB6">
            <w:pPr>
              <w:tabs>
                <w:tab w:val="left" w:pos="567"/>
              </w:tabs>
              <w:jc w:val="right"/>
              <w:rPr>
                <w:rFonts w:cs="Arial"/>
                <w:sz w:val="24"/>
                <w:szCs w:val="24"/>
              </w:rPr>
            </w:pPr>
            <w:r>
              <w:rPr>
                <w:sz w:val="24"/>
                <w:szCs w:val="24"/>
              </w:rPr>
              <w:t>376’000</w:t>
            </w:r>
          </w:p>
        </w:tc>
      </w:tr>
      <w:tr w:rsidR="006B7287" w:rsidRPr="00EC3890" w:rsidTr="00904BB6">
        <w:trPr>
          <w:trHeight w:val="454"/>
        </w:trPr>
        <w:tc>
          <w:tcPr>
            <w:tcW w:w="7933" w:type="dxa"/>
            <w:tcBorders>
              <w:bottom w:val="single" w:sz="4" w:space="0" w:color="auto"/>
            </w:tcBorders>
            <w:vAlign w:val="center"/>
          </w:tcPr>
          <w:p w:rsidR="006B7287" w:rsidRPr="00EC3890" w:rsidRDefault="006B7287" w:rsidP="00904BB6">
            <w:pPr>
              <w:tabs>
                <w:tab w:val="left" w:pos="567"/>
              </w:tabs>
              <w:rPr>
                <w:rFonts w:cs="Arial"/>
                <w:sz w:val="24"/>
                <w:szCs w:val="24"/>
              </w:rPr>
            </w:pPr>
            <w:r w:rsidRPr="00EC3890">
              <w:rPr>
                <w:rFonts w:cs="Arial"/>
                <w:sz w:val="24"/>
                <w:szCs w:val="24"/>
              </w:rPr>
              <w:t>Espropriazioni</w:t>
            </w:r>
          </w:p>
        </w:tc>
        <w:tc>
          <w:tcPr>
            <w:tcW w:w="1560" w:type="dxa"/>
            <w:tcBorders>
              <w:bottom w:val="single" w:sz="4" w:space="0" w:color="auto"/>
            </w:tcBorders>
            <w:vAlign w:val="center"/>
          </w:tcPr>
          <w:p w:rsidR="006B7287" w:rsidRPr="00EC3890" w:rsidRDefault="006B7287" w:rsidP="00904BB6">
            <w:pPr>
              <w:tabs>
                <w:tab w:val="left" w:pos="567"/>
              </w:tabs>
              <w:jc w:val="right"/>
              <w:rPr>
                <w:rFonts w:cs="Arial"/>
                <w:sz w:val="24"/>
                <w:szCs w:val="24"/>
              </w:rPr>
            </w:pPr>
            <w:r>
              <w:rPr>
                <w:sz w:val="24"/>
                <w:szCs w:val="24"/>
              </w:rPr>
              <w:t>430’000</w:t>
            </w:r>
          </w:p>
        </w:tc>
      </w:tr>
      <w:tr w:rsidR="006B7287" w:rsidRPr="00EC3890" w:rsidTr="00904BB6">
        <w:trPr>
          <w:trHeight w:val="454"/>
        </w:trPr>
        <w:tc>
          <w:tcPr>
            <w:tcW w:w="7933" w:type="dxa"/>
            <w:tcBorders>
              <w:top w:val="single" w:sz="4" w:space="0" w:color="auto"/>
              <w:bottom w:val="double" w:sz="4" w:space="0" w:color="auto"/>
            </w:tcBorders>
            <w:vAlign w:val="center"/>
          </w:tcPr>
          <w:p w:rsidR="006B7287" w:rsidRPr="00EC3890" w:rsidRDefault="006B7287" w:rsidP="00904BB6">
            <w:pPr>
              <w:tabs>
                <w:tab w:val="left" w:pos="567"/>
              </w:tabs>
              <w:rPr>
                <w:rFonts w:cs="Arial"/>
                <w:sz w:val="24"/>
                <w:szCs w:val="24"/>
              </w:rPr>
            </w:pPr>
            <w:r w:rsidRPr="00EC3890">
              <w:rPr>
                <w:rFonts w:cs="Arial"/>
                <w:sz w:val="24"/>
                <w:szCs w:val="24"/>
              </w:rPr>
              <w:t>Riserva (15%)</w:t>
            </w:r>
            <w:r>
              <w:rPr>
                <w:rFonts w:cs="Arial"/>
                <w:sz w:val="24"/>
                <w:szCs w:val="24"/>
              </w:rPr>
              <w:t>, trattandosi di preventivo sulla base di progetto di massima</w:t>
            </w:r>
          </w:p>
        </w:tc>
        <w:tc>
          <w:tcPr>
            <w:tcW w:w="1560" w:type="dxa"/>
            <w:tcBorders>
              <w:top w:val="single" w:sz="4" w:space="0" w:color="auto"/>
              <w:bottom w:val="double" w:sz="4" w:space="0" w:color="auto"/>
            </w:tcBorders>
            <w:vAlign w:val="center"/>
          </w:tcPr>
          <w:p w:rsidR="006B7287" w:rsidRPr="00EC3890" w:rsidRDefault="006B7287" w:rsidP="00904BB6">
            <w:pPr>
              <w:tabs>
                <w:tab w:val="left" w:pos="567"/>
              </w:tabs>
              <w:jc w:val="right"/>
              <w:rPr>
                <w:rFonts w:cs="Arial"/>
                <w:sz w:val="24"/>
                <w:szCs w:val="24"/>
              </w:rPr>
            </w:pPr>
            <w:r w:rsidRPr="00EC3890">
              <w:rPr>
                <w:sz w:val="24"/>
                <w:szCs w:val="24"/>
              </w:rPr>
              <w:t>820’000</w:t>
            </w:r>
          </w:p>
        </w:tc>
      </w:tr>
      <w:tr w:rsidR="006B7287" w:rsidRPr="00EC3890" w:rsidTr="00904BB6">
        <w:trPr>
          <w:trHeight w:val="454"/>
        </w:trPr>
        <w:tc>
          <w:tcPr>
            <w:tcW w:w="7933" w:type="dxa"/>
            <w:tcBorders>
              <w:top w:val="double" w:sz="4" w:space="0" w:color="auto"/>
              <w:bottom w:val="single" w:sz="4" w:space="0" w:color="auto"/>
            </w:tcBorders>
            <w:vAlign w:val="center"/>
          </w:tcPr>
          <w:p w:rsidR="006B7287" w:rsidRPr="00EC3890" w:rsidRDefault="006B7287" w:rsidP="00904BB6">
            <w:pPr>
              <w:tabs>
                <w:tab w:val="left" w:pos="567"/>
              </w:tabs>
              <w:rPr>
                <w:rFonts w:cs="Arial"/>
                <w:b/>
                <w:sz w:val="24"/>
                <w:szCs w:val="24"/>
              </w:rPr>
            </w:pPr>
            <w:r w:rsidRPr="00EC3890">
              <w:rPr>
                <w:rFonts w:cs="Arial"/>
                <w:b/>
                <w:sz w:val="24"/>
                <w:szCs w:val="24"/>
              </w:rPr>
              <w:t>Totale (IVA inclusa) e arrotondamento</w:t>
            </w:r>
          </w:p>
        </w:tc>
        <w:tc>
          <w:tcPr>
            <w:tcW w:w="1560" w:type="dxa"/>
            <w:tcBorders>
              <w:top w:val="double" w:sz="4" w:space="0" w:color="auto"/>
              <w:bottom w:val="single" w:sz="4" w:space="0" w:color="auto"/>
            </w:tcBorders>
            <w:vAlign w:val="center"/>
          </w:tcPr>
          <w:p w:rsidR="006B7287" w:rsidRPr="00EC3890" w:rsidRDefault="006B7287" w:rsidP="00904BB6">
            <w:pPr>
              <w:tabs>
                <w:tab w:val="left" w:pos="567"/>
              </w:tabs>
              <w:jc w:val="right"/>
              <w:rPr>
                <w:rFonts w:cs="Arial"/>
                <w:b/>
                <w:sz w:val="24"/>
                <w:szCs w:val="24"/>
              </w:rPr>
            </w:pPr>
            <w:r w:rsidRPr="00EC3890">
              <w:rPr>
                <w:b/>
                <w:sz w:val="24"/>
                <w:szCs w:val="24"/>
              </w:rPr>
              <w:t>6'300’000</w:t>
            </w:r>
          </w:p>
        </w:tc>
      </w:tr>
    </w:tbl>
    <w:p w:rsidR="006B7287" w:rsidRPr="00CE4C1A" w:rsidRDefault="006B7287" w:rsidP="006B7287">
      <w:pPr>
        <w:rPr>
          <w:szCs w:val="24"/>
        </w:rPr>
      </w:pPr>
    </w:p>
    <w:p w:rsidR="006B7287" w:rsidRPr="00CE4C1A" w:rsidRDefault="006B7287" w:rsidP="006B7287">
      <w:pPr>
        <w:rPr>
          <w:sz w:val="24"/>
          <w:szCs w:val="24"/>
        </w:rPr>
      </w:pPr>
      <w:r>
        <w:rPr>
          <w:sz w:val="24"/>
          <w:szCs w:val="24"/>
        </w:rPr>
        <w:t>La ripartizione dei costi della misura risulta dalla tabella presente nel Messaggio, che si riproduce integralmente per comodità di lettura.</w:t>
      </w:r>
    </w:p>
    <w:p w:rsidR="006B7287" w:rsidRPr="00C34545" w:rsidRDefault="006B7287" w:rsidP="006B7287">
      <w:pPr>
        <w:tabs>
          <w:tab w:val="left" w:pos="426"/>
        </w:tabs>
        <w:rPr>
          <w:rFonts w:cs="Arial"/>
          <w:sz w:val="24"/>
          <w:szCs w:val="24"/>
        </w:rPr>
      </w:pPr>
    </w:p>
    <w:p w:rsidR="006B7287" w:rsidRPr="00CE4C1A" w:rsidRDefault="006B7287" w:rsidP="006B7287">
      <w:pPr>
        <w:rPr>
          <w:szCs w:val="24"/>
        </w:rPr>
      </w:pPr>
    </w:p>
    <w:tbl>
      <w:tblPr>
        <w:tblStyle w:val="TableNormal"/>
        <w:tblW w:w="961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02"/>
        <w:gridCol w:w="1102"/>
        <w:gridCol w:w="1209"/>
        <w:gridCol w:w="995"/>
        <w:gridCol w:w="1102"/>
      </w:tblGrid>
      <w:tr w:rsidR="006B7287" w:rsidRPr="00C34545" w:rsidTr="00904BB6">
        <w:trPr>
          <w:cantSplit/>
          <w:trHeight w:val="2473"/>
        </w:trPr>
        <w:tc>
          <w:tcPr>
            <w:tcW w:w="520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152" w:type="dxa"/>
            </w:tcMar>
            <w:vAlign w:val="center"/>
          </w:tcPr>
          <w:p w:rsidR="006B7287" w:rsidRPr="00C34545" w:rsidRDefault="006B7287" w:rsidP="00904BB6"/>
        </w:tc>
        <w:tc>
          <w:tcPr>
            <w:tcW w:w="1102" w:type="dxa"/>
            <w:tcBorders>
              <w:top w:val="single" w:sz="4" w:space="0" w:color="000000"/>
              <w:left w:val="single" w:sz="4" w:space="0" w:color="000000"/>
              <w:bottom w:val="dotted" w:sz="4" w:space="0" w:color="000000"/>
              <w:right w:val="single" w:sz="4" w:space="0" w:color="000000"/>
            </w:tcBorders>
            <w:textDirection w:val="btLr"/>
            <w:vAlign w:val="center"/>
          </w:tcPr>
          <w:p w:rsidR="006B7287" w:rsidRPr="00C34545" w:rsidRDefault="006B7287" w:rsidP="00904BB6">
            <w:pPr>
              <w:spacing w:before="20" w:after="20"/>
              <w:ind w:left="113" w:right="113"/>
              <w:jc w:val="left"/>
              <w:rPr>
                <w:rFonts w:eastAsia="Times New Roman" w:cs="Times New Roman"/>
                <w:b/>
                <w:bCs/>
                <w:sz w:val="20"/>
                <w:szCs w:val="20"/>
              </w:rPr>
            </w:pPr>
            <w:r w:rsidRPr="00C34545">
              <w:rPr>
                <w:rFonts w:eastAsia="Times New Roman" w:cs="Times New Roman"/>
                <w:b/>
                <w:bCs/>
                <w:sz w:val="20"/>
                <w:szCs w:val="20"/>
              </w:rPr>
              <w:t>Costo preventivato</w:t>
            </w:r>
          </w:p>
        </w:tc>
        <w:tc>
          <w:tcPr>
            <w:tcW w:w="1209" w:type="dxa"/>
            <w:tcBorders>
              <w:top w:val="single" w:sz="4" w:space="0" w:color="000000"/>
              <w:left w:val="single" w:sz="4" w:space="0" w:color="000000"/>
              <w:bottom w:val="dotted" w:sz="4" w:space="0" w:color="000000"/>
              <w:right w:val="single" w:sz="4" w:space="0" w:color="000000"/>
            </w:tcBorders>
            <w:shd w:val="clear" w:color="auto" w:fill="auto"/>
            <w:tcMar>
              <w:top w:w="80" w:type="dxa"/>
              <w:left w:w="193" w:type="dxa"/>
              <w:bottom w:w="80" w:type="dxa"/>
              <w:right w:w="193" w:type="dxa"/>
            </w:tcMar>
            <w:textDirection w:val="btLr"/>
            <w:vAlign w:val="center"/>
          </w:tcPr>
          <w:p w:rsidR="006B7287" w:rsidRPr="00C34545" w:rsidRDefault="006B7287" w:rsidP="00904BB6">
            <w:pPr>
              <w:spacing w:before="20" w:after="20"/>
              <w:ind w:left="113" w:right="113"/>
              <w:jc w:val="left"/>
              <w:rPr>
                <w:rFonts w:eastAsia="Times New Roman" w:cs="Times New Roman"/>
                <w:b/>
                <w:bCs/>
                <w:sz w:val="20"/>
                <w:szCs w:val="20"/>
              </w:rPr>
            </w:pPr>
            <w:r w:rsidRPr="00C34545">
              <w:rPr>
                <w:rFonts w:eastAsia="Times New Roman" w:cs="Times New Roman"/>
                <w:b/>
                <w:bCs/>
                <w:sz w:val="20"/>
                <w:szCs w:val="20"/>
              </w:rPr>
              <w:t>Contributo Confederazione</w:t>
            </w:r>
          </w:p>
          <w:p w:rsidR="006B7287" w:rsidRPr="00C34545" w:rsidRDefault="006B7287" w:rsidP="00904BB6">
            <w:pPr>
              <w:spacing w:before="20" w:after="20"/>
              <w:ind w:left="113" w:right="113"/>
              <w:jc w:val="left"/>
              <w:rPr>
                <w:rFonts w:eastAsia="Times New Roman" w:cs="Times New Roman"/>
                <w:szCs w:val="20"/>
                <w:u w:val="single"/>
              </w:rPr>
            </w:pPr>
            <w:r w:rsidRPr="00C34545">
              <w:rPr>
                <w:rFonts w:eastAsia="Times New Roman" w:cs="Times New Roman"/>
                <w:b/>
                <w:bCs/>
                <w:sz w:val="20"/>
                <w:szCs w:val="20"/>
              </w:rPr>
              <w:t>PAM3</w:t>
            </w:r>
          </w:p>
        </w:tc>
        <w:tc>
          <w:tcPr>
            <w:tcW w:w="995" w:type="dxa"/>
            <w:tcBorders>
              <w:top w:val="single" w:sz="4" w:space="0" w:color="000000"/>
              <w:left w:val="single" w:sz="4" w:space="0" w:color="000000"/>
              <w:bottom w:val="dotted" w:sz="4" w:space="0" w:color="000000"/>
              <w:right w:val="single" w:sz="4" w:space="0" w:color="000000"/>
            </w:tcBorders>
            <w:shd w:val="clear" w:color="auto" w:fill="D9D9D9"/>
            <w:tcMar>
              <w:top w:w="80" w:type="dxa"/>
              <w:left w:w="193" w:type="dxa"/>
              <w:bottom w:w="80" w:type="dxa"/>
              <w:right w:w="193" w:type="dxa"/>
            </w:tcMar>
            <w:textDirection w:val="btLr"/>
            <w:vAlign w:val="center"/>
          </w:tcPr>
          <w:p w:rsidR="006B7287" w:rsidRPr="00C34545" w:rsidRDefault="006B7287" w:rsidP="00904BB6">
            <w:pPr>
              <w:spacing w:before="20" w:after="20"/>
              <w:ind w:left="113" w:right="113"/>
              <w:jc w:val="left"/>
              <w:rPr>
                <w:rFonts w:eastAsia="Times New Roman" w:cs="Times New Roman"/>
                <w:szCs w:val="20"/>
              </w:rPr>
            </w:pPr>
            <w:r w:rsidRPr="00C34545">
              <w:rPr>
                <w:rFonts w:eastAsia="Times New Roman" w:cs="Times New Roman"/>
                <w:b/>
                <w:bCs/>
                <w:sz w:val="20"/>
                <w:szCs w:val="20"/>
              </w:rPr>
              <w:t>Cantone Ticino (65%)</w:t>
            </w:r>
          </w:p>
        </w:tc>
        <w:tc>
          <w:tcPr>
            <w:tcW w:w="1102" w:type="dxa"/>
            <w:tcBorders>
              <w:top w:val="single" w:sz="4" w:space="0" w:color="000000"/>
              <w:left w:val="single" w:sz="4" w:space="0" w:color="000000"/>
              <w:bottom w:val="dotted" w:sz="4" w:space="0" w:color="000000"/>
              <w:right w:val="single" w:sz="4" w:space="0" w:color="000000"/>
            </w:tcBorders>
            <w:shd w:val="clear" w:color="auto" w:fill="auto"/>
            <w:tcMar>
              <w:top w:w="80" w:type="dxa"/>
              <w:left w:w="193" w:type="dxa"/>
              <w:bottom w:w="80" w:type="dxa"/>
              <w:right w:w="193" w:type="dxa"/>
            </w:tcMar>
            <w:textDirection w:val="btLr"/>
            <w:vAlign w:val="center"/>
          </w:tcPr>
          <w:p w:rsidR="006B7287" w:rsidRPr="00C34545" w:rsidRDefault="006B7287" w:rsidP="00904BB6">
            <w:pPr>
              <w:spacing w:before="20" w:after="20"/>
              <w:ind w:left="113" w:right="113"/>
              <w:jc w:val="left"/>
              <w:rPr>
                <w:rFonts w:eastAsia="Times New Roman" w:cs="Times New Roman"/>
                <w:szCs w:val="20"/>
              </w:rPr>
            </w:pPr>
            <w:r w:rsidRPr="00C34545">
              <w:rPr>
                <w:rFonts w:eastAsia="Times New Roman" w:cs="Times New Roman"/>
                <w:b/>
                <w:bCs/>
                <w:sz w:val="20"/>
                <w:szCs w:val="20"/>
              </w:rPr>
              <w:t>Comuni CRTM (35%)</w:t>
            </w:r>
          </w:p>
        </w:tc>
      </w:tr>
      <w:tr w:rsidR="006B7287" w:rsidRPr="00C34545" w:rsidTr="00904BB6">
        <w:trPr>
          <w:trHeight w:val="231"/>
        </w:trPr>
        <w:tc>
          <w:tcPr>
            <w:tcW w:w="5202" w:type="dxa"/>
            <w:tcBorders>
              <w:top w:val="nil"/>
              <w:left w:val="single" w:sz="4" w:space="0" w:color="000000"/>
              <w:bottom w:val="double" w:sz="4" w:space="0" w:color="auto"/>
              <w:right w:val="single" w:sz="4" w:space="0" w:color="000000"/>
            </w:tcBorders>
            <w:shd w:val="clear" w:color="auto" w:fill="auto"/>
            <w:tcMar>
              <w:top w:w="80" w:type="dxa"/>
              <w:left w:w="80" w:type="dxa"/>
              <w:bottom w:w="80" w:type="dxa"/>
              <w:right w:w="152" w:type="dxa"/>
            </w:tcMar>
            <w:vAlign w:val="center"/>
          </w:tcPr>
          <w:p w:rsidR="006B7287" w:rsidRPr="00C34545" w:rsidRDefault="006B7287" w:rsidP="00904BB6"/>
        </w:tc>
        <w:tc>
          <w:tcPr>
            <w:tcW w:w="1102" w:type="dxa"/>
            <w:tcBorders>
              <w:top w:val="dotted" w:sz="4" w:space="0" w:color="000000"/>
              <w:left w:val="single" w:sz="4" w:space="0" w:color="000000"/>
              <w:bottom w:val="double" w:sz="4" w:space="0" w:color="auto"/>
              <w:right w:val="single" w:sz="4" w:space="0" w:color="000000"/>
            </w:tcBorders>
            <w:vAlign w:val="center"/>
          </w:tcPr>
          <w:p w:rsidR="006B7287" w:rsidRDefault="006B7287" w:rsidP="00904BB6">
            <w:pPr>
              <w:jc w:val="center"/>
              <w:rPr>
                <w:rFonts w:eastAsia="Times New Roman" w:cs="Times New Roman"/>
                <w:i/>
                <w:iCs/>
                <w:sz w:val="18"/>
                <w:szCs w:val="18"/>
              </w:rPr>
            </w:pPr>
            <w:r>
              <w:rPr>
                <w:rFonts w:eastAsia="Times New Roman" w:cs="Times New Roman"/>
                <w:i/>
                <w:iCs/>
                <w:sz w:val="18"/>
                <w:szCs w:val="18"/>
              </w:rPr>
              <w:t>fr.</w:t>
            </w:r>
          </w:p>
          <w:p w:rsidR="006B7287" w:rsidRPr="00C34545" w:rsidRDefault="006B7287" w:rsidP="00904BB6">
            <w:pPr>
              <w:jc w:val="center"/>
              <w:rPr>
                <w:rFonts w:eastAsia="Times New Roman" w:cs="Times New Roman"/>
                <w:i/>
                <w:iCs/>
                <w:sz w:val="18"/>
                <w:szCs w:val="18"/>
              </w:rPr>
            </w:pPr>
            <w:r w:rsidRPr="00C34545">
              <w:rPr>
                <w:rFonts w:eastAsia="Times New Roman" w:cs="Times New Roman"/>
                <w:i/>
                <w:iCs/>
                <w:sz w:val="18"/>
                <w:szCs w:val="18"/>
              </w:rPr>
              <w:t>[mio]</w:t>
            </w:r>
          </w:p>
        </w:tc>
        <w:tc>
          <w:tcPr>
            <w:tcW w:w="1209" w:type="dxa"/>
            <w:tcBorders>
              <w:top w:val="dotted"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6B7287" w:rsidRDefault="006B7287" w:rsidP="00904BB6">
            <w:pPr>
              <w:jc w:val="center"/>
              <w:rPr>
                <w:rFonts w:eastAsia="Times New Roman" w:cs="Times New Roman"/>
                <w:i/>
                <w:iCs/>
                <w:sz w:val="18"/>
                <w:szCs w:val="18"/>
              </w:rPr>
            </w:pPr>
            <w:r>
              <w:rPr>
                <w:rFonts w:eastAsia="Times New Roman" w:cs="Times New Roman"/>
                <w:i/>
                <w:iCs/>
                <w:sz w:val="18"/>
                <w:szCs w:val="18"/>
              </w:rPr>
              <w:t>fr.</w:t>
            </w:r>
          </w:p>
          <w:p w:rsidR="006B7287" w:rsidRPr="00C34545" w:rsidRDefault="006B7287" w:rsidP="00904BB6">
            <w:pPr>
              <w:jc w:val="center"/>
              <w:rPr>
                <w:rFonts w:eastAsia="Times New Roman" w:cs="Times New Roman"/>
                <w:szCs w:val="20"/>
              </w:rPr>
            </w:pPr>
            <w:r w:rsidRPr="00C34545">
              <w:rPr>
                <w:rFonts w:eastAsia="Times New Roman" w:cs="Times New Roman"/>
                <w:i/>
                <w:iCs/>
                <w:sz w:val="18"/>
                <w:szCs w:val="18"/>
              </w:rPr>
              <w:t xml:space="preserve">[mio] </w:t>
            </w:r>
          </w:p>
        </w:tc>
        <w:tc>
          <w:tcPr>
            <w:tcW w:w="995" w:type="dxa"/>
            <w:tcBorders>
              <w:top w:val="dotted" w:sz="4" w:space="0" w:color="000000"/>
              <w:left w:val="single" w:sz="4" w:space="0" w:color="000000"/>
              <w:bottom w:val="double" w:sz="4" w:space="0" w:color="auto"/>
              <w:right w:val="single" w:sz="4" w:space="0" w:color="000000"/>
            </w:tcBorders>
            <w:shd w:val="clear" w:color="auto" w:fill="D9D9D9"/>
            <w:tcMar>
              <w:top w:w="80" w:type="dxa"/>
              <w:left w:w="80" w:type="dxa"/>
              <w:bottom w:w="80" w:type="dxa"/>
              <w:right w:w="80" w:type="dxa"/>
            </w:tcMar>
            <w:vAlign w:val="center"/>
          </w:tcPr>
          <w:p w:rsidR="006B7287" w:rsidRDefault="006B7287" w:rsidP="00904BB6">
            <w:pPr>
              <w:jc w:val="center"/>
              <w:rPr>
                <w:i/>
                <w:iCs/>
                <w:sz w:val="18"/>
                <w:szCs w:val="18"/>
              </w:rPr>
            </w:pPr>
            <w:r>
              <w:rPr>
                <w:i/>
                <w:iCs/>
                <w:sz w:val="18"/>
                <w:szCs w:val="18"/>
              </w:rPr>
              <w:t>FR.</w:t>
            </w:r>
          </w:p>
          <w:p w:rsidR="006B7287" w:rsidRPr="00C34545" w:rsidRDefault="006B7287" w:rsidP="00904BB6">
            <w:pPr>
              <w:jc w:val="center"/>
            </w:pPr>
            <w:r w:rsidRPr="00C34545">
              <w:rPr>
                <w:i/>
                <w:iCs/>
                <w:sz w:val="18"/>
                <w:szCs w:val="18"/>
              </w:rPr>
              <w:t>[mio]</w:t>
            </w:r>
          </w:p>
        </w:tc>
        <w:tc>
          <w:tcPr>
            <w:tcW w:w="1102" w:type="dxa"/>
            <w:tcBorders>
              <w:top w:val="dotted"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rsidR="006B7287" w:rsidRDefault="006B7287" w:rsidP="00904BB6">
            <w:pPr>
              <w:jc w:val="center"/>
              <w:rPr>
                <w:i/>
                <w:iCs/>
                <w:sz w:val="18"/>
                <w:szCs w:val="18"/>
              </w:rPr>
            </w:pPr>
            <w:r>
              <w:rPr>
                <w:rFonts w:eastAsia="Times New Roman" w:cs="Times New Roman"/>
                <w:i/>
                <w:iCs/>
                <w:sz w:val="18"/>
                <w:szCs w:val="18"/>
              </w:rPr>
              <w:t>fr.</w:t>
            </w:r>
            <w:r w:rsidRPr="00C34545">
              <w:rPr>
                <w:i/>
                <w:iCs/>
                <w:sz w:val="18"/>
                <w:szCs w:val="18"/>
              </w:rPr>
              <w:t xml:space="preserve"> </w:t>
            </w:r>
          </w:p>
          <w:p w:rsidR="006B7287" w:rsidRPr="00C34545" w:rsidRDefault="006B7287" w:rsidP="00904BB6">
            <w:pPr>
              <w:jc w:val="center"/>
            </w:pPr>
            <w:r w:rsidRPr="00C34545">
              <w:rPr>
                <w:i/>
                <w:iCs/>
                <w:sz w:val="18"/>
                <w:szCs w:val="18"/>
              </w:rPr>
              <w:t>[mio]</w:t>
            </w:r>
          </w:p>
        </w:tc>
      </w:tr>
      <w:tr w:rsidR="006B7287" w:rsidRPr="00C34545" w:rsidTr="00904BB6">
        <w:trPr>
          <w:trHeight w:val="409"/>
        </w:trPr>
        <w:tc>
          <w:tcPr>
            <w:tcW w:w="5202" w:type="dxa"/>
            <w:tcBorders>
              <w:top w:val="doub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7287" w:rsidRPr="00C34545" w:rsidRDefault="006B7287" w:rsidP="00904BB6">
            <w:pPr>
              <w:pBdr>
                <w:top w:val="nil"/>
                <w:left w:val="nil"/>
                <w:bottom w:val="nil"/>
                <w:right w:val="nil"/>
                <w:between w:val="nil"/>
                <w:bar w:val="nil"/>
              </w:pBdr>
              <w:rPr>
                <w:rFonts w:eastAsia="Arial Unicode MS" w:cs="Arial Unicode MS"/>
                <w:b/>
                <w:u w:color="000000"/>
                <w:bdr w:val="nil"/>
              </w:rPr>
            </w:pPr>
            <w:r w:rsidRPr="00C34545">
              <w:rPr>
                <w:rFonts w:eastAsia="Arial Unicode MS" w:cs="Arial Unicode MS"/>
                <w:b/>
                <w:u w:color="000000"/>
                <w:bdr w:val="nil"/>
              </w:rPr>
              <w:t xml:space="preserve">Totale: </w:t>
            </w:r>
            <w:r w:rsidRPr="00C34545">
              <w:rPr>
                <w:rFonts w:eastAsia="Arial Unicode MS" w:cs="Arial Unicode MS"/>
                <w:b/>
                <w:bCs/>
                <w:u w:color="000000"/>
                <w:bdr w:val="nil"/>
                <w:lang w:val="it-IT"/>
              </w:rPr>
              <w:t>(IVA inclusa)</w:t>
            </w:r>
          </w:p>
        </w:tc>
        <w:tc>
          <w:tcPr>
            <w:tcW w:w="1102" w:type="dxa"/>
            <w:tcBorders>
              <w:top w:val="double" w:sz="4" w:space="0" w:color="auto"/>
              <w:left w:val="single" w:sz="4" w:space="0" w:color="000000"/>
              <w:bottom w:val="single" w:sz="4" w:space="0" w:color="000000"/>
              <w:right w:val="single" w:sz="4" w:space="0" w:color="000000"/>
            </w:tcBorders>
            <w:vAlign w:val="center"/>
          </w:tcPr>
          <w:p w:rsidR="006B7287" w:rsidRPr="00C34545" w:rsidRDefault="006B7287" w:rsidP="00904BB6">
            <w:pPr>
              <w:spacing w:before="20" w:after="20"/>
              <w:ind w:right="72"/>
              <w:jc w:val="right"/>
              <w:rPr>
                <w:rFonts w:eastAsia="Times New Roman" w:cs="Times New Roman"/>
                <w:b/>
              </w:rPr>
            </w:pPr>
            <w:r>
              <w:rPr>
                <w:rFonts w:eastAsia="Times New Roman" w:cs="Times New Roman"/>
                <w:b/>
              </w:rPr>
              <w:t>6</w:t>
            </w:r>
            <w:r w:rsidRPr="00C34545">
              <w:rPr>
                <w:rFonts w:eastAsia="Times New Roman" w:cs="Times New Roman"/>
                <w:b/>
              </w:rPr>
              <w:t>.</w:t>
            </w:r>
            <w:r>
              <w:rPr>
                <w:rFonts w:eastAsia="Times New Roman" w:cs="Times New Roman"/>
                <w:b/>
              </w:rPr>
              <w:t>300</w:t>
            </w:r>
          </w:p>
        </w:tc>
        <w:tc>
          <w:tcPr>
            <w:tcW w:w="1209" w:type="dxa"/>
            <w:tcBorders>
              <w:top w:val="doub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152" w:type="dxa"/>
            </w:tcMar>
            <w:vAlign w:val="center"/>
          </w:tcPr>
          <w:p w:rsidR="006B7287" w:rsidRPr="000064EF" w:rsidRDefault="006B7287" w:rsidP="00904BB6">
            <w:pPr>
              <w:spacing w:before="20" w:after="20"/>
              <w:ind w:right="72"/>
              <w:jc w:val="right"/>
              <w:rPr>
                <w:rFonts w:eastAsia="Times New Roman" w:cs="Times New Roman"/>
                <w:b/>
              </w:rPr>
            </w:pPr>
            <w:r w:rsidRPr="000064EF">
              <w:rPr>
                <w:rFonts w:eastAsia="Times New Roman" w:cs="Times New Roman"/>
                <w:b/>
              </w:rPr>
              <w:t>1.510</w:t>
            </w:r>
          </w:p>
        </w:tc>
        <w:tc>
          <w:tcPr>
            <w:tcW w:w="995" w:type="dxa"/>
            <w:tcBorders>
              <w:top w:val="double" w:sz="4" w:space="0" w:color="auto"/>
              <w:left w:val="single" w:sz="4" w:space="0" w:color="000000"/>
              <w:bottom w:val="single" w:sz="4" w:space="0" w:color="auto"/>
              <w:right w:val="single" w:sz="4" w:space="0" w:color="000000"/>
            </w:tcBorders>
            <w:shd w:val="clear" w:color="auto" w:fill="D9D9D9"/>
            <w:tcMar>
              <w:top w:w="80" w:type="dxa"/>
              <w:left w:w="80" w:type="dxa"/>
              <w:bottom w:w="80" w:type="dxa"/>
              <w:right w:w="152" w:type="dxa"/>
            </w:tcMar>
            <w:vAlign w:val="center"/>
          </w:tcPr>
          <w:p w:rsidR="006B7287" w:rsidRPr="000064EF" w:rsidRDefault="006B7287" w:rsidP="00904BB6">
            <w:pPr>
              <w:spacing w:before="20" w:after="20"/>
              <w:ind w:right="72"/>
              <w:jc w:val="right"/>
              <w:rPr>
                <w:rFonts w:eastAsia="Times New Roman" w:cs="Times New Roman"/>
                <w:b/>
                <w:szCs w:val="20"/>
              </w:rPr>
            </w:pPr>
            <w:r w:rsidRPr="000064EF">
              <w:rPr>
                <w:rFonts w:eastAsia="Times New Roman" w:cs="Times New Roman"/>
                <w:b/>
              </w:rPr>
              <w:t>3.</w:t>
            </w:r>
            <w:r>
              <w:rPr>
                <w:rFonts w:eastAsia="Times New Roman" w:cs="Times New Roman"/>
                <w:b/>
              </w:rPr>
              <w:t>114</w:t>
            </w:r>
          </w:p>
        </w:tc>
        <w:tc>
          <w:tcPr>
            <w:tcW w:w="1102" w:type="dxa"/>
            <w:tcBorders>
              <w:top w:val="doub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152" w:type="dxa"/>
            </w:tcMar>
            <w:vAlign w:val="center"/>
          </w:tcPr>
          <w:p w:rsidR="006B7287" w:rsidRPr="000064EF" w:rsidRDefault="006B7287" w:rsidP="00904BB6">
            <w:pPr>
              <w:spacing w:before="20" w:after="20"/>
              <w:ind w:right="72"/>
              <w:jc w:val="right"/>
              <w:rPr>
                <w:rFonts w:eastAsia="Times New Roman" w:cs="Times New Roman"/>
                <w:b/>
                <w:szCs w:val="20"/>
              </w:rPr>
            </w:pPr>
            <w:r w:rsidRPr="000064EF">
              <w:rPr>
                <w:rFonts w:eastAsia="Times New Roman" w:cs="Times New Roman"/>
                <w:b/>
              </w:rPr>
              <w:t>1.</w:t>
            </w:r>
            <w:r>
              <w:rPr>
                <w:rFonts w:eastAsia="Times New Roman" w:cs="Times New Roman"/>
                <w:b/>
              </w:rPr>
              <w:t>676</w:t>
            </w:r>
          </w:p>
        </w:tc>
      </w:tr>
    </w:tbl>
    <w:p w:rsidR="006B7287" w:rsidRPr="00A57A05" w:rsidRDefault="006B7287" w:rsidP="006B7287"/>
    <w:p w:rsidR="006B7287" w:rsidRPr="0039537A" w:rsidRDefault="006B7287" w:rsidP="006B7287">
      <w:pPr>
        <w:rPr>
          <w:sz w:val="24"/>
          <w:szCs w:val="24"/>
        </w:rPr>
      </w:pPr>
      <w:r w:rsidRPr="0039537A">
        <w:rPr>
          <w:sz w:val="24"/>
          <w:szCs w:val="24"/>
        </w:rPr>
        <w:lastRenderedPageBreak/>
        <w:t>Per quanto attiene ai tempi di realizzazione, secondo il Messaggi “</w:t>
      </w:r>
      <w:r w:rsidRPr="0039537A">
        <w:rPr>
          <w:i/>
          <w:iCs/>
          <w:sz w:val="24"/>
          <w:szCs w:val="24"/>
        </w:rPr>
        <w:t>i lavori potrebbero prendere avvio nel corso del 2025. La durata dei lavori è stimata in circa 20 mesi”</w:t>
      </w:r>
      <w:r w:rsidRPr="0039537A">
        <w:rPr>
          <w:sz w:val="24"/>
          <w:szCs w:val="24"/>
        </w:rPr>
        <w:t>.</w:t>
      </w:r>
    </w:p>
    <w:p w:rsidR="006B7287" w:rsidRDefault="006B7287" w:rsidP="006B7287">
      <w:pPr>
        <w:pStyle w:val="StandardRisoluzionedelConsigliodiStato"/>
        <w:ind w:right="-1"/>
      </w:pPr>
    </w:p>
    <w:p w:rsidR="006B7287" w:rsidRDefault="006B7287" w:rsidP="006B7287">
      <w:pPr>
        <w:pStyle w:val="StandardRisoluzionedelConsigliodiStato"/>
        <w:ind w:right="-1"/>
      </w:pPr>
    </w:p>
    <w:p w:rsidR="006B7287" w:rsidRPr="00F36404" w:rsidRDefault="006B7287" w:rsidP="00F36404">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F36404">
        <w:rPr>
          <w:rFonts w:eastAsia="Calibri" w:cs="Times New Roman"/>
          <w:caps/>
          <w:sz w:val="24"/>
          <w:szCs w:val="24"/>
          <w:lang w:val="it-IT" w:eastAsia="it-IT"/>
        </w:rPr>
        <w:t>Altri elementi del Messaggio</w:t>
      </w:r>
    </w:p>
    <w:p w:rsidR="006B7287" w:rsidRDefault="006B7287" w:rsidP="00F36404">
      <w:pPr>
        <w:pStyle w:val="Titolo2"/>
        <w:rPr>
          <w:sz w:val="24"/>
          <w:szCs w:val="24"/>
        </w:rPr>
      </w:pPr>
      <w:bookmarkStart w:id="0" w:name="_Ref157682082"/>
      <w:bookmarkStart w:id="1" w:name="_Toc164081228"/>
      <w:r w:rsidRPr="00CA2D55">
        <w:rPr>
          <w:sz w:val="24"/>
          <w:szCs w:val="24"/>
        </w:rPr>
        <w:t>Misura PAM2 TP 5.1 – miglioramento dello standard e dell’informazione alle fermate del TP su gomma: infrastruttura standard di base</w:t>
      </w:r>
      <w:bookmarkEnd w:id="0"/>
      <w:bookmarkEnd w:id="1"/>
    </w:p>
    <w:p w:rsidR="006B7287" w:rsidRPr="00CA2D55" w:rsidRDefault="006B7287" w:rsidP="00F36404">
      <w:pPr>
        <w:pStyle w:val="Titolo2"/>
        <w:numPr>
          <w:ilvl w:val="0"/>
          <w:numId w:val="0"/>
        </w:numPr>
        <w:jc w:val="both"/>
        <w:rPr>
          <w:sz w:val="24"/>
          <w:szCs w:val="24"/>
        </w:rPr>
      </w:pPr>
      <w:r w:rsidRPr="00CA2D55">
        <w:rPr>
          <w:b w:val="0"/>
          <w:bCs/>
          <w:sz w:val="24"/>
          <w:szCs w:val="24"/>
        </w:rPr>
        <w:t xml:space="preserve">Secondo il Messaggio, la misura TP 5.1 del programma d’agglomerato prevede uno standard infrastrutturale di base da applicare alle fermate di una certa importanza distinguendo due modalità d’intervento. </w:t>
      </w:r>
    </w:p>
    <w:p w:rsidR="006B7287" w:rsidRDefault="006B7287" w:rsidP="00F36404">
      <w:pPr>
        <w:rPr>
          <w:sz w:val="24"/>
          <w:szCs w:val="24"/>
        </w:rPr>
      </w:pPr>
    </w:p>
    <w:p w:rsidR="006B7287" w:rsidRPr="00D46B4E" w:rsidRDefault="006B7287" w:rsidP="00F36404">
      <w:pPr>
        <w:rPr>
          <w:sz w:val="24"/>
          <w:szCs w:val="24"/>
        </w:rPr>
      </w:pPr>
      <w:r w:rsidRPr="00D46B4E">
        <w:rPr>
          <w:sz w:val="24"/>
          <w:szCs w:val="24"/>
        </w:rPr>
        <w:t>La prima, ad opera delle imprese di trasporto, prevede:</w:t>
      </w:r>
    </w:p>
    <w:p w:rsidR="006B7287" w:rsidRPr="00EF0606" w:rsidRDefault="006B7287" w:rsidP="00F36404">
      <w:pPr>
        <w:pStyle w:val="Paragrafoelenco"/>
        <w:numPr>
          <w:ilvl w:val="0"/>
          <w:numId w:val="22"/>
        </w:numPr>
        <w:tabs>
          <w:tab w:val="left" w:pos="567"/>
        </w:tabs>
        <w:ind w:left="567" w:hanging="567"/>
        <w:rPr>
          <w:sz w:val="24"/>
          <w:szCs w:val="24"/>
        </w:rPr>
      </w:pPr>
      <w:r w:rsidRPr="00EF0606">
        <w:rPr>
          <w:sz w:val="24"/>
          <w:szCs w:val="24"/>
        </w:rPr>
        <w:t>il miglioramento dell’informazione in tutte le fermate (creazione di paline informative comprendenti indicazione sugli orari, cartina orientativa, altre informazioni);</w:t>
      </w:r>
    </w:p>
    <w:p w:rsidR="006B7287" w:rsidRPr="00EF0606" w:rsidRDefault="006B7287" w:rsidP="00F36404">
      <w:pPr>
        <w:pStyle w:val="Paragrafoelenco"/>
        <w:numPr>
          <w:ilvl w:val="0"/>
          <w:numId w:val="22"/>
        </w:numPr>
        <w:tabs>
          <w:tab w:val="left" w:pos="567"/>
        </w:tabs>
        <w:ind w:left="567" w:hanging="567"/>
        <w:rPr>
          <w:sz w:val="24"/>
          <w:szCs w:val="24"/>
        </w:rPr>
      </w:pPr>
      <w:r w:rsidRPr="00EF0606">
        <w:rPr>
          <w:sz w:val="24"/>
          <w:szCs w:val="24"/>
        </w:rPr>
        <w:t>l’adattamento dell’immagine delle fermate del servizio urbano (caratterizzare e differenziare i veicoli dal servizio regionale).</w:t>
      </w:r>
    </w:p>
    <w:p w:rsidR="006B7287" w:rsidRDefault="006B7287" w:rsidP="00F36404">
      <w:pPr>
        <w:rPr>
          <w:sz w:val="24"/>
          <w:szCs w:val="24"/>
        </w:rPr>
      </w:pPr>
    </w:p>
    <w:p w:rsidR="006B7287" w:rsidRPr="00D46B4E" w:rsidRDefault="006B7287" w:rsidP="00F36404">
      <w:pPr>
        <w:rPr>
          <w:sz w:val="24"/>
          <w:szCs w:val="24"/>
        </w:rPr>
      </w:pPr>
      <w:r w:rsidRPr="00D46B4E">
        <w:rPr>
          <w:sz w:val="24"/>
          <w:szCs w:val="24"/>
        </w:rPr>
        <w:t>La seconda, ad opera di Cantone e Comuni, prevede l’applicazione di uno standard di sicurezza e di accessibilità per le fermate urbane e in particolare:</w:t>
      </w:r>
    </w:p>
    <w:p w:rsidR="006B7287" w:rsidRPr="00EF0606" w:rsidRDefault="006B7287" w:rsidP="00F36404">
      <w:pPr>
        <w:pStyle w:val="Paragrafoelenco"/>
        <w:numPr>
          <w:ilvl w:val="0"/>
          <w:numId w:val="23"/>
        </w:numPr>
        <w:tabs>
          <w:tab w:val="left" w:pos="567"/>
        </w:tabs>
        <w:ind w:left="567" w:hanging="567"/>
        <w:rPr>
          <w:sz w:val="24"/>
          <w:szCs w:val="24"/>
        </w:rPr>
      </w:pPr>
      <w:r w:rsidRPr="00EF0606">
        <w:rPr>
          <w:sz w:val="24"/>
          <w:szCs w:val="24"/>
        </w:rPr>
        <w:t>il rialzo del marciapiede per facilitare l’accesso ai bus e l’indicazione della differenza di livello del marciapiede;</w:t>
      </w:r>
    </w:p>
    <w:p w:rsidR="006B7287" w:rsidRPr="00EF0606" w:rsidRDefault="006B7287" w:rsidP="00F36404">
      <w:pPr>
        <w:pStyle w:val="Paragrafoelenco"/>
        <w:numPr>
          <w:ilvl w:val="0"/>
          <w:numId w:val="23"/>
        </w:numPr>
        <w:tabs>
          <w:tab w:val="left" w:pos="567"/>
        </w:tabs>
        <w:ind w:left="0" w:firstLine="0"/>
        <w:rPr>
          <w:sz w:val="24"/>
          <w:szCs w:val="24"/>
        </w:rPr>
      </w:pPr>
      <w:r w:rsidRPr="00EF0606">
        <w:rPr>
          <w:sz w:val="24"/>
          <w:szCs w:val="24"/>
        </w:rPr>
        <w:t>la demarcazione per l’accesso di persone con disabilità.</w:t>
      </w:r>
    </w:p>
    <w:p w:rsidR="006B7287" w:rsidRDefault="006B7287" w:rsidP="00F36404">
      <w:pPr>
        <w:rPr>
          <w:sz w:val="24"/>
          <w:szCs w:val="24"/>
        </w:rPr>
      </w:pPr>
    </w:p>
    <w:p w:rsidR="006B7287" w:rsidRPr="00D46B4E" w:rsidRDefault="006B7287" w:rsidP="00F36404">
      <w:pPr>
        <w:rPr>
          <w:sz w:val="24"/>
          <w:szCs w:val="24"/>
        </w:rPr>
      </w:pPr>
      <w:r w:rsidRPr="00D46B4E">
        <w:rPr>
          <w:sz w:val="24"/>
          <w:szCs w:val="24"/>
        </w:rPr>
        <w:t>Questi interventi si rendono necessari in base ai disposti della Legge federale sull’eliminazione di svantaggi nei confronti di disabili (artt. 22 e seguenti).</w:t>
      </w:r>
    </w:p>
    <w:p w:rsidR="006B7287" w:rsidRDefault="006B7287" w:rsidP="00F36404">
      <w:pPr>
        <w:rPr>
          <w:sz w:val="24"/>
          <w:szCs w:val="24"/>
        </w:rPr>
      </w:pPr>
    </w:p>
    <w:p w:rsidR="006B7287" w:rsidRPr="00B543D7" w:rsidRDefault="006B7287" w:rsidP="00F36404">
      <w:pPr>
        <w:tabs>
          <w:tab w:val="left" w:pos="567"/>
          <w:tab w:val="left" w:pos="2041"/>
          <w:tab w:val="left" w:pos="4933"/>
        </w:tabs>
        <w:rPr>
          <w:rFonts w:eastAsia="Times New Roman" w:cs="Arial"/>
          <w:sz w:val="24"/>
          <w:szCs w:val="24"/>
        </w:rPr>
      </w:pPr>
      <w:r w:rsidRPr="00B543D7">
        <w:rPr>
          <w:rFonts w:eastAsia="Times New Roman" w:cs="Times New Roman"/>
          <w:sz w:val="24"/>
          <w:szCs w:val="20"/>
          <w:lang w:val="it-IT" w:eastAsia="it-IT"/>
        </w:rPr>
        <w:t xml:space="preserve">PAM2, che a tale scopo ha destinato un importo di ca. </w:t>
      </w:r>
      <w:r>
        <w:rPr>
          <w:rFonts w:eastAsia="Times New Roman" w:cs="Times New Roman"/>
          <w:sz w:val="24"/>
          <w:szCs w:val="20"/>
          <w:lang w:val="it-IT" w:eastAsia="it-IT"/>
        </w:rPr>
        <w:t>fr.</w:t>
      </w:r>
      <w:r w:rsidRPr="00B543D7">
        <w:rPr>
          <w:rFonts w:eastAsia="Times New Roman" w:cs="Times New Roman"/>
          <w:sz w:val="24"/>
          <w:szCs w:val="20"/>
          <w:lang w:val="it-IT" w:eastAsia="it-IT"/>
        </w:rPr>
        <w:t xml:space="preserve"> 3 mio (IVA esclusa, +/-30%, stato prezzi 2012) sono stati stanziati due crediti per int</w:t>
      </w:r>
      <w:r>
        <w:rPr>
          <w:rFonts w:eastAsia="Times New Roman" w:cs="Times New Roman"/>
          <w:sz w:val="24"/>
          <w:szCs w:val="20"/>
          <w:lang w:val="it-IT" w:eastAsia="it-IT"/>
        </w:rPr>
        <w:t xml:space="preserve">ervenire su fermate differenti, uno di fr.1'000'000.- </w:t>
      </w:r>
      <w:r w:rsidRPr="00CA2D55">
        <w:rPr>
          <w:rFonts w:eastAsia="Times New Roman" w:cs="Times New Roman"/>
          <w:sz w:val="24"/>
          <w:szCs w:val="20"/>
          <w:lang w:val="it-IT" w:eastAsia="it-IT"/>
        </w:rPr>
        <w:t>D</w:t>
      </w:r>
      <w:r w:rsidRPr="00CA2D55">
        <w:rPr>
          <w:rFonts w:eastAsia="Times New Roman" w:cs="Times New Roman"/>
          <w:i/>
          <w:sz w:val="24"/>
          <w:szCs w:val="20"/>
          <w:lang w:val="it-IT" w:eastAsia="it-IT"/>
        </w:rPr>
        <w:t>ecreto legislativo del 13 marzo</w:t>
      </w:r>
      <w:r w:rsidRPr="00E535BE">
        <w:rPr>
          <w:rFonts w:eastAsia="Times New Roman" w:cs="Times New Roman"/>
          <w:b/>
          <w:i/>
          <w:sz w:val="24"/>
          <w:szCs w:val="20"/>
          <w:lang w:val="it-IT" w:eastAsia="it-IT"/>
        </w:rPr>
        <w:t xml:space="preserve"> </w:t>
      </w:r>
      <w:r w:rsidRPr="00CA2D55">
        <w:rPr>
          <w:rFonts w:eastAsia="Times New Roman" w:cs="Times New Roman"/>
          <w:bCs/>
          <w:i/>
          <w:sz w:val="24"/>
          <w:szCs w:val="20"/>
          <w:lang w:val="it-IT" w:eastAsia="it-IT"/>
        </w:rPr>
        <w:t>2017</w:t>
      </w:r>
      <w:r w:rsidRPr="00CA2D55">
        <w:rPr>
          <w:rFonts w:eastAsia="Times New Roman" w:cs="Times New Roman"/>
          <w:bCs/>
          <w:sz w:val="24"/>
          <w:szCs w:val="20"/>
          <w:lang w:val="it-IT" w:eastAsia="it-IT"/>
        </w:rPr>
        <w:t xml:space="preserve"> </w:t>
      </w:r>
      <w:r w:rsidRPr="00E535BE">
        <w:rPr>
          <w:rFonts w:eastAsia="Times New Roman" w:cs="Times New Roman"/>
          <w:sz w:val="24"/>
          <w:szCs w:val="20"/>
          <w:lang w:val="it-IT" w:eastAsia="it-IT"/>
        </w:rPr>
        <w:t>(Messaggio n. 7226 del 29 settembre 2016)</w:t>
      </w:r>
      <w:r>
        <w:rPr>
          <w:rFonts w:eastAsia="Times New Roman" w:cs="Times New Roman"/>
          <w:sz w:val="24"/>
          <w:szCs w:val="20"/>
          <w:lang w:val="it-IT" w:eastAsia="it-IT"/>
        </w:rPr>
        <w:t>, l’altro di fr. 2'500'000.- c</w:t>
      </w:r>
      <w:r w:rsidRPr="00E535BE">
        <w:rPr>
          <w:rFonts w:eastAsia="Times New Roman" w:cs="Times New Roman"/>
          <w:sz w:val="24"/>
          <w:szCs w:val="20"/>
          <w:lang w:val="it-IT" w:eastAsia="it-IT"/>
        </w:rPr>
        <w:t xml:space="preserve">on </w:t>
      </w:r>
      <w:r w:rsidRPr="00CA2D55">
        <w:rPr>
          <w:rFonts w:eastAsia="Times New Roman" w:cs="Times New Roman"/>
          <w:sz w:val="24"/>
          <w:szCs w:val="20"/>
          <w:lang w:val="it-IT" w:eastAsia="it-IT"/>
        </w:rPr>
        <w:t>d</w:t>
      </w:r>
      <w:r w:rsidRPr="00CA2D55">
        <w:rPr>
          <w:rFonts w:eastAsia="Times New Roman" w:cs="Times New Roman"/>
          <w:i/>
          <w:sz w:val="24"/>
          <w:szCs w:val="20"/>
          <w:lang w:val="it-IT" w:eastAsia="it-IT"/>
        </w:rPr>
        <w:t>ecreto legislativo del 22 settembre 2021</w:t>
      </w:r>
      <w:r w:rsidRPr="00E535BE">
        <w:rPr>
          <w:rFonts w:eastAsia="Times New Roman" w:cs="Times New Roman"/>
          <w:sz w:val="24"/>
          <w:szCs w:val="20"/>
          <w:lang w:val="it-IT" w:eastAsia="it-IT"/>
        </w:rPr>
        <w:t xml:space="preserve"> (Messaggio n. 7996 del 12 maggio 2021)</w:t>
      </w:r>
      <w:r>
        <w:rPr>
          <w:rFonts w:eastAsia="Times New Roman" w:cs="Times New Roman"/>
          <w:sz w:val="24"/>
          <w:szCs w:val="20"/>
          <w:lang w:val="it-IT" w:eastAsia="it-IT"/>
        </w:rPr>
        <w:t>.</w:t>
      </w:r>
    </w:p>
    <w:p w:rsidR="006B7287" w:rsidRDefault="006B7287" w:rsidP="00F36404">
      <w:pPr>
        <w:rPr>
          <w:sz w:val="24"/>
          <w:szCs w:val="24"/>
        </w:rPr>
      </w:pPr>
    </w:p>
    <w:p w:rsidR="006B7287" w:rsidRDefault="006B7287" w:rsidP="00F36404">
      <w:pPr>
        <w:rPr>
          <w:sz w:val="24"/>
          <w:szCs w:val="24"/>
          <w:lang w:val="it-IT"/>
        </w:rPr>
      </w:pPr>
      <w:r>
        <w:rPr>
          <w:sz w:val="24"/>
          <w:szCs w:val="24"/>
          <w:lang w:val="it-IT"/>
        </w:rPr>
        <w:t xml:space="preserve">Al momento della pubblicazione del Messaggio, </w:t>
      </w:r>
      <w:r w:rsidRPr="00606288">
        <w:rPr>
          <w:sz w:val="24"/>
          <w:szCs w:val="24"/>
          <w:lang w:val="it-IT"/>
        </w:rPr>
        <w:t xml:space="preserve">rispetto al credito a disposizione, risulta una previsione di spesa pari a </w:t>
      </w:r>
      <w:r>
        <w:rPr>
          <w:sz w:val="24"/>
          <w:szCs w:val="24"/>
          <w:lang w:val="it-IT"/>
        </w:rPr>
        <w:t>fr. </w:t>
      </w:r>
      <w:r w:rsidRPr="00606288">
        <w:rPr>
          <w:sz w:val="24"/>
          <w:szCs w:val="24"/>
          <w:lang w:val="it-IT"/>
        </w:rPr>
        <w:t xml:space="preserve">3'830'000.- con un superamento presumibile di </w:t>
      </w:r>
      <w:r>
        <w:rPr>
          <w:sz w:val="24"/>
          <w:szCs w:val="24"/>
          <w:lang w:val="it-IT"/>
        </w:rPr>
        <w:t>fr.</w:t>
      </w:r>
      <w:r w:rsidRPr="00606288">
        <w:rPr>
          <w:sz w:val="24"/>
          <w:szCs w:val="24"/>
          <w:lang w:val="it-IT"/>
        </w:rPr>
        <w:t xml:space="preserve"> 330'000.-, pari a ca. il 9.40% del credito iniziale.</w:t>
      </w:r>
    </w:p>
    <w:p w:rsidR="006B7287" w:rsidRDefault="006B7287" w:rsidP="00F36404">
      <w:pPr>
        <w:rPr>
          <w:sz w:val="24"/>
          <w:szCs w:val="24"/>
          <w:lang w:val="it-IT"/>
        </w:rPr>
      </w:pPr>
    </w:p>
    <w:p w:rsidR="006B7287" w:rsidRPr="00B543D7" w:rsidRDefault="006B7287" w:rsidP="00F36404">
      <w:pPr>
        <w:rPr>
          <w:sz w:val="24"/>
          <w:szCs w:val="24"/>
          <w:lang w:val="it-IT"/>
        </w:rPr>
      </w:pPr>
      <w:r>
        <w:rPr>
          <w:sz w:val="24"/>
          <w:szCs w:val="24"/>
          <w:lang w:val="it-IT"/>
        </w:rPr>
        <w:t>Il Consiglio di Stato, c</w:t>
      </w:r>
      <w:r w:rsidRPr="00B543D7">
        <w:rPr>
          <w:sz w:val="24"/>
          <w:szCs w:val="24"/>
          <w:lang w:val="it-IT"/>
        </w:rPr>
        <w:t xml:space="preserve">on </w:t>
      </w:r>
      <w:r>
        <w:rPr>
          <w:sz w:val="24"/>
          <w:szCs w:val="24"/>
          <w:lang w:val="it-IT"/>
        </w:rPr>
        <w:t>il Messaggio in oggetto,</w:t>
      </w:r>
      <w:r w:rsidRPr="00B543D7">
        <w:rPr>
          <w:sz w:val="24"/>
          <w:szCs w:val="24"/>
          <w:lang w:val="it-IT"/>
        </w:rPr>
        <w:t xml:space="preserve"> </w:t>
      </w:r>
      <w:r>
        <w:rPr>
          <w:sz w:val="24"/>
          <w:szCs w:val="24"/>
          <w:lang w:val="it-IT"/>
        </w:rPr>
        <w:t xml:space="preserve">chiede </w:t>
      </w:r>
      <w:r w:rsidRPr="00B543D7">
        <w:rPr>
          <w:sz w:val="24"/>
          <w:szCs w:val="24"/>
          <w:lang w:val="it-IT"/>
        </w:rPr>
        <w:t xml:space="preserve">lo stanziamento di un credito netto supplementare di </w:t>
      </w:r>
      <w:r>
        <w:rPr>
          <w:sz w:val="24"/>
          <w:szCs w:val="24"/>
          <w:lang w:val="it-IT"/>
        </w:rPr>
        <w:t>fr. 325'000.-</w:t>
      </w:r>
      <w:r w:rsidRPr="00B543D7">
        <w:rPr>
          <w:sz w:val="24"/>
          <w:szCs w:val="24"/>
          <w:lang w:val="it-IT"/>
        </w:rPr>
        <w:t xml:space="preserve"> e l’autorizzazione a effettuare una spesa supplementare di </w:t>
      </w:r>
      <w:r>
        <w:rPr>
          <w:sz w:val="24"/>
          <w:szCs w:val="24"/>
          <w:lang w:val="it-IT"/>
        </w:rPr>
        <w:t>fr.</w:t>
      </w:r>
      <w:r w:rsidRPr="00B543D7">
        <w:rPr>
          <w:sz w:val="24"/>
          <w:szCs w:val="24"/>
          <w:lang w:val="it-IT"/>
        </w:rPr>
        <w:t xml:space="preserve"> 500</w:t>
      </w:r>
      <w:r>
        <w:rPr>
          <w:sz w:val="24"/>
          <w:szCs w:val="24"/>
          <w:lang w:val="it-IT"/>
        </w:rPr>
        <w:t>'000.-</w:t>
      </w:r>
      <w:r w:rsidRPr="00B543D7">
        <w:rPr>
          <w:sz w:val="24"/>
          <w:szCs w:val="24"/>
          <w:lang w:val="it-IT"/>
        </w:rPr>
        <w:t xml:space="preserve"> in modo da poter completare tutte le fermate concordate con la </w:t>
      </w:r>
      <w:r>
        <w:rPr>
          <w:sz w:val="24"/>
          <w:szCs w:val="24"/>
          <w:lang w:val="it-IT"/>
        </w:rPr>
        <w:t>C</w:t>
      </w:r>
      <w:r w:rsidRPr="00B543D7">
        <w:rPr>
          <w:sz w:val="24"/>
          <w:szCs w:val="24"/>
          <w:lang w:val="it-IT"/>
        </w:rPr>
        <w:t>ommissione regionale dei trasporti entro la fine del 2024 e disporre di una riserva per eventuali imprevisti che possono ancora sorgere.</w:t>
      </w:r>
    </w:p>
    <w:p w:rsidR="006B7287" w:rsidRDefault="006B7287" w:rsidP="006B7287">
      <w:pPr>
        <w:rPr>
          <w:bCs/>
          <w:sz w:val="24"/>
          <w:szCs w:val="24"/>
        </w:rPr>
      </w:pPr>
    </w:p>
    <w:p w:rsidR="006B7287" w:rsidRPr="00CA2D55" w:rsidRDefault="006B7287" w:rsidP="00F36404">
      <w:pPr>
        <w:pStyle w:val="Titolo1"/>
        <w:numPr>
          <w:ilvl w:val="0"/>
          <w:numId w:val="26"/>
        </w:numPr>
        <w:rPr>
          <w:rFonts w:asciiTheme="minorHAnsi" w:hAnsiTheme="minorHAnsi" w:cstheme="minorHAnsi"/>
          <w:sz w:val="24"/>
          <w:szCs w:val="24"/>
        </w:rPr>
      </w:pPr>
      <w:bookmarkStart w:id="2" w:name="_Toc164081232"/>
      <w:r>
        <w:rPr>
          <w:rFonts w:asciiTheme="minorHAnsi" w:hAnsiTheme="minorHAnsi" w:cstheme="minorHAnsi"/>
          <w:sz w:val="24"/>
          <w:szCs w:val="24"/>
        </w:rPr>
        <w:t>C</w:t>
      </w:r>
      <w:r w:rsidRPr="00CA2D55">
        <w:rPr>
          <w:rFonts w:asciiTheme="minorHAnsi" w:hAnsiTheme="minorHAnsi" w:cstheme="minorHAnsi"/>
          <w:sz w:val="24"/>
          <w:szCs w:val="24"/>
        </w:rPr>
        <w:t xml:space="preserve">redito per il supporto tecnico svolto da parte della </w:t>
      </w:r>
      <w:r>
        <w:rPr>
          <w:rFonts w:asciiTheme="minorHAnsi" w:hAnsiTheme="minorHAnsi" w:cstheme="minorHAnsi"/>
          <w:sz w:val="24"/>
          <w:szCs w:val="24"/>
        </w:rPr>
        <w:t>C</w:t>
      </w:r>
      <w:r w:rsidRPr="00CA2D55">
        <w:rPr>
          <w:rFonts w:asciiTheme="minorHAnsi" w:hAnsiTheme="minorHAnsi" w:cstheme="minorHAnsi"/>
          <w:sz w:val="24"/>
          <w:szCs w:val="24"/>
        </w:rPr>
        <w:t xml:space="preserve">ommissione regionale dei trasporti del </w:t>
      </w:r>
      <w:r>
        <w:rPr>
          <w:rFonts w:asciiTheme="minorHAnsi" w:hAnsiTheme="minorHAnsi" w:cstheme="minorHAnsi"/>
          <w:sz w:val="24"/>
          <w:szCs w:val="24"/>
        </w:rPr>
        <w:t>M</w:t>
      </w:r>
      <w:r w:rsidRPr="00CA2D55">
        <w:rPr>
          <w:rFonts w:asciiTheme="minorHAnsi" w:hAnsiTheme="minorHAnsi" w:cstheme="minorHAnsi"/>
          <w:sz w:val="24"/>
          <w:szCs w:val="24"/>
        </w:rPr>
        <w:t xml:space="preserve">endrisiotto e </w:t>
      </w:r>
      <w:r>
        <w:rPr>
          <w:rFonts w:asciiTheme="minorHAnsi" w:hAnsiTheme="minorHAnsi" w:cstheme="minorHAnsi"/>
          <w:sz w:val="24"/>
          <w:szCs w:val="24"/>
        </w:rPr>
        <w:t>B</w:t>
      </w:r>
      <w:r w:rsidRPr="00CA2D55">
        <w:rPr>
          <w:rFonts w:asciiTheme="minorHAnsi" w:hAnsiTheme="minorHAnsi" w:cstheme="minorHAnsi"/>
          <w:sz w:val="24"/>
          <w:szCs w:val="24"/>
        </w:rPr>
        <w:t xml:space="preserve">asso </w:t>
      </w:r>
      <w:r>
        <w:rPr>
          <w:rFonts w:asciiTheme="minorHAnsi" w:hAnsiTheme="minorHAnsi" w:cstheme="minorHAnsi"/>
          <w:sz w:val="24"/>
          <w:szCs w:val="24"/>
        </w:rPr>
        <w:t>C</w:t>
      </w:r>
      <w:r w:rsidRPr="00CA2D55">
        <w:rPr>
          <w:rFonts w:asciiTheme="minorHAnsi" w:hAnsiTheme="minorHAnsi" w:cstheme="minorHAnsi"/>
          <w:sz w:val="24"/>
          <w:szCs w:val="24"/>
        </w:rPr>
        <w:t>eresio (</w:t>
      </w:r>
      <w:r>
        <w:rPr>
          <w:rFonts w:asciiTheme="minorHAnsi" w:hAnsiTheme="minorHAnsi" w:cstheme="minorHAnsi"/>
          <w:sz w:val="24"/>
          <w:szCs w:val="24"/>
        </w:rPr>
        <w:t>CRTM</w:t>
      </w:r>
      <w:r w:rsidRPr="00CA2D55">
        <w:rPr>
          <w:rFonts w:asciiTheme="minorHAnsi" w:hAnsiTheme="minorHAnsi" w:cstheme="minorHAnsi"/>
          <w:sz w:val="24"/>
          <w:szCs w:val="24"/>
        </w:rPr>
        <w:t>) nel periodo 2024-2027</w:t>
      </w:r>
      <w:bookmarkEnd w:id="2"/>
    </w:p>
    <w:p w:rsidR="006B7287" w:rsidRDefault="006B7287" w:rsidP="006B7287">
      <w:pPr>
        <w:rPr>
          <w:sz w:val="24"/>
          <w:szCs w:val="24"/>
        </w:rPr>
      </w:pPr>
      <w:r>
        <w:rPr>
          <w:sz w:val="24"/>
          <w:szCs w:val="24"/>
        </w:rPr>
        <w:t xml:space="preserve">Il Consiglio di Stato, come già accaduto in passato, chiede di </w:t>
      </w:r>
      <w:r w:rsidRPr="00CE4C1A">
        <w:rPr>
          <w:sz w:val="24"/>
          <w:szCs w:val="24"/>
        </w:rPr>
        <w:t>sostenere il supporto tecnico svolto dalla CRTM negli anni 202</w:t>
      </w:r>
      <w:r>
        <w:rPr>
          <w:sz w:val="24"/>
          <w:szCs w:val="24"/>
        </w:rPr>
        <w:t>4</w:t>
      </w:r>
      <w:r w:rsidRPr="00CE4C1A">
        <w:rPr>
          <w:sz w:val="24"/>
          <w:szCs w:val="24"/>
        </w:rPr>
        <w:t>-202</w:t>
      </w:r>
      <w:r>
        <w:rPr>
          <w:sz w:val="24"/>
          <w:szCs w:val="24"/>
        </w:rPr>
        <w:t xml:space="preserve">7 (in particolare </w:t>
      </w:r>
      <w:r w:rsidRPr="00CE4C1A">
        <w:rPr>
          <w:sz w:val="24"/>
          <w:szCs w:val="24"/>
        </w:rPr>
        <w:t xml:space="preserve">attività tecniche di coordinamento </w:t>
      </w:r>
      <w:r w:rsidRPr="00CE4C1A">
        <w:rPr>
          <w:sz w:val="24"/>
          <w:szCs w:val="24"/>
        </w:rPr>
        <w:lastRenderedPageBreak/>
        <w:t>e di supporto per la concretizzazione delle misure e per il monitoraggio dell'attuazione</w:t>
      </w:r>
      <w:r>
        <w:rPr>
          <w:sz w:val="24"/>
          <w:szCs w:val="24"/>
        </w:rPr>
        <w:t>)</w:t>
      </w:r>
      <w:r w:rsidRPr="00CE4C1A">
        <w:rPr>
          <w:sz w:val="24"/>
          <w:szCs w:val="24"/>
        </w:rPr>
        <w:t xml:space="preserve"> con un importo totale massimo di </w:t>
      </w:r>
      <w:r>
        <w:rPr>
          <w:sz w:val="24"/>
          <w:szCs w:val="24"/>
        </w:rPr>
        <w:t>fr.</w:t>
      </w:r>
      <w:r w:rsidRPr="00CE4C1A">
        <w:rPr>
          <w:sz w:val="24"/>
          <w:szCs w:val="24"/>
        </w:rPr>
        <w:t xml:space="preserve"> 200'000</w:t>
      </w:r>
      <w:r>
        <w:rPr>
          <w:sz w:val="24"/>
          <w:szCs w:val="24"/>
        </w:rPr>
        <w:t>.-.</w:t>
      </w:r>
      <w:r w:rsidRPr="00CE4C1A">
        <w:rPr>
          <w:sz w:val="24"/>
          <w:szCs w:val="24"/>
        </w:rPr>
        <w:t>.</w:t>
      </w:r>
    </w:p>
    <w:p w:rsidR="006B7287" w:rsidRDefault="006B7287" w:rsidP="006B7287">
      <w:pPr>
        <w:pStyle w:val="StandardRisoluzionedelConsigliodiStato"/>
        <w:ind w:right="-1"/>
      </w:pPr>
    </w:p>
    <w:p w:rsidR="00F36404" w:rsidRDefault="00F36404" w:rsidP="006B7287">
      <w:pPr>
        <w:pStyle w:val="StandardRisoluzionedelConsigliodiStato"/>
        <w:ind w:right="-1"/>
      </w:pPr>
    </w:p>
    <w:p w:rsidR="006B7287" w:rsidRPr="00F36404" w:rsidRDefault="006B7287" w:rsidP="00F36404">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F36404">
        <w:rPr>
          <w:rFonts w:eastAsia="Calibri" w:cs="Times New Roman"/>
          <w:caps/>
          <w:sz w:val="24"/>
          <w:szCs w:val="24"/>
          <w:lang w:val="it-IT" w:eastAsia="it-IT"/>
        </w:rPr>
        <w:t>Considerazione commissionali</w:t>
      </w:r>
    </w:p>
    <w:p w:rsidR="006B7287" w:rsidRPr="008A12DF" w:rsidRDefault="006B7287" w:rsidP="006B7287">
      <w:pPr>
        <w:pStyle w:val="StandardRisoluzionedelConsigliodiStato"/>
        <w:ind w:right="-1"/>
        <w:rPr>
          <w:szCs w:val="24"/>
        </w:rPr>
      </w:pPr>
      <w:r w:rsidRPr="008A12DF">
        <w:rPr>
          <w:szCs w:val="24"/>
        </w:rPr>
        <w:t>Per quanto riguarda l’evoluzione dei costi delle opere in questione si rileva quanto segue.</w:t>
      </w:r>
    </w:p>
    <w:p w:rsidR="006B7287" w:rsidRPr="008A12DF" w:rsidRDefault="006B7287" w:rsidP="006B7287">
      <w:pPr>
        <w:pStyle w:val="StandardRisoluzionedelConsigliodiStato"/>
        <w:ind w:right="-1"/>
        <w:rPr>
          <w:szCs w:val="24"/>
        </w:rPr>
      </w:pPr>
    </w:p>
    <w:tbl>
      <w:tblPr>
        <w:tblStyle w:val="Grigliatabella"/>
        <w:tblW w:w="9493" w:type="dxa"/>
        <w:tblLook w:val="04A0" w:firstRow="1" w:lastRow="0" w:firstColumn="1" w:lastColumn="0" w:noHBand="0" w:noVBand="1"/>
      </w:tblPr>
      <w:tblGrid>
        <w:gridCol w:w="2368"/>
        <w:gridCol w:w="3156"/>
        <w:gridCol w:w="3969"/>
      </w:tblGrid>
      <w:tr w:rsidR="006B7287" w:rsidRPr="008A12DF" w:rsidTr="00904BB6">
        <w:tc>
          <w:tcPr>
            <w:tcW w:w="2368" w:type="dxa"/>
            <w:shd w:val="clear" w:color="auto" w:fill="BFBFBF" w:themeFill="background1" w:themeFillShade="BF"/>
          </w:tcPr>
          <w:p w:rsidR="006B7287" w:rsidRPr="008A12DF" w:rsidRDefault="006B7287" w:rsidP="00904BB6">
            <w:pPr>
              <w:pStyle w:val="StandardRisoluzionedelConsigliodiStato"/>
              <w:ind w:right="-1"/>
              <w:rPr>
                <w:b/>
                <w:bCs/>
                <w:szCs w:val="24"/>
              </w:rPr>
            </w:pPr>
            <w:r w:rsidRPr="008A12DF">
              <w:rPr>
                <w:b/>
                <w:bCs/>
                <w:szCs w:val="24"/>
              </w:rPr>
              <w:t>Opera</w:t>
            </w:r>
          </w:p>
        </w:tc>
        <w:tc>
          <w:tcPr>
            <w:tcW w:w="3156" w:type="dxa"/>
            <w:shd w:val="clear" w:color="auto" w:fill="BFBFBF" w:themeFill="background1" w:themeFillShade="BF"/>
          </w:tcPr>
          <w:p w:rsidR="006B7287" w:rsidRPr="008A12DF" w:rsidRDefault="006B7287" w:rsidP="00904BB6">
            <w:pPr>
              <w:pStyle w:val="StandardRisoluzionedelConsigliodiStato"/>
              <w:ind w:right="-1"/>
              <w:rPr>
                <w:b/>
                <w:bCs/>
                <w:szCs w:val="24"/>
              </w:rPr>
            </w:pPr>
            <w:r w:rsidRPr="008A12DF">
              <w:rPr>
                <w:b/>
                <w:bCs/>
                <w:szCs w:val="24"/>
              </w:rPr>
              <w:t>Costo previsto secondo M7996</w:t>
            </w:r>
          </w:p>
        </w:tc>
        <w:tc>
          <w:tcPr>
            <w:tcW w:w="3969" w:type="dxa"/>
            <w:shd w:val="clear" w:color="auto" w:fill="BFBFBF" w:themeFill="background1" w:themeFillShade="BF"/>
          </w:tcPr>
          <w:p w:rsidR="006B7287" w:rsidRPr="008A12DF" w:rsidRDefault="006B7287" w:rsidP="00904BB6">
            <w:pPr>
              <w:pStyle w:val="StandardRisoluzionedelConsigliodiStato"/>
              <w:ind w:right="-1"/>
              <w:rPr>
                <w:b/>
                <w:bCs/>
                <w:szCs w:val="24"/>
              </w:rPr>
            </w:pPr>
            <w:r w:rsidRPr="008A12DF">
              <w:rPr>
                <w:b/>
                <w:bCs/>
                <w:szCs w:val="24"/>
              </w:rPr>
              <w:t>Costo previsto secondo M8424</w:t>
            </w:r>
          </w:p>
        </w:tc>
      </w:tr>
      <w:tr w:rsidR="006B7287" w:rsidRPr="008A12DF" w:rsidTr="00904BB6">
        <w:tc>
          <w:tcPr>
            <w:tcW w:w="2368" w:type="dxa"/>
          </w:tcPr>
          <w:p w:rsidR="006B7287" w:rsidRPr="008A12DF" w:rsidRDefault="006B7287" w:rsidP="00904BB6">
            <w:pPr>
              <w:pStyle w:val="StandardRisoluzionedelConsigliodiStato"/>
              <w:ind w:right="-1"/>
              <w:rPr>
                <w:szCs w:val="24"/>
              </w:rPr>
            </w:pPr>
            <w:r w:rsidRPr="008A12DF">
              <w:rPr>
                <w:szCs w:val="24"/>
              </w:rPr>
              <w:t>Misura ML 2.2.</w:t>
            </w:r>
          </w:p>
        </w:tc>
        <w:tc>
          <w:tcPr>
            <w:tcW w:w="3156" w:type="dxa"/>
          </w:tcPr>
          <w:p w:rsidR="006B7287" w:rsidRPr="008A12DF" w:rsidRDefault="006B7287" w:rsidP="00904BB6">
            <w:pPr>
              <w:pStyle w:val="StandardRisoluzionedelConsigliodiStato"/>
              <w:ind w:right="-1"/>
              <w:rPr>
                <w:szCs w:val="24"/>
              </w:rPr>
            </w:pPr>
            <w:r w:rsidRPr="008A12DF">
              <w:rPr>
                <w:szCs w:val="24"/>
              </w:rPr>
              <w:t>1.32M (+/-20%)</w:t>
            </w:r>
          </w:p>
        </w:tc>
        <w:tc>
          <w:tcPr>
            <w:tcW w:w="3969" w:type="dxa"/>
          </w:tcPr>
          <w:p w:rsidR="006B7287" w:rsidRPr="008A12DF" w:rsidRDefault="006B7287" w:rsidP="00904BB6">
            <w:pPr>
              <w:pStyle w:val="StandardRisoluzionedelConsigliodiStato"/>
              <w:ind w:right="-1"/>
              <w:rPr>
                <w:szCs w:val="24"/>
              </w:rPr>
            </w:pPr>
            <w:r w:rsidRPr="008A12DF">
              <w:rPr>
                <w:szCs w:val="24"/>
              </w:rPr>
              <w:t>2.09M</w:t>
            </w:r>
          </w:p>
        </w:tc>
      </w:tr>
      <w:tr w:rsidR="006B7287" w:rsidRPr="008A12DF" w:rsidTr="00904BB6">
        <w:tc>
          <w:tcPr>
            <w:tcW w:w="2368" w:type="dxa"/>
          </w:tcPr>
          <w:p w:rsidR="006B7287" w:rsidRPr="008A12DF" w:rsidRDefault="006B7287" w:rsidP="00904BB6">
            <w:pPr>
              <w:pStyle w:val="StandardRisoluzionedelConsigliodiStato"/>
              <w:ind w:right="-1"/>
              <w:rPr>
                <w:szCs w:val="24"/>
              </w:rPr>
            </w:pPr>
            <w:r w:rsidRPr="008A12DF">
              <w:rPr>
                <w:szCs w:val="24"/>
              </w:rPr>
              <w:t>Misura TP 3.1</w:t>
            </w:r>
          </w:p>
        </w:tc>
        <w:tc>
          <w:tcPr>
            <w:tcW w:w="3156" w:type="dxa"/>
          </w:tcPr>
          <w:p w:rsidR="006B7287" w:rsidRPr="008A12DF" w:rsidRDefault="006B7287" w:rsidP="00904BB6">
            <w:pPr>
              <w:pStyle w:val="StandardRisoluzionedelConsigliodiStato"/>
              <w:ind w:right="-1"/>
              <w:rPr>
                <w:szCs w:val="24"/>
              </w:rPr>
            </w:pPr>
            <w:r w:rsidRPr="008A12DF">
              <w:rPr>
                <w:rFonts w:cs="Arial"/>
                <w:szCs w:val="24"/>
              </w:rPr>
              <w:t>3.12M (+/-20%)</w:t>
            </w:r>
          </w:p>
        </w:tc>
        <w:tc>
          <w:tcPr>
            <w:tcW w:w="3969" w:type="dxa"/>
          </w:tcPr>
          <w:p w:rsidR="006B7287" w:rsidRPr="008A12DF" w:rsidRDefault="006B7287" w:rsidP="00904BB6">
            <w:pPr>
              <w:pStyle w:val="StandardRisoluzionedelConsigliodiStato"/>
              <w:ind w:right="-1"/>
              <w:rPr>
                <w:szCs w:val="24"/>
              </w:rPr>
            </w:pPr>
            <w:r w:rsidRPr="008A12DF">
              <w:rPr>
                <w:szCs w:val="24"/>
              </w:rPr>
              <w:t>4.75M</w:t>
            </w:r>
          </w:p>
        </w:tc>
      </w:tr>
      <w:tr w:rsidR="006B7287" w:rsidRPr="008A12DF" w:rsidTr="00904BB6">
        <w:tc>
          <w:tcPr>
            <w:tcW w:w="2368" w:type="dxa"/>
          </w:tcPr>
          <w:p w:rsidR="006B7287" w:rsidRPr="008A12DF" w:rsidRDefault="006B7287" w:rsidP="00904BB6">
            <w:pPr>
              <w:pStyle w:val="StandardRisoluzionedelConsigliodiStato"/>
              <w:ind w:right="-1"/>
              <w:rPr>
                <w:szCs w:val="24"/>
              </w:rPr>
            </w:pPr>
            <w:r w:rsidRPr="008A12DF">
              <w:rPr>
                <w:szCs w:val="24"/>
              </w:rPr>
              <w:t>Misura TP 3.2.</w:t>
            </w:r>
          </w:p>
        </w:tc>
        <w:tc>
          <w:tcPr>
            <w:tcW w:w="3156" w:type="dxa"/>
          </w:tcPr>
          <w:p w:rsidR="006B7287" w:rsidRPr="008A12DF" w:rsidRDefault="006B7287" w:rsidP="00904BB6">
            <w:pPr>
              <w:pStyle w:val="StandardRisoluzionedelConsigliodiStato"/>
              <w:ind w:right="-1"/>
              <w:rPr>
                <w:szCs w:val="24"/>
              </w:rPr>
            </w:pPr>
            <w:r w:rsidRPr="008A12DF">
              <w:rPr>
                <w:rFonts w:cs="Arial"/>
                <w:szCs w:val="24"/>
              </w:rPr>
              <w:t>1.66M (+-/-20%)</w:t>
            </w:r>
          </w:p>
        </w:tc>
        <w:tc>
          <w:tcPr>
            <w:tcW w:w="3969" w:type="dxa"/>
          </w:tcPr>
          <w:p w:rsidR="006B7287" w:rsidRPr="008A12DF" w:rsidRDefault="006B7287" w:rsidP="00904BB6">
            <w:pPr>
              <w:pStyle w:val="StandardRisoluzionedelConsigliodiStato"/>
              <w:ind w:right="-1"/>
              <w:rPr>
                <w:szCs w:val="24"/>
              </w:rPr>
            </w:pPr>
            <w:r w:rsidRPr="008A12DF">
              <w:rPr>
                <w:szCs w:val="24"/>
              </w:rPr>
              <w:t>3.4M</w:t>
            </w:r>
          </w:p>
        </w:tc>
      </w:tr>
      <w:tr w:rsidR="006B7287" w:rsidRPr="008A12DF" w:rsidTr="00904BB6">
        <w:tc>
          <w:tcPr>
            <w:tcW w:w="2368" w:type="dxa"/>
          </w:tcPr>
          <w:p w:rsidR="006B7287" w:rsidRPr="008A12DF" w:rsidRDefault="006B7287" w:rsidP="00904BB6">
            <w:pPr>
              <w:pStyle w:val="StandardRisoluzionedelConsigliodiStato"/>
              <w:ind w:right="-1"/>
              <w:rPr>
                <w:szCs w:val="24"/>
              </w:rPr>
            </w:pPr>
            <w:r w:rsidRPr="008A12DF">
              <w:rPr>
                <w:szCs w:val="24"/>
              </w:rPr>
              <w:t>Misura ML 7</w:t>
            </w:r>
          </w:p>
        </w:tc>
        <w:tc>
          <w:tcPr>
            <w:tcW w:w="3156" w:type="dxa"/>
          </w:tcPr>
          <w:p w:rsidR="006B7287" w:rsidRPr="008A12DF" w:rsidRDefault="006B7287" w:rsidP="00904BB6">
            <w:pPr>
              <w:pStyle w:val="StandardRisoluzionedelConsigliodiStato"/>
              <w:ind w:right="-1"/>
              <w:rPr>
                <w:szCs w:val="24"/>
              </w:rPr>
            </w:pPr>
            <w:r w:rsidRPr="008A12DF">
              <w:rPr>
                <w:szCs w:val="24"/>
              </w:rPr>
              <w:t>4.6 M (+/-25%)</w:t>
            </w:r>
            <w:r>
              <w:rPr>
                <w:szCs w:val="24"/>
              </w:rPr>
              <w:t xml:space="preserve"> [preventivo non indicato nel M7996]</w:t>
            </w:r>
          </w:p>
        </w:tc>
        <w:tc>
          <w:tcPr>
            <w:tcW w:w="3969" w:type="dxa"/>
          </w:tcPr>
          <w:p w:rsidR="006B7287" w:rsidRPr="008A12DF" w:rsidRDefault="006B7287" w:rsidP="00904BB6">
            <w:pPr>
              <w:pStyle w:val="StandardRisoluzionedelConsigliodiStato"/>
              <w:ind w:right="-1"/>
              <w:rPr>
                <w:szCs w:val="24"/>
              </w:rPr>
            </w:pPr>
            <w:r w:rsidRPr="008A12DF">
              <w:rPr>
                <w:szCs w:val="24"/>
              </w:rPr>
              <w:t>6.3M</w:t>
            </w:r>
          </w:p>
        </w:tc>
      </w:tr>
      <w:tr w:rsidR="006B7287" w:rsidRPr="008A12DF" w:rsidTr="00904BB6">
        <w:tc>
          <w:tcPr>
            <w:tcW w:w="2368" w:type="dxa"/>
          </w:tcPr>
          <w:p w:rsidR="006B7287" w:rsidRPr="008A12DF" w:rsidRDefault="006B7287" w:rsidP="00904BB6">
            <w:pPr>
              <w:pStyle w:val="StandardRisoluzionedelConsigliodiStato"/>
              <w:ind w:right="-1"/>
              <w:rPr>
                <w:b/>
                <w:bCs/>
                <w:szCs w:val="24"/>
              </w:rPr>
            </w:pPr>
            <w:r w:rsidRPr="008A12DF">
              <w:rPr>
                <w:b/>
                <w:bCs/>
                <w:szCs w:val="24"/>
              </w:rPr>
              <w:t>TOTALE</w:t>
            </w:r>
          </w:p>
        </w:tc>
        <w:tc>
          <w:tcPr>
            <w:tcW w:w="3156" w:type="dxa"/>
          </w:tcPr>
          <w:p w:rsidR="006B7287" w:rsidRPr="008A12DF" w:rsidRDefault="006B7287" w:rsidP="00904BB6">
            <w:pPr>
              <w:pStyle w:val="StandardRisoluzionedelConsigliodiStato"/>
              <w:ind w:right="-1"/>
              <w:rPr>
                <w:szCs w:val="24"/>
              </w:rPr>
            </w:pPr>
            <w:r w:rsidRPr="008A12DF">
              <w:rPr>
                <w:szCs w:val="24"/>
              </w:rPr>
              <w:t>10.7M</w:t>
            </w:r>
          </w:p>
        </w:tc>
        <w:tc>
          <w:tcPr>
            <w:tcW w:w="3969" w:type="dxa"/>
          </w:tcPr>
          <w:p w:rsidR="006B7287" w:rsidRPr="008A12DF" w:rsidRDefault="006B7287" w:rsidP="00904BB6">
            <w:pPr>
              <w:pStyle w:val="StandardRisoluzionedelConsigliodiStato"/>
              <w:ind w:right="-1"/>
              <w:rPr>
                <w:szCs w:val="24"/>
              </w:rPr>
            </w:pPr>
            <w:r w:rsidRPr="008A12DF">
              <w:rPr>
                <w:szCs w:val="24"/>
              </w:rPr>
              <w:t>16.54M</w:t>
            </w:r>
          </w:p>
        </w:tc>
      </w:tr>
    </w:tbl>
    <w:p w:rsidR="006B7287" w:rsidRPr="008A12DF" w:rsidRDefault="006B7287" w:rsidP="006B7287">
      <w:pPr>
        <w:rPr>
          <w:sz w:val="24"/>
          <w:szCs w:val="24"/>
          <w:lang w:val="it-IT"/>
        </w:rPr>
      </w:pPr>
    </w:p>
    <w:p w:rsidR="006B7287" w:rsidRDefault="006B7287" w:rsidP="006B7287">
      <w:pPr>
        <w:rPr>
          <w:sz w:val="24"/>
          <w:szCs w:val="24"/>
          <w:lang w:val="it-IT"/>
        </w:rPr>
      </w:pPr>
      <w:r w:rsidRPr="008A12DF">
        <w:rPr>
          <w:sz w:val="24"/>
          <w:szCs w:val="24"/>
          <w:lang w:val="it-IT"/>
        </w:rPr>
        <w:t>La Commissione, per il tramite del relatore</w:t>
      </w:r>
      <w:r>
        <w:rPr>
          <w:sz w:val="24"/>
          <w:szCs w:val="24"/>
          <w:lang w:val="it-IT"/>
        </w:rPr>
        <w:t>, ha esaminato con i funzionari del Dipartimento del territorio i motivi alla base dell’aumento dei costi rispetto a quanto prospettato nel precedente Messaggio.</w:t>
      </w:r>
    </w:p>
    <w:p w:rsidR="006B7287" w:rsidRDefault="006B7287" w:rsidP="006B7287">
      <w:pPr>
        <w:rPr>
          <w:sz w:val="24"/>
          <w:szCs w:val="24"/>
          <w:lang w:val="it-IT"/>
        </w:rPr>
      </w:pPr>
    </w:p>
    <w:p w:rsidR="006B7287" w:rsidRDefault="006B7287" w:rsidP="006B7287">
      <w:pPr>
        <w:rPr>
          <w:sz w:val="24"/>
          <w:szCs w:val="24"/>
          <w:lang w:val="it-IT"/>
        </w:rPr>
      </w:pPr>
      <w:r>
        <w:rPr>
          <w:sz w:val="24"/>
          <w:szCs w:val="24"/>
          <w:lang w:val="it-IT"/>
        </w:rPr>
        <w:t>I funzionari del Dipartimento hanno dimostrato disponibilità nel fornire un’informazione completa e trasparente.</w:t>
      </w:r>
    </w:p>
    <w:p w:rsidR="006B7287" w:rsidRDefault="006B7287" w:rsidP="006B7287">
      <w:pPr>
        <w:rPr>
          <w:sz w:val="24"/>
          <w:szCs w:val="24"/>
          <w:lang w:val="it-IT"/>
        </w:rPr>
      </w:pPr>
    </w:p>
    <w:p w:rsidR="006B7287" w:rsidRDefault="006B7287" w:rsidP="006B7287">
      <w:pPr>
        <w:rPr>
          <w:sz w:val="24"/>
          <w:szCs w:val="24"/>
          <w:lang w:val="it-IT"/>
        </w:rPr>
      </w:pPr>
      <w:r>
        <w:rPr>
          <w:sz w:val="24"/>
          <w:szCs w:val="24"/>
          <w:lang w:val="it-IT"/>
        </w:rPr>
        <w:t>In estrema sintesi principali ragioni dell’aumento dei costi possono così essere riassunte:</w:t>
      </w:r>
    </w:p>
    <w:p w:rsidR="006B7287" w:rsidRDefault="006B7287" w:rsidP="006B7287">
      <w:pPr>
        <w:rPr>
          <w:sz w:val="24"/>
          <w:szCs w:val="24"/>
          <w:lang w:val="it-IT"/>
        </w:rPr>
      </w:pPr>
    </w:p>
    <w:p w:rsidR="006B7287" w:rsidRPr="00C5084E" w:rsidRDefault="006B7287" w:rsidP="006B7287">
      <w:pPr>
        <w:rPr>
          <w:sz w:val="24"/>
          <w:szCs w:val="24"/>
          <w:u w:val="single"/>
          <w:lang w:val="it-IT"/>
        </w:rPr>
      </w:pPr>
      <w:r w:rsidRPr="00C5084E">
        <w:rPr>
          <w:sz w:val="24"/>
          <w:szCs w:val="24"/>
          <w:u w:val="single"/>
          <w:lang w:val="it-IT"/>
        </w:rPr>
        <w:t>Misura ML 2.2.:</w:t>
      </w:r>
      <w:r w:rsidRPr="00C5084E">
        <w:rPr>
          <w:sz w:val="24"/>
          <w:szCs w:val="24"/>
          <w:u w:val="single"/>
          <w:lang w:val="it-IT"/>
        </w:rPr>
        <w:tab/>
      </w:r>
    </w:p>
    <w:p w:rsidR="006B7287" w:rsidRDefault="006B7287" w:rsidP="006B7287">
      <w:pPr>
        <w:pStyle w:val="Paragrafoelenco"/>
        <w:numPr>
          <w:ilvl w:val="0"/>
          <w:numId w:val="24"/>
        </w:numPr>
        <w:rPr>
          <w:sz w:val="24"/>
          <w:szCs w:val="24"/>
          <w:lang w:val="it-IT"/>
        </w:rPr>
      </w:pPr>
      <w:r w:rsidRPr="008A12DF">
        <w:rPr>
          <w:sz w:val="24"/>
          <w:szCs w:val="24"/>
          <w:lang w:val="it-IT"/>
        </w:rPr>
        <w:t xml:space="preserve">CHF 220'000.- </w:t>
      </w:r>
      <w:r>
        <w:rPr>
          <w:sz w:val="24"/>
          <w:szCs w:val="24"/>
          <w:lang w:val="it-IT"/>
        </w:rPr>
        <w:tab/>
      </w:r>
      <w:r w:rsidRPr="008A12DF">
        <w:rPr>
          <w:sz w:val="24"/>
          <w:szCs w:val="24"/>
          <w:lang w:val="it-IT"/>
        </w:rPr>
        <w:t>rincari;</w:t>
      </w:r>
    </w:p>
    <w:p w:rsidR="006B7287" w:rsidRDefault="006B7287" w:rsidP="006B7287">
      <w:pPr>
        <w:pStyle w:val="Paragrafoelenco"/>
        <w:numPr>
          <w:ilvl w:val="0"/>
          <w:numId w:val="24"/>
        </w:numPr>
        <w:rPr>
          <w:sz w:val="24"/>
          <w:szCs w:val="24"/>
          <w:lang w:val="it-IT"/>
        </w:rPr>
      </w:pPr>
      <w:r>
        <w:rPr>
          <w:sz w:val="24"/>
          <w:szCs w:val="24"/>
          <w:lang w:val="it-IT"/>
        </w:rPr>
        <w:t>CHF   40'000.-</w:t>
      </w:r>
      <w:r>
        <w:rPr>
          <w:sz w:val="24"/>
          <w:szCs w:val="24"/>
          <w:lang w:val="it-IT"/>
        </w:rPr>
        <w:tab/>
        <w:t>elementi non prevedibili;</w:t>
      </w:r>
    </w:p>
    <w:p w:rsidR="006B7287" w:rsidRDefault="006B7287" w:rsidP="006B7287">
      <w:pPr>
        <w:pStyle w:val="Paragrafoelenco"/>
        <w:numPr>
          <w:ilvl w:val="0"/>
          <w:numId w:val="24"/>
        </w:numPr>
        <w:rPr>
          <w:sz w:val="24"/>
          <w:szCs w:val="24"/>
          <w:lang w:val="it-IT"/>
        </w:rPr>
      </w:pPr>
      <w:r>
        <w:rPr>
          <w:sz w:val="24"/>
          <w:szCs w:val="24"/>
          <w:lang w:val="it-IT"/>
        </w:rPr>
        <w:t>CHF 166'000.-</w:t>
      </w:r>
      <w:r>
        <w:rPr>
          <w:sz w:val="24"/>
          <w:szCs w:val="24"/>
          <w:lang w:val="it-IT"/>
        </w:rPr>
        <w:tab/>
        <w:t>imprecisioni nella fase di progetto di massima;</w:t>
      </w:r>
    </w:p>
    <w:p w:rsidR="006B7287" w:rsidRDefault="006B7287" w:rsidP="006B7287">
      <w:pPr>
        <w:pStyle w:val="Paragrafoelenco"/>
        <w:numPr>
          <w:ilvl w:val="0"/>
          <w:numId w:val="24"/>
        </w:numPr>
        <w:rPr>
          <w:sz w:val="24"/>
          <w:szCs w:val="24"/>
          <w:lang w:val="it-IT"/>
        </w:rPr>
      </w:pPr>
      <w:r>
        <w:rPr>
          <w:sz w:val="24"/>
          <w:szCs w:val="24"/>
          <w:lang w:val="it-IT"/>
        </w:rPr>
        <w:t>CHF   50'000.-</w:t>
      </w:r>
      <w:r>
        <w:rPr>
          <w:sz w:val="24"/>
          <w:szCs w:val="24"/>
          <w:lang w:val="it-IT"/>
        </w:rPr>
        <w:tab/>
        <w:t>non considerazione dei costi di esproprio/indennizzo;</w:t>
      </w:r>
    </w:p>
    <w:p w:rsidR="006B7287" w:rsidRPr="008A12DF" w:rsidRDefault="006B7287" w:rsidP="006B7287">
      <w:pPr>
        <w:pStyle w:val="Paragrafoelenco"/>
        <w:numPr>
          <w:ilvl w:val="0"/>
          <w:numId w:val="24"/>
        </w:numPr>
        <w:rPr>
          <w:sz w:val="24"/>
          <w:szCs w:val="24"/>
          <w:lang w:val="it-IT"/>
        </w:rPr>
      </w:pPr>
      <w:r>
        <w:rPr>
          <w:sz w:val="24"/>
          <w:szCs w:val="24"/>
          <w:lang w:val="it-IT"/>
        </w:rPr>
        <w:t>CHF  260'000.-</w:t>
      </w:r>
      <w:r>
        <w:rPr>
          <w:sz w:val="24"/>
          <w:szCs w:val="24"/>
          <w:lang w:val="it-IT"/>
        </w:rPr>
        <w:tab/>
        <w:t>riserva (non prevista nel M7996);</w:t>
      </w:r>
    </w:p>
    <w:p w:rsidR="006B7287" w:rsidRDefault="006B7287" w:rsidP="006B7287">
      <w:pPr>
        <w:rPr>
          <w:sz w:val="24"/>
          <w:szCs w:val="24"/>
          <w:lang w:val="it-IT"/>
        </w:rPr>
      </w:pPr>
    </w:p>
    <w:p w:rsidR="006B7287" w:rsidRPr="00C5084E" w:rsidRDefault="006B7287" w:rsidP="006B7287">
      <w:pPr>
        <w:rPr>
          <w:sz w:val="24"/>
          <w:szCs w:val="24"/>
          <w:u w:val="single"/>
          <w:lang w:val="it-IT"/>
        </w:rPr>
      </w:pPr>
      <w:r w:rsidRPr="00C5084E">
        <w:rPr>
          <w:sz w:val="24"/>
          <w:szCs w:val="24"/>
          <w:u w:val="single"/>
          <w:lang w:val="it-IT"/>
        </w:rPr>
        <w:t>Misura ML 3.1.:</w:t>
      </w:r>
    </w:p>
    <w:p w:rsidR="006B7287" w:rsidRDefault="006B7287" w:rsidP="006B7287">
      <w:pPr>
        <w:pStyle w:val="Paragrafoelenco"/>
        <w:numPr>
          <w:ilvl w:val="0"/>
          <w:numId w:val="24"/>
        </w:numPr>
        <w:rPr>
          <w:sz w:val="24"/>
          <w:szCs w:val="24"/>
          <w:lang w:val="it-IT"/>
        </w:rPr>
      </w:pPr>
      <w:r w:rsidRPr="008A12DF">
        <w:rPr>
          <w:sz w:val="24"/>
          <w:szCs w:val="24"/>
          <w:lang w:val="it-IT"/>
        </w:rPr>
        <w:t xml:space="preserve">CHF </w:t>
      </w:r>
      <w:r>
        <w:rPr>
          <w:sz w:val="24"/>
          <w:szCs w:val="24"/>
          <w:lang w:val="it-IT"/>
        </w:rPr>
        <w:t>19</w:t>
      </w:r>
      <w:r w:rsidRPr="008A12DF">
        <w:rPr>
          <w:sz w:val="24"/>
          <w:szCs w:val="24"/>
          <w:lang w:val="it-IT"/>
        </w:rPr>
        <w:t xml:space="preserve">0'000.- </w:t>
      </w:r>
      <w:r>
        <w:rPr>
          <w:sz w:val="24"/>
          <w:szCs w:val="24"/>
          <w:lang w:val="it-IT"/>
        </w:rPr>
        <w:tab/>
      </w:r>
      <w:r w:rsidRPr="008A12DF">
        <w:rPr>
          <w:sz w:val="24"/>
          <w:szCs w:val="24"/>
          <w:lang w:val="it-IT"/>
        </w:rPr>
        <w:t>rincari;</w:t>
      </w:r>
    </w:p>
    <w:p w:rsidR="006B7287" w:rsidRPr="00C5084E" w:rsidRDefault="006B7287" w:rsidP="006B7287">
      <w:pPr>
        <w:pStyle w:val="Paragrafoelenco"/>
        <w:numPr>
          <w:ilvl w:val="0"/>
          <w:numId w:val="24"/>
        </w:numPr>
        <w:rPr>
          <w:sz w:val="24"/>
          <w:szCs w:val="24"/>
          <w:lang w:val="it-IT"/>
        </w:rPr>
      </w:pPr>
      <w:r w:rsidRPr="00C5084E">
        <w:rPr>
          <w:sz w:val="24"/>
          <w:szCs w:val="24"/>
          <w:lang w:val="it-IT"/>
        </w:rPr>
        <w:t>CHF  394'000.-</w:t>
      </w:r>
      <w:r w:rsidRPr="00C5084E">
        <w:rPr>
          <w:sz w:val="24"/>
          <w:szCs w:val="24"/>
          <w:lang w:val="it-IT"/>
        </w:rPr>
        <w:tab/>
        <w:t>errore di indicazione nel M7996 (è stato in particolare indicato un costo inferiore a quello risultante nel preventivo di massima);</w:t>
      </w:r>
    </w:p>
    <w:p w:rsidR="006B7287" w:rsidRDefault="006B7287" w:rsidP="006B7287">
      <w:pPr>
        <w:pStyle w:val="Paragrafoelenco"/>
        <w:numPr>
          <w:ilvl w:val="0"/>
          <w:numId w:val="24"/>
        </w:numPr>
        <w:rPr>
          <w:sz w:val="24"/>
          <w:szCs w:val="24"/>
          <w:lang w:val="it-IT"/>
        </w:rPr>
      </w:pPr>
      <w:r>
        <w:rPr>
          <w:sz w:val="24"/>
          <w:szCs w:val="24"/>
          <w:lang w:val="it-IT"/>
        </w:rPr>
        <w:t>CHF 610'000.-</w:t>
      </w:r>
      <w:r>
        <w:rPr>
          <w:sz w:val="24"/>
          <w:szCs w:val="24"/>
          <w:lang w:val="it-IT"/>
        </w:rPr>
        <w:tab/>
        <w:t>imprecisioni nella fase di progetto di massima (ripristini nei fondi confinanti, sistemazioni collaterali all’intervento) ;</w:t>
      </w:r>
    </w:p>
    <w:p w:rsidR="006B7287" w:rsidRPr="008A12DF" w:rsidRDefault="006B7287" w:rsidP="006B7287">
      <w:pPr>
        <w:pStyle w:val="Paragrafoelenco"/>
        <w:numPr>
          <w:ilvl w:val="0"/>
          <w:numId w:val="24"/>
        </w:numPr>
        <w:rPr>
          <w:sz w:val="24"/>
          <w:szCs w:val="24"/>
          <w:lang w:val="it-IT"/>
        </w:rPr>
      </w:pPr>
      <w:r>
        <w:rPr>
          <w:sz w:val="24"/>
          <w:szCs w:val="24"/>
          <w:lang w:val="it-IT"/>
        </w:rPr>
        <w:t>CHF 465'000.-</w:t>
      </w:r>
      <w:r>
        <w:rPr>
          <w:sz w:val="24"/>
          <w:szCs w:val="24"/>
          <w:lang w:val="it-IT"/>
        </w:rPr>
        <w:tab/>
        <w:t>riserva (non prevista nel M7996);</w:t>
      </w:r>
    </w:p>
    <w:p w:rsidR="006B7287" w:rsidRPr="00C5084E" w:rsidRDefault="006B7287" w:rsidP="006B7287">
      <w:pPr>
        <w:rPr>
          <w:sz w:val="24"/>
          <w:szCs w:val="24"/>
          <w:lang w:val="it-IT"/>
        </w:rPr>
      </w:pPr>
    </w:p>
    <w:p w:rsidR="006B7287" w:rsidRPr="008A12DF" w:rsidRDefault="006B7287" w:rsidP="006B7287">
      <w:pPr>
        <w:pStyle w:val="Paragrafoelenco"/>
        <w:rPr>
          <w:sz w:val="24"/>
          <w:szCs w:val="24"/>
          <w:lang w:val="it-IT"/>
        </w:rPr>
      </w:pPr>
    </w:p>
    <w:p w:rsidR="006B7287" w:rsidRPr="00C5084E" w:rsidRDefault="006B7287" w:rsidP="006B7287">
      <w:pPr>
        <w:rPr>
          <w:sz w:val="24"/>
          <w:szCs w:val="24"/>
          <w:u w:val="single"/>
          <w:lang w:val="it-IT"/>
        </w:rPr>
      </w:pPr>
      <w:r w:rsidRPr="00C5084E">
        <w:rPr>
          <w:sz w:val="24"/>
          <w:szCs w:val="24"/>
          <w:u w:val="single"/>
          <w:lang w:val="it-IT"/>
        </w:rPr>
        <w:t>Misura ML 3.</w:t>
      </w:r>
      <w:r>
        <w:rPr>
          <w:sz w:val="24"/>
          <w:szCs w:val="24"/>
          <w:u w:val="single"/>
          <w:lang w:val="it-IT"/>
        </w:rPr>
        <w:t>2</w:t>
      </w:r>
      <w:r w:rsidRPr="00C5084E">
        <w:rPr>
          <w:sz w:val="24"/>
          <w:szCs w:val="24"/>
          <w:u w:val="single"/>
          <w:lang w:val="it-IT"/>
        </w:rPr>
        <w:t>.:</w:t>
      </w:r>
    </w:p>
    <w:p w:rsidR="006B7287" w:rsidRDefault="006B7287" w:rsidP="006B7287">
      <w:pPr>
        <w:pStyle w:val="Paragrafoelenco"/>
        <w:numPr>
          <w:ilvl w:val="0"/>
          <w:numId w:val="24"/>
        </w:numPr>
        <w:rPr>
          <w:sz w:val="24"/>
          <w:szCs w:val="24"/>
          <w:lang w:val="it-IT"/>
        </w:rPr>
      </w:pPr>
      <w:r w:rsidRPr="008A12DF">
        <w:rPr>
          <w:sz w:val="24"/>
          <w:szCs w:val="24"/>
          <w:lang w:val="it-IT"/>
        </w:rPr>
        <w:t xml:space="preserve">CHF </w:t>
      </w:r>
      <w:r>
        <w:rPr>
          <w:sz w:val="24"/>
          <w:szCs w:val="24"/>
          <w:lang w:val="it-IT"/>
        </w:rPr>
        <w:t xml:space="preserve">   65</w:t>
      </w:r>
      <w:r w:rsidRPr="008A12DF">
        <w:rPr>
          <w:sz w:val="24"/>
          <w:szCs w:val="24"/>
          <w:lang w:val="it-IT"/>
        </w:rPr>
        <w:t xml:space="preserve">'000.- </w:t>
      </w:r>
      <w:r>
        <w:rPr>
          <w:sz w:val="24"/>
          <w:szCs w:val="24"/>
          <w:lang w:val="it-IT"/>
        </w:rPr>
        <w:tab/>
      </w:r>
      <w:r w:rsidRPr="008A12DF">
        <w:rPr>
          <w:sz w:val="24"/>
          <w:szCs w:val="24"/>
          <w:lang w:val="it-IT"/>
        </w:rPr>
        <w:t>rincari;</w:t>
      </w:r>
    </w:p>
    <w:p w:rsidR="006B7287" w:rsidRDefault="006B7287" w:rsidP="006B7287">
      <w:pPr>
        <w:pStyle w:val="Paragrafoelenco"/>
        <w:numPr>
          <w:ilvl w:val="0"/>
          <w:numId w:val="24"/>
        </w:numPr>
        <w:rPr>
          <w:sz w:val="24"/>
          <w:szCs w:val="24"/>
          <w:lang w:val="it-IT"/>
        </w:rPr>
      </w:pPr>
      <w:r w:rsidRPr="00C5084E">
        <w:rPr>
          <w:sz w:val="24"/>
          <w:szCs w:val="24"/>
          <w:lang w:val="it-IT"/>
        </w:rPr>
        <w:t xml:space="preserve">CHF </w:t>
      </w:r>
      <w:r>
        <w:rPr>
          <w:sz w:val="24"/>
          <w:szCs w:val="24"/>
          <w:lang w:val="it-IT"/>
        </w:rPr>
        <w:t xml:space="preserve">  515</w:t>
      </w:r>
      <w:r w:rsidRPr="00C5084E">
        <w:rPr>
          <w:sz w:val="24"/>
          <w:szCs w:val="24"/>
          <w:lang w:val="it-IT"/>
        </w:rPr>
        <w:t>'000.-</w:t>
      </w:r>
      <w:r w:rsidRPr="00C5084E">
        <w:rPr>
          <w:sz w:val="24"/>
          <w:szCs w:val="24"/>
          <w:lang w:val="it-IT"/>
        </w:rPr>
        <w:tab/>
      </w:r>
      <w:r>
        <w:rPr>
          <w:sz w:val="24"/>
          <w:szCs w:val="24"/>
          <w:lang w:val="it-IT"/>
        </w:rPr>
        <w:t xml:space="preserve">elementi non previsti a dipendenza della situazione geologica </w:t>
      </w:r>
      <w:r w:rsidRPr="00C5084E">
        <w:rPr>
          <w:sz w:val="24"/>
          <w:szCs w:val="24"/>
          <w:lang w:val="it-IT"/>
        </w:rPr>
        <w:t>;</w:t>
      </w:r>
    </w:p>
    <w:p w:rsidR="006B7287" w:rsidRDefault="006B7287" w:rsidP="006B7287">
      <w:pPr>
        <w:pStyle w:val="Paragrafoelenco"/>
        <w:numPr>
          <w:ilvl w:val="0"/>
          <w:numId w:val="24"/>
        </w:numPr>
        <w:rPr>
          <w:sz w:val="24"/>
          <w:szCs w:val="24"/>
          <w:lang w:val="it-IT"/>
        </w:rPr>
      </w:pPr>
      <w:r>
        <w:rPr>
          <w:sz w:val="24"/>
          <w:szCs w:val="24"/>
          <w:lang w:val="it-IT"/>
        </w:rPr>
        <w:t>CHF    620'000.-</w:t>
      </w:r>
      <w:r>
        <w:rPr>
          <w:sz w:val="24"/>
          <w:szCs w:val="24"/>
          <w:lang w:val="it-IT"/>
        </w:rPr>
        <w:tab/>
        <w:t>creazione di una corsia provvisoria per la fase di cantiere;</w:t>
      </w:r>
    </w:p>
    <w:p w:rsidR="006B7287" w:rsidRPr="002C2451" w:rsidRDefault="006B7287" w:rsidP="006B7287">
      <w:pPr>
        <w:pStyle w:val="Paragrafoelenco"/>
        <w:numPr>
          <w:ilvl w:val="0"/>
          <w:numId w:val="24"/>
        </w:numPr>
        <w:rPr>
          <w:sz w:val="24"/>
          <w:szCs w:val="24"/>
          <w:lang w:val="it-IT"/>
        </w:rPr>
      </w:pPr>
      <w:r w:rsidRPr="002C2451">
        <w:rPr>
          <w:sz w:val="24"/>
          <w:szCs w:val="24"/>
          <w:lang w:val="it-IT"/>
        </w:rPr>
        <w:t>CHF   505'400</w:t>
      </w:r>
      <w:r>
        <w:rPr>
          <w:sz w:val="24"/>
          <w:szCs w:val="24"/>
          <w:lang w:val="it-IT"/>
        </w:rPr>
        <w:t>.-</w:t>
      </w:r>
      <w:r w:rsidRPr="002C2451">
        <w:rPr>
          <w:sz w:val="24"/>
          <w:szCs w:val="24"/>
          <w:lang w:val="it-IT"/>
        </w:rPr>
        <w:tab/>
        <w:t>modifiche del progetto a seguito di consultazione con altri servizi</w:t>
      </w:r>
    </w:p>
    <w:p w:rsidR="006B7287" w:rsidRPr="008A12DF" w:rsidRDefault="006B7287" w:rsidP="006B7287">
      <w:pPr>
        <w:pStyle w:val="Paragrafoelenco"/>
        <w:numPr>
          <w:ilvl w:val="0"/>
          <w:numId w:val="24"/>
        </w:numPr>
        <w:rPr>
          <w:sz w:val="24"/>
          <w:szCs w:val="24"/>
          <w:lang w:val="it-IT"/>
        </w:rPr>
      </w:pPr>
      <w:r>
        <w:rPr>
          <w:sz w:val="24"/>
          <w:szCs w:val="24"/>
          <w:lang w:val="it-IT"/>
        </w:rPr>
        <w:t>CHF444'600.-</w:t>
      </w:r>
      <w:r>
        <w:rPr>
          <w:sz w:val="24"/>
          <w:szCs w:val="24"/>
          <w:lang w:val="it-IT"/>
        </w:rPr>
        <w:tab/>
        <w:t>riserva (non prevista nel M7996).</w:t>
      </w:r>
    </w:p>
    <w:p w:rsidR="006B7287" w:rsidRDefault="006B7287" w:rsidP="006B7287">
      <w:pPr>
        <w:rPr>
          <w:sz w:val="24"/>
          <w:szCs w:val="24"/>
          <w:lang w:val="it-IT"/>
        </w:rPr>
      </w:pPr>
    </w:p>
    <w:p w:rsidR="006B7287" w:rsidRDefault="006B7287" w:rsidP="006B7287">
      <w:pPr>
        <w:rPr>
          <w:sz w:val="24"/>
          <w:szCs w:val="24"/>
          <w:lang w:val="it-IT"/>
        </w:rPr>
      </w:pPr>
      <w:r>
        <w:rPr>
          <w:sz w:val="24"/>
          <w:szCs w:val="24"/>
          <w:lang w:val="it-IT"/>
        </w:rPr>
        <w:t>Si rileva che la misura ML 3.2. è pure stata modificata nel senso che sono state eliminate due fermate (Valletta e Dogana) con un risparmio di CHF 412'000.-.</w:t>
      </w:r>
    </w:p>
    <w:p w:rsidR="006B7287" w:rsidRDefault="006B7287" w:rsidP="006B7287">
      <w:pPr>
        <w:rPr>
          <w:sz w:val="24"/>
          <w:szCs w:val="24"/>
          <w:lang w:val="it-IT"/>
        </w:rPr>
      </w:pPr>
    </w:p>
    <w:p w:rsidR="006B7287" w:rsidRPr="002C2451" w:rsidRDefault="006B7287" w:rsidP="006B7287">
      <w:pPr>
        <w:rPr>
          <w:sz w:val="24"/>
          <w:szCs w:val="24"/>
          <w:u w:val="single"/>
          <w:lang w:val="it-IT"/>
        </w:rPr>
      </w:pPr>
      <w:r w:rsidRPr="002C2451">
        <w:rPr>
          <w:sz w:val="24"/>
          <w:szCs w:val="24"/>
          <w:u w:val="single"/>
          <w:lang w:val="it-IT"/>
        </w:rPr>
        <w:t>Misura ML 7:</w:t>
      </w:r>
    </w:p>
    <w:p w:rsidR="006B7287" w:rsidRPr="008A12DF" w:rsidRDefault="006B7287" w:rsidP="006B7287">
      <w:pPr>
        <w:rPr>
          <w:sz w:val="24"/>
          <w:szCs w:val="24"/>
          <w:lang w:val="it-IT"/>
        </w:rPr>
      </w:pPr>
    </w:p>
    <w:p w:rsidR="006B7287" w:rsidRDefault="006B7287" w:rsidP="006B7287">
      <w:pPr>
        <w:pStyle w:val="Paragrafoelenco"/>
        <w:numPr>
          <w:ilvl w:val="0"/>
          <w:numId w:val="25"/>
        </w:numPr>
        <w:rPr>
          <w:sz w:val="24"/>
          <w:szCs w:val="24"/>
          <w:lang w:val="it-IT"/>
        </w:rPr>
      </w:pPr>
      <w:r>
        <w:rPr>
          <w:sz w:val="24"/>
          <w:szCs w:val="24"/>
          <w:lang w:val="it-IT"/>
        </w:rPr>
        <w:t>CHF 500'000.-</w:t>
      </w:r>
      <w:r>
        <w:rPr>
          <w:sz w:val="24"/>
          <w:szCs w:val="24"/>
          <w:lang w:val="it-IT"/>
        </w:rPr>
        <w:tab/>
        <w:t>rincari;</w:t>
      </w:r>
    </w:p>
    <w:p w:rsidR="006B7287" w:rsidRDefault="006B7287" w:rsidP="006B7287">
      <w:pPr>
        <w:pStyle w:val="Paragrafoelenco"/>
        <w:numPr>
          <w:ilvl w:val="0"/>
          <w:numId w:val="25"/>
        </w:numPr>
        <w:rPr>
          <w:sz w:val="24"/>
          <w:szCs w:val="24"/>
          <w:lang w:val="it-IT"/>
        </w:rPr>
      </w:pPr>
      <w:r>
        <w:rPr>
          <w:sz w:val="24"/>
          <w:szCs w:val="24"/>
          <w:lang w:val="it-IT"/>
        </w:rPr>
        <w:t>CHF 400'000.-</w:t>
      </w:r>
      <w:r>
        <w:rPr>
          <w:sz w:val="24"/>
          <w:szCs w:val="24"/>
          <w:lang w:val="it-IT"/>
        </w:rPr>
        <w:tab/>
        <w:t>modifiche del progetto a seguito di approfondimenti del progetto di massima;</w:t>
      </w:r>
    </w:p>
    <w:p w:rsidR="006B7287" w:rsidRDefault="006B7287" w:rsidP="006B7287">
      <w:pPr>
        <w:pStyle w:val="Paragrafoelenco"/>
        <w:numPr>
          <w:ilvl w:val="0"/>
          <w:numId w:val="25"/>
        </w:numPr>
        <w:rPr>
          <w:sz w:val="24"/>
          <w:szCs w:val="24"/>
          <w:lang w:val="it-IT"/>
        </w:rPr>
      </w:pPr>
      <w:r>
        <w:rPr>
          <w:sz w:val="24"/>
          <w:szCs w:val="24"/>
          <w:lang w:val="it-IT"/>
        </w:rPr>
        <w:t>CHF 820'000.-</w:t>
      </w:r>
      <w:r>
        <w:rPr>
          <w:sz w:val="24"/>
          <w:szCs w:val="24"/>
          <w:lang w:val="it-IT"/>
        </w:rPr>
        <w:tab/>
        <w:t>riserva (non prevista nel preventivo di massima)</w:t>
      </w:r>
    </w:p>
    <w:p w:rsidR="006B7287" w:rsidRDefault="006B7287" w:rsidP="006B7287">
      <w:pPr>
        <w:rPr>
          <w:sz w:val="24"/>
          <w:szCs w:val="24"/>
          <w:lang w:val="it-IT"/>
        </w:rPr>
      </w:pPr>
    </w:p>
    <w:p w:rsidR="006B7287" w:rsidRDefault="006B7287" w:rsidP="006B7287">
      <w:pPr>
        <w:pStyle w:val="StandardRisoluzionedelConsigliodiStato"/>
        <w:ind w:right="-1"/>
        <w:rPr>
          <w:szCs w:val="24"/>
        </w:rPr>
      </w:pPr>
      <w:r>
        <w:rPr>
          <w:szCs w:val="24"/>
        </w:rPr>
        <w:t>In definitiva si può quindi osservare come la posizione più importante nella modifica del costo si legata alla costituzione di riserve per complessivi CHF 1'950'600.-, vi sono inoltre imprevisti per CHF 1'135'000.- e rincari per CHF 975'000.-.</w:t>
      </w:r>
    </w:p>
    <w:p w:rsidR="006B7287" w:rsidRDefault="006B7287" w:rsidP="006B7287">
      <w:pPr>
        <w:pStyle w:val="StandardRisoluzionedelConsigliodiStato"/>
        <w:ind w:right="-1"/>
        <w:rPr>
          <w:szCs w:val="24"/>
        </w:rPr>
      </w:pPr>
    </w:p>
    <w:p w:rsidR="006B7287" w:rsidRDefault="006B7287" w:rsidP="006B7287">
      <w:pPr>
        <w:pStyle w:val="StandardRisoluzionedelConsigliodiStato"/>
        <w:ind w:right="-1"/>
        <w:rPr>
          <w:szCs w:val="24"/>
        </w:rPr>
      </w:pPr>
      <w:r>
        <w:rPr>
          <w:szCs w:val="24"/>
        </w:rPr>
        <w:t xml:space="preserve">Al netto di rincari e riserve- quindi anche ipotizzando che tutto doveva essere previsto già in sede di progetto di massima – l’aumento del credito rispetto al </w:t>
      </w:r>
      <w:r>
        <w:rPr>
          <w:szCs w:val="24"/>
          <w:lang w:val="it-IT"/>
        </w:rPr>
        <w:t xml:space="preserve">M7996 e al progetto di massima </w:t>
      </w:r>
      <w:r>
        <w:rPr>
          <w:szCs w:val="24"/>
        </w:rPr>
        <w:t>della ML 7 è quindi di ca. CHF 2.9M, pari al +27%.</w:t>
      </w:r>
    </w:p>
    <w:p w:rsidR="006B7287" w:rsidRDefault="006B7287" w:rsidP="006B7287">
      <w:pPr>
        <w:pStyle w:val="StandardRisoluzionedelConsigliodiStato"/>
        <w:ind w:right="-1"/>
        <w:rPr>
          <w:szCs w:val="24"/>
        </w:rPr>
      </w:pPr>
    </w:p>
    <w:p w:rsidR="006B7287" w:rsidRDefault="006B7287" w:rsidP="006B7287">
      <w:pPr>
        <w:pStyle w:val="StandardRisoluzionedelConsigliodiStato"/>
        <w:ind w:right="-1"/>
        <w:rPr>
          <w:szCs w:val="24"/>
        </w:rPr>
      </w:pPr>
      <w:r>
        <w:rPr>
          <w:szCs w:val="24"/>
        </w:rPr>
        <w:t>Occorre tuttavia considerare che il preventivo di massima è concepito con grado di approssimazione del +/- 20%, per cui lo scostamento effettivo è inferiore.</w:t>
      </w:r>
    </w:p>
    <w:p w:rsidR="006B7287" w:rsidRDefault="006B7287" w:rsidP="006B7287">
      <w:pPr>
        <w:pStyle w:val="StandardRisoluzionedelConsigliodiStato"/>
        <w:ind w:right="-1"/>
        <w:rPr>
          <w:szCs w:val="24"/>
        </w:rPr>
      </w:pPr>
    </w:p>
    <w:p w:rsidR="006B7287" w:rsidRPr="008A12DF" w:rsidRDefault="00CF6330" w:rsidP="006B7287">
      <w:pPr>
        <w:pStyle w:val="StandardRisoluzionedelConsigliodiStato"/>
        <w:ind w:right="-1"/>
        <w:rPr>
          <w:szCs w:val="24"/>
        </w:rPr>
      </w:pPr>
      <w:r>
        <w:rPr>
          <w:szCs w:val="24"/>
        </w:rPr>
        <w:t>La Commissione, letto il m</w:t>
      </w:r>
      <w:r w:rsidR="006B7287" w:rsidRPr="008A12DF">
        <w:rPr>
          <w:szCs w:val="24"/>
        </w:rPr>
        <w:t xml:space="preserve">essaggio e assunto le ulteriori informazioni ritenute rilevanti, ritiene in definitiva che il credito proposto – che si pone in continuità con quanto già deciso dal Gran Consiglio accogliendo il precitato Rapporto n. 7996 – sia giustificato e meriti quindi di essere sostenuto. </w:t>
      </w:r>
    </w:p>
    <w:p w:rsidR="006B7287" w:rsidRDefault="006B7287" w:rsidP="006B7287">
      <w:pPr>
        <w:tabs>
          <w:tab w:val="left" w:pos="709"/>
          <w:tab w:val="right" w:pos="5670"/>
          <w:tab w:val="left" w:pos="5812"/>
        </w:tabs>
        <w:suppressAutoHyphens/>
        <w:rPr>
          <w:sz w:val="24"/>
          <w:szCs w:val="24"/>
        </w:rPr>
      </w:pPr>
    </w:p>
    <w:p w:rsidR="00F36404" w:rsidRDefault="00F36404" w:rsidP="006B7287">
      <w:pPr>
        <w:tabs>
          <w:tab w:val="left" w:pos="709"/>
          <w:tab w:val="right" w:pos="5670"/>
          <w:tab w:val="left" w:pos="5812"/>
        </w:tabs>
        <w:suppressAutoHyphens/>
        <w:rPr>
          <w:sz w:val="24"/>
          <w:szCs w:val="24"/>
        </w:rPr>
      </w:pPr>
    </w:p>
    <w:p w:rsidR="00F36404" w:rsidRPr="00300611" w:rsidRDefault="00F36404" w:rsidP="006B7287">
      <w:pPr>
        <w:tabs>
          <w:tab w:val="left" w:pos="709"/>
          <w:tab w:val="right" w:pos="5670"/>
          <w:tab w:val="left" w:pos="5812"/>
        </w:tabs>
        <w:suppressAutoHyphens/>
        <w:rPr>
          <w:sz w:val="24"/>
          <w:szCs w:val="24"/>
        </w:rPr>
      </w:pPr>
    </w:p>
    <w:p w:rsidR="006B7287" w:rsidRPr="00F36404" w:rsidRDefault="006B7287" w:rsidP="006B7287">
      <w:pPr>
        <w:pStyle w:val="Titolo1"/>
        <w:numPr>
          <w:ilvl w:val="0"/>
          <w:numId w:val="18"/>
        </w:numPr>
        <w:tabs>
          <w:tab w:val="left" w:pos="567"/>
        </w:tabs>
        <w:spacing w:before="0"/>
        <w:ind w:left="567" w:hanging="567"/>
        <w:jc w:val="both"/>
        <w:rPr>
          <w:rFonts w:eastAsia="Calibri" w:cs="Times New Roman"/>
          <w:caps/>
          <w:sz w:val="24"/>
          <w:szCs w:val="24"/>
          <w:lang w:val="it-IT" w:eastAsia="it-IT"/>
        </w:rPr>
      </w:pPr>
      <w:bookmarkStart w:id="3" w:name="_Toc43199713"/>
      <w:r w:rsidRPr="00F36404">
        <w:rPr>
          <w:rFonts w:eastAsia="Calibri" w:cs="Times New Roman"/>
          <w:caps/>
          <w:sz w:val="24"/>
          <w:szCs w:val="24"/>
          <w:lang w:val="it-IT" w:eastAsia="it-IT"/>
        </w:rPr>
        <w:t>Conclusion</w:t>
      </w:r>
      <w:bookmarkEnd w:id="3"/>
      <w:r w:rsidRPr="00F36404">
        <w:rPr>
          <w:rFonts w:eastAsia="Calibri" w:cs="Times New Roman"/>
          <w:caps/>
          <w:sz w:val="24"/>
          <w:szCs w:val="24"/>
          <w:lang w:val="it-IT" w:eastAsia="it-IT"/>
        </w:rPr>
        <w:t>i</w:t>
      </w:r>
    </w:p>
    <w:p w:rsidR="006B7287" w:rsidRPr="00B81FBA" w:rsidRDefault="006B7287" w:rsidP="006B7287">
      <w:pPr>
        <w:tabs>
          <w:tab w:val="left" w:pos="284"/>
          <w:tab w:val="left" w:pos="426"/>
          <w:tab w:val="left" w:pos="4962"/>
        </w:tabs>
        <w:rPr>
          <w:sz w:val="24"/>
          <w:szCs w:val="24"/>
        </w:rPr>
      </w:pPr>
      <w:r>
        <w:rPr>
          <w:sz w:val="24"/>
          <w:szCs w:val="24"/>
        </w:rPr>
        <w:t xml:space="preserve">La Commissione, visto quanto precede, invita il Gran Consiglio ad </w:t>
      </w:r>
      <w:r w:rsidR="00AC342A">
        <w:rPr>
          <w:sz w:val="24"/>
          <w:szCs w:val="24"/>
        </w:rPr>
        <w:t>approvare i tre decreti legislativi allegati</w:t>
      </w:r>
      <w:bookmarkStart w:id="4" w:name="_GoBack"/>
      <w:bookmarkEnd w:id="4"/>
      <w:r w:rsidR="00F36404">
        <w:rPr>
          <w:sz w:val="24"/>
          <w:szCs w:val="24"/>
        </w:rPr>
        <w:t xml:space="preserve"> al messaggio</w:t>
      </w:r>
      <w:r>
        <w:rPr>
          <w:sz w:val="24"/>
          <w:szCs w:val="24"/>
        </w:rPr>
        <w:t>.</w:t>
      </w:r>
    </w:p>
    <w:p w:rsidR="006B7287" w:rsidRPr="006F2A27" w:rsidRDefault="006B7287" w:rsidP="006B7287">
      <w:pPr>
        <w:rPr>
          <w:sz w:val="24"/>
          <w:szCs w:val="24"/>
        </w:rPr>
      </w:pPr>
    </w:p>
    <w:p w:rsidR="006B7287" w:rsidRPr="006F2A27" w:rsidRDefault="006B7287" w:rsidP="006B7287">
      <w:pPr>
        <w:rPr>
          <w:sz w:val="24"/>
          <w:szCs w:val="24"/>
        </w:rPr>
      </w:pPr>
    </w:p>
    <w:p w:rsidR="006B7287" w:rsidRPr="006F2A27" w:rsidRDefault="006B7287" w:rsidP="00DA0853">
      <w:pPr>
        <w:spacing w:after="120"/>
        <w:rPr>
          <w:sz w:val="24"/>
          <w:szCs w:val="24"/>
        </w:rPr>
      </w:pPr>
      <w:r>
        <w:rPr>
          <w:sz w:val="24"/>
          <w:szCs w:val="24"/>
        </w:rPr>
        <w:t>Per la Commissione gestione e finanze</w:t>
      </w:r>
      <w:r w:rsidR="00F36404">
        <w:rPr>
          <w:sz w:val="24"/>
          <w:szCs w:val="24"/>
        </w:rPr>
        <w:t>:</w:t>
      </w:r>
    </w:p>
    <w:p w:rsidR="006B7287" w:rsidRDefault="006B7287" w:rsidP="006B7287">
      <w:pPr>
        <w:rPr>
          <w:sz w:val="24"/>
          <w:szCs w:val="24"/>
        </w:rPr>
      </w:pPr>
      <w:r>
        <w:rPr>
          <w:sz w:val="24"/>
          <w:szCs w:val="24"/>
        </w:rPr>
        <w:t>Maurizio Agustoni, relatore</w:t>
      </w:r>
    </w:p>
    <w:p w:rsidR="006B7287" w:rsidRDefault="00DA0853" w:rsidP="006B7287">
      <w:pPr>
        <w:rPr>
          <w:sz w:val="24"/>
          <w:szCs w:val="24"/>
        </w:rPr>
      </w:pPr>
      <w:r>
        <w:rPr>
          <w:sz w:val="24"/>
          <w:szCs w:val="24"/>
        </w:rPr>
        <w:t>Balli -</w:t>
      </w:r>
      <w:r w:rsidR="006B7287">
        <w:rPr>
          <w:sz w:val="24"/>
          <w:szCs w:val="24"/>
        </w:rPr>
        <w:t xml:space="preserve"> Bignasc</w:t>
      </w:r>
      <w:r>
        <w:rPr>
          <w:sz w:val="24"/>
          <w:szCs w:val="24"/>
        </w:rPr>
        <w:t>a - Bourgoin - Caprara - Dadò -</w:t>
      </w:r>
    </w:p>
    <w:p w:rsidR="006B7287" w:rsidRDefault="00DA0853" w:rsidP="006B7287">
      <w:pPr>
        <w:rPr>
          <w:sz w:val="24"/>
          <w:szCs w:val="24"/>
        </w:rPr>
      </w:pPr>
      <w:r>
        <w:rPr>
          <w:sz w:val="24"/>
          <w:szCs w:val="24"/>
        </w:rPr>
        <w:t xml:space="preserve">Durisch </w:t>
      </w:r>
      <w:r w:rsidR="00EF6CC3">
        <w:rPr>
          <w:sz w:val="24"/>
          <w:szCs w:val="24"/>
        </w:rPr>
        <w:t>-</w:t>
      </w:r>
      <w:r>
        <w:rPr>
          <w:sz w:val="24"/>
          <w:szCs w:val="24"/>
        </w:rPr>
        <w:t xml:space="preserve"> </w:t>
      </w:r>
      <w:r w:rsidR="00EF6CC3">
        <w:rPr>
          <w:sz w:val="24"/>
          <w:szCs w:val="24"/>
        </w:rPr>
        <w:t xml:space="preserve">Ferrara - </w:t>
      </w:r>
      <w:r>
        <w:rPr>
          <w:sz w:val="24"/>
          <w:szCs w:val="24"/>
        </w:rPr>
        <w:t>Galeazzi (con riserva) - Gendotti -</w:t>
      </w:r>
      <w:r w:rsidR="006B7287">
        <w:rPr>
          <w:sz w:val="24"/>
          <w:szCs w:val="24"/>
        </w:rPr>
        <w:t xml:space="preserve"> </w:t>
      </w:r>
    </w:p>
    <w:p w:rsidR="00DA0853" w:rsidRDefault="00DA0853" w:rsidP="006B7287">
      <w:pPr>
        <w:rPr>
          <w:sz w:val="24"/>
          <w:szCs w:val="24"/>
        </w:rPr>
      </w:pPr>
      <w:r>
        <w:rPr>
          <w:sz w:val="24"/>
          <w:szCs w:val="24"/>
        </w:rPr>
        <w:t>Gianella Alessandra - Guerra - Passalia -</w:t>
      </w:r>
      <w:r w:rsidR="006B7287">
        <w:rPr>
          <w:sz w:val="24"/>
          <w:szCs w:val="24"/>
        </w:rPr>
        <w:t xml:space="preserve"> </w:t>
      </w:r>
    </w:p>
    <w:p w:rsidR="006B7287" w:rsidRPr="009B6D03" w:rsidRDefault="00DA0853" w:rsidP="006B7287">
      <w:pPr>
        <w:rPr>
          <w:sz w:val="24"/>
          <w:szCs w:val="24"/>
        </w:rPr>
      </w:pPr>
      <w:r>
        <w:rPr>
          <w:sz w:val="24"/>
          <w:szCs w:val="24"/>
        </w:rPr>
        <w:t xml:space="preserve">Quadranti - </w:t>
      </w:r>
      <w:r w:rsidR="006B7287">
        <w:rPr>
          <w:sz w:val="24"/>
          <w:szCs w:val="24"/>
        </w:rPr>
        <w:t>Sirica - Speziali - Soldati</w:t>
      </w:r>
    </w:p>
    <w:p w:rsidR="006B7287" w:rsidRPr="006B7287" w:rsidRDefault="006B7287" w:rsidP="006B7287">
      <w:pPr>
        <w:pStyle w:val="StandardRisoluzionedelConsigliodiStato"/>
        <w:ind w:right="-1"/>
        <w:rPr>
          <w:b/>
          <w:szCs w:val="24"/>
        </w:rPr>
      </w:pPr>
    </w:p>
    <w:p w:rsidR="00D649A8" w:rsidRPr="006B7287" w:rsidRDefault="00D649A8" w:rsidP="00D33940">
      <w:pPr>
        <w:pStyle w:val="StandardRisoluzionedelConsigliodiStato"/>
        <w:ind w:right="-1"/>
      </w:pPr>
    </w:p>
    <w:p w:rsidR="00D649A8" w:rsidRPr="006B7287" w:rsidRDefault="00D649A8" w:rsidP="00D33940">
      <w:pPr>
        <w:pStyle w:val="StandardRisoluzionedelConsigliodiStato"/>
        <w:ind w:right="-1"/>
      </w:pPr>
    </w:p>
    <w:sectPr w:rsidR="00D649A8" w:rsidRPr="006B7287"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287" w:rsidRDefault="006B7287" w:rsidP="00F657BF">
      <w:r>
        <w:separator/>
      </w:r>
    </w:p>
  </w:endnote>
  <w:endnote w:type="continuationSeparator" w:id="0">
    <w:p w:rsidR="006B7287" w:rsidRDefault="006B7287"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D20B0C" w:rsidP="00912E34">
          <w:pPr>
            <w:tabs>
              <w:tab w:val="center" w:pos="2382"/>
            </w:tabs>
          </w:pPr>
        </w:p>
      </w:tc>
      <w:tc>
        <w:tcPr>
          <w:tcW w:w="721" w:type="dxa"/>
        </w:tcPr>
        <w:p w:rsidR="00912E34" w:rsidRPr="003D1008" w:rsidRDefault="00190A42"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190A42"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D20B0C"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D20B0C">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287" w:rsidRDefault="006B7287" w:rsidP="00F657BF">
      <w:r>
        <w:separator/>
      </w:r>
    </w:p>
  </w:footnote>
  <w:footnote w:type="continuationSeparator" w:id="0">
    <w:p w:rsidR="006B7287" w:rsidRDefault="006B7287"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D20B0C"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B329A818-3CBC-4C0F-A17E-DA2440EB06DB}"/>
              <w:text w:multiLine="1"/>
            </w:sdtPr>
            <w:sdtEndPr/>
            <w:sdtContent>
              <w:r w:rsidR="00190A42">
                <w:rPr>
                  <w:rFonts w:ascii="Gill Alt One MT Light" w:hAnsi="Gill Alt One MT Light"/>
                  <w:sz w:val="16"/>
                  <w:szCs w:val="16"/>
                </w:rPr>
                <w:t>Repubblica e Cantone Ticino</w:t>
              </w:r>
            </w:sdtContent>
          </w:sdt>
        </w:p>
        <w:p w:rsidR="005012EC" w:rsidRPr="00E8185F" w:rsidRDefault="00D20B0C"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B329A818-3CBC-4C0F-A17E-DA2440EB06DB}"/>
              <w:text w:multiLine="1"/>
            </w:sdtPr>
            <w:sdtEndPr/>
            <w:sdtContent>
              <w:r w:rsidR="00694C15">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rsidR="005012EC" w:rsidRPr="004204CB" w:rsidRDefault="00190A42"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D20B0C">
            <w:rPr>
              <w:noProof/>
              <w:sz w:val="24"/>
            </w:rPr>
            <w:t>9</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D20B0C">
            <w:rPr>
              <w:noProof/>
              <w:sz w:val="24"/>
            </w:rPr>
            <w:t>9</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B329A818-3CBC-4C0F-A17E-DA2440EB06DB}"/>
          <w:text w:multiLine="1"/>
        </w:sdtPr>
        <w:sdtEndPr/>
        <w:sdtContent>
          <w:tc>
            <w:tcPr>
              <w:tcW w:w="8383" w:type="dxa"/>
              <w:tcBorders>
                <w:left w:val="single" w:sz="4" w:space="0" w:color="auto"/>
              </w:tcBorders>
              <w:tcMar>
                <w:top w:w="0" w:type="dxa"/>
                <w:left w:w="142" w:type="dxa"/>
              </w:tcMar>
            </w:tcPr>
            <w:p w:rsidR="005012EC" w:rsidRPr="006B7287" w:rsidRDefault="00694C15"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8424 R del 3 settembre 2024</w:t>
              </w:r>
            </w:p>
          </w:tc>
        </w:sdtContent>
      </w:sdt>
      <w:tc>
        <w:tcPr>
          <w:tcW w:w="1710" w:type="dxa"/>
          <w:tcBorders>
            <w:top w:val="single" w:sz="4" w:space="0" w:color="auto"/>
          </w:tcBorders>
        </w:tcPr>
        <w:p w:rsidR="005012EC" w:rsidRPr="006B7287" w:rsidRDefault="00D20B0C" w:rsidP="00662409">
          <w:pPr>
            <w:pStyle w:val="InvisibleLine"/>
            <w:rPr>
              <w:lang w:val="it-CH"/>
            </w:rPr>
          </w:pPr>
        </w:p>
      </w:tc>
    </w:tr>
  </w:tbl>
  <w:p w:rsidR="00F657BF" w:rsidRPr="00980362" w:rsidRDefault="00190A42"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B329A818-3CBC-4C0F-A17E-DA2440EB06DB}"/>
                            <w:text w:multiLine="1"/>
                          </w:sdtPr>
                          <w:sdtEndPr/>
                          <w:sdtContent>
                            <w:p w:rsidR="008065E8" w:rsidRPr="00411371" w:rsidRDefault="00190A42"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A926988C-92F6-4C36-B37F-C9E5F16C2E96}"/>
                      <w:text w:multiLine="1"/>
                    </w:sdtPr>
                    <w:sdtEndPr/>
                    <w:sdtContent>
                      <w:p w:rsidR="008065E8" w:rsidRPr="00411371" w:rsidRDefault="00190A42"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D20B0C" w:rsidP="00932E26">
          <w:pPr>
            <w:pStyle w:val="InvisibleLine"/>
            <w:spacing w:line="240" w:lineRule="auto"/>
            <w:ind w:left="15"/>
            <w:rPr>
              <w:rFonts w:ascii="Gill Alt One MT Light" w:hAnsi="Gill Alt One MT Light"/>
              <w:sz w:val="16"/>
              <w:lang w:val="it-CH"/>
            </w:rPr>
          </w:pPr>
        </w:p>
        <w:p w:rsidR="00CD5F73" w:rsidRDefault="00190A42"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D20B0C"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D20B0C" w:rsidP="00D07D6E">
          <w:pPr>
            <w:pStyle w:val="Level"/>
            <w:ind w:left="150"/>
            <w:rPr>
              <w:sz w:val="16"/>
            </w:rPr>
          </w:pPr>
        </w:p>
      </w:tc>
      <w:tc>
        <w:tcPr>
          <w:tcW w:w="209" w:type="pct"/>
          <w:tcBorders>
            <w:top w:val="nil"/>
            <w:bottom w:val="single" w:sz="4" w:space="0" w:color="auto"/>
          </w:tcBorders>
        </w:tcPr>
        <w:p w:rsidR="00662409" w:rsidRDefault="00190A42"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458468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190A42"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D20B0C">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D20B0C">
            <w:rPr>
              <w:rFonts w:asciiTheme="minorHAnsi" w:hAnsiTheme="minorHAnsi" w:cstheme="minorHAnsi"/>
              <w:noProof/>
              <w:sz w:val="24"/>
            </w:rPr>
            <w:t>9</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B329A818-3CBC-4C0F-A17E-DA2440EB06DB}"/>
          <w:text w:multiLine="1"/>
        </w:sdtPr>
        <w:sdtEndPr/>
        <w:sdtContent>
          <w:tc>
            <w:tcPr>
              <w:tcW w:w="5000" w:type="pct"/>
              <w:gridSpan w:val="6"/>
              <w:tcBorders>
                <w:left w:val="nil"/>
                <w:right w:val="nil"/>
              </w:tcBorders>
              <w:noWrap/>
              <w:tcMar>
                <w:top w:w="0" w:type="dxa"/>
              </w:tcMar>
              <w:vAlign w:val="bottom"/>
            </w:tcPr>
            <w:p w:rsidR="00662409" w:rsidRPr="008C03B5" w:rsidRDefault="00694C15"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190A42"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D20B0C"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190A42"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D20B0C"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190A42"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D20B0C"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D20B0C"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B329A818-3CBC-4C0F-A17E-DA2440EB06DB}"/>
              <w:text w:multiLine="1"/>
            </w:sdtPr>
            <w:sdtEndPr/>
            <w:sdtContent>
              <w:r w:rsidR="00694C15">
                <w:rPr>
                  <w:rFonts w:cstheme="minorHAnsi"/>
                  <w:b/>
                  <w:sz w:val="24"/>
                  <w:szCs w:val="24"/>
                </w:rPr>
                <w:t>8424 R</w:t>
              </w:r>
            </w:sdtContent>
          </w:sdt>
        </w:p>
      </w:tc>
      <w:sdt>
        <w:sdtPr>
          <w:rPr>
            <w:sz w:val="24"/>
          </w:rPr>
          <w:alias w:val="DocParam.Date"/>
          <w:id w:val="-464426178"/>
          <w:dataBinding w:xpath="//DateTime[@id='DocParam.Date']" w:storeItemID="{B329A818-3CBC-4C0F-A17E-DA2440EB06DB}"/>
          <w:date w:fullDate="2024-09-03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694C15" w:rsidP="00A532F6">
              <w:pPr>
                <w:pStyle w:val="Data"/>
              </w:pPr>
              <w:r>
                <w:rPr>
                  <w:sz w:val="24"/>
                </w:rPr>
                <w:t>3 settembre 2024</w:t>
              </w:r>
            </w:p>
          </w:tc>
        </w:sdtContent>
      </w:sdt>
      <w:tc>
        <w:tcPr>
          <w:tcW w:w="3218" w:type="pct"/>
          <w:gridSpan w:val="4"/>
          <w:tcBorders>
            <w:top w:val="nil"/>
            <w:left w:val="nil"/>
            <w:bottom w:val="nil"/>
            <w:right w:val="nil"/>
          </w:tcBorders>
        </w:tcPr>
        <w:p w:rsidR="008C03B5" w:rsidRPr="00BE22A2" w:rsidRDefault="00D20B0C"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B329A818-3CBC-4C0F-A17E-DA2440EB06DB}"/>
              <w:text w:multiLine="1"/>
            </w:sdtPr>
            <w:sdtEndPr/>
            <w:sdtContent>
              <w:r w:rsidR="00694C15">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D20B0C" w:rsidP="00D07D6E">
          <w:pPr>
            <w:pStyle w:val="Level"/>
            <w:ind w:left="150"/>
            <w:rPr>
              <w:rFonts w:ascii="Gill Alt One MT Light" w:hAnsi="Gill Alt One MT Light"/>
              <w:sz w:val="16"/>
              <w:szCs w:val="16"/>
            </w:rPr>
          </w:pPr>
        </w:p>
      </w:tc>
    </w:tr>
  </w:tbl>
  <w:p w:rsidR="00F657BF" w:rsidRPr="00DA2879" w:rsidRDefault="00190A42"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044806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B329A818-3CBC-4C0F-A17E-DA2440EB06DB}"/>
                            <w:text w:multiLine="1"/>
                          </w:sdtPr>
                          <w:sdtEndPr/>
                          <w:sdtContent>
                            <w:p w:rsidR="00E93620" w:rsidRPr="00411371" w:rsidRDefault="00190A42"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A926988C-92F6-4C36-B37F-C9E5F16C2E96}"/>
                      <w:text w:multiLine="1"/>
                    </w:sdtPr>
                    <w:sdtEndPr/>
                    <w:sdtContent>
                      <w:p w:rsidR="00E93620" w:rsidRPr="00411371" w:rsidRDefault="00190A42"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F5C68"/>
    <w:multiLevelType w:val="hybridMultilevel"/>
    <w:tmpl w:val="B6AC54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781532B"/>
    <w:multiLevelType w:val="hybridMultilevel"/>
    <w:tmpl w:val="300EFB3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BB77BE7"/>
    <w:multiLevelType w:val="hybridMultilevel"/>
    <w:tmpl w:val="34EE07EA"/>
    <w:lvl w:ilvl="0" w:tplc="20A47FF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9794CE7"/>
    <w:multiLevelType w:val="hybridMultilevel"/>
    <w:tmpl w:val="EE06EC8A"/>
    <w:lvl w:ilvl="0" w:tplc="FF389430">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49D524CC"/>
    <w:multiLevelType w:val="multilevel"/>
    <w:tmpl w:val="953CA1B2"/>
    <w:numStyleLink w:val="HeadingList"/>
  </w:abstractNum>
  <w:abstractNum w:abstractNumId="21" w15:restartNumberingAfterBreak="0">
    <w:nsid w:val="4FD67F94"/>
    <w:multiLevelType w:val="multilevel"/>
    <w:tmpl w:val="5DDE7718"/>
    <w:lvl w:ilvl="0">
      <w:start w:val="1"/>
      <w:numFmt w:val="decimal"/>
      <w:lvlText w:val="%1."/>
      <w:lvlJc w:val="left"/>
      <w:pPr>
        <w:ind w:left="363" w:hanging="363"/>
      </w:pPr>
      <w:rPr>
        <w:rFonts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6EC256EE"/>
    <w:multiLevelType w:val="hybridMultilevel"/>
    <w:tmpl w:val="E86868F8"/>
    <w:lvl w:ilvl="0" w:tplc="16D2C8AC">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C54628"/>
    <w:multiLevelType w:val="hybridMultilevel"/>
    <w:tmpl w:val="5BCAE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511994"/>
    <w:multiLevelType w:val="hybridMultilevel"/>
    <w:tmpl w:val="B8342DF6"/>
    <w:lvl w:ilvl="0" w:tplc="FF389430">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4"/>
  </w:num>
  <w:num w:numId="2">
    <w:abstractNumId w:val="20"/>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9"/>
  </w:num>
  <w:num w:numId="5">
    <w:abstractNumId w:val="18"/>
  </w:num>
  <w:num w:numId="6">
    <w:abstractNumId w:val="15"/>
  </w:num>
  <w:num w:numId="7">
    <w:abstractNumId w:val="17"/>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2"/>
  </w:num>
  <w:num w:numId="19">
    <w:abstractNumId w:val="22"/>
  </w:num>
  <w:num w:numId="20">
    <w:abstractNumId w:val="13"/>
  </w:num>
  <w:num w:numId="21">
    <w:abstractNumId w:val="20"/>
  </w:num>
  <w:num w:numId="22">
    <w:abstractNumId w:val="24"/>
  </w:num>
  <w:num w:numId="23">
    <w:abstractNumId w:val="16"/>
  </w:num>
  <w:num w:numId="24">
    <w:abstractNumId w:val="10"/>
  </w:num>
  <w:num w:numId="25">
    <w:abstractNumId w:val="23"/>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87"/>
    <w:rsid w:val="00190A42"/>
    <w:rsid w:val="002B5D9F"/>
    <w:rsid w:val="002E20F5"/>
    <w:rsid w:val="00327F37"/>
    <w:rsid w:val="003B756D"/>
    <w:rsid w:val="003F669E"/>
    <w:rsid w:val="00403ADB"/>
    <w:rsid w:val="00572FD3"/>
    <w:rsid w:val="00694C15"/>
    <w:rsid w:val="006B7287"/>
    <w:rsid w:val="0079205E"/>
    <w:rsid w:val="007A46D6"/>
    <w:rsid w:val="008720C4"/>
    <w:rsid w:val="008F52AF"/>
    <w:rsid w:val="009C5E5A"/>
    <w:rsid w:val="00A21B9F"/>
    <w:rsid w:val="00AC342A"/>
    <w:rsid w:val="00AF0268"/>
    <w:rsid w:val="00BF0A1F"/>
    <w:rsid w:val="00CF6330"/>
    <w:rsid w:val="00D1259F"/>
    <w:rsid w:val="00D20B0C"/>
    <w:rsid w:val="00D33940"/>
    <w:rsid w:val="00D600FD"/>
    <w:rsid w:val="00D649A8"/>
    <w:rsid w:val="00DA0853"/>
    <w:rsid w:val="00EB088A"/>
    <w:rsid w:val="00EF6CC3"/>
    <w:rsid w:val="00F36404"/>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70A4BD"/>
  <w15:docId w15:val="{3591D989-21E3-431F-AF9A-0337AAAD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table" w:styleId="Grigliatabella">
    <w:name w:val="Table Grid"/>
    <w:basedOn w:val="Tabellanormale"/>
    <w:uiPriority w:val="59"/>
    <w:rsid w:val="006B7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6B7287"/>
    <w:pPr>
      <w:widowControl w:val="0"/>
    </w:pPr>
    <w:rPr>
      <w:rFonts w:ascii="Arial" w:eastAsia="Arial" w:hAnsi="Arial" w:cs="Arial"/>
      <w:color w:val="000000"/>
      <w:sz w:val="24"/>
      <w:szCs w:val="24"/>
      <w:lang w:val="it-CH" w:eastAsia="it-CH"/>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D1259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259F"/>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d7084e3b-f83a-4ea1-8aa5-fecbffc01a47.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1458468198</Id>
      <Width>0</Width>
      <Height>0</Height>
      <XPath>//Image[@id='Profile.Org.WappenSW']</XPath>
      <ImageHash>02f1c0cdac6aeac316213b2e7cb733a0</ImageHash>
    </ImageSizeDefinition>
    <ImageSizeDefinition>
      <Id>2044806586</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f 6 1 b c 4 e 0 - 5 1 c d - 4 1 f 6 - 9 6 7 8 - 3 a 8 f 7 1 a a d 0 3 2 "   t I d = " a 3 6 2 a 5 d 4 - 9 5 8 9 - 4 1 b f - a 4 e 6 - 4 f 8 7 c 4 e 4 1 2 3 9 "   i n t e r n a l T I d = " 9 0 6 4 c c 7 f - 3 1 6 d - 4 6 b 1 - a 4 a c - 7 4 8 6 0 c 3 f 8 a 5 b "   m t I d = " 2 7 5 a f 3 2 e - b c 4 0 - 4 5 c 2 - 8 5 b 7 - a f b 1 c 0 3 8 2 6 5 3 "   r e v i s i o n = " 0 "   c r e a t e d m a j o r v e r s i o n = " 0 "   c r e a t e d m i n o r v e r s i o n = " 0 "   c r e a t e d = " 2 0 2 4 - 0 9 - 0 3 T 1 2 : 3 1 : 2 8 . 0 2 7 9 0 6 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 2 0 2 4 - 0 9 - 0 3 T 0 0 : 0 0 : 0 0 Z < / D a t e T i m e >  
                 < T e x t   i d = " D o c P a r a m . N u m b e r " > < ! [ C D A T A [ 8 4 2 4 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n .   8 4 2 4   R   d e l   0 3   s e t t e m b r e   2 0 2 4 ] ] > < / 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8 4 2 4   R   d e l   3   s e t t e m b r e 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50FB2ED7-89D9-4998-80B8-40996A0DC9C0}">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B329A818-3CBC-4C0F-A17E-DA2440EB06DB}">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d7084e3b-f83a-4ea1-8aa5-fecbffc01a47.dotx</Template>
  <TotalTime>15</TotalTime>
  <Pages>9</Pages>
  <Words>2562</Words>
  <Characters>14604</Characters>
  <Application>Microsoft Office Word</Application>
  <DocSecurity>0</DocSecurity>
  <Lines>121</Lines>
  <Paragraphs>34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14</cp:revision>
  <cp:lastPrinted>2024-09-03T14:44:00Z</cp:lastPrinted>
  <dcterms:created xsi:type="dcterms:W3CDTF">2024-09-03T12:31:00Z</dcterms:created>
  <dcterms:modified xsi:type="dcterms:W3CDTF">2024-09-04T06:12:00Z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