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9A8" w:rsidRPr="00F358D7" w:rsidRDefault="00F358D7" w:rsidP="00D33940">
      <w:pPr>
        <w:pStyle w:val="StandardRisoluzionedelConsigliodiStato"/>
        <w:ind w:right="-1"/>
        <w:rPr>
          <w:b/>
          <w:sz w:val="28"/>
          <w:szCs w:val="28"/>
        </w:rPr>
      </w:pPr>
      <w:r w:rsidRPr="00F358D7">
        <w:rPr>
          <w:b/>
          <w:sz w:val="28"/>
          <w:szCs w:val="28"/>
        </w:rPr>
        <w:t>della Commissione gestione e finanze</w:t>
      </w:r>
    </w:p>
    <w:p w:rsidR="00F358D7" w:rsidRDefault="00F358D7" w:rsidP="00D33940">
      <w:pPr>
        <w:pStyle w:val="StandardRisoluzionedelConsigliodiStato"/>
        <w:ind w:right="-1"/>
        <w:rPr>
          <w:b/>
          <w:sz w:val="28"/>
          <w:szCs w:val="28"/>
        </w:rPr>
      </w:pPr>
      <w:r w:rsidRPr="00F358D7">
        <w:rPr>
          <w:b/>
          <w:sz w:val="28"/>
          <w:szCs w:val="28"/>
        </w:rPr>
        <w:t>sul messaggio 13 dicembre 2023 concernente una richiesta di stanziamento di un credito complessivo di 2'500'000 franchi per il piano quadriennale 2024-2027 di manutenzione, sostituzione e potenziamento del parco macchine e delle attrezzature tecnico-didattiche della Scuola d'arti e mestieri e della Scuola specializzata superiore di tecnica del Centro professionale tecnico di Bellinzona nonché per i laboratori di chimica, domotica e reti presso il CPT di Lugano Trevano</w:t>
      </w:r>
    </w:p>
    <w:p w:rsidR="00F358D7" w:rsidRDefault="00F358D7" w:rsidP="00D33940">
      <w:pPr>
        <w:pStyle w:val="StandardRisoluzionedelConsigliodiStato"/>
        <w:ind w:right="-1"/>
        <w:rPr>
          <w:b/>
          <w:szCs w:val="24"/>
        </w:rPr>
      </w:pPr>
    </w:p>
    <w:p w:rsidR="00F358D7" w:rsidRDefault="00F358D7" w:rsidP="00D33940">
      <w:pPr>
        <w:pStyle w:val="StandardRisoluzionedelConsigliodiStato"/>
        <w:ind w:right="-1"/>
        <w:rPr>
          <w:b/>
          <w:szCs w:val="24"/>
        </w:rPr>
      </w:pPr>
    </w:p>
    <w:p w:rsidR="00F358D7" w:rsidRPr="00F358D7" w:rsidRDefault="00F358D7" w:rsidP="00F358D7">
      <w:pPr>
        <w:rPr>
          <w:rFonts w:eastAsia="Aptos" w:cs="Arial"/>
          <w:kern w:val="2"/>
          <w:sz w:val="24"/>
          <w:szCs w:val="24"/>
          <w:lang w:val="it-IT"/>
          <w14:ligatures w14:val="standardContextual"/>
        </w:rPr>
      </w:pPr>
      <w:r w:rsidRPr="00F358D7">
        <w:rPr>
          <w:rFonts w:eastAsia="Aptos" w:cs="Arial"/>
          <w:kern w:val="2"/>
          <w:sz w:val="24"/>
          <w:szCs w:val="24"/>
          <w:lang w:val="it-IT"/>
          <w14:ligatures w14:val="standardContextual"/>
        </w:rPr>
        <w:t>Il credito di 2'500'000 franchi è necessario per attuare il piano quadriennale 2024-2027 di manutenzione, sostituzione e potenziamento del parco macchine e delle attrezzature tecnico-didattiche per la Scuola d’arti e mestieri di Bellinzona (SAM) e della Scuola specializzata superiore tecnica di Bellinzona (SSST) del Centro professionale tecnico di Bellinzona (CPT Bellinzona); per quest’ultima, le attrezzature sono utili al perfezionamento e alla riqualifica professionale nell’ambito delle offerte formative previste. Quanto al CPT di Lugano Trevano, per la prima volta sono stati aggiunti gli investimenti necessari ai laboratori tecnici nell’ambito del messaggio quadriennale.</w:t>
      </w:r>
    </w:p>
    <w:p w:rsidR="00F358D7" w:rsidRPr="00F358D7" w:rsidRDefault="00F358D7" w:rsidP="00F358D7">
      <w:pPr>
        <w:rPr>
          <w:rFonts w:eastAsia="Aptos" w:cs="Arial"/>
          <w:kern w:val="2"/>
          <w:sz w:val="24"/>
          <w:szCs w:val="24"/>
          <w:lang w:val="it-IT"/>
          <w14:ligatures w14:val="standardContextual"/>
        </w:rPr>
      </w:pPr>
    </w:p>
    <w:p w:rsidR="00F358D7" w:rsidRPr="00F358D7" w:rsidRDefault="00F358D7" w:rsidP="00F358D7">
      <w:pPr>
        <w:rPr>
          <w:rFonts w:eastAsia="Aptos" w:cs="Arial"/>
          <w:kern w:val="2"/>
          <w:sz w:val="24"/>
          <w:szCs w:val="24"/>
          <w:lang w:val="it-IT"/>
          <w14:ligatures w14:val="standardContextual"/>
        </w:rPr>
      </w:pPr>
    </w:p>
    <w:p w:rsidR="00F358D7" w:rsidRPr="00F358D7" w:rsidRDefault="00F358D7" w:rsidP="00F358D7">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F358D7">
        <w:rPr>
          <w:rFonts w:eastAsia="Calibri" w:cs="Times New Roman"/>
          <w:caps/>
          <w:sz w:val="24"/>
          <w:szCs w:val="24"/>
          <w:lang w:val="it-IT" w:eastAsia="it-IT"/>
        </w:rPr>
        <w:t>INTRODUZIONE</w:t>
      </w:r>
    </w:p>
    <w:p w:rsidR="00F358D7" w:rsidRPr="00F358D7" w:rsidRDefault="00F358D7" w:rsidP="00F358D7">
      <w:pPr>
        <w:rPr>
          <w:rFonts w:eastAsia="Aptos" w:cs="Arial"/>
          <w:kern w:val="2"/>
          <w:sz w:val="24"/>
          <w:szCs w:val="24"/>
          <w:lang w:val="it-IT"/>
          <w14:ligatures w14:val="standardContextual"/>
        </w:rPr>
      </w:pPr>
      <w:r w:rsidRPr="00F358D7">
        <w:rPr>
          <w:rFonts w:eastAsia="Aptos" w:cs="Arial"/>
          <w:kern w:val="2"/>
          <w:sz w:val="24"/>
          <w:szCs w:val="24"/>
          <w:lang w:val="it-IT"/>
          <w14:ligatures w14:val="standardContextual"/>
        </w:rPr>
        <w:t>La formazione professionale è essenziale nel panorama formativo ticinese e svizzero. È dunque fondamentale investire nei suoi strumenti concreti, al fine di mantenerla di qualità e aggiornata – a sostegno dello sviluppo personale e professionale di moltissimi giovani e meno giovani del nostro Cantone. Inoltre, in Ticino l’obiettivo è altresì di ampliare e diversificare il ventaglio di opportunità formative.</w:t>
      </w:r>
    </w:p>
    <w:p w:rsidR="00F358D7" w:rsidRPr="00F358D7" w:rsidRDefault="00F358D7" w:rsidP="00F358D7">
      <w:pPr>
        <w:rPr>
          <w:rFonts w:eastAsia="Aptos" w:cs="Arial"/>
          <w:kern w:val="2"/>
          <w:sz w:val="24"/>
          <w:szCs w:val="24"/>
          <w:lang w:val="it-IT"/>
          <w14:ligatures w14:val="standardContextual"/>
        </w:rPr>
      </w:pPr>
    </w:p>
    <w:p w:rsidR="00F358D7" w:rsidRPr="00F358D7" w:rsidRDefault="00F358D7" w:rsidP="00F358D7">
      <w:pPr>
        <w:rPr>
          <w:rFonts w:eastAsia="Aptos" w:cs="Arial"/>
          <w:kern w:val="2"/>
          <w:sz w:val="24"/>
          <w:szCs w:val="24"/>
          <w:lang w:val="it-IT"/>
          <w14:ligatures w14:val="standardContextual"/>
        </w:rPr>
      </w:pPr>
      <w:r w:rsidRPr="00F358D7">
        <w:rPr>
          <w:rFonts w:eastAsia="Aptos" w:cs="Arial"/>
          <w:kern w:val="2"/>
          <w:sz w:val="24"/>
          <w:szCs w:val="24"/>
          <w:lang w:val="it-IT"/>
          <w14:ligatures w14:val="standardContextual"/>
        </w:rPr>
        <w:t>Il presente credito si inserisce dunque nell’interesse cantonale, nonché nella strategia nazionale, dotando i CPT di Bellinzona e Lugano-Trevano di macchinari e attrezzature moderni, aggiornati e in linea con l’evoluzione tecnologica.</w:t>
      </w:r>
      <w:r w:rsidRPr="00F358D7">
        <w:rPr>
          <w:rFonts w:eastAsia="Aptos" w:cs="Arial"/>
          <w:kern w:val="2"/>
          <w:sz w:val="24"/>
          <w:szCs w:val="24"/>
          <w:vertAlign w:val="superscript"/>
          <w:lang w:val="it-IT"/>
          <w14:ligatures w14:val="standardContextual"/>
        </w:rPr>
        <w:footnoteReference w:id="1"/>
      </w:r>
      <w:r w:rsidRPr="00F358D7">
        <w:rPr>
          <w:rFonts w:eastAsia="Aptos" w:cs="Arial"/>
          <w:kern w:val="2"/>
          <w:sz w:val="24"/>
          <w:szCs w:val="24"/>
          <w:lang w:val="it-IT"/>
          <w14:ligatures w14:val="standardContextual"/>
        </w:rPr>
        <w:t xml:space="preserve"> </w:t>
      </w:r>
    </w:p>
    <w:p w:rsidR="00F358D7" w:rsidRPr="00F358D7" w:rsidRDefault="00F358D7" w:rsidP="00F358D7">
      <w:pPr>
        <w:rPr>
          <w:rFonts w:eastAsia="Aptos" w:cs="Arial"/>
          <w:kern w:val="2"/>
          <w:sz w:val="24"/>
          <w:szCs w:val="24"/>
          <w:lang w:val="it-IT"/>
          <w14:ligatures w14:val="standardContextual"/>
        </w:rPr>
      </w:pPr>
    </w:p>
    <w:p w:rsidR="00F358D7" w:rsidRPr="00F358D7" w:rsidRDefault="00F358D7" w:rsidP="00F358D7">
      <w:pPr>
        <w:rPr>
          <w:rFonts w:eastAsia="Aptos" w:cs="Arial"/>
          <w:kern w:val="2"/>
          <w:sz w:val="24"/>
          <w:szCs w:val="24"/>
          <w:lang w:val="it-IT"/>
          <w14:ligatures w14:val="standardContextual"/>
        </w:rPr>
      </w:pPr>
      <w:r w:rsidRPr="00F358D7">
        <w:rPr>
          <w:rFonts w:eastAsia="Aptos" w:cs="Arial"/>
          <w:kern w:val="2"/>
          <w:sz w:val="24"/>
          <w:szCs w:val="24"/>
          <w:lang w:val="it-IT"/>
          <w14:ligatures w14:val="standardContextual"/>
        </w:rPr>
        <w:t>Negli ultimi due quadrienni (2016-2019 e 2020-2023) i crediti concessi dal Parlamento ammontano a un totale complessivo di 2'550'000 franchi per la manutenzione, sostituzione e potenziamento del parco macchine e delle attrezzature tecnico-didattiche della SAM e della SSST di Bellinzona.</w:t>
      </w:r>
    </w:p>
    <w:p w:rsidR="00F358D7" w:rsidRPr="00F358D7" w:rsidRDefault="00F358D7" w:rsidP="00F358D7">
      <w:pPr>
        <w:rPr>
          <w:rFonts w:eastAsia="Aptos" w:cs="Arial"/>
          <w:kern w:val="2"/>
          <w:sz w:val="24"/>
          <w:szCs w:val="24"/>
          <w:lang w:val="it-IT"/>
          <w14:ligatures w14:val="standardContextual"/>
        </w:rPr>
      </w:pPr>
    </w:p>
    <w:p w:rsidR="00F358D7" w:rsidRPr="00F358D7" w:rsidRDefault="00F358D7" w:rsidP="00F358D7">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F358D7">
        <w:rPr>
          <w:rFonts w:eastAsia="Calibri" w:cs="Times New Roman"/>
          <w:caps/>
          <w:sz w:val="24"/>
          <w:szCs w:val="24"/>
          <w:lang w:val="it-IT" w:eastAsia="it-IT"/>
        </w:rPr>
        <w:lastRenderedPageBreak/>
        <w:t>Le nuove tendenze di mercato e di formazione</w:t>
      </w:r>
    </w:p>
    <w:p w:rsidR="00F358D7" w:rsidRPr="00F358D7" w:rsidRDefault="00F358D7" w:rsidP="00F358D7">
      <w:pPr>
        <w:rPr>
          <w:rFonts w:eastAsia="Aptos" w:cs="Arial"/>
          <w:kern w:val="2"/>
          <w:sz w:val="24"/>
          <w:szCs w:val="24"/>
          <w:lang w:val="it-IT"/>
          <w14:ligatures w14:val="standardContextual"/>
        </w:rPr>
      </w:pPr>
      <w:r w:rsidRPr="00F358D7">
        <w:rPr>
          <w:rFonts w:eastAsia="Aptos" w:cs="Arial"/>
          <w:kern w:val="2"/>
          <w:sz w:val="24"/>
          <w:szCs w:val="24"/>
          <w:lang w:val="it-IT"/>
          <w14:ligatures w14:val="standardContextual"/>
        </w:rPr>
        <w:t>Nel messaggio, il Governo spiega come nel quadriennio a venire siano necessarie riforme che toccheranno sia la formazione base (SAM) sia quella specializzata (SSST). Per quest’ultimo settore occorre, dal 2024, aggiornare i programmi d’insegnamento per conformarsi ai nuovi programmi elaborati a livello federale. Obiettivo di quest’ultimi è sviluppare le competenze degli allievi nell’ambito delle nuove tecnologie – come, ad esempio, l’intelligenza artificiale o la realtà virtuale.</w:t>
      </w:r>
    </w:p>
    <w:p w:rsidR="00F358D7" w:rsidRPr="00F358D7" w:rsidRDefault="00F358D7" w:rsidP="00F358D7">
      <w:pPr>
        <w:rPr>
          <w:rFonts w:eastAsia="Aptos" w:cs="Arial"/>
          <w:kern w:val="2"/>
          <w:sz w:val="24"/>
          <w:szCs w:val="24"/>
          <w:lang w:val="it-IT"/>
          <w14:ligatures w14:val="standardContextual"/>
        </w:rPr>
      </w:pPr>
      <w:r w:rsidRPr="00F358D7">
        <w:rPr>
          <w:rFonts w:eastAsia="Aptos" w:cs="Arial"/>
          <w:kern w:val="2"/>
          <w:sz w:val="24"/>
          <w:szCs w:val="24"/>
          <w:lang w:val="it-IT"/>
          <w14:ligatures w14:val="standardContextual"/>
        </w:rPr>
        <w:t xml:space="preserve">La riforma delle formazioni di base professionali nel settore dell’industria meccanica, elettrotecnica e metallurgica entrerà invece in vigore nel 2026. Ciò secondo le linee direttive di </w:t>
      </w:r>
      <w:proofErr w:type="spellStart"/>
      <w:r w:rsidRPr="00F358D7">
        <w:rPr>
          <w:rFonts w:eastAsia="Aptos" w:cs="Arial"/>
          <w:kern w:val="2"/>
          <w:sz w:val="24"/>
          <w:szCs w:val="24"/>
          <w:lang w:val="it-IT"/>
          <w14:ligatures w14:val="standardContextual"/>
        </w:rPr>
        <w:t>Futuremem</w:t>
      </w:r>
      <w:proofErr w:type="spellEnd"/>
      <w:r w:rsidRPr="00F358D7">
        <w:rPr>
          <w:rFonts w:eastAsia="Aptos" w:cs="Arial"/>
          <w:kern w:val="2"/>
          <w:sz w:val="24"/>
          <w:szCs w:val="24"/>
          <w:vertAlign w:val="superscript"/>
          <w:lang w:val="it-IT"/>
          <w14:ligatures w14:val="standardContextual"/>
        </w:rPr>
        <w:footnoteReference w:id="2"/>
      </w:r>
      <w:r w:rsidRPr="00F358D7">
        <w:rPr>
          <w:rFonts w:eastAsia="Aptos" w:cs="Arial"/>
          <w:kern w:val="2"/>
          <w:sz w:val="24"/>
          <w:szCs w:val="24"/>
          <w:lang w:val="it-IT"/>
          <w14:ligatures w14:val="standardContextual"/>
        </w:rPr>
        <w:t xml:space="preserve">, secondo un progetto sulla formazione promosso dalle associazioni di categoria </w:t>
      </w:r>
      <w:proofErr w:type="spellStart"/>
      <w:r w:rsidRPr="00F358D7">
        <w:rPr>
          <w:rFonts w:eastAsia="Aptos" w:cs="Arial"/>
          <w:kern w:val="2"/>
          <w:sz w:val="24"/>
          <w:szCs w:val="24"/>
          <w:lang w:val="it-IT"/>
          <w14:ligatures w14:val="standardContextual"/>
        </w:rPr>
        <w:t>Swissmem</w:t>
      </w:r>
      <w:proofErr w:type="spellEnd"/>
      <w:r w:rsidRPr="00F358D7">
        <w:rPr>
          <w:rFonts w:eastAsia="Aptos" w:cs="Arial"/>
          <w:kern w:val="2"/>
          <w:sz w:val="24"/>
          <w:szCs w:val="24"/>
          <w:lang w:val="it-IT"/>
          <w14:ligatures w14:val="standardContextual"/>
        </w:rPr>
        <w:t xml:space="preserve"> e </w:t>
      </w:r>
      <w:proofErr w:type="spellStart"/>
      <w:r w:rsidRPr="00F358D7">
        <w:rPr>
          <w:rFonts w:eastAsia="Aptos" w:cs="Arial"/>
          <w:kern w:val="2"/>
          <w:sz w:val="24"/>
          <w:szCs w:val="24"/>
          <w:lang w:val="it-IT"/>
          <w14:ligatures w14:val="standardContextual"/>
        </w:rPr>
        <w:t>Swissmechanic</w:t>
      </w:r>
      <w:proofErr w:type="spellEnd"/>
      <w:r w:rsidRPr="00F358D7">
        <w:rPr>
          <w:rFonts w:eastAsia="Aptos" w:cs="Arial"/>
          <w:kern w:val="2"/>
          <w:sz w:val="24"/>
          <w:szCs w:val="24"/>
          <w:lang w:val="it-IT"/>
          <w14:ligatures w14:val="standardContextual"/>
        </w:rPr>
        <w:t>. Questa riforma toccherà la SAM a Bellinzona.</w:t>
      </w:r>
    </w:p>
    <w:p w:rsidR="00F358D7" w:rsidRPr="00F358D7" w:rsidRDefault="00F358D7" w:rsidP="00F358D7">
      <w:pPr>
        <w:rPr>
          <w:rFonts w:eastAsia="Aptos" w:cs="Arial"/>
          <w:kern w:val="2"/>
          <w:sz w:val="24"/>
          <w:szCs w:val="24"/>
          <w:lang w:val="it-IT"/>
          <w14:ligatures w14:val="standardContextual"/>
        </w:rPr>
      </w:pPr>
    </w:p>
    <w:p w:rsidR="00F358D7" w:rsidRPr="00F358D7" w:rsidRDefault="00F358D7" w:rsidP="00F358D7">
      <w:pPr>
        <w:rPr>
          <w:rFonts w:eastAsia="Aptos" w:cs="Arial"/>
          <w:kern w:val="2"/>
          <w:sz w:val="24"/>
          <w:szCs w:val="24"/>
          <w:lang w:val="it-IT"/>
          <w14:ligatures w14:val="standardContextual"/>
        </w:rPr>
      </w:pPr>
      <w:r w:rsidRPr="00F358D7">
        <w:rPr>
          <w:rFonts w:eastAsia="Aptos" w:cs="Arial"/>
          <w:kern w:val="2"/>
          <w:sz w:val="24"/>
          <w:szCs w:val="24"/>
          <w:lang w:val="it-IT"/>
          <w14:ligatures w14:val="standardContextual"/>
        </w:rPr>
        <w:t xml:space="preserve">Si tratta di riforme necessarie per allinearsi allo sviluppo nel settore della produzione industriale, dell’energia e della produzione high </w:t>
      </w:r>
      <w:proofErr w:type="spellStart"/>
      <w:r w:rsidRPr="00F358D7">
        <w:rPr>
          <w:rFonts w:eastAsia="Aptos" w:cs="Arial"/>
          <w:kern w:val="2"/>
          <w:sz w:val="24"/>
          <w:szCs w:val="24"/>
          <w:lang w:val="it-IT"/>
          <w14:ligatures w14:val="standardContextual"/>
        </w:rPr>
        <w:t>tech</w:t>
      </w:r>
      <w:proofErr w:type="spellEnd"/>
      <w:r w:rsidRPr="00F358D7">
        <w:rPr>
          <w:rFonts w:eastAsia="Aptos" w:cs="Arial"/>
          <w:kern w:val="2"/>
          <w:sz w:val="24"/>
          <w:szCs w:val="24"/>
          <w:lang w:val="it-IT"/>
          <w14:ligatures w14:val="standardContextual"/>
        </w:rPr>
        <w:t xml:space="preserve">. Infatti, le competenze in ambito delle tecnologie avanzate sono sempre più imprescindibili (come nella simulazione di processi, modellizzazione virtuale, IA e machine </w:t>
      </w:r>
      <w:proofErr w:type="spellStart"/>
      <w:r w:rsidRPr="00F358D7">
        <w:rPr>
          <w:rFonts w:eastAsia="Aptos" w:cs="Arial"/>
          <w:kern w:val="2"/>
          <w:sz w:val="24"/>
          <w:szCs w:val="24"/>
          <w:lang w:val="it-IT"/>
          <w14:ligatures w14:val="standardContextual"/>
        </w:rPr>
        <w:t>learning</w:t>
      </w:r>
      <w:proofErr w:type="spellEnd"/>
      <w:r w:rsidRPr="00F358D7">
        <w:rPr>
          <w:rFonts w:eastAsia="Aptos" w:cs="Arial"/>
          <w:kern w:val="2"/>
          <w:sz w:val="24"/>
          <w:szCs w:val="24"/>
          <w:lang w:val="it-IT"/>
          <w14:ligatures w14:val="standardContextual"/>
        </w:rPr>
        <w:t>, stampa 3D). Quanto invece alle azioni ripetitive e pericolose, l’automazione e la meccatronica continuano il loro sviluppo per sostituirsi agli uomini, che possono essere così orientati verso altre attività e mansioni.</w:t>
      </w:r>
    </w:p>
    <w:p w:rsidR="00F358D7" w:rsidRPr="00F358D7" w:rsidRDefault="00F358D7" w:rsidP="00F358D7">
      <w:pPr>
        <w:rPr>
          <w:rFonts w:eastAsia="Aptos" w:cs="Arial"/>
          <w:kern w:val="2"/>
          <w:sz w:val="24"/>
          <w:szCs w:val="24"/>
          <w:lang w:val="it-IT"/>
          <w14:ligatures w14:val="standardContextual"/>
        </w:rPr>
      </w:pPr>
    </w:p>
    <w:p w:rsidR="00F358D7" w:rsidRPr="00F358D7" w:rsidRDefault="00F358D7" w:rsidP="00F358D7">
      <w:pPr>
        <w:rPr>
          <w:rFonts w:eastAsia="Aptos" w:cs="Arial"/>
          <w:kern w:val="2"/>
          <w:sz w:val="24"/>
          <w:szCs w:val="24"/>
          <w:lang w:val="it-IT"/>
          <w14:ligatures w14:val="standardContextual"/>
        </w:rPr>
      </w:pPr>
      <w:r w:rsidRPr="00F358D7">
        <w:rPr>
          <w:rFonts w:eastAsia="Aptos" w:cs="Arial"/>
          <w:kern w:val="2"/>
          <w:sz w:val="24"/>
          <w:szCs w:val="24"/>
          <w:lang w:val="it-IT"/>
          <w14:ligatures w14:val="standardContextual"/>
        </w:rPr>
        <w:t>In ambito energetico emerge sempre più la necessità – ormai impellente – di nuovi profili, vista anche l’evoluzione dell’approvvigionamento energetico e delle energie rinnovabili. È dunque sempre più evidente, nonché urgente, una formazione specializzata all’altezza dello sviluppo tecnologico, delle aziende e dei loro prodotti e servizi, la cui presenza sul nostro territorio è notevole.</w:t>
      </w:r>
    </w:p>
    <w:p w:rsidR="00F358D7" w:rsidRPr="00F358D7" w:rsidRDefault="00F358D7" w:rsidP="00F358D7">
      <w:pPr>
        <w:rPr>
          <w:rFonts w:eastAsia="Aptos" w:cs="Arial"/>
          <w:kern w:val="2"/>
          <w:sz w:val="24"/>
          <w:szCs w:val="24"/>
          <w:lang w:val="it-IT"/>
          <w14:ligatures w14:val="standardContextual"/>
        </w:rPr>
      </w:pPr>
    </w:p>
    <w:p w:rsidR="00F358D7" w:rsidRPr="00F358D7" w:rsidRDefault="00F358D7" w:rsidP="00F358D7">
      <w:pPr>
        <w:rPr>
          <w:rFonts w:eastAsia="Aptos" w:cs="Arial"/>
          <w:kern w:val="2"/>
          <w:sz w:val="24"/>
          <w:szCs w:val="24"/>
          <w:lang w:val="it-IT"/>
          <w14:ligatures w14:val="standardContextual"/>
        </w:rPr>
      </w:pPr>
      <w:r w:rsidRPr="00F358D7">
        <w:rPr>
          <w:rFonts w:eastAsia="Aptos" w:cs="Arial"/>
          <w:kern w:val="2"/>
          <w:sz w:val="24"/>
          <w:szCs w:val="24"/>
          <w:lang w:val="it-IT"/>
          <w14:ligatures w14:val="standardContextual"/>
        </w:rPr>
        <w:t>Tutto ciò richiede un aggiornamento dell’offerta formativa del CPT-Bellinzona, in un contesto in continua e inarrestabile trasformazione. A Trevano, vista la nuova ordinanza entrata in vigore nel 2022, è necessario invece investire nei laboratori, anche perché l’ultimo investimento risale a oltre 10 anni fa.</w:t>
      </w:r>
    </w:p>
    <w:p w:rsidR="00F358D7" w:rsidRPr="00F358D7" w:rsidRDefault="00F358D7" w:rsidP="00F358D7">
      <w:pPr>
        <w:rPr>
          <w:rFonts w:eastAsia="Aptos" w:cs="Arial"/>
          <w:kern w:val="2"/>
          <w:sz w:val="24"/>
          <w:szCs w:val="24"/>
          <w:lang w:val="it-IT"/>
          <w14:ligatures w14:val="standardContextual"/>
        </w:rPr>
      </w:pPr>
    </w:p>
    <w:p w:rsidR="00F358D7" w:rsidRPr="00F358D7" w:rsidRDefault="00F358D7" w:rsidP="00F358D7">
      <w:pPr>
        <w:rPr>
          <w:rFonts w:eastAsia="Aptos" w:cs="Arial"/>
          <w:kern w:val="2"/>
          <w:sz w:val="24"/>
          <w:szCs w:val="24"/>
          <w:lang w:val="it-IT"/>
          <w14:ligatures w14:val="standardContextual"/>
        </w:rPr>
      </w:pPr>
    </w:p>
    <w:p w:rsidR="00F358D7" w:rsidRPr="00F358D7" w:rsidRDefault="00F358D7" w:rsidP="00F358D7">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F358D7">
        <w:rPr>
          <w:rFonts w:eastAsia="Calibri" w:cs="Times New Roman"/>
          <w:caps/>
          <w:sz w:val="24"/>
          <w:szCs w:val="24"/>
          <w:lang w:val="it-IT" w:eastAsia="it-IT"/>
        </w:rPr>
        <w:t>Le attrezzature necessarie</w:t>
      </w:r>
    </w:p>
    <w:p w:rsidR="00F358D7" w:rsidRPr="00F358D7" w:rsidRDefault="00F358D7" w:rsidP="00F358D7">
      <w:pPr>
        <w:rPr>
          <w:rFonts w:eastAsia="Aptos" w:cs="Arial"/>
          <w:kern w:val="2"/>
          <w:sz w:val="24"/>
          <w:szCs w:val="24"/>
          <w:lang w:val="it-IT"/>
          <w14:ligatures w14:val="standardContextual"/>
        </w:rPr>
      </w:pPr>
      <w:r w:rsidRPr="00F358D7">
        <w:rPr>
          <w:rFonts w:eastAsia="Aptos" w:cs="Arial"/>
          <w:kern w:val="2"/>
          <w:sz w:val="24"/>
          <w:szCs w:val="24"/>
          <w:lang w:val="it-IT"/>
          <w14:ligatures w14:val="standardContextual"/>
        </w:rPr>
        <w:t xml:space="preserve">La pianificazione prevede di sostituire al più presto una parte dell’attuale parco macchine dell’officina meccanica SAM di Bellinzona. Va evidenziato come le nuove normative innalzino gli standard di manutenzione – anche per prescrizioni relative alla sicurezza. Prosegue inoltre la trasformazione digitale dei processi e delle tecniche di produzione. </w:t>
      </w:r>
    </w:p>
    <w:p w:rsidR="00F358D7" w:rsidRPr="00F358D7" w:rsidRDefault="00F358D7" w:rsidP="00F358D7">
      <w:pPr>
        <w:rPr>
          <w:rFonts w:eastAsia="Aptos" w:cs="Arial"/>
          <w:kern w:val="2"/>
          <w:sz w:val="24"/>
          <w:szCs w:val="24"/>
          <w:lang w:val="it-IT"/>
          <w14:ligatures w14:val="standardContextual"/>
        </w:rPr>
      </w:pPr>
    </w:p>
    <w:p w:rsidR="00F358D7" w:rsidRPr="00F358D7" w:rsidRDefault="00F358D7" w:rsidP="00F358D7">
      <w:pPr>
        <w:rPr>
          <w:rFonts w:eastAsia="Aptos" w:cs="Arial"/>
          <w:kern w:val="2"/>
          <w:sz w:val="24"/>
          <w:szCs w:val="24"/>
          <w:lang w:val="it-IT"/>
          <w14:ligatures w14:val="standardContextual"/>
        </w:rPr>
      </w:pPr>
      <w:r w:rsidRPr="00F358D7">
        <w:rPr>
          <w:rFonts w:eastAsia="Aptos" w:cs="Arial"/>
          <w:kern w:val="2"/>
          <w:sz w:val="24"/>
          <w:szCs w:val="24"/>
          <w:lang w:val="it-IT"/>
          <w14:ligatures w14:val="standardContextual"/>
        </w:rPr>
        <w:t xml:space="preserve">Per quanto concerne l’area elettrotecnica, la strumentazione di base è ancora al passo coi tempi, visti gli investimenti effettuati negli ultimi anni. I dispostivi in quest’ambito hanno però un ciclo di vita piuttosto breve, essendo lo sviluppo di tecnologie e </w:t>
      </w:r>
      <w:proofErr w:type="spellStart"/>
      <w:r w:rsidRPr="00F358D7">
        <w:rPr>
          <w:rFonts w:eastAsia="Aptos" w:cs="Arial"/>
          <w:kern w:val="2"/>
          <w:sz w:val="24"/>
          <w:szCs w:val="24"/>
          <w:lang w:val="it-IT"/>
          <w14:ligatures w14:val="standardContextual"/>
        </w:rPr>
        <w:t>tools</w:t>
      </w:r>
      <w:proofErr w:type="spellEnd"/>
      <w:r w:rsidRPr="00F358D7">
        <w:rPr>
          <w:rFonts w:eastAsia="Aptos" w:cs="Arial"/>
          <w:kern w:val="2"/>
          <w:sz w:val="24"/>
          <w:szCs w:val="24"/>
          <w:lang w:val="it-IT"/>
          <w14:ligatures w14:val="standardContextual"/>
        </w:rPr>
        <w:t xml:space="preserve"> molto rapido: occorrono quindi investimenti regolari nel tempo.</w:t>
      </w:r>
    </w:p>
    <w:p w:rsidR="00F358D7" w:rsidRPr="00F358D7" w:rsidRDefault="00F358D7" w:rsidP="00F358D7">
      <w:pPr>
        <w:rPr>
          <w:rFonts w:eastAsia="Aptos" w:cs="Arial"/>
          <w:kern w:val="2"/>
          <w:sz w:val="24"/>
          <w:szCs w:val="24"/>
          <w:lang w:val="it-IT"/>
          <w14:ligatures w14:val="standardContextual"/>
        </w:rPr>
      </w:pPr>
    </w:p>
    <w:p w:rsidR="00F358D7" w:rsidRPr="00F358D7" w:rsidRDefault="00F358D7" w:rsidP="00F358D7">
      <w:pPr>
        <w:rPr>
          <w:rFonts w:eastAsia="Aptos" w:cs="Arial"/>
          <w:kern w:val="2"/>
          <w:sz w:val="24"/>
          <w:szCs w:val="24"/>
          <w:lang w:val="it-IT"/>
          <w14:ligatures w14:val="standardContextual"/>
        </w:rPr>
      </w:pPr>
      <w:r w:rsidRPr="00F358D7">
        <w:rPr>
          <w:rFonts w:eastAsia="Aptos" w:cs="Arial"/>
          <w:kern w:val="2"/>
          <w:sz w:val="24"/>
          <w:szCs w:val="24"/>
          <w:lang w:val="it-IT"/>
          <w14:ligatures w14:val="standardContextual"/>
        </w:rPr>
        <w:t xml:space="preserve">Nell’area di formazione SSST è necessario sostituire i dispositivi elettrotecnici obsoleti, in particolare per quelli nella progettazione di sistemi per la trasmissione e l’utilizzo </w:t>
      </w:r>
      <w:r w:rsidRPr="00F358D7">
        <w:rPr>
          <w:rFonts w:eastAsia="Aptos" w:cs="Arial"/>
          <w:kern w:val="2"/>
          <w:sz w:val="24"/>
          <w:szCs w:val="24"/>
          <w:lang w:val="it-IT"/>
          <w14:ligatures w14:val="standardContextual"/>
        </w:rPr>
        <w:lastRenderedPageBreak/>
        <w:t>dell’energia elettrica (motori elettrici, generatori, circuiti di controllo, sistemi di monitoraggio).</w:t>
      </w:r>
    </w:p>
    <w:p w:rsidR="00F358D7" w:rsidRPr="00F358D7" w:rsidRDefault="00F358D7" w:rsidP="00F358D7">
      <w:pPr>
        <w:rPr>
          <w:rFonts w:eastAsia="Aptos" w:cs="Arial"/>
          <w:kern w:val="2"/>
          <w:sz w:val="24"/>
          <w:szCs w:val="24"/>
          <w:lang w:val="it-IT"/>
          <w14:ligatures w14:val="standardContextual"/>
        </w:rPr>
      </w:pPr>
    </w:p>
    <w:p w:rsidR="00F358D7" w:rsidRPr="00F358D7" w:rsidRDefault="00F358D7" w:rsidP="00F358D7">
      <w:pPr>
        <w:rPr>
          <w:rFonts w:eastAsia="Aptos" w:cs="Arial"/>
          <w:kern w:val="2"/>
          <w:sz w:val="24"/>
          <w:szCs w:val="24"/>
          <w:lang w:val="it-IT"/>
          <w14:ligatures w14:val="standardContextual"/>
        </w:rPr>
      </w:pPr>
      <w:r w:rsidRPr="00F358D7">
        <w:rPr>
          <w:rFonts w:eastAsia="Aptos" w:cs="Arial"/>
          <w:kern w:val="2"/>
          <w:sz w:val="24"/>
          <w:szCs w:val="24"/>
          <w:lang w:val="it-IT"/>
          <w14:ligatures w14:val="standardContextual"/>
        </w:rPr>
        <w:t>Inoltre, devono essere rinnovati e ampliati i laboratori della SAM di Trevano, anche per quanto concerne l’evoluzione del numero di classi e della professione.</w:t>
      </w:r>
    </w:p>
    <w:p w:rsidR="00F358D7" w:rsidRPr="00F358D7" w:rsidRDefault="00F358D7" w:rsidP="00F358D7">
      <w:pPr>
        <w:jc w:val="left"/>
        <w:rPr>
          <w:rFonts w:eastAsia="Aptos" w:cs="Arial"/>
          <w:kern w:val="2"/>
          <w:sz w:val="24"/>
          <w:szCs w:val="24"/>
          <w:lang w:val="it-IT"/>
          <w14:ligatures w14:val="standardContextual"/>
        </w:rPr>
      </w:pPr>
    </w:p>
    <w:p w:rsidR="00F358D7" w:rsidRPr="00F358D7" w:rsidRDefault="00F358D7" w:rsidP="00F358D7">
      <w:pPr>
        <w:rPr>
          <w:rFonts w:eastAsia="Aptos" w:cs="Arial"/>
          <w:kern w:val="2"/>
          <w:sz w:val="24"/>
          <w:szCs w:val="24"/>
          <w:lang w:val="it-IT"/>
          <w14:ligatures w14:val="standardContextual"/>
        </w:rPr>
      </w:pPr>
    </w:p>
    <w:p w:rsidR="00F358D7" w:rsidRPr="00F358D7" w:rsidRDefault="00F358D7" w:rsidP="00F358D7">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F358D7">
        <w:rPr>
          <w:rFonts w:eastAsia="Calibri" w:cs="Times New Roman"/>
          <w:caps/>
          <w:sz w:val="24"/>
          <w:szCs w:val="24"/>
          <w:lang w:val="it-IT" w:eastAsia="it-IT"/>
        </w:rPr>
        <w:t>Manutenzione</w:t>
      </w:r>
    </w:p>
    <w:p w:rsidR="00F358D7" w:rsidRPr="00F358D7" w:rsidRDefault="00F358D7" w:rsidP="00F358D7">
      <w:pPr>
        <w:rPr>
          <w:rFonts w:eastAsia="Aptos" w:cs="Arial"/>
          <w:kern w:val="2"/>
          <w:sz w:val="24"/>
          <w:szCs w:val="24"/>
          <w:lang w:val="it-IT"/>
          <w14:ligatures w14:val="standardContextual"/>
        </w:rPr>
      </w:pPr>
      <w:r w:rsidRPr="00F358D7">
        <w:rPr>
          <w:rFonts w:eastAsia="Aptos" w:cs="Arial"/>
          <w:kern w:val="2"/>
          <w:sz w:val="24"/>
          <w:szCs w:val="24"/>
          <w:lang w:val="it-IT"/>
          <w14:ligatures w14:val="standardContextual"/>
        </w:rPr>
        <w:t xml:space="preserve">Oggigiorno gli standard sono estremamente elevati quando si tratta della cura delle macchine e della sicurezza. La manutenzione nel settore della meccanica, quando possibile, è svolta dagli allievi – sotto la supervisione dei docenti (la manutenzione straordinaria è invece affidata a ditte specializzate). </w:t>
      </w:r>
    </w:p>
    <w:p w:rsidR="00F358D7" w:rsidRPr="00F358D7" w:rsidRDefault="00F358D7" w:rsidP="00F358D7">
      <w:pPr>
        <w:rPr>
          <w:rFonts w:eastAsia="Aptos" w:cs="Arial"/>
          <w:kern w:val="2"/>
          <w:sz w:val="24"/>
          <w:szCs w:val="24"/>
          <w:lang w:val="it-IT"/>
          <w14:ligatures w14:val="standardContextual"/>
        </w:rPr>
      </w:pPr>
      <w:r w:rsidRPr="00F358D7">
        <w:rPr>
          <w:rFonts w:eastAsia="Aptos" w:cs="Arial"/>
          <w:kern w:val="2"/>
          <w:sz w:val="24"/>
          <w:szCs w:val="24"/>
          <w:lang w:val="it-IT"/>
          <w14:ligatures w14:val="standardContextual"/>
        </w:rPr>
        <w:t>Per l’elettrotecnica, la manutenzione comporta una regolare calibrazione e verifica degli strumenti e degli apparecchi; ciò che permette tra l’altro di dover procedere troppo spesso alla loro sostituzione (se più onerosa).</w:t>
      </w:r>
    </w:p>
    <w:p w:rsidR="00F358D7" w:rsidRPr="00F358D7" w:rsidRDefault="00F358D7" w:rsidP="00F358D7">
      <w:pPr>
        <w:jc w:val="left"/>
        <w:rPr>
          <w:rFonts w:eastAsia="Aptos" w:cs="Arial"/>
          <w:kern w:val="2"/>
          <w:sz w:val="24"/>
          <w:szCs w:val="24"/>
          <w:lang w:val="it-IT"/>
          <w14:ligatures w14:val="standardContextual"/>
        </w:rPr>
      </w:pPr>
    </w:p>
    <w:p w:rsidR="00F358D7" w:rsidRPr="00F358D7" w:rsidRDefault="00F358D7" w:rsidP="00F358D7">
      <w:pPr>
        <w:jc w:val="left"/>
        <w:rPr>
          <w:rFonts w:eastAsia="Aptos" w:cs="Arial"/>
          <w:b/>
          <w:bCs/>
          <w:kern w:val="2"/>
          <w:sz w:val="24"/>
          <w:szCs w:val="24"/>
          <w:lang w:val="it-IT"/>
          <w14:ligatures w14:val="standardContextual"/>
        </w:rPr>
      </w:pPr>
    </w:p>
    <w:p w:rsidR="00F358D7" w:rsidRPr="00F358D7" w:rsidRDefault="00F358D7" w:rsidP="00F358D7">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F358D7">
        <w:rPr>
          <w:rFonts w:eastAsia="Calibri" w:cs="Times New Roman"/>
          <w:caps/>
          <w:sz w:val="24"/>
          <w:szCs w:val="24"/>
          <w:lang w:val="it-IT" w:eastAsia="it-IT"/>
        </w:rPr>
        <w:t>Potenziamento</w:t>
      </w:r>
    </w:p>
    <w:p w:rsidR="00F358D7" w:rsidRPr="00F358D7" w:rsidRDefault="00F358D7" w:rsidP="00F358D7">
      <w:pPr>
        <w:rPr>
          <w:rFonts w:eastAsia="Aptos" w:cs="Arial"/>
          <w:kern w:val="2"/>
          <w:sz w:val="24"/>
          <w:szCs w:val="24"/>
          <w:lang w:val="it-IT"/>
          <w14:ligatures w14:val="standardContextual"/>
        </w:rPr>
      </w:pPr>
      <w:r w:rsidRPr="00F358D7">
        <w:rPr>
          <w:rFonts w:eastAsia="Aptos" w:cs="Arial"/>
          <w:kern w:val="2"/>
          <w:sz w:val="24"/>
          <w:szCs w:val="24"/>
          <w:lang w:val="it-IT"/>
          <w14:ligatures w14:val="standardContextual"/>
        </w:rPr>
        <w:t xml:space="preserve">Per un insegnamento al passo coi tempi, nel settore della meccanica è necessario dotarsi delle nuove tecnologie (v. macchine CNC, macchine utensili </w:t>
      </w:r>
      <w:proofErr w:type="spellStart"/>
      <w:r w:rsidRPr="00F358D7">
        <w:rPr>
          <w:rFonts w:eastAsia="Aptos" w:cs="Arial"/>
          <w:kern w:val="2"/>
          <w:sz w:val="24"/>
          <w:szCs w:val="24"/>
          <w:lang w:val="it-IT"/>
          <w14:ligatures w14:val="standardContextual"/>
        </w:rPr>
        <w:t>smart</w:t>
      </w:r>
      <w:proofErr w:type="spellEnd"/>
      <w:r w:rsidRPr="00F358D7">
        <w:rPr>
          <w:rFonts w:eastAsia="Aptos" w:cs="Arial"/>
          <w:kern w:val="2"/>
          <w:sz w:val="24"/>
          <w:szCs w:val="24"/>
          <w:lang w:val="it-IT"/>
          <w14:ligatures w14:val="standardContextual"/>
        </w:rPr>
        <w:t xml:space="preserve">, eccetera). Le attrezzature di nuova generazione sono anche più efficienti dal punto di vista energetico. Nell’ambito dell’elettrotecnica, invece, gli investimenti saranno nella creazione di sistemi didattici per sviluppare competenze professionali nell’ambito dell’automazione e dell’energia rinnovabile. </w:t>
      </w:r>
    </w:p>
    <w:p w:rsidR="00F358D7" w:rsidRPr="00F358D7" w:rsidRDefault="00F358D7" w:rsidP="00F358D7">
      <w:pPr>
        <w:rPr>
          <w:rFonts w:eastAsia="Aptos" w:cs="Arial"/>
          <w:kern w:val="2"/>
          <w:sz w:val="24"/>
          <w:szCs w:val="24"/>
          <w:lang w:val="it-IT"/>
          <w14:ligatures w14:val="standardContextual"/>
        </w:rPr>
      </w:pPr>
      <w:r w:rsidRPr="00F358D7">
        <w:rPr>
          <w:rFonts w:eastAsia="Aptos" w:cs="Arial"/>
          <w:kern w:val="2"/>
          <w:sz w:val="24"/>
          <w:szCs w:val="24"/>
          <w:lang w:val="it-IT"/>
          <w14:ligatures w14:val="standardContextual"/>
        </w:rPr>
        <w:t>Si proseguirà inoltre nella realizzazione e realizzazione di postazioni di lavoro ergonomiche, con moderne connessioni all’infrastruttura informatica, nonché l’acquisto di strumentazione per lo sviluppo e la realizzazione di circuiti stampati prototipali.</w:t>
      </w:r>
    </w:p>
    <w:p w:rsidR="00F358D7" w:rsidRPr="00F358D7" w:rsidRDefault="00F358D7" w:rsidP="00F358D7">
      <w:pPr>
        <w:jc w:val="left"/>
        <w:rPr>
          <w:rFonts w:eastAsia="Aptos" w:cs="Arial"/>
          <w:kern w:val="2"/>
          <w:sz w:val="24"/>
          <w:szCs w:val="24"/>
          <w:lang w:val="it-IT"/>
          <w14:ligatures w14:val="standardContextual"/>
        </w:rPr>
      </w:pPr>
    </w:p>
    <w:p w:rsidR="00F358D7" w:rsidRPr="00F358D7" w:rsidRDefault="00F358D7" w:rsidP="00F358D7">
      <w:pPr>
        <w:jc w:val="left"/>
        <w:rPr>
          <w:rFonts w:eastAsia="Aptos" w:cs="Arial"/>
          <w:kern w:val="2"/>
          <w:sz w:val="24"/>
          <w:szCs w:val="24"/>
          <w:lang w:val="it-IT"/>
          <w14:ligatures w14:val="standardContextual"/>
        </w:rPr>
      </w:pPr>
    </w:p>
    <w:p w:rsidR="00F358D7" w:rsidRPr="00F358D7" w:rsidRDefault="00F358D7" w:rsidP="00F358D7">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F358D7">
        <w:rPr>
          <w:rFonts w:eastAsia="Calibri" w:cs="Times New Roman"/>
          <w:caps/>
          <w:sz w:val="24"/>
          <w:szCs w:val="24"/>
          <w:lang w:val="it-IT" w:eastAsia="it-IT"/>
        </w:rPr>
        <w:t>Utenti</w:t>
      </w:r>
    </w:p>
    <w:p w:rsidR="00F358D7" w:rsidRPr="00F358D7" w:rsidRDefault="00F358D7" w:rsidP="00F358D7">
      <w:pPr>
        <w:rPr>
          <w:rFonts w:eastAsia="Aptos" w:cs="Arial"/>
          <w:kern w:val="2"/>
          <w:sz w:val="24"/>
          <w:szCs w:val="24"/>
          <w:lang w:val="it-IT"/>
          <w14:ligatures w14:val="standardContextual"/>
        </w:rPr>
      </w:pPr>
      <w:r w:rsidRPr="00F358D7">
        <w:rPr>
          <w:rFonts w:eastAsia="Aptos" w:cs="Arial"/>
          <w:kern w:val="2"/>
          <w:sz w:val="24"/>
          <w:szCs w:val="24"/>
          <w:lang w:val="it-IT"/>
          <w14:ligatures w14:val="standardContextual"/>
        </w:rPr>
        <w:t>Come detto, le attrezzature didattiche e scientifiche toccate dalla richiesta di credito sono destinate alla formazione di base degli allievi della SAM e alla formazione superiore degli studenti SSST. Ma sono pure utilizzate in parte per l’acquisto di materiale didattico per le attività orientative/formative degli allievi delle scuole medie, nonché per il perfezionamento e la riqualifica professionale.</w:t>
      </w:r>
    </w:p>
    <w:p w:rsidR="00F358D7" w:rsidRDefault="00F358D7" w:rsidP="00F358D7">
      <w:pPr>
        <w:jc w:val="left"/>
        <w:rPr>
          <w:rFonts w:eastAsia="Aptos" w:cs="Arial"/>
          <w:kern w:val="2"/>
          <w:sz w:val="24"/>
          <w:szCs w:val="24"/>
          <w:lang w:val="it-IT"/>
          <w14:ligatures w14:val="standardContextual"/>
        </w:rPr>
      </w:pPr>
    </w:p>
    <w:p w:rsidR="00F358D7" w:rsidRPr="00F358D7" w:rsidRDefault="00F358D7" w:rsidP="00F358D7">
      <w:pPr>
        <w:jc w:val="left"/>
        <w:rPr>
          <w:rFonts w:eastAsia="Aptos" w:cs="Arial"/>
          <w:kern w:val="2"/>
          <w:sz w:val="24"/>
          <w:szCs w:val="24"/>
          <w:lang w:val="it-IT"/>
          <w14:ligatures w14:val="standardContextual"/>
        </w:rPr>
      </w:pPr>
    </w:p>
    <w:p w:rsidR="00F358D7" w:rsidRPr="00F358D7" w:rsidRDefault="00F358D7" w:rsidP="00F358D7">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F358D7">
        <w:rPr>
          <w:rFonts w:eastAsia="Calibri" w:cs="Times New Roman"/>
          <w:caps/>
          <w:sz w:val="24"/>
          <w:szCs w:val="24"/>
          <w:lang w:val="it-IT" w:eastAsia="it-IT"/>
        </w:rPr>
        <w:t>Pianificazione di acquisizione</w:t>
      </w:r>
    </w:p>
    <w:p w:rsidR="00F358D7" w:rsidRPr="00F358D7" w:rsidRDefault="00F358D7" w:rsidP="00F358D7">
      <w:pPr>
        <w:jc w:val="left"/>
        <w:rPr>
          <w:rFonts w:eastAsia="Aptos" w:cs="Arial"/>
          <w:kern w:val="2"/>
          <w:sz w:val="24"/>
          <w:szCs w:val="24"/>
          <w:lang w:val="it-IT"/>
          <w14:ligatures w14:val="standardContextual"/>
        </w:rPr>
      </w:pPr>
      <w:r w:rsidRPr="00F358D7">
        <w:rPr>
          <w:rFonts w:eastAsia="Aptos" w:cs="Arial"/>
          <w:kern w:val="2"/>
          <w:sz w:val="24"/>
          <w:szCs w:val="24"/>
          <w:lang w:val="it-IT"/>
          <w14:ligatures w14:val="standardContextual"/>
        </w:rPr>
        <w:t>Nella seguente tabella si indica la pianificazione (indicativa) delle attrezzature previste nel quadriennio 2024-2027, prestando attenzione alla razionalizzazione della spesa. L’acquisto delle attrezzature comporta un investimento complessivo di 2'500'000 franchi (IVA inclusa).</w:t>
      </w:r>
    </w:p>
    <w:p w:rsidR="00F358D7" w:rsidRPr="00F358D7" w:rsidRDefault="00F358D7" w:rsidP="00F358D7">
      <w:pPr>
        <w:rPr>
          <w:rFonts w:eastAsia="Aptos" w:cs="Arial"/>
          <w:kern w:val="2"/>
          <w:sz w:val="24"/>
          <w:szCs w:val="24"/>
          <w:lang w:val="it-IT"/>
          <w14:ligatures w14:val="standardContextual"/>
        </w:rPr>
      </w:pPr>
    </w:p>
    <w:p w:rsidR="00F358D7" w:rsidRPr="00F358D7" w:rsidRDefault="00F358D7" w:rsidP="00F358D7">
      <w:pPr>
        <w:rPr>
          <w:rFonts w:eastAsia="Aptos" w:cs="Arial"/>
          <w:kern w:val="2"/>
          <w:sz w:val="24"/>
          <w:szCs w:val="24"/>
          <w:lang w:val="it-IT"/>
          <w14:ligatures w14:val="standardContextual"/>
        </w:rPr>
      </w:pPr>
      <w:r w:rsidRPr="00F358D7">
        <w:rPr>
          <w:rFonts w:eastAsia="Aptos" w:cs="Arial"/>
          <w:kern w:val="2"/>
          <w:sz w:val="24"/>
          <w:szCs w:val="24"/>
          <w:lang w:val="it-IT"/>
          <w14:ligatures w14:val="standardContextual"/>
        </w:rPr>
        <w:t xml:space="preserve">L’acquisizione delle attrezzature non determina alcun aumento degli attuali costi d’esercizio – salvo oneri finanziari e ammortamenti. Inoltre, non richiede un aumento di personale docente o amministrativo. Sulla gestione corrente non ci sono conseguenze </w:t>
      </w:r>
      <w:r w:rsidRPr="00F358D7">
        <w:rPr>
          <w:rFonts w:eastAsia="Aptos" w:cs="Arial"/>
          <w:kern w:val="2"/>
          <w:sz w:val="24"/>
          <w:szCs w:val="24"/>
          <w:lang w:val="it-IT"/>
          <w14:ligatures w14:val="standardContextual"/>
        </w:rPr>
        <w:lastRenderedPageBreak/>
        <w:t xml:space="preserve">finanziarie e le nuove attrezzature non determinano mediamente maggiori spese in materia di energia, materiale d’uso o manutenzione rispetto alle attrezzature da sostituire. </w:t>
      </w:r>
    </w:p>
    <w:p w:rsidR="00F358D7" w:rsidRPr="00F358D7" w:rsidRDefault="00F358D7" w:rsidP="00F358D7">
      <w:pPr>
        <w:jc w:val="left"/>
        <w:rPr>
          <w:rFonts w:eastAsia="Aptos" w:cs="Arial"/>
          <w:kern w:val="2"/>
          <w:sz w:val="24"/>
          <w:szCs w:val="24"/>
          <w:lang w:val="it-IT"/>
          <w14:ligatures w14:val="standardContextual"/>
        </w:rPr>
      </w:pPr>
    </w:p>
    <w:p w:rsidR="00F358D7" w:rsidRPr="00F358D7" w:rsidRDefault="00F358D7" w:rsidP="00F358D7">
      <w:pPr>
        <w:jc w:val="left"/>
        <w:rPr>
          <w:rFonts w:eastAsia="Aptos" w:cs="Arial"/>
          <w:kern w:val="2"/>
          <w:sz w:val="24"/>
          <w:szCs w:val="24"/>
          <w:lang w:val="it-IT"/>
          <w14:ligatures w14:val="standardContextual"/>
        </w:rPr>
      </w:pPr>
      <w:r w:rsidRPr="00F358D7">
        <w:rPr>
          <w:rFonts w:eastAsia="Aptos" w:cs="Arial"/>
          <w:noProof/>
          <w:kern w:val="2"/>
          <w:sz w:val="24"/>
          <w:szCs w:val="24"/>
          <w:lang w:eastAsia="it-CH"/>
          <w14:ligatures w14:val="standardContextual"/>
        </w:rPr>
        <w:drawing>
          <wp:anchor distT="0" distB="0" distL="114300" distR="114300" simplePos="0" relativeHeight="251659264" behindDoc="0" locked="0" layoutInCell="1" allowOverlap="1" wp14:anchorId="0C729F61" wp14:editId="2458F11B">
            <wp:simplePos x="0" y="0"/>
            <wp:positionH relativeFrom="column">
              <wp:posOffset>22225</wp:posOffset>
            </wp:positionH>
            <wp:positionV relativeFrom="paragraph">
              <wp:posOffset>225425</wp:posOffset>
            </wp:positionV>
            <wp:extent cx="6119495" cy="4589780"/>
            <wp:effectExtent l="0" t="0" r="1905" b="0"/>
            <wp:wrapTopAndBottom/>
            <wp:docPr id="1846189842" name="Immagine 1" descr="Immagine che contiene testo, schermata, numer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189842" name="Immagine 1" descr="Immagine che contiene testo, schermata, numero, Carattere&#10;&#10;Descrizione generat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6119495" cy="4589780"/>
                    </a:xfrm>
                    <a:prstGeom prst="rect">
                      <a:avLst/>
                    </a:prstGeom>
                  </pic:spPr>
                </pic:pic>
              </a:graphicData>
            </a:graphic>
            <wp14:sizeRelH relativeFrom="page">
              <wp14:pctWidth>0</wp14:pctWidth>
            </wp14:sizeRelH>
            <wp14:sizeRelV relativeFrom="page">
              <wp14:pctHeight>0</wp14:pctHeight>
            </wp14:sizeRelV>
          </wp:anchor>
        </w:drawing>
      </w:r>
      <w:r w:rsidRPr="00F358D7">
        <w:rPr>
          <w:rFonts w:eastAsia="Aptos" w:cs="Arial"/>
          <w:kern w:val="2"/>
          <w:sz w:val="24"/>
          <w:szCs w:val="24"/>
          <w:lang w:val="it-IT"/>
          <w14:ligatures w14:val="standardContextual"/>
        </w:rPr>
        <w:t>CPT Bellinzona</w:t>
      </w:r>
      <w:r w:rsidRPr="00F358D7">
        <w:rPr>
          <w:rFonts w:eastAsia="Aptos" w:cs="Arial"/>
          <w:noProof/>
          <w:kern w:val="2"/>
          <w:sz w:val="24"/>
          <w:szCs w:val="24"/>
          <w:lang w:eastAsia="it-CH"/>
          <w14:ligatures w14:val="standardContextual"/>
        </w:rPr>
        <w:drawing>
          <wp:inline distT="0" distB="0" distL="0" distR="0" wp14:anchorId="03265A60" wp14:editId="7165C5E0">
            <wp:extent cx="6120130" cy="631190"/>
            <wp:effectExtent l="0" t="0" r="1270" b="3810"/>
            <wp:docPr id="194793351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933511" name="Immagine 1947933511"/>
                    <pic:cNvPicPr/>
                  </pic:nvPicPr>
                  <pic:blipFill>
                    <a:blip r:embed="rId12">
                      <a:extLst>
                        <a:ext uri="{28A0092B-C50C-407E-A947-70E740481C1C}">
                          <a14:useLocalDpi xmlns:a14="http://schemas.microsoft.com/office/drawing/2010/main" val="0"/>
                        </a:ext>
                      </a:extLst>
                    </a:blip>
                    <a:stretch>
                      <a:fillRect/>
                    </a:stretch>
                  </pic:blipFill>
                  <pic:spPr>
                    <a:xfrm>
                      <a:off x="0" y="0"/>
                      <a:ext cx="6120130" cy="631190"/>
                    </a:xfrm>
                    <a:prstGeom prst="rect">
                      <a:avLst/>
                    </a:prstGeom>
                  </pic:spPr>
                </pic:pic>
              </a:graphicData>
            </a:graphic>
          </wp:inline>
        </w:drawing>
      </w:r>
    </w:p>
    <w:p w:rsidR="00F358D7" w:rsidRDefault="00F358D7" w:rsidP="00F358D7">
      <w:pPr>
        <w:jc w:val="left"/>
        <w:rPr>
          <w:rFonts w:eastAsia="Aptos" w:cs="Arial"/>
          <w:kern w:val="2"/>
          <w:sz w:val="24"/>
          <w:szCs w:val="24"/>
          <w:lang w:val="it-IT"/>
          <w14:ligatures w14:val="standardContextual"/>
        </w:rPr>
      </w:pPr>
    </w:p>
    <w:p w:rsidR="00F358D7" w:rsidRPr="00F358D7" w:rsidRDefault="00F358D7" w:rsidP="00F358D7">
      <w:pPr>
        <w:jc w:val="left"/>
        <w:rPr>
          <w:rFonts w:eastAsia="Aptos" w:cs="Arial"/>
          <w:b/>
          <w:bCs/>
          <w:kern w:val="2"/>
          <w:sz w:val="24"/>
          <w:szCs w:val="24"/>
          <w:lang w:val="it-IT"/>
          <w14:ligatures w14:val="standardContextual"/>
        </w:rPr>
      </w:pPr>
      <w:r w:rsidRPr="00F358D7">
        <w:rPr>
          <w:rFonts w:eastAsia="Aptos" w:cs="Arial"/>
          <w:b/>
          <w:bCs/>
          <w:noProof/>
          <w:kern w:val="2"/>
          <w:sz w:val="24"/>
          <w:szCs w:val="24"/>
          <w:lang w:eastAsia="it-CH"/>
          <w14:ligatures w14:val="standardContextual"/>
        </w:rPr>
        <w:lastRenderedPageBreak/>
        <w:drawing>
          <wp:anchor distT="0" distB="0" distL="114300" distR="114300" simplePos="0" relativeHeight="251660288" behindDoc="0" locked="0" layoutInCell="1" allowOverlap="1" wp14:anchorId="68651AA3" wp14:editId="09BBBE27">
            <wp:simplePos x="0" y="0"/>
            <wp:positionH relativeFrom="column">
              <wp:posOffset>2540</wp:posOffset>
            </wp:positionH>
            <wp:positionV relativeFrom="paragraph">
              <wp:posOffset>290476</wp:posOffset>
            </wp:positionV>
            <wp:extent cx="6120130" cy="2455545"/>
            <wp:effectExtent l="0" t="0" r="1270" b="0"/>
            <wp:wrapTopAndBottom/>
            <wp:docPr id="1420530284" name="Immagine 3" descr="Immagine che contiene testo, schermata, Carattere,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530284" name="Immagine 3" descr="Immagine che contiene testo, schermata, Carattere, numero&#10;&#10;Descrizione generata automaticamente"/>
                    <pic:cNvPicPr/>
                  </pic:nvPicPr>
                  <pic:blipFill>
                    <a:blip r:embed="rId13">
                      <a:extLst>
                        <a:ext uri="{28A0092B-C50C-407E-A947-70E740481C1C}">
                          <a14:useLocalDpi xmlns:a14="http://schemas.microsoft.com/office/drawing/2010/main" val="0"/>
                        </a:ext>
                      </a:extLst>
                    </a:blip>
                    <a:stretch>
                      <a:fillRect/>
                    </a:stretch>
                  </pic:blipFill>
                  <pic:spPr>
                    <a:xfrm>
                      <a:off x="0" y="0"/>
                      <a:ext cx="6120130" cy="2455545"/>
                    </a:xfrm>
                    <a:prstGeom prst="rect">
                      <a:avLst/>
                    </a:prstGeom>
                  </pic:spPr>
                </pic:pic>
              </a:graphicData>
            </a:graphic>
            <wp14:sizeRelH relativeFrom="page">
              <wp14:pctWidth>0</wp14:pctWidth>
            </wp14:sizeRelH>
            <wp14:sizeRelV relativeFrom="page">
              <wp14:pctHeight>0</wp14:pctHeight>
            </wp14:sizeRelV>
          </wp:anchor>
        </w:drawing>
      </w:r>
      <w:r w:rsidRPr="00F358D7">
        <w:rPr>
          <w:rFonts w:eastAsia="Aptos" w:cs="Arial"/>
          <w:b/>
          <w:bCs/>
          <w:kern w:val="2"/>
          <w:sz w:val="24"/>
          <w:szCs w:val="24"/>
          <w:lang w:val="it-IT"/>
          <w14:ligatures w14:val="standardContextual"/>
        </w:rPr>
        <w:t>CPT Trevano</w:t>
      </w:r>
    </w:p>
    <w:p w:rsidR="00F358D7" w:rsidRPr="00F358D7" w:rsidRDefault="00F358D7" w:rsidP="00F358D7">
      <w:pPr>
        <w:jc w:val="left"/>
        <w:rPr>
          <w:rFonts w:eastAsia="Aptos" w:cs="Arial"/>
          <w:kern w:val="2"/>
          <w:sz w:val="24"/>
          <w:szCs w:val="24"/>
          <w:lang w:val="it-IT"/>
          <w14:ligatures w14:val="standardContextual"/>
        </w:rPr>
      </w:pPr>
      <w:bookmarkStart w:id="0" w:name="_GoBack"/>
      <w:bookmarkEnd w:id="0"/>
    </w:p>
    <w:p w:rsidR="00F358D7" w:rsidRPr="00F358D7" w:rsidRDefault="00F358D7" w:rsidP="00F358D7">
      <w:pPr>
        <w:jc w:val="left"/>
        <w:rPr>
          <w:rFonts w:eastAsia="Aptos" w:cs="Arial"/>
          <w:kern w:val="2"/>
          <w:sz w:val="24"/>
          <w:szCs w:val="24"/>
          <w:lang w:val="it-IT"/>
          <w14:ligatures w14:val="standardContextual"/>
        </w:rPr>
      </w:pPr>
    </w:p>
    <w:p w:rsidR="00F358D7" w:rsidRPr="00F358D7" w:rsidRDefault="00F358D7" w:rsidP="00F358D7">
      <w:pPr>
        <w:rPr>
          <w:rFonts w:eastAsia="Aptos" w:cs="Arial"/>
          <w:kern w:val="2"/>
          <w:sz w:val="24"/>
          <w:szCs w:val="24"/>
          <w:lang w:val="it-IT"/>
          <w14:ligatures w14:val="standardContextual"/>
        </w:rPr>
      </w:pPr>
      <w:r w:rsidRPr="00F358D7">
        <w:rPr>
          <w:rFonts w:eastAsia="Aptos" w:cs="Arial"/>
          <w:kern w:val="2"/>
          <w:sz w:val="24"/>
          <w:szCs w:val="24"/>
          <w:lang w:val="it-IT"/>
          <w14:ligatures w14:val="standardContextual"/>
        </w:rPr>
        <w:t>Quanto alle linee direttive, gli investimenti sono coerenti con gli obiettivi n. 24 e 25 dell’asse strategico 3 “Qualità della vita” della legislatura scorsa e con la bozza delle linee direttive per il quadriennio in corso, nelle quali il Consiglio di Stato intende rafforzare la formazione professionale in Ticino.</w:t>
      </w:r>
    </w:p>
    <w:p w:rsidR="00F358D7" w:rsidRPr="00F358D7" w:rsidRDefault="00F358D7" w:rsidP="00F358D7">
      <w:pPr>
        <w:jc w:val="left"/>
        <w:rPr>
          <w:rFonts w:eastAsia="Aptos" w:cs="Arial"/>
          <w:kern w:val="2"/>
          <w:sz w:val="24"/>
          <w:szCs w:val="24"/>
          <w:lang w:val="it-IT"/>
          <w14:ligatures w14:val="standardContextual"/>
        </w:rPr>
      </w:pPr>
    </w:p>
    <w:p w:rsidR="00F358D7" w:rsidRPr="00F358D7" w:rsidRDefault="00F358D7" w:rsidP="00F358D7">
      <w:pPr>
        <w:jc w:val="left"/>
        <w:rPr>
          <w:rFonts w:eastAsia="Aptos" w:cs="Arial"/>
          <w:kern w:val="2"/>
          <w:sz w:val="24"/>
          <w:szCs w:val="24"/>
          <w:lang w:val="it-IT"/>
          <w14:ligatures w14:val="standardContextual"/>
        </w:rPr>
      </w:pPr>
      <w:r w:rsidRPr="00F358D7">
        <w:rPr>
          <w:rFonts w:eastAsia="Aptos" w:cs="Arial"/>
          <w:kern w:val="2"/>
          <w:sz w:val="24"/>
          <w:szCs w:val="24"/>
          <w:lang w:val="it-IT"/>
          <w14:ligatures w14:val="standardContextual"/>
        </w:rPr>
        <w:t xml:space="preserve">Oneri finanziari e ammortamenti sono già contemplati dal Piano finanziario della gestione corrente. </w:t>
      </w:r>
    </w:p>
    <w:p w:rsidR="00F358D7" w:rsidRPr="00F358D7" w:rsidRDefault="00F358D7" w:rsidP="00F358D7">
      <w:pPr>
        <w:jc w:val="left"/>
        <w:rPr>
          <w:rFonts w:eastAsia="Aptos" w:cs="Arial"/>
          <w:kern w:val="2"/>
          <w:sz w:val="24"/>
          <w:szCs w:val="24"/>
          <w:lang w:val="it-IT"/>
          <w14:ligatures w14:val="standardContextual"/>
        </w:rPr>
      </w:pPr>
    </w:p>
    <w:p w:rsidR="00497E0D" w:rsidRPr="00F358D7" w:rsidRDefault="00497E0D" w:rsidP="00F358D7">
      <w:pPr>
        <w:jc w:val="left"/>
        <w:rPr>
          <w:rFonts w:eastAsia="Aptos" w:cs="Arial"/>
          <w:kern w:val="2"/>
          <w:sz w:val="24"/>
          <w:szCs w:val="24"/>
          <w:lang w:val="it-IT"/>
          <w14:ligatures w14:val="standardContextual"/>
        </w:rPr>
      </w:pPr>
    </w:p>
    <w:p w:rsidR="00F358D7" w:rsidRPr="00F358D7" w:rsidRDefault="00497E0D" w:rsidP="00497E0D">
      <w:pPr>
        <w:pStyle w:val="Titolo1"/>
        <w:tabs>
          <w:tab w:val="left" w:pos="567"/>
        </w:tabs>
        <w:spacing w:before="0"/>
        <w:ind w:left="567" w:hanging="567"/>
        <w:jc w:val="both"/>
        <w:rPr>
          <w:rFonts w:eastAsia="Calibri" w:cs="Times New Roman"/>
          <w:caps/>
          <w:sz w:val="24"/>
          <w:szCs w:val="24"/>
          <w:lang w:val="it-IT" w:eastAsia="it-IT"/>
        </w:rPr>
      </w:pPr>
      <w:r>
        <w:rPr>
          <w:rFonts w:eastAsia="Calibri" w:cs="Times New Roman"/>
          <w:caps/>
          <w:sz w:val="24"/>
          <w:szCs w:val="24"/>
          <w:lang w:val="it-IT" w:eastAsia="it-IT"/>
        </w:rPr>
        <w:t>8.</w:t>
      </w:r>
      <w:r>
        <w:rPr>
          <w:rFonts w:eastAsia="Calibri" w:cs="Times New Roman"/>
          <w:caps/>
          <w:sz w:val="24"/>
          <w:szCs w:val="24"/>
          <w:lang w:val="it-IT" w:eastAsia="it-IT"/>
        </w:rPr>
        <w:tab/>
      </w:r>
      <w:r w:rsidR="00F358D7" w:rsidRPr="00F358D7">
        <w:rPr>
          <w:rFonts w:eastAsia="Calibri" w:cs="Times New Roman"/>
          <w:caps/>
          <w:sz w:val="24"/>
          <w:szCs w:val="24"/>
          <w:lang w:val="it-IT" w:eastAsia="it-IT"/>
        </w:rPr>
        <w:t>Conclusione</w:t>
      </w:r>
    </w:p>
    <w:p w:rsidR="00F358D7" w:rsidRPr="00F358D7" w:rsidRDefault="00F358D7" w:rsidP="00F358D7">
      <w:pPr>
        <w:rPr>
          <w:rFonts w:eastAsia="Aptos" w:cs="Arial"/>
          <w:kern w:val="2"/>
          <w:sz w:val="24"/>
          <w:szCs w:val="24"/>
          <w:lang w:val="it-IT"/>
          <w14:ligatures w14:val="standardContextual"/>
        </w:rPr>
      </w:pPr>
      <w:r w:rsidRPr="00F358D7">
        <w:rPr>
          <w:rFonts w:eastAsia="Aptos" w:cs="Arial"/>
          <w:kern w:val="2"/>
          <w:sz w:val="24"/>
          <w:szCs w:val="24"/>
          <w:lang w:val="it-IT"/>
          <w14:ligatures w14:val="standardContextual"/>
        </w:rPr>
        <w:t>Il credito in esame serve come detto per mantenere aggiornati i laboratori delle scuole professionali tecniche, in particolare il CPT di Bellinzona e il CPT di Lugano-Trevano. Investimenti necessari per seguire l’evoluzione tecnologica delle aziende e formare i nostri giovani affinché siano competitivi sul mercato del lavoro.</w:t>
      </w:r>
    </w:p>
    <w:p w:rsidR="00F358D7" w:rsidRPr="00F358D7" w:rsidRDefault="00F358D7" w:rsidP="00F358D7">
      <w:pPr>
        <w:jc w:val="left"/>
        <w:rPr>
          <w:rFonts w:eastAsia="Aptos" w:cs="Arial"/>
          <w:kern w:val="2"/>
          <w:sz w:val="24"/>
          <w:szCs w:val="24"/>
          <w:lang w:val="it-IT"/>
          <w14:ligatures w14:val="standardContextual"/>
        </w:rPr>
      </w:pPr>
    </w:p>
    <w:p w:rsidR="00F358D7" w:rsidRPr="00F358D7" w:rsidRDefault="00F358D7" w:rsidP="00F358D7">
      <w:pPr>
        <w:rPr>
          <w:rFonts w:eastAsia="Aptos" w:cs="Arial"/>
          <w:kern w:val="2"/>
          <w:sz w:val="24"/>
          <w:szCs w:val="24"/>
          <w:lang w:val="it-IT"/>
          <w14:ligatures w14:val="standardContextual"/>
        </w:rPr>
      </w:pPr>
      <w:r w:rsidRPr="00F358D7">
        <w:rPr>
          <w:rFonts w:eastAsia="Aptos" w:cs="Arial"/>
          <w:kern w:val="2"/>
          <w:sz w:val="24"/>
          <w:szCs w:val="24"/>
          <w:lang w:val="it-IT"/>
          <w14:ligatures w14:val="standardContextual"/>
        </w:rPr>
        <w:t xml:space="preserve">La Commissione gestione e finanze raccomanda dunque al Gran Consiglio di accogliere il messaggio n. 8378, </w:t>
      </w:r>
      <w:r w:rsidRPr="00F358D7">
        <w:rPr>
          <w:rFonts w:eastAsia="Aptos" w:cs="Arial"/>
          <w:b/>
          <w:bCs/>
          <w:kern w:val="2"/>
          <w:sz w:val="24"/>
          <w:szCs w:val="24"/>
          <w:lang w:val="it-IT"/>
          <w14:ligatures w14:val="standardContextual"/>
        </w:rPr>
        <w:t>concedendo un credito complessivo di 2'500'000 franchi</w:t>
      </w:r>
      <w:r w:rsidRPr="00F358D7">
        <w:rPr>
          <w:rFonts w:eastAsia="Aptos" w:cs="Arial"/>
          <w:kern w:val="2"/>
          <w:sz w:val="24"/>
          <w:szCs w:val="24"/>
          <w:lang w:val="it-IT"/>
          <w14:ligatures w14:val="standardContextual"/>
        </w:rPr>
        <w:t xml:space="preserve"> per il piano quadriennale 2024-2027 di manutenzione, sostituzione e potenziamento del parco macchine e delle attrezzature </w:t>
      </w:r>
      <w:proofErr w:type="spellStart"/>
      <w:r w:rsidRPr="00F358D7">
        <w:rPr>
          <w:rFonts w:eastAsia="Aptos" w:cs="Arial"/>
          <w:kern w:val="2"/>
          <w:sz w:val="24"/>
          <w:szCs w:val="24"/>
          <w:lang w:val="it-IT"/>
          <w14:ligatures w14:val="standardContextual"/>
        </w:rPr>
        <w:t>tecnicodidattiche</w:t>
      </w:r>
      <w:proofErr w:type="spellEnd"/>
      <w:r w:rsidRPr="00F358D7">
        <w:rPr>
          <w:rFonts w:eastAsia="Aptos" w:cs="Arial"/>
          <w:kern w:val="2"/>
          <w:sz w:val="24"/>
          <w:szCs w:val="24"/>
          <w:lang w:val="it-IT"/>
          <w14:ligatures w14:val="standardContextual"/>
        </w:rPr>
        <w:t xml:space="preserve"> della Scuola d'arti e mestieri e della Scuola specializzata superiore di tecnica del Centro professionale tecnico di Bellinzona nonché per i laboratori di chimica, domotica e reti presso il CPT di Lugano Trevano. La Commissione invita il Gran Consiglio ad approvare il DL allegato al messaggio. </w:t>
      </w:r>
    </w:p>
    <w:p w:rsidR="00F358D7" w:rsidRPr="00F358D7" w:rsidRDefault="00F358D7" w:rsidP="00F358D7">
      <w:pPr>
        <w:jc w:val="left"/>
        <w:rPr>
          <w:rFonts w:eastAsia="Aptos" w:cs="Arial"/>
          <w:kern w:val="2"/>
          <w:sz w:val="24"/>
          <w:szCs w:val="24"/>
          <w:lang w:val="it-IT"/>
          <w14:ligatures w14:val="standardContextual"/>
        </w:rPr>
      </w:pPr>
    </w:p>
    <w:p w:rsidR="00F358D7" w:rsidRPr="00F358D7" w:rsidRDefault="00F358D7" w:rsidP="00F358D7">
      <w:pPr>
        <w:jc w:val="left"/>
        <w:rPr>
          <w:rFonts w:eastAsia="Aptos" w:cs="Arial"/>
          <w:kern w:val="2"/>
          <w:sz w:val="24"/>
          <w:szCs w:val="24"/>
          <w:lang w:val="it-IT"/>
          <w14:ligatures w14:val="standardContextual"/>
        </w:rPr>
      </w:pPr>
    </w:p>
    <w:p w:rsidR="00F358D7" w:rsidRPr="00F358D7" w:rsidRDefault="00F358D7" w:rsidP="00497E0D">
      <w:pPr>
        <w:spacing w:after="120"/>
        <w:jc w:val="left"/>
        <w:rPr>
          <w:rFonts w:eastAsia="Aptos" w:cs="Arial"/>
          <w:kern w:val="2"/>
          <w:sz w:val="24"/>
          <w:szCs w:val="24"/>
          <w:lang w:val="it-IT"/>
          <w14:ligatures w14:val="standardContextual"/>
        </w:rPr>
      </w:pPr>
      <w:r w:rsidRPr="00F358D7">
        <w:rPr>
          <w:rFonts w:eastAsia="Aptos" w:cs="Arial"/>
          <w:kern w:val="2"/>
          <w:sz w:val="24"/>
          <w:szCs w:val="24"/>
          <w:lang w:val="it-IT"/>
          <w14:ligatures w14:val="standardContextual"/>
        </w:rPr>
        <w:t>Per la Commissione gestione e finanze:</w:t>
      </w:r>
    </w:p>
    <w:p w:rsidR="00F358D7" w:rsidRPr="00F358D7" w:rsidRDefault="00F358D7" w:rsidP="00F358D7">
      <w:pPr>
        <w:jc w:val="left"/>
        <w:rPr>
          <w:rFonts w:eastAsia="Aptos" w:cs="Arial"/>
          <w:kern w:val="2"/>
          <w:sz w:val="24"/>
          <w:szCs w:val="24"/>
          <w:lang w:val="it-IT"/>
          <w14:ligatures w14:val="standardContextual"/>
        </w:rPr>
      </w:pPr>
      <w:r w:rsidRPr="00F358D7">
        <w:rPr>
          <w:rFonts w:eastAsia="Aptos" w:cs="Arial"/>
          <w:kern w:val="2"/>
          <w:sz w:val="24"/>
          <w:szCs w:val="24"/>
          <w:lang w:val="it-IT"/>
          <w14:ligatures w14:val="standardContextual"/>
        </w:rPr>
        <w:t>Alessandro Speziali, relatore</w:t>
      </w:r>
    </w:p>
    <w:p w:rsidR="009D55E5" w:rsidRDefault="009D55E5" w:rsidP="00F358D7">
      <w:pPr>
        <w:jc w:val="left"/>
        <w:rPr>
          <w:rFonts w:eastAsia="Aptos" w:cs="Arial"/>
          <w:kern w:val="2"/>
          <w:sz w:val="24"/>
          <w:szCs w:val="24"/>
          <w:lang w:val="it-IT"/>
          <w14:ligatures w14:val="standardContextual"/>
        </w:rPr>
      </w:pPr>
      <w:r>
        <w:rPr>
          <w:rFonts w:eastAsia="Aptos" w:cs="Arial"/>
          <w:kern w:val="2"/>
          <w:sz w:val="24"/>
          <w:szCs w:val="24"/>
          <w:lang w:val="it-IT"/>
          <w14:ligatures w14:val="standardContextual"/>
        </w:rPr>
        <w:t xml:space="preserve">Agustoni - </w:t>
      </w:r>
      <w:r w:rsidR="00497E0D">
        <w:rPr>
          <w:rFonts w:eastAsia="Aptos" w:cs="Arial"/>
          <w:kern w:val="2"/>
          <w:sz w:val="24"/>
          <w:szCs w:val="24"/>
          <w:lang w:val="it-IT"/>
          <w14:ligatures w14:val="standardContextual"/>
        </w:rPr>
        <w:t xml:space="preserve">Balli - Bignasca - Bourgoin - </w:t>
      </w:r>
    </w:p>
    <w:p w:rsidR="00EA2AEC" w:rsidRDefault="00497E0D" w:rsidP="00F358D7">
      <w:pPr>
        <w:jc w:val="left"/>
        <w:rPr>
          <w:rFonts w:eastAsia="Aptos" w:cs="Arial"/>
          <w:kern w:val="2"/>
          <w:sz w:val="24"/>
          <w:szCs w:val="24"/>
          <w:lang w:val="it-IT"/>
          <w14:ligatures w14:val="standardContextual"/>
        </w:rPr>
      </w:pPr>
      <w:r>
        <w:rPr>
          <w:rFonts w:eastAsia="Aptos" w:cs="Arial"/>
          <w:kern w:val="2"/>
          <w:sz w:val="24"/>
          <w:szCs w:val="24"/>
          <w:lang w:val="it-IT"/>
          <w14:ligatures w14:val="standardContextual"/>
        </w:rPr>
        <w:t xml:space="preserve">Caprara </w:t>
      </w:r>
      <w:r w:rsidR="009D55E5">
        <w:rPr>
          <w:rFonts w:eastAsia="Aptos" w:cs="Arial"/>
          <w:kern w:val="2"/>
          <w:sz w:val="24"/>
          <w:szCs w:val="24"/>
          <w:lang w:val="it-IT"/>
          <w14:ligatures w14:val="standardContextual"/>
        </w:rPr>
        <w:t>-</w:t>
      </w:r>
      <w:r>
        <w:rPr>
          <w:rFonts w:eastAsia="Aptos" w:cs="Arial"/>
          <w:kern w:val="2"/>
          <w:sz w:val="24"/>
          <w:szCs w:val="24"/>
          <w:lang w:val="it-IT"/>
          <w14:ligatures w14:val="standardContextual"/>
        </w:rPr>
        <w:t xml:space="preserve"> </w:t>
      </w:r>
      <w:r w:rsidR="009D55E5">
        <w:rPr>
          <w:rFonts w:eastAsia="Aptos" w:cs="Arial"/>
          <w:kern w:val="2"/>
          <w:sz w:val="24"/>
          <w:szCs w:val="24"/>
          <w:lang w:val="it-IT"/>
          <w14:ligatures w14:val="standardContextual"/>
        </w:rPr>
        <w:t xml:space="preserve">Caroni - </w:t>
      </w:r>
      <w:r>
        <w:rPr>
          <w:rFonts w:eastAsia="Aptos" w:cs="Arial"/>
          <w:kern w:val="2"/>
          <w:sz w:val="24"/>
          <w:szCs w:val="24"/>
          <w:lang w:val="it-IT"/>
          <w14:ligatures w14:val="standardContextual"/>
        </w:rPr>
        <w:t xml:space="preserve">Dadò - Durisch - </w:t>
      </w:r>
    </w:p>
    <w:p w:rsidR="00EA2AEC" w:rsidRDefault="00497E0D" w:rsidP="00F358D7">
      <w:pPr>
        <w:jc w:val="left"/>
        <w:rPr>
          <w:rFonts w:eastAsia="Aptos" w:cs="Arial"/>
          <w:kern w:val="2"/>
          <w:sz w:val="24"/>
          <w:szCs w:val="24"/>
          <w:lang w:val="it-IT"/>
          <w14:ligatures w14:val="standardContextual"/>
        </w:rPr>
      </w:pPr>
      <w:r>
        <w:rPr>
          <w:rFonts w:eastAsia="Aptos" w:cs="Arial"/>
          <w:kern w:val="2"/>
          <w:sz w:val="24"/>
          <w:szCs w:val="24"/>
          <w:lang w:val="it-IT"/>
          <w14:ligatures w14:val="standardContextual"/>
        </w:rPr>
        <w:t xml:space="preserve">Ferrara </w:t>
      </w:r>
      <w:r w:rsidR="009D55E5">
        <w:rPr>
          <w:rFonts w:eastAsia="Aptos" w:cs="Arial"/>
          <w:kern w:val="2"/>
          <w:sz w:val="24"/>
          <w:szCs w:val="24"/>
          <w:lang w:val="it-IT"/>
          <w14:ligatures w14:val="standardContextual"/>
        </w:rPr>
        <w:t>-</w:t>
      </w:r>
      <w:r>
        <w:rPr>
          <w:rFonts w:eastAsia="Aptos" w:cs="Arial"/>
          <w:kern w:val="2"/>
          <w:sz w:val="24"/>
          <w:szCs w:val="24"/>
          <w:lang w:val="it-IT"/>
          <w14:ligatures w14:val="standardContextual"/>
        </w:rPr>
        <w:t xml:space="preserve"> Galeazzi (con riserva) </w:t>
      </w:r>
      <w:r w:rsidR="009D55E5">
        <w:rPr>
          <w:rFonts w:eastAsia="Aptos" w:cs="Arial"/>
          <w:kern w:val="2"/>
          <w:sz w:val="24"/>
          <w:szCs w:val="24"/>
          <w:lang w:val="it-IT"/>
          <w14:ligatures w14:val="standardContextual"/>
        </w:rPr>
        <w:t>-</w:t>
      </w:r>
      <w:r>
        <w:rPr>
          <w:rFonts w:eastAsia="Aptos" w:cs="Arial"/>
          <w:kern w:val="2"/>
          <w:sz w:val="24"/>
          <w:szCs w:val="24"/>
          <w:lang w:val="it-IT"/>
          <w14:ligatures w14:val="standardContextual"/>
        </w:rPr>
        <w:t xml:space="preserve"> </w:t>
      </w:r>
      <w:r w:rsidR="009D55E5">
        <w:rPr>
          <w:rFonts w:eastAsia="Aptos" w:cs="Arial"/>
          <w:kern w:val="2"/>
          <w:sz w:val="24"/>
          <w:szCs w:val="24"/>
          <w:lang w:val="it-IT"/>
          <w14:ligatures w14:val="standardContextual"/>
        </w:rPr>
        <w:t xml:space="preserve">Gendotti </w:t>
      </w:r>
      <w:r w:rsidR="00EA2AEC">
        <w:rPr>
          <w:rFonts w:eastAsia="Aptos" w:cs="Arial"/>
          <w:kern w:val="2"/>
          <w:sz w:val="24"/>
          <w:szCs w:val="24"/>
          <w:lang w:val="it-IT"/>
          <w14:ligatures w14:val="standardContextual"/>
        </w:rPr>
        <w:t>-</w:t>
      </w:r>
      <w:r w:rsidR="009D55E5">
        <w:rPr>
          <w:rFonts w:eastAsia="Aptos" w:cs="Arial"/>
          <w:kern w:val="2"/>
          <w:sz w:val="24"/>
          <w:szCs w:val="24"/>
          <w:lang w:val="it-IT"/>
          <w14:ligatures w14:val="standardContextual"/>
        </w:rPr>
        <w:t xml:space="preserve"> </w:t>
      </w:r>
    </w:p>
    <w:p w:rsidR="00F358D7" w:rsidRPr="00F358D7" w:rsidRDefault="00497E0D" w:rsidP="00F358D7">
      <w:pPr>
        <w:jc w:val="left"/>
        <w:rPr>
          <w:rFonts w:eastAsia="Aptos" w:cs="Arial"/>
          <w:kern w:val="2"/>
          <w:sz w:val="24"/>
          <w:szCs w:val="24"/>
          <w:lang w:val="it-IT"/>
          <w14:ligatures w14:val="standardContextual"/>
        </w:rPr>
      </w:pPr>
      <w:r>
        <w:rPr>
          <w:rFonts w:eastAsia="Aptos" w:cs="Arial"/>
          <w:kern w:val="2"/>
          <w:sz w:val="24"/>
          <w:szCs w:val="24"/>
          <w:lang w:val="it-IT"/>
          <w14:ligatures w14:val="standardContextual"/>
        </w:rPr>
        <w:t xml:space="preserve">Gianella Alessandra - Quadranti - Sirica - </w:t>
      </w:r>
      <w:r w:rsidR="00F358D7" w:rsidRPr="00F358D7">
        <w:rPr>
          <w:rFonts w:eastAsia="Aptos" w:cs="Arial"/>
          <w:kern w:val="2"/>
          <w:sz w:val="24"/>
          <w:szCs w:val="24"/>
          <w:lang w:val="it-IT"/>
          <w14:ligatures w14:val="standardContextual"/>
        </w:rPr>
        <w:t>Soldati</w:t>
      </w:r>
    </w:p>
    <w:p w:rsidR="00F358D7" w:rsidRPr="00F358D7" w:rsidRDefault="00F358D7" w:rsidP="00D33940">
      <w:pPr>
        <w:pStyle w:val="StandardRisoluzionedelConsigliodiStato"/>
        <w:ind w:right="-1"/>
        <w:rPr>
          <w:b/>
          <w:szCs w:val="24"/>
        </w:rPr>
      </w:pPr>
    </w:p>
    <w:sectPr w:rsidR="00F358D7" w:rsidRPr="00F358D7" w:rsidSect="00375115">
      <w:headerReference w:type="default" r:id="rId14"/>
      <w:footerReference w:type="default" r:id="rId15"/>
      <w:headerReference w:type="first" r:id="rId16"/>
      <w:footerReference w:type="first" r:id="rId17"/>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8D7" w:rsidRDefault="00F358D7" w:rsidP="00F657BF">
      <w:r>
        <w:separator/>
      </w:r>
    </w:p>
  </w:endnote>
  <w:endnote w:type="continuationSeparator" w:id="0">
    <w:p w:rsidR="00F358D7" w:rsidRDefault="00F358D7"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8663B4" w:rsidP="00912E34">
          <w:pPr>
            <w:tabs>
              <w:tab w:val="center" w:pos="2382"/>
            </w:tabs>
          </w:pPr>
        </w:p>
      </w:tc>
      <w:tc>
        <w:tcPr>
          <w:tcW w:w="721" w:type="dxa"/>
        </w:tcPr>
        <w:p w:rsidR="00912E34" w:rsidRPr="003D1008" w:rsidRDefault="008663B4"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8663B4"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8663B4"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8663B4">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8D7" w:rsidRDefault="00F358D7" w:rsidP="00F657BF">
      <w:r>
        <w:separator/>
      </w:r>
    </w:p>
  </w:footnote>
  <w:footnote w:type="continuationSeparator" w:id="0">
    <w:p w:rsidR="00F358D7" w:rsidRDefault="00F358D7" w:rsidP="00F657BF">
      <w:r>
        <w:continuationSeparator/>
      </w:r>
    </w:p>
  </w:footnote>
  <w:footnote w:id="1">
    <w:p w:rsidR="00F358D7" w:rsidRPr="00C6244B" w:rsidRDefault="00F358D7" w:rsidP="00F358D7">
      <w:pPr>
        <w:rPr>
          <w:rFonts w:cs="Arial"/>
          <w:sz w:val="20"/>
          <w:szCs w:val="20"/>
          <w:lang w:val="it-IT"/>
        </w:rPr>
      </w:pPr>
      <w:r w:rsidRPr="00C6244B">
        <w:rPr>
          <w:rStyle w:val="Rimandonotaapidipagina"/>
          <w:sz w:val="20"/>
          <w:szCs w:val="20"/>
        </w:rPr>
        <w:footnoteRef/>
      </w:r>
      <w:r w:rsidRPr="00C6244B">
        <w:rPr>
          <w:sz w:val="20"/>
          <w:szCs w:val="20"/>
        </w:rPr>
        <w:t xml:space="preserve"> </w:t>
      </w:r>
      <w:r w:rsidRPr="00C6244B">
        <w:rPr>
          <w:rFonts w:cs="Arial"/>
          <w:sz w:val="20"/>
          <w:szCs w:val="20"/>
          <w:lang w:val="it-IT"/>
        </w:rPr>
        <w:t>Per una descrizione sintetica delle formazioni offerte dal CPT di Bellinzona e di Lugano, si rimanda al messaggio alle pp. 2-4.</w:t>
      </w:r>
    </w:p>
    <w:p w:rsidR="00F358D7" w:rsidRPr="00C6244B" w:rsidRDefault="00F358D7" w:rsidP="00F358D7">
      <w:pPr>
        <w:pStyle w:val="Testonotaapidipagina"/>
        <w:rPr>
          <w:lang w:val="it-IT"/>
        </w:rPr>
      </w:pPr>
    </w:p>
  </w:footnote>
  <w:footnote w:id="2">
    <w:p w:rsidR="00F358D7" w:rsidRPr="00F358D7" w:rsidRDefault="00F358D7" w:rsidP="00F358D7">
      <w:pPr>
        <w:pStyle w:val="Testonotaapidipagina"/>
        <w:rPr>
          <w:lang w:val="it-CH"/>
        </w:rPr>
      </w:pPr>
      <w:r>
        <w:rPr>
          <w:rStyle w:val="Rimandonotaapidipagina"/>
        </w:rPr>
        <w:footnoteRef/>
      </w:r>
      <w:r w:rsidRPr="00F358D7">
        <w:rPr>
          <w:lang w:val="it-CH"/>
        </w:rPr>
        <w:t xml:space="preserve"> </w:t>
      </w:r>
      <w:r w:rsidRPr="00F358D7">
        <w:rPr>
          <w:sz w:val="20"/>
          <w:lang w:val="it-CH"/>
        </w:rPr>
        <w:t xml:space="preserve">Per maggiori informazioni: </w:t>
      </w:r>
      <w:hyperlink r:id="rId1" w:history="1">
        <w:r w:rsidRPr="00F358D7">
          <w:rPr>
            <w:rStyle w:val="Collegamentoipertestuale1"/>
            <w:sz w:val="20"/>
            <w:lang w:val="it-CH"/>
          </w:rPr>
          <w:t>https://futuremem.swiss/it</w:t>
        </w:r>
      </w:hyperlink>
      <w:r w:rsidRPr="00F358D7">
        <w:rPr>
          <w:sz w:val="20"/>
          <w:lang w:val="it-CH"/>
        </w:rPr>
        <w:t>.</w:t>
      </w:r>
      <w:r w:rsidRPr="00F358D7">
        <w:rPr>
          <w:lang w:val="it-C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8663B4"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F32D61A9-7E6B-42A6-8D4D-C72BF6001F49}"/>
              <w:text w:multiLine="1"/>
            </w:sdtPr>
            <w:sdtEndPr/>
            <w:sdtContent>
              <w:r>
                <w:rPr>
                  <w:rFonts w:ascii="Gill Alt One MT Light" w:hAnsi="Gill Alt One MT Light"/>
                  <w:sz w:val="16"/>
                  <w:szCs w:val="16"/>
                </w:rPr>
                <w:t>Repubblica e Cantone Ticino</w:t>
              </w:r>
            </w:sdtContent>
          </w:sdt>
        </w:p>
        <w:p w:rsidR="005012EC" w:rsidRPr="00E8185F" w:rsidRDefault="008663B4"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F32D61A9-7E6B-42A6-8D4D-C72BF6001F49}"/>
              <w:text w:multiLine="1"/>
            </w:sdtPr>
            <w:sdtEndPr/>
            <w:sdtContent>
              <w:r w:rsidR="00EA0104">
                <w:rPr>
                  <w:rFonts w:ascii="Gill Alt One MT Light" w:hAnsi="Gill Alt One MT Light"/>
                  <w:sz w:val="16"/>
                  <w:szCs w:val="16"/>
                </w:rPr>
                <w:t>Dipartimento dell’educazione, della cultura e dello sport</w:t>
              </w:r>
            </w:sdtContent>
          </w:sdt>
        </w:p>
      </w:tc>
      <w:tc>
        <w:tcPr>
          <w:tcW w:w="1710" w:type="dxa"/>
          <w:tcBorders>
            <w:bottom w:val="single" w:sz="4" w:space="0" w:color="auto"/>
          </w:tcBorders>
          <w:vAlign w:val="bottom"/>
        </w:tcPr>
        <w:p w:rsidR="005012EC" w:rsidRPr="004204CB" w:rsidRDefault="008663B4"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141953">
            <w:rPr>
              <w:noProof/>
              <w:sz w:val="24"/>
            </w:rPr>
            <w:t>4</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141953">
            <w:rPr>
              <w:noProof/>
              <w:sz w:val="24"/>
            </w:rPr>
            <w:t>5</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F32D61A9-7E6B-42A6-8D4D-C72BF6001F49}"/>
          <w:text w:multiLine="1"/>
        </w:sdtPr>
        <w:sdtEndPr/>
        <w:sdtContent>
          <w:tc>
            <w:tcPr>
              <w:tcW w:w="8383" w:type="dxa"/>
              <w:tcBorders>
                <w:left w:val="single" w:sz="4" w:space="0" w:color="auto"/>
              </w:tcBorders>
              <w:tcMar>
                <w:top w:w="0" w:type="dxa"/>
                <w:left w:w="142" w:type="dxa"/>
              </w:tcMar>
            </w:tcPr>
            <w:p w:rsidR="005012EC" w:rsidRPr="00F358D7" w:rsidRDefault="00EA0104"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8378 R del 26 novembre 2024</w:t>
              </w:r>
            </w:p>
          </w:tc>
        </w:sdtContent>
      </w:sdt>
      <w:tc>
        <w:tcPr>
          <w:tcW w:w="1710" w:type="dxa"/>
          <w:tcBorders>
            <w:top w:val="single" w:sz="4" w:space="0" w:color="auto"/>
          </w:tcBorders>
        </w:tcPr>
        <w:p w:rsidR="005012EC" w:rsidRPr="00F358D7" w:rsidRDefault="008663B4" w:rsidP="00662409">
          <w:pPr>
            <w:pStyle w:val="InvisibleLine"/>
            <w:rPr>
              <w:lang w:val="it-CH"/>
            </w:rPr>
          </w:pPr>
        </w:p>
      </w:tc>
    </w:tr>
  </w:tbl>
  <w:p w:rsidR="00F657BF" w:rsidRPr="00980362" w:rsidRDefault="008663B4"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F32D61A9-7E6B-42A6-8D4D-C72BF6001F49}"/>
                            <w:text w:multiLine="1"/>
                          </w:sdtPr>
                          <w:sdtEndPr/>
                          <w:sdtContent>
                            <w:p w:rsidR="008065E8" w:rsidRPr="00411371" w:rsidRDefault="008663B4"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F32D61A9-7E6B-42A6-8D4D-C72BF6001F49}"/>
                      <w:text w:multiLine="1"/>
                    </w:sdtPr>
                    <w:sdtEndPr/>
                    <w:sdtContent>
                      <w:p w:rsidR="008065E8" w:rsidRPr="00411371" w:rsidRDefault="008663B4"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8663B4" w:rsidP="00932E26">
          <w:pPr>
            <w:pStyle w:val="InvisibleLine"/>
            <w:spacing w:line="240" w:lineRule="auto"/>
            <w:ind w:left="15"/>
            <w:rPr>
              <w:rFonts w:ascii="Gill Alt One MT Light" w:hAnsi="Gill Alt One MT Light"/>
              <w:sz w:val="16"/>
              <w:lang w:val="it-CH"/>
            </w:rPr>
          </w:pPr>
        </w:p>
        <w:p w:rsidR="00CD5F73" w:rsidRDefault="008663B4"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8663B4"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8663B4" w:rsidP="00D07D6E">
          <w:pPr>
            <w:pStyle w:val="Level"/>
            <w:ind w:left="150"/>
            <w:rPr>
              <w:sz w:val="16"/>
            </w:rPr>
          </w:pPr>
        </w:p>
      </w:tc>
      <w:tc>
        <w:tcPr>
          <w:tcW w:w="209" w:type="pct"/>
          <w:tcBorders>
            <w:top w:val="nil"/>
            <w:bottom w:val="single" w:sz="4" w:space="0" w:color="auto"/>
          </w:tcBorders>
        </w:tcPr>
        <w:p w:rsidR="00662409" w:rsidRDefault="008663B4"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742668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8663B4"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141953">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141953">
            <w:rPr>
              <w:rFonts w:asciiTheme="minorHAnsi" w:hAnsiTheme="minorHAnsi" w:cstheme="minorHAnsi"/>
              <w:noProof/>
              <w:sz w:val="24"/>
            </w:rPr>
            <w:t>5</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F32D61A9-7E6B-42A6-8D4D-C72BF6001F49}"/>
          <w:text w:multiLine="1"/>
        </w:sdtPr>
        <w:sdtEndPr/>
        <w:sdtContent>
          <w:tc>
            <w:tcPr>
              <w:tcW w:w="5000" w:type="pct"/>
              <w:gridSpan w:val="6"/>
              <w:tcBorders>
                <w:left w:val="nil"/>
                <w:right w:val="nil"/>
              </w:tcBorders>
              <w:noWrap/>
              <w:tcMar>
                <w:top w:w="0" w:type="dxa"/>
              </w:tcMar>
              <w:vAlign w:val="bottom"/>
            </w:tcPr>
            <w:p w:rsidR="00662409" w:rsidRPr="008C03B5" w:rsidRDefault="00EA0104"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8663B4"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8663B4"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8663B4"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8663B4"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8663B4"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8663B4"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8663B4"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F32D61A9-7E6B-42A6-8D4D-C72BF6001F49}"/>
              <w:text w:multiLine="1"/>
            </w:sdtPr>
            <w:sdtEndPr/>
            <w:sdtContent>
              <w:r w:rsidR="00EA0104">
                <w:rPr>
                  <w:rFonts w:cstheme="minorHAnsi"/>
                  <w:b/>
                  <w:sz w:val="24"/>
                  <w:szCs w:val="24"/>
                </w:rPr>
                <w:t>8378 R</w:t>
              </w:r>
            </w:sdtContent>
          </w:sdt>
        </w:p>
      </w:tc>
      <w:sdt>
        <w:sdtPr>
          <w:rPr>
            <w:sz w:val="24"/>
          </w:rPr>
          <w:alias w:val="DocParam.Date"/>
          <w:id w:val="-464426178"/>
          <w:dataBinding w:xpath="//DateTime[@id='DocParam.Date']" w:storeItemID="{F32D61A9-7E6B-42A6-8D4D-C72BF6001F49}"/>
          <w:date w:fullDate="2024-11-26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EA0104" w:rsidP="00A532F6">
              <w:pPr>
                <w:pStyle w:val="Data"/>
              </w:pPr>
              <w:r>
                <w:rPr>
                  <w:sz w:val="24"/>
                </w:rPr>
                <w:t>26 novembre 2024</w:t>
              </w:r>
            </w:p>
          </w:tc>
        </w:sdtContent>
      </w:sdt>
      <w:tc>
        <w:tcPr>
          <w:tcW w:w="3218" w:type="pct"/>
          <w:gridSpan w:val="4"/>
          <w:tcBorders>
            <w:top w:val="nil"/>
            <w:left w:val="nil"/>
            <w:bottom w:val="nil"/>
            <w:right w:val="nil"/>
          </w:tcBorders>
        </w:tcPr>
        <w:p w:rsidR="008C03B5" w:rsidRPr="00BE22A2" w:rsidRDefault="008663B4"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F32D61A9-7E6B-42A6-8D4D-C72BF6001F49}"/>
              <w:text w:multiLine="1"/>
            </w:sdtPr>
            <w:sdtEndPr/>
            <w:sdtContent>
              <w:r w:rsidR="00EA0104">
                <w:rPr>
                  <w:smallCaps/>
                  <w:sz w:val="23"/>
                  <w:szCs w:val="23"/>
                </w:rPr>
                <w:t>Dipartimento dell’educazione, della cultura e dello sport</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8663B4" w:rsidP="00D07D6E">
          <w:pPr>
            <w:pStyle w:val="Level"/>
            <w:ind w:left="150"/>
            <w:rPr>
              <w:rFonts w:ascii="Gill Alt One MT Light" w:hAnsi="Gill Alt One MT Light"/>
              <w:sz w:val="16"/>
              <w:szCs w:val="16"/>
            </w:rPr>
          </w:pPr>
        </w:p>
      </w:tc>
    </w:tr>
  </w:tbl>
  <w:p w:rsidR="00F657BF" w:rsidRPr="00DA2879" w:rsidRDefault="008663B4"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982886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F32D61A9-7E6B-42A6-8D4D-C72BF6001F49}"/>
                            <w:text w:multiLine="1"/>
                          </w:sdtPr>
                          <w:sdtEndPr/>
                          <w:sdtContent>
                            <w:p w:rsidR="00E93620" w:rsidRPr="00411371" w:rsidRDefault="008663B4"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F32D61A9-7E6B-42A6-8D4D-C72BF6001F49}"/>
                      <w:text w:multiLine="1"/>
                    </w:sdtPr>
                    <w:sdtEndPr/>
                    <w:sdtContent>
                      <w:p w:rsidR="00E93620" w:rsidRPr="00411371" w:rsidRDefault="008663B4"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abstractNum w:abstractNumId="17" w15:restartNumberingAfterBreak="0">
    <w:nsid w:val="6CB070AF"/>
    <w:multiLevelType w:val="hybridMultilevel"/>
    <w:tmpl w:val="96805818"/>
    <w:lvl w:ilvl="0" w:tplc="13621CE4">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6"/>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8D7"/>
    <w:rsid w:val="00090D8C"/>
    <w:rsid w:val="00141953"/>
    <w:rsid w:val="002B5D9F"/>
    <w:rsid w:val="00362CCA"/>
    <w:rsid w:val="003B756D"/>
    <w:rsid w:val="00403ADB"/>
    <w:rsid w:val="00497E0D"/>
    <w:rsid w:val="00572FD3"/>
    <w:rsid w:val="007065C5"/>
    <w:rsid w:val="008663B4"/>
    <w:rsid w:val="008720C4"/>
    <w:rsid w:val="008B2B87"/>
    <w:rsid w:val="008F52AF"/>
    <w:rsid w:val="009B5AC9"/>
    <w:rsid w:val="009C5E5A"/>
    <w:rsid w:val="009D55E5"/>
    <w:rsid w:val="00AF0268"/>
    <w:rsid w:val="00B24F0E"/>
    <w:rsid w:val="00BF0A1F"/>
    <w:rsid w:val="00C6433C"/>
    <w:rsid w:val="00D33940"/>
    <w:rsid w:val="00D600FD"/>
    <w:rsid w:val="00D649A8"/>
    <w:rsid w:val="00E05EA4"/>
    <w:rsid w:val="00EA0104"/>
    <w:rsid w:val="00EA2AEC"/>
    <w:rsid w:val="00EB088A"/>
    <w:rsid w:val="00F21704"/>
    <w:rsid w:val="00F358D7"/>
    <w:rsid w:val="00F520ED"/>
    <w:rsid w:val="00F657BF"/>
    <w:rsid w:val="00FA1EF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8C1F3"/>
  <w15:docId w15:val="{8BFED105-592A-48EF-8A68-325AC756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character" w:customStyle="1" w:styleId="Collegamentoipertestuale1">
    <w:name w:val="Collegamento ipertestuale1"/>
    <w:basedOn w:val="Carpredefinitoparagrafo"/>
    <w:uiPriority w:val="99"/>
    <w:unhideWhenUsed/>
    <w:rsid w:val="00F358D7"/>
    <w:rPr>
      <w:color w:val="467886"/>
      <w:u w:val="single"/>
    </w:rPr>
  </w:style>
  <w:style w:type="character" w:styleId="Collegamentoipertestuale">
    <w:name w:val="Hyperlink"/>
    <w:basedOn w:val="Carpredefinitoparagrafo"/>
    <w:uiPriority w:val="99"/>
    <w:semiHidden/>
    <w:unhideWhenUsed/>
    <w:rsid w:val="00F358D7"/>
    <w:rPr>
      <w:color w:val="0000FF" w:themeColor="hyperlink"/>
      <w:u w:val="single"/>
    </w:rPr>
  </w:style>
  <w:style w:type="paragraph" w:styleId="Testofumetto">
    <w:name w:val="Balloon Text"/>
    <w:basedOn w:val="Normale"/>
    <w:link w:val="TestofumettoCarattere"/>
    <w:uiPriority w:val="99"/>
    <w:semiHidden/>
    <w:unhideWhenUsed/>
    <w:rsid w:val="00FA1EF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A1EFC"/>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futuremem.swiss/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180dac92-47c5-4caa-92a3-e82d9868082e.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1742668363</Id>
      <Width>0</Width>
      <Height>0</Height>
      <XPath>//Image[@id='Profile.Org.WappenSW']</XPath>
      <ImageHash>02f1c0cdac6aeac316213b2e7cb733a0</ImageHash>
    </ImageSizeDefinition>
    <ImageSizeDefinition>
      <Id>982886040</Id>
      <Width>0</Width>
      <Height>0</Height>
      <XPath>//Image[@id='Profile.Org.Logo']</XPath>
      <ImageHash>c45d7cd7b68e3e6ca57220766e88079c</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5 a 4 b 8 8 b 2 - 7 0 6 8 - 4 4 9 b - b 8 0 9 - 7 2 5 b 5 e 8 a a 0 e 2 "   t I d = " a 3 6 2 a 5 d 4 - 9 5 8 9 - 4 1 b f - a 4 e 6 - 4 f 8 7 c 4 e 4 1 2 3 9 "   i n t e r n a l T I d = " 9 0 6 4 c c 7 f - 3 1 6 d - 4 6 b 1 - a 4 a c - 7 4 8 6 0 c 3 f 8 a 5 b "   m t I d = " 2 7 5 a f 3 2 e - b c 4 0 - 4 5 c 2 - 8 5 b 7 - a f b 1 c 0 3 8 2 6 5 3 "   r e v i s i o n = " 0 "   c r e a t e d m a j o r v e r s i o n = " 0 "   c r e a t e d m i n o r v e r s i o n = " 0 "   c r e a t e d = " 2 0 2 4 - 1 1 - 2 6 T 1 6 : 0 6 : 5 7 . 4 3 0 4 9 2 6 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 2 0 2 4 - 1 1 - 2 6 T 0 0 : 0 0 : 0 0 Z < / D a t e T i m e >  
                 < T e x t   i d = " D o c P a r a m . N u m b e r " > < ! [ C D A T A [ 8 3 7 8   R ] ] > < / T e x t >  
                 < T e x t   i d = " D o c P a r a m . D o c u m e n t o " > < ! [ C D A T A [ R a p p o r t o ] ] > < / T e x t >  
                 < T e x t   i d = " D o c P a r a m . A g g i u n t a D o c "   t o o l t i p = " ( e s .   b i s ,   a g g i u n t i v o ,   a g g i u n t i v o   b i s ,   1 ,   2   e c c . ) " > < ! [ C D A T A [   ] ] > < / T e x t >  
                 < T e x t   i d = " D o c P a r a m . D i p a r t i m e n t i " > < ! [ C D A T A [ D i p a r t i m e n t o   d e l l  e d u c a z i o n e ,   d e l l a   c u l t u r a   e   d e l l o   s p o r t ] ] > < / T e x t >  
                 < T e x t   i d = " D o c P a r a m . A l t r i D i p a r t i m e n t i " > < ! [ C D A T A [   ] ] > < / T e x t >  
             < / P a r a m e t e r >  
             < S c r i p t i n g >  
                 < T e x t   i d = " C u s t o m E l e m e n t s . S u b T e m p l a t e . L a n d s c a p e . H e a d e r . O r g I n f o s "   l a b e l = " C u s t o m E l e m e n t s . S u b T e m p l a t e . L a n d s c a p e . H e a d e r . O r g I n f o s " > < ! [ C D A T A [ R e p u b b l i c a   e   C a n t o n e   T i c i n o  
 D i p a r t i m e n t o   d e l l  e d u c a z i o n e ,   d e l l a   c u l t u r a   e   d e l l o   s p o r t ] ] > < / T e x t >  
                 < T e x t   i d = " C u s t o m E l e m e n t s . S u b T e m p l a t e . L a n d s c a p e . H e a d e r . T i t o l o "   l a b e l = " C u s t o m E l e m e n t s . S u b T e m p l a t e . L a n d s c a p e . H e a d e r . T i t o l o " > < ! [ C D A T A [ R a p p o r t o   n .   8 3 7 8   R   d e l   2 6   n o v e m b r e   2 0 2 4 ] ] > < / T e x t >  
                 < T e x t   i d = " C u s t o m E l e m e n t s . T e x t s . D r a f t "   l a b e l = " C u s t o m E l e m e n t s . T e x t s . D r a f t " > < ! [ C D A T A [ B o z z a ] ] > < / T e x t >  
                 < T e x t   i d = " C u s t o m E l e m e n t s . F i e l d s . D i p a r t i m e n t i "   l a b e l = " C u s t o m E l e m e n t s . F i e l d s . D i p a r t i m e n t i " > < ! [ C D A T A [ D i p a r t i m e n t o   d e l l  e d u c a z i o n e ,   d e l l a   c u l t u r a   e   d e l l o   s p o r t ] ] > < / T e x t >  
                 < T e x t   i d = " C u s t o m E l e m e n t s . F i e l d s . T i t o l o 1 "   l a b e l = " C u s t o m E l e m e n t s . F i e l d s . T i t o l o 1 " > < ! [ C D A T A [ R a p p o r t o ] ] > < / T e x t >  
                 < T e x t   i d = " C u s t o m E l e m e n t s . F i e l d s . T i t o l o 2 "   l a b e l = " C u s t o m E l e m e n t s . F i e l d s . T i t o l o 2 " > < ! [ C D A T A [ R a p p o r t o   n .   8 3 7 8   R   d e l   2 6   n o v e m b r e   2 0 2 4 ] ] > < / 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D32FCC87-7DA9-4476-8BF7-BB9559590ACA}">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F32D61A9-7E6B-42A6-8D4D-C72BF6001F49}">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180dac92-47c5-4caa-92a3-e82d9868082e.dotx</Template>
  <TotalTime>19</TotalTime>
  <Pages>5</Pages>
  <Words>1488</Words>
  <Characters>8025</Characters>
  <Application>Microsoft Office Word</Application>
  <DocSecurity>0</DocSecurity>
  <Lines>151</Lines>
  <Paragraphs>47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16</cp:revision>
  <cp:lastPrinted>2024-11-26T16:23:00Z</cp:lastPrinted>
  <dcterms:created xsi:type="dcterms:W3CDTF">2024-11-26T16:07:00Z</dcterms:created>
  <dcterms:modified xsi:type="dcterms:W3CDTF">2024-11-26T16:27:00Z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