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C6382" w14:textId="695D32FD" w:rsidR="00AA5AD5" w:rsidRPr="00AA5AD5" w:rsidRDefault="00AA5AD5" w:rsidP="00AA5AD5">
      <w:pPr>
        <w:rPr>
          <w:rFonts w:asciiTheme="minorHAnsi" w:eastAsiaTheme="minorEastAsia" w:hAnsiTheme="minorHAnsi" w:cs="Arial"/>
          <w:b/>
          <w:sz w:val="28"/>
          <w:szCs w:val="28"/>
          <w:lang w:val="it-IT"/>
        </w:rPr>
      </w:pPr>
      <w:r w:rsidRPr="00AA5AD5">
        <w:rPr>
          <w:rFonts w:asciiTheme="minorHAnsi" w:eastAsiaTheme="minorEastAsia" w:hAnsiTheme="minorHAnsi" w:cs="Arial"/>
          <w:b/>
          <w:sz w:val="28"/>
          <w:szCs w:val="28"/>
          <w:lang w:val="it-IT"/>
        </w:rPr>
        <w:t>della Commissione economia e lavoro</w:t>
      </w:r>
    </w:p>
    <w:p w14:paraId="508249BE" w14:textId="115D8009" w:rsidR="00AA5AD5" w:rsidRPr="00AA5AD5" w:rsidRDefault="00AA5AD5" w:rsidP="00AA5AD5">
      <w:pPr>
        <w:ind w:right="-1"/>
        <w:rPr>
          <w:rFonts w:asciiTheme="minorHAnsi" w:eastAsiaTheme="minorEastAsia" w:hAnsiTheme="minorHAnsi"/>
          <w:sz w:val="24"/>
        </w:rPr>
      </w:pPr>
      <w:r w:rsidRPr="00AA5AD5">
        <w:rPr>
          <w:rFonts w:asciiTheme="minorHAnsi" w:eastAsiaTheme="minorEastAsia" w:hAnsiTheme="minorHAnsi" w:cs="Arial"/>
          <w:b/>
          <w:sz w:val="28"/>
          <w:szCs w:val="28"/>
        </w:rPr>
        <w:t xml:space="preserve">sull'iniziativa 2 maggio 2023 presentata nella forma generica da Roberta Soldati e cofirmatari “Modificare la legge sulle commesse pubbliche (LCPubb) mediante l’introduzione di correttivi dove il prezzo non debba costituire </w:t>
      </w:r>
      <w:r w:rsidRPr="00AA5AD5">
        <w:rPr>
          <w:rFonts w:asciiTheme="minorHAnsi" w:eastAsiaTheme="minorEastAsia" w:hAnsiTheme="minorHAnsi" w:cs="Arial"/>
          <w:b/>
          <w:i/>
          <w:iCs/>
          <w:sz w:val="28"/>
          <w:szCs w:val="28"/>
        </w:rPr>
        <w:t>de facto</w:t>
      </w:r>
      <w:r w:rsidRPr="00AA5AD5">
        <w:rPr>
          <w:rFonts w:asciiTheme="minorHAnsi" w:eastAsiaTheme="minorEastAsia" w:hAnsiTheme="minorHAnsi" w:cs="Arial"/>
          <w:b/>
          <w:sz w:val="28"/>
          <w:szCs w:val="28"/>
        </w:rPr>
        <w:t xml:space="preserve"> sempre l’elemento determinante nell’aggiudicazione”</w:t>
      </w:r>
    </w:p>
    <w:p w14:paraId="3153DDDC" w14:textId="77777777" w:rsidR="00AA5AD5" w:rsidRPr="00AA5AD5" w:rsidRDefault="00AA5AD5" w:rsidP="00AA5AD5">
      <w:pPr>
        <w:ind w:right="-1"/>
        <w:rPr>
          <w:rFonts w:asciiTheme="minorHAnsi" w:eastAsiaTheme="minorEastAsia" w:hAnsiTheme="minorHAnsi"/>
          <w:sz w:val="24"/>
        </w:rPr>
      </w:pPr>
    </w:p>
    <w:p w14:paraId="7973009C" w14:textId="77777777" w:rsidR="00AA5AD5" w:rsidRPr="00AA5AD5" w:rsidRDefault="00AA5AD5" w:rsidP="00AA5AD5">
      <w:pPr>
        <w:ind w:right="-1"/>
        <w:rPr>
          <w:rFonts w:asciiTheme="minorHAnsi" w:eastAsiaTheme="minorEastAsia" w:hAnsiTheme="minorHAnsi"/>
          <w:sz w:val="24"/>
        </w:rPr>
      </w:pPr>
    </w:p>
    <w:p w14:paraId="4BEB49A5" w14:textId="77777777" w:rsidR="00AA5AD5" w:rsidRPr="00AA5AD5" w:rsidRDefault="00AA5AD5" w:rsidP="00AA5AD5">
      <w:pPr>
        <w:ind w:right="-1"/>
        <w:rPr>
          <w:rFonts w:asciiTheme="minorHAnsi" w:eastAsiaTheme="minorEastAsia" w:hAnsiTheme="minorHAnsi"/>
          <w:sz w:val="24"/>
        </w:rPr>
      </w:pPr>
    </w:p>
    <w:p w14:paraId="5607A283" w14:textId="2A627FEC" w:rsidR="00AA5AD5" w:rsidRPr="00EB02B3" w:rsidRDefault="00AA5AD5" w:rsidP="00EB02B3">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EB02B3">
        <w:rPr>
          <w:rFonts w:eastAsia="Calibri" w:cs="Times New Roman"/>
          <w:caps/>
          <w:sz w:val="24"/>
          <w:szCs w:val="24"/>
          <w:lang w:val="it-IT" w:eastAsia="it-IT"/>
        </w:rPr>
        <w:t>Le richieste dell'iniziativa</w:t>
      </w:r>
    </w:p>
    <w:p w14:paraId="7DF26B01" w14:textId="1B17F5DB" w:rsidR="00AA5AD5" w:rsidRPr="00EB02B3" w:rsidRDefault="00C01FB9" w:rsidP="00AA5AD5">
      <w:pPr>
        <w:suppressAutoHyphens/>
        <w:autoSpaceDN w:val="0"/>
        <w:textAlignment w:val="baseline"/>
        <w:rPr>
          <w:rFonts w:eastAsia="Songti SC" w:cs="Arial Unicode MS"/>
          <w:kern w:val="3"/>
          <w:sz w:val="24"/>
          <w:szCs w:val="24"/>
          <w:lang w:eastAsia="zh-CN" w:bidi="hi-IN"/>
        </w:rPr>
      </w:pPr>
      <w:r w:rsidRPr="00EB02B3">
        <w:rPr>
          <w:rFonts w:eastAsia="Songti SC" w:cs="Arial Unicode MS"/>
          <w:kern w:val="3"/>
          <w:sz w:val="24"/>
          <w:szCs w:val="24"/>
          <w:lang w:eastAsia="zh-CN" w:bidi="hi-IN"/>
        </w:rPr>
        <w:t>L'</w:t>
      </w:r>
      <w:r w:rsidR="00AA5AD5" w:rsidRPr="00EB02B3">
        <w:rPr>
          <w:rFonts w:eastAsia="Songti SC" w:cs="Arial Unicode MS"/>
          <w:kern w:val="3"/>
          <w:sz w:val="24"/>
          <w:szCs w:val="24"/>
          <w:lang w:eastAsia="zh-CN" w:bidi="hi-IN"/>
        </w:rPr>
        <w:t>iniziativa chiede di modificare la Legge sulle commesse pubbliche (LCPubb), la cui ultima revisione</w:t>
      </w:r>
      <w:r w:rsidRPr="00EB02B3">
        <w:rPr>
          <w:rFonts w:eastAsia="Songti SC" w:cs="Arial Unicode MS"/>
          <w:kern w:val="3"/>
          <w:sz w:val="24"/>
          <w:szCs w:val="24"/>
          <w:lang w:eastAsia="zh-CN" w:bidi="hi-IN"/>
        </w:rPr>
        <w:t>,</w:t>
      </w:r>
      <w:r w:rsidR="00AA5AD5" w:rsidRPr="00EB02B3">
        <w:rPr>
          <w:rFonts w:eastAsia="Songti SC" w:cs="Arial Unicode MS"/>
          <w:kern w:val="3"/>
          <w:sz w:val="24"/>
          <w:szCs w:val="24"/>
          <w:lang w:eastAsia="zh-CN" w:bidi="hi-IN"/>
        </w:rPr>
        <w:t xml:space="preserve"> </w:t>
      </w:r>
      <w:r w:rsidRPr="00EB02B3">
        <w:rPr>
          <w:rFonts w:eastAsia="Songti SC" w:cs="Arial Unicode MS"/>
          <w:kern w:val="3"/>
          <w:sz w:val="24"/>
          <w:szCs w:val="24"/>
          <w:lang w:eastAsia="zh-CN" w:bidi="hi-IN"/>
        </w:rPr>
        <w:t xml:space="preserve">che </w:t>
      </w:r>
      <w:r w:rsidR="00AA5AD5" w:rsidRPr="00EB02B3">
        <w:rPr>
          <w:rFonts w:eastAsia="Songti SC" w:cs="Arial Unicode MS"/>
          <w:kern w:val="3"/>
          <w:sz w:val="24"/>
          <w:szCs w:val="24"/>
          <w:lang w:eastAsia="zh-CN" w:bidi="hi-IN"/>
        </w:rPr>
        <w:t>è entrata in vigore il 1° gennaio 2020</w:t>
      </w:r>
      <w:r w:rsidRPr="00EB02B3">
        <w:rPr>
          <w:rFonts w:eastAsia="Songti SC" w:cs="Arial Unicode MS"/>
          <w:kern w:val="3"/>
          <w:sz w:val="24"/>
          <w:szCs w:val="24"/>
          <w:lang w:eastAsia="zh-CN" w:bidi="hi-IN"/>
        </w:rPr>
        <w:t>,</w:t>
      </w:r>
      <w:r w:rsidR="00AA5AD5" w:rsidRPr="00EB02B3">
        <w:rPr>
          <w:rFonts w:eastAsia="Songti SC" w:cs="Arial Unicode MS"/>
          <w:kern w:val="3"/>
          <w:sz w:val="24"/>
          <w:szCs w:val="24"/>
          <w:lang w:eastAsia="zh-CN" w:bidi="hi-IN"/>
        </w:rPr>
        <w:t xml:space="preserve"> ha introdotto il principio di “attendibilità del prezzo” (art. 32), in modo che</w:t>
      </w:r>
      <w:r w:rsidRPr="00EB02B3">
        <w:rPr>
          <w:rFonts w:eastAsia="Songti SC" w:cs="Arial Unicode MS"/>
          <w:kern w:val="3"/>
          <w:sz w:val="24"/>
          <w:szCs w:val="24"/>
          <w:lang w:eastAsia="zh-CN" w:bidi="hi-IN"/>
        </w:rPr>
        <w:t xml:space="preserve"> "de facto"</w:t>
      </w:r>
      <w:r w:rsidR="00AA5AD5" w:rsidRPr="00EB02B3">
        <w:rPr>
          <w:rFonts w:eastAsia="Songti SC" w:cs="Arial Unicode MS"/>
          <w:kern w:val="3"/>
          <w:sz w:val="24"/>
          <w:szCs w:val="24"/>
          <w:lang w:eastAsia="zh-CN" w:bidi="hi-IN"/>
        </w:rPr>
        <w:t xml:space="preserve"> il prezzo non sia sempre</w:t>
      </w:r>
      <w:r w:rsidRPr="00EB02B3">
        <w:rPr>
          <w:rFonts w:eastAsia="Songti SC" w:cs="Arial Unicode MS"/>
          <w:kern w:val="3"/>
          <w:sz w:val="24"/>
          <w:szCs w:val="24"/>
          <w:lang w:eastAsia="zh-CN" w:bidi="hi-IN"/>
        </w:rPr>
        <w:t xml:space="preserve"> l’elemento determinante per l'</w:t>
      </w:r>
      <w:r w:rsidR="00AA5AD5" w:rsidRPr="00EB02B3">
        <w:rPr>
          <w:rFonts w:eastAsia="Songti SC" w:cs="Arial Unicode MS"/>
          <w:kern w:val="3"/>
          <w:sz w:val="24"/>
          <w:szCs w:val="24"/>
          <w:lang w:eastAsia="zh-CN" w:bidi="hi-IN"/>
        </w:rPr>
        <w:t>aggiudicazione degli appalti (oggi il prezzo può avere una ponderazione massima del 50%)</w:t>
      </w:r>
      <w:r w:rsidRPr="00EB02B3">
        <w:rPr>
          <w:rFonts w:eastAsia="Songti SC" w:cs="Arial Unicode MS"/>
          <w:kern w:val="3"/>
          <w:sz w:val="24"/>
          <w:szCs w:val="24"/>
          <w:lang w:eastAsia="zh-CN" w:bidi="hi-IN"/>
        </w:rPr>
        <w:t xml:space="preserve">. </w:t>
      </w:r>
    </w:p>
    <w:p w14:paraId="58000963" w14:textId="77777777" w:rsidR="00AA5AD5" w:rsidRPr="00EB02B3" w:rsidRDefault="00AA5AD5" w:rsidP="00AA5AD5">
      <w:pPr>
        <w:suppressAutoHyphens/>
        <w:autoSpaceDN w:val="0"/>
        <w:ind w:left="567" w:hanging="567"/>
        <w:textAlignment w:val="baseline"/>
        <w:rPr>
          <w:rFonts w:eastAsia="Songti SC" w:cs="Arial Unicode MS"/>
          <w:kern w:val="3"/>
          <w:sz w:val="24"/>
          <w:szCs w:val="24"/>
          <w:lang w:eastAsia="zh-CN" w:bidi="hi-IN"/>
        </w:rPr>
      </w:pPr>
    </w:p>
    <w:p w14:paraId="1474F6E8" w14:textId="01236D1E" w:rsidR="00AA5AD5" w:rsidRPr="00EB02B3" w:rsidRDefault="00BB16CE" w:rsidP="00AA5AD5">
      <w:pPr>
        <w:suppressAutoHyphens/>
        <w:autoSpaceDN w:val="0"/>
        <w:textAlignment w:val="baseline"/>
        <w:rPr>
          <w:rFonts w:eastAsia="Songti SC" w:cs="Arial Unicode MS"/>
          <w:kern w:val="3"/>
          <w:sz w:val="24"/>
          <w:szCs w:val="24"/>
          <w:lang w:eastAsia="zh-CN" w:bidi="hi-IN"/>
        </w:rPr>
      </w:pPr>
      <w:r w:rsidRPr="00EB02B3">
        <w:rPr>
          <w:rFonts w:eastAsia="Songti SC" w:cs="Arial Unicode MS"/>
          <w:kern w:val="3"/>
          <w:sz w:val="24"/>
          <w:szCs w:val="24"/>
          <w:lang w:eastAsia="zh-CN" w:bidi="hi-IN"/>
        </w:rPr>
        <w:t>Gli iniziativisti chiedono al Consiglio di S</w:t>
      </w:r>
      <w:r w:rsidR="00AA5AD5" w:rsidRPr="00EB02B3">
        <w:rPr>
          <w:rFonts w:eastAsia="Songti SC" w:cs="Arial Unicode MS"/>
          <w:kern w:val="3"/>
          <w:sz w:val="24"/>
          <w:szCs w:val="24"/>
          <w:lang w:eastAsia="zh-CN" w:bidi="hi-IN"/>
        </w:rPr>
        <w:t>tato di introdurre dei correttivi per ogni specifico settore (edilizia, fornitura, servizi, ecc.), in modo che il prezzo non escluda a priori offerenti virtuosi. Questo,</w:t>
      </w:r>
      <w:r w:rsidR="00C01FB9" w:rsidRPr="00EB02B3">
        <w:rPr>
          <w:rFonts w:eastAsia="Songti SC" w:cs="Arial Unicode MS"/>
          <w:kern w:val="3"/>
          <w:sz w:val="24"/>
          <w:szCs w:val="24"/>
          <w:lang w:eastAsia="zh-CN" w:bidi="hi-IN"/>
        </w:rPr>
        <w:t xml:space="preserve"> perché secondo gli autori dell'</w:t>
      </w:r>
      <w:r w:rsidR="00AA5AD5" w:rsidRPr="00EB02B3">
        <w:rPr>
          <w:rFonts w:eastAsia="Songti SC" w:cs="Arial Unicode MS"/>
          <w:kern w:val="3"/>
          <w:sz w:val="24"/>
          <w:szCs w:val="24"/>
          <w:lang w:eastAsia="zh-CN" w:bidi="hi-IN"/>
        </w:rPr>
        <w:t>atto parlamentare, nella pratica, il prezzo avendo quasi sempre una ponderazione del 50%, diventa il</w:t>
      </w:r>
      <w:r w:rsidR="00C01FB9" w:rsidRPr="00EB02B3">
        <w:rPr>
          <w:rFonts w:eastAsia="Songti SC" w:cs="Arial Unicode MS"/>
          <w:kern w:val="3"/>
          <w:sz w:val="24"/>
          <w:szCs w:val="24"/>
          <w:lang w:eastAsia="zh-CN" w:bidi="hi-IN"/>
        </w:rPr>
        <w:t xml:space="preserve"> valore determinante per l'</w:t>
      </w:r>
      <w:r w:rsidR="00AA5AD5" w:rsidRPr="00EB02B3">
        <w:rPr>
          <w:rFonts w:eastAsia="Songti SC" w:cs="Arial Unicode MS"/>
          <w:kern w:val="3"/>
          <w:sz w:val="24"/>
          <w:szCs w:val="24"/>
          <w:lang w:eastAsia="zh-CN" w:bidi="hi-IN"/>
        </w:rPr>
        <w:t>aggiudicazione.</w:t>
      </w:r>
      <w:r w:rsidR="00C01FB9" w:rsidRPr="00EB02B3">
        <w:rPr>
          <w:rFonts w:eastAsia="Songti SC" w:cs="Arial Unicode MS"/>
          <w:kern w:val="3"/>
          <w:sz w:val="24"/>
          <w:szCs w:val="24"/>
          <w:lang w:eastAsia="zh-CN" w:bidi="hi-IN"/>
        </w:rPr>
        <w:t xml:space="preserve"> </w:t>
      </w:r>
    </w:p>
    <w:p w14:paraId="6630D0E2" w14:textId="77777777" w:rsidR="00AA5AD5" w:rsidRPr="00EB02B3" w:rsidRDefault="00AA5AD5" w:rsidP="00AA5AD5">
      <w:pPr>
        <w:suppressAutoHyphens/>
        <w:autoSpaceDN w:val="0"/>
        <w:textAlignment w:val="baseline"/>
        <w:rPr>
          <w:rFonts w:eastAsia="Songti SC" w:cs="Arial Unicode MS"/>
          <w:kern w:val="3"/>
          <w:sz w:val="24"/>
          <w:szCs w:val="24"/>
          <w:lang w:eastAsia="zh-CN" w:bidi="hi-IN"/>
        </w:rPr>
      </w:pPr>
    </w:p>
    <w:p w14:paraId="79CA6D8D" w14:textId="075D4303" w:rsidR="00AA5AD5" w:rsidRPr="00EB02B3" w:rsidRDefault="00BB16CE" w:rsidP="00AA5AD5">
      <w:pPr>
        <w:suppressAutoHyphens/>
        <w:autoSpaceDN w:val="0"/>
        <w:textAlignment w:val="baseline"/>
        <w:rPr>
          <w:rFonts w:eastAsia="Songti SC" w:cs="Arial Unicode MS"/>
          <w:kern w:val="3"/>
          <w:sz w:val="24"/>
          <w:szCs w:val="24"/>
          <w:lang w:eastAsia="zh-CN" w:bidi="hi-IN"/>
        </w:rPr>
      </w:pPr>
      <w:r w:rsidRPr="00EB02B3">
        <w:rPr>
          <w:rFonts w:eastAsia="Songti SC" w:cs="Arial Unicode MS"/>
          <w:kern w:val="3"/>
          <w:sz w:val="24"/>
          <w:szCs w:val="24"/>
          <w:lang w:eastAsia="zh-CN" w:bidi="hi-IN"/>
        </w:rPr>
        <w:t>Inoltre, all'</w:t>
      </w:r>
      <w:r w:rsidR="00F35EF5" w:rsidRPr="00EB02B3">
        <w:rPr>
          <w:rFonts w:eastAsia="Songti SC" w:cs="Arial Unicode MS"/>
          <w:kern w:val="3"/>
          <w:sz w:val="24"/>
          <w:szCs w:val="24"/>
          <w:lang w:eastAsia="zh-CN" w:bidi="hi-IN"/>
        </w:rPr>
        <w:t>interno dell'</w:t>
      </w:r>
      <w:r w:rsidR="00AA5AD5" w:rsidRPr="00EB02B3">
        <w:rPr>
          <w:rFonts w:eastAsia="Songti SC" w:cs="Arial Unicode MS"/>
          <w:kern w:val="3"/>
          <w:sz w:val="24"/>
          <w:szCs w:val="24"/>
          <w:lang w:eastAsia="zh-CN" w:bidi="hi-IN"/>
        </w:rPr>
        <w:t>iniziativa si citano deg</w:t>
      </w:r>
      <w:r w:rsidR="00F35EF5" w:rsidRPr="00EB02B3">
        <w:rPr>
          <w:rFonts w:eastAsia="Songti SC" w:cs="Arial Unicode MS"/>
          <w:kern w:val="3"/>
          <w:sz w:val="24"/>
          <w:szCs w:val="24"/>
          <w:lang w:eastAsia="zh-CN" w:bidi="hi-IN"/>
        </w:rPr>
        <w:t>li studi che dimostrano che all'</w:t>
      </w:r>
      <w:r w:rsidR="00AA5AD5" w:rsidRPr="00EB02B3">
        <w:rPr>
          <w:rFonts w:eastAsia="Songti SC" w:cs="Arial Unicode MS"/>
          <w:kern w:val="3"/>
          <w:sz w:val="24"/>
          <w:szCs w:val="24"/>
          <w:lang w:eastAsia="zh-CN" w:bidi="hi-IN"/>
        </w:rPr>
        <w:t>interno degli appalti pubblici (non solo d</w:t>
      </w:r>
      <w:r w:rsidR="00F35EF5" w:rsidRPr="00EB02B3">
        <w:rPr>
          <w:rFonts w:eastAsia="Songti SC" w:cs="Arial Unicode MS"/>
          <w:kern w:val="3"/>
          <w:sz w:val="24"/>
          <w:szCs w:val="24"/>
          <w:lang w:eastAsia="zh-CN" w:bidi="hi-IN"/>
        </w:rPr>
        <w:t>i grandi opere pubbliche) esiste</w:t>
      </w:r>
      <w:r w:rsidR="00AA5AD5" w:rsidRPr="00EB02B3">
        <w:rPr>
          <w:rFonts w:eastAsia="Songti SC" w:cs="Arial Unicode MS"/>
          <w:kern w:val="3"/>
          <w:sz w:val="24"/>
          <w:szCs w:val="24"/>
          <w:lang w:eastAsia="zh-CN" w:bidi="hi-IN"/>
        </w:rPr>
        <w:t xml:space="preserve"> </w:t>
      </w:r>
      <w:r w:rsidR="00F35EF5" w:rsidRPr="00EB02B3">
        <w:rPr>
          <w:rFonts w:eastAsia="Songti SC" w:cs="Arial Unicode MS"/>
          <w:kern w:val="3"/>
          <w:sz w:val="24"/>
          <w:szCs w:val="24"/>
          <w:lang w:eastAsia="zh-CN" w:bidi="hi-IN"/>
        </w:rPr>
        <w:t>un'</w:t>
      </w:r>
      <w:r w:rsidR="00AA5AD5" w:rsidRPr="00EB02B3">
        <w:rPr>
          <w:rFonts w:eastAsia="Songti SC" w:cs="Arial Unicode MS"/>
          <w:kern w:val="3"/>
          <w:sz w:val="24"/>
          <w:szCs w:val="24"/>
          <w:lang w:eastAsia="zh-CN" w:bidi="hi-IN"/>
        </w:rPr>
        <w:t>infiltrazione mafiosa e che quindi la malavita si</w:t>
      </w:r>
      <w:r w:rsidR="00F35EF5" w:rsidRPr="00EB02B3">
        <w:rPr>
          <w:rFonts w:eastAsia="Songti SC" w:cs="Arial Unicode MS"/>
          <w:kern w:val="3"/>
          <w:sz w:val="24"/>
          <w:szCs w:val="24"/>
          <w:lang w:eastAsia="zh-CN" w:bidi="hi-IN"/>
        </w:rPr>
        <w:t>a presente e sottovalutata dal L</w:t>
      </w:r>
      <w:r w:rsidR="00AA5AD5" w:rsidRPr="00EB02B3">
        <w:rPr>
          <w:rFonts w:eastAsia="Songti SC" w:cs="Arial Unicode MS"/>
          <w:kern w:val="3"/>
          <w:sz w:val="24"/>
          <w:szCs w:val="24"/>
          <w:lang w:eastAsia="zh-CN" w:bidi="hi-IN"/>
        </w:rPr>
        <w:t>egislatore. Attori che, oltre a disporre di ingenti capitali, impiegano personale sottopagato, creando una concorrenza al ribasso, oltre che sleale.</w:t>
      </w:r>
      <w:r w:rsidR="00F35EF5" w:rsidRPr="00EB02B3">
        <w:rPr>
          <w:rFonts w:eastAsia="Songti SC" w:cs="Arial Unicode MS"/>
          <w:kern w:val="3"/>
          <w:sz w:val="24"/>
          <w:szCs w:val="24"/>
          <w:lang w:eastAsia="zh-CN" w:bidi="hi-IN"/>
        </w:rPr>
        <w:t xml:space="preserve"> </w:t>
      </w:r>
    </w:p>
    <w:p w14:paraId="65D9B94D" w14:textId="0276DC4F" w:rsidR="00AA5AD5" w:rsidRDefault="00AA5AD5" w:rsidP="00AA5AD5">
      <w:pPr>
        <w:suppressAutoHyphens/>
        <w:autoSpaceDN w:val="0"/>
        <w:ind w:left="567" w:hanging="567"/>
        <w:textAlignment w:val="baseline"/>
        <w:rPr>
          <w:rFonts w:eastAsia="Songti SC" w:cs="Arial Unicode MS"/>
          <w:kern w:val="3"/>
          <w:sz w:val="23"/>
          <w:szCs w:val="23"/>
          <w:lang w:eastAsia="zh-CN" w:bidi="hi-IN"/>
        </w:rPr>
      </w:pPr>
    </w:p>
    <w:p w14:paraId="24EE7B6C" w14:textId="77777777" w:rsidR="00EB02B3" w:rsidRPr="00AA5AD5" w:rsidRDefault="00EB02B3" w:rsidP="00AA5AD5">
      <w:pPr>
        <w:suppressAutoHyphens/>
        <w:autoSpaceDN w:val="0"/>
        <w:ind w:left="567" w:hanging="567"/>
        <w:textAlignment w:val="baseline"/>
        <w:rPr>
          <w:rFonts w:eastAsia="Songti SC" w:cs="Arial Unicode MS"/>
          <w:kern w:val="3"/>
          <w:sz w:val="23"/>
          <w:szCs w:val="23"/>
          <w:lang w:eastAsia="zh-CN" w:bidi="hi-IN"/>
        </w:rPr>
      </w:pPr>
    </w:p>
    <w:p w14:paraId="6CA69B35" w14:textId="77777777" w:rsidR="00AA5AD5" w:rsidRPr="00AA5AD5" w:rsidRDefault="00AA5AD5" w:rsidP="00AA5AD5">
      <w:pPr>
        <w:suppressAutoHyphens/>
        <w:autoSpaceDN w:val="0"/>
        <w:ind w:left="567" w:hanging="567"/>
        <w:textAlignment w:val="baseline"/>
        <w:rPr>
          <w:rFonts w:eastAsia="Songti SC" w:cs="Arial Unicode MS"/>
          <w:kern w:val="3"/>
          <w:sz w:val="23"/>
          <w:szCs w:val="23"/>
          <w:lang w:eastAsia="zh-CN" w:bidi="hi-IN"/>
        </w:rPr>
      </w:pPr>
    </w:p>
    <w:p w14:paraId="7F7154D5" w14:textId="71FCC6AB" w:rsidR="00AA5AD5" w:rsidRPr="00EB02B3" w:rsidRDefault="00AA5AD5" w:rsidP="00EB02B3">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EB02B3">
        <w:rPr>
          <w:rFonts w:eastAsia="Calibri" w:cs="Times New Roman"/>
          <w:caps/>
          <w:sz w:val="24"/>
          <w:szCs w:val="24"/>
          <w:lang w:val="it-IT" w:eastAsia="it-IT"/>
        </w:rPr>
        <w:t>VALUTAZIONE DELLE COMMESSE PUBBLICATE NEL 2022 DAi principali attori cantonali e comunali</w:t>
      </w:r>
    </w:p>
    <w:p w14:paraId="39D07DE5" w14:textId="3EE36FBC" w:rsidR="00AA5AD5" w:rsidRPr="00EB02B3" w:rsidRDefault="00AA5AD5" w:rsidP="00AA5AD5">
      <w:pPr>
        <w:autoSpaceDE w:val="0"/>
        <w:autoSpaceDN w:val="0"/>
        <w:adjustRightInd w:val="0"/>
        <w:rPr>
          <w:rFonts w:cs="Arial"/>
          <w:color w:val="000000"/>
          <w:sz w:val="24"/>
          <w:szCs w:val="24"/>
        </w:rPr>
      </w:pPr>
      <w:r w:rsidRPr="00EB02B3">
        <w:rPr>
          <w:rFonts w:cs="Arial"/>
          <w:color w:val="000000"/>
          <w:sz w:val="24"/>
          <w:szCs w:val="24"/>
        </w:rPr>
        <w:t>In base a una valutazione sulle commesse pubblicate nel corso del 2022 dalla Divisione delle costruzioni del Dipartimento del territorio, dal Centro sistemi informativi e dalla Sezione della logistica del Di</w:t>
      </w:r>
      <w:r w:rsidR="00F35EF5" w:rsidRPr="00EB02B3">
        <w:rPr>
          <w:rFonts w:cs="Arial"/>
          <w:color w:val="000000"/>
          <w:sz w:val="24"/>
          <w:szCs w:val="24"/>
        </w:rPr>
        <w:t>partimento delle finanze e dell'</w:t>
      </w:r>
      <w:r w:rsidRPr="00EB02B3">
        <w:rPr>
          <w:rFonts w:cs="Arial"/>
          <w:color w:val="000000"/>
          <w:sz w:val="24"/>
          <w:szCs w:val="24"/>
        </w:rPr>
        <w:t>economia (che rappresentano l’89% dei pubblici concorsi dell’Amministrazione cantonale) e dalle città di Lugano e Locarno (quali principali committenti comunali), è emerso che circa il 30% delle commesse è stata assegnata a concorrenti che non prop</w:t>
      </w:r>
      <w:r w:rsidR="009B3EAC" w:rsidRPr="00EB02B3">
        <w:rPr>
          <w:rFonts w:cs="Arial"/>
          <w:color w:val="000000"/>
          <w:sz w:val="24"/>
          <w:szCs w:val="24"/>
        </w:rPr>
        <w:t>onevano il prezzo più basso all'</w:t>
      </w:r>
      <w:r w:rsidRPr="00EB02B3">
        <w:rPr>
          <w:rFonts w:cs="Arial"/>
          <w:color w:val="000000"/>
          <w:sz w:val="24"/>
          <w:szCs w:val="24"/>
        </w:rPr>
        <w:t>apertura delle offerte, percentuale che aumenta a circa il 45% non considerando le commesse inerenti ai beni ampiamente standardizzati (dove conta unicamente il minor prezzo) e quelle dove ha partecipato un solo concorrente (vedi tabella seguente).</w:t>
      </w:r>
      <w:r w:rsidR="00F35EF5" w:rsidRPr="00EB02B3">
        <w:rPr>
          <w:rFonts w:cs="Arial"/>
          <w:color w:val="000000"/>
          <w:sz w:val="24"/>
          <w:szCs w:val="24"/>
        </w:rPr>
        <w:t xml:space="preserve"> </w:t>
      </w:r>
    </w:p>
    <w:p w14:paraId="0E7A8041" w14:textId="77777777" w:rsidR="00AA5AD5" w:rsidRPr="00AA5AD5" w:rsidRDefault="00AA5AD5" w:rsidP="00AA5AD5">
      <w:pPr>
        <w:autoSpaceDE w:val="0"/>
        <w:autoSpaceDN w:val="0"/>
        <w:adjustRightInd w:val="0"/>
        <w:rPr>
          <w:rFonts w:cs="Arial"/>
          <w:color w:val="000000"/>
          <w:sz w:val="23"/>
          <w:szCs w:val="23"/>
        </w:rPr>
      </w:pPr>
    </w:p>
    <w:p w14:paraId="0C96EAB9" w14:textId="77777777" w:rsidR="00AA5AD5" w:rsidRPr="00AA5AD5" w:rsidRDefault="00AA5AD5" w:rsidP="00AA5AD5">
      <w:pPr>
        <w:autoSpaceDE w:val="0"/>
        <w:autoSpaceDN w:val="0"/>
        <w:adjustRightInd w:val="0"/>
        <w:rPr>
          <w:rFonts w:cs="Arial"/>
          <w:color w:val="000000"/>
          <w:sz w:val="23"/>
          <w:szCs w:val="23"/>
        </w:rPr>
      </w:pPr>
    </w:p>
    <w:p w14:paraId="4587E11C" w14:textId="77777777" w:rsidR="00AA5AD5" w:rsidRPr="00AA5AD5" w:rsidRDefault="00AA5AD5" w:rsidP="00AA5AD5">
      <w:pPr>
        <w:autoSpaceDE w:val="0"/>
        <w:autoSpaceDN w:val="0"/>
        <w:adjustRightInd w:val="0"/>
        <w:jc w:val="left"/>
        <w:rPr>
          <w:rFonts w:cs="Arial"/>
          <w:color w:val="000000"/>
          <w:sz w:val="23"/>
          <w:szCs w:val="23"/>
        </w:rPr>
      </w:pPr>
      <w:r w:rsidRPr="00AA5AD5">
        <w:rPr>
          <w:rFonts w:cs="Arial"/>
          <w:noProof/>
          <w:color w:val="000000"/>
          <w:sz w:val="23"/>
          <w:szCs w:val="23"/>
          <w:lang w:eastAsia="it-CH"/>
        </w:rPr>
        <w:drawing>
          <wp:inline distT="0" distB="0" distL="0" distR="0" wp14:anchorId="3B339594" wp14:editId="42D51B3F">
            <wp:extent cx="6089565" cy="2926080"/>
            <wp:effectExtent l="0" t="0" r="6985" b="7620"/>
            <wp:docPr id="682320212" name="Immagine 1" descr="Immagine che contiene testo, numer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20212" name="Immagine 1" descr="Immagine che contiene testo, numero, Carattere, schermata&#10;&#10;Descrizione generata automa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9565" cy="2926080"/>
                    </a:xfrm>
                    <a:prstGeom prst="rect">
                      <a:avLst/>
                    </a:prstGeom>
                    <a:noFill/>
                    <a:ln>
                      <a:noFill/>
                    </a:ln>
                  </pic:spPr>
                </pic:pic>
              </a:graphicData>
            </a:graphic>
          </wp:inline>
        </w:drawing>
      </w:r>
    </w:p>
    <w:p w14:paraId="08D3D441" w14:textId="77777777" w:rsidR="00AA5AD5" w:rsidRPr="00EB02B3" w:rsidRDefault="00AA5AD5" w:rsidP="00AA5AD5">
      <w:pPr>
        <w:autoSpaceDE w:val="0"/>
        <w:autoSpaceDN w:val="0"/>
        <w:adjustRightInd w:val="0"/>
        <w:jc w:val="left"/>
        <w:rPr>
          <w:rFonts w:cs="Arial"/>
          <w:color w:val="000000"/>
          <w:sz w:val="24"/>
          <w:szCs w:val="24"/>
        </w:rPr>
      </w:pPr>
    </w:p>
    <w:p w14:paraId="4182765D" w14:textId="5CEF3043" w:rsidR="00AA5AD5" w:rsidRPr="00EB02B3" w:rsidRDefault="00AA5AD5" w:rsidP="00AA5AD5">
      <w:pPr>
        <w:autoSpaceDE w:val="0"/>
        <w:autoSpaceDN w:val="0"/>
        <w:adjustRightInd w:val="0"/>
        <w:rPr>
          <w:rFonts w:cs="Arial"/>
          <w:color w:val="000000"/>
          <w:sz w:val="24"/>
          <w:szCs w:val="24"/>
        </w:rPr>
      </w:pPr>
      <w:r w:rsidRPr="00EB02B3">
        <w:rPr>
          <w:rFonts w:cs="Arial"/>
          <w:color w:val="000000"/>
          <w:sz w:val="24"/>
          <w:szCs w:val="24"/>
        </w:rPr>
        <w:t>La tabella dimostra che il prezzo n</w:t>
      </w:r>
      <w:r w:rsidR="009B3EAC" w:rsidRPr="00EB02B3">
        <w:rPr>
          <w:rFonts w:cs="Arial"/>
          <w:color w:val="000000"/>
          <w:sz w:val="24"/>
          <w:szCs w:val="24"/>
        </w:rPr>
        <w:t>on incide sistematicamente sull'</w:t>
      </w:r>
      <w:r w:rsidRPr="00EB02B3">
        <w:rPr>
          <w:rFonts w:cs="Arial"/>
          <w:color w:val="000000"/>
          <w:sz w:val="24"/>
          <w:szCs w:val="24"/>
        </w:rPr>
        <w:t>assegnaz</w:t>
      </w:r>
      <w:r w:rsidR="006B306C" w:rsidRPr="00EB02B3">
        <w:rPr>
          <w:rFonts w:cs="Arial"/>
          <w:color w:val="000000"/>
          <w:sz w:val="24"/>
          <w:szCs w:val="24"/>
        </w:rPr>
        <w:t xml:space="preserve">ione di una commessa. Anche se </w:t>
      </w:r>
      <w:r w:rsidRPr="00EB02B3">
        <w:rPr>
          <w:rFonts w:cs="Arial"/>
          <w:color w:val="000000"/>
          <w:sz w:val="24"/>
          <w:szCs w:val="24"/>
        </w:rPr>
        <w:t>le commesse</w:t>
      </w:r>
      <w:r w:rsidR="009B3EAC" w:rsidRPr="00EB02B3">
        <w:rPr>
          <w:rFonts w:cs="Arial"/>
          <w:color w:val="000000"/>
          <w:sz w:val="24"/>
          <w:szCs w:val="24"/>
        </w:rPr>
        <w:t xml:space="preserve"> per gli attori principali dell'</w:t>
      </w:r>
      <w:r w:rsidRPr="00EB02B3">
        <w:rPr>
          <w:rFonts w:cs="Arial"/>
          <w:color w:val="000000"/>
          <w:sz w:val="24"/>
          <w:szCs w:val="24"/>
        </w:rPr>
        <w:t>edilizia</w:t>
      </w:r>
      <w:r w:rsidR="009B3EAC" w:rsidRPr="00EB02B3">
        <w:rPr>
          <w:rFonts w:cs="Arial"/>
          <w:color w:val="000000"/>
          <w:sz w:val="24"/>
          <w:szCs w:val="24"/>
        </w:rPr>
        <w:t xml:space="preserve"> vengono appaltate all'</w:t>
      </w:r>
      <w:r w:rsidRPr="00EB02B3">
        <w:rPr>
          <w:rFonts w:cs="Arial"/>
          <w:color w:val="000000"/>
          <w:sz w:val="24"/>
          <w:szCs w:val="24"/>
        </w:rPr>
        <w:t xml:space="preserve">azienda che presenta il minor prezzo quasi </w:t>
      </w:r>
      <w:r w:rsidR="006B306C" w:rsidRPr="00EB02B3">
        <w:rPr>
          <w:rFonts w:cs="Arial"/>
          <w:color w:val="000000"/>
          <w:sz w:val="24"/>
          <w:szCs w:val="24"/>
        </w:rPr>
        <w:t>nel</w:t>
      </w:r>
      <w:r w:rsidRPr="00EB02B3">
        <w:rPr>
          <w:rFonts w:cs="Arial"/>
          <w:color w:val="000000"/>
          <w:sz w:val="24"/>
          <w:szCs w:val="24"/>
        </w:rPr>
        <w:t xml:space="preserve"> 90% delle volte.</w:t>
      </w:r>
      <w:r w:rsidR="006B306C" w:rsidRPr="00EB02B3">
        <w:rPr>
          <w:rFonts w:cs="Arial"/>
          <w:color w:val="000000"/>
          <w:sz w:val="24"/>
          <w:szCs w:val="24"/>
        </w:rPr>
        <w:t xml:space="preserve"> </w:t>
      </w:r>
    </w:p>
    <w:p w14:paraId="4503A2D4" w14:textId="77777777" w:rsidR="00AA5AD5" w:rsidRPr="00AA5AD5" w:rsidRDefault="00AA5AD5" w:rsidP="00AA5AD5">
      <w:pPr>
        <w:rPr>
          <w:rFonts w:eastAsia="Songti SC" w:cs="Arial Unicode MS"/>
          <w:bCs/>
          <w:kern w:val="3"/>
          <w:sz w:val="23"/>
          <w:szCs w:val="23"/>
          <w:lang w:eastAsia="zh-CN" w:bidi="hi-IN"/>
        </w:rPr>
      </w:pPr>
    </w:p>
    <w:p w14:paraId="378A7F13" w14:textId="0503C0CF" w:rsidR="00AA5AD5" w:rsidRDefault="00AA5AD5" w:rsidP="00AA5AD5">
      <w:pPr>
        <w:rPr>
          <w:rFonts w:eastAsia="Songti SC" w:cs="Arial Unicode MS"/>
          <w:bCs/>
          <w:kern w:val="3"/>
          <w:sz w:val="23"/>
          <w:szCs w:val="23"/>
          <w:lang w:eastAsia="zh-CN" w:bidi="hi-IN"/>
        </w:rPr>
      </w:pPr>
    </w:p>
    <w:p w14:paraId="7C088509" w14:textId="77777777" w:rsidR="00EB02B3" w:rsidRPr="00AA5AD5" w:rsidRDefault="00EB02B3" w:rsidP="00AA5AD5">
      <w:pPr>
        <w:rPr>
          <w:rFonts w:eastAsia="Songti SC" w:cs="Arial Unicode MS"/>
          <w:bCs/>
          <w:kern w:val="3"/>
          <w:sz w:val="23"/>
          <w:szCs w:val="23"/>
          <w:lang w:eastAsia="zh-CN" w:bidi="hi-IN"/>
        </w:rPr>
      </w:pPr>
    </w:p>
    <w:p w14:paraId="600074BF" w14:textId="2F71228A" w:rsidR="00AA5AD5" w:rsidRPr="00EB02B3" w:rsidRDefault="00AA5AD5" w:rsidP="00EB02B3">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EB02B3">
        <w:rPr>
          <w:rFonts w:eastAsia="Calibri" w:cs="Times New Roman"/>
          <w:caps/>
          <w:sz w:val="24"/>
          <w:szCs w:val="24"/>
          <w:lang w:val="it-IT" w:eastAsia="it-IT"/>
        </w:rPr>
        <w:t>INFILTRAZIONI MAFIOSE</w:t>
      </w:r>
    </w:p>
    <w:p w14:paraId="0C8BB0B6" w14:textId="4E167319" w:rsidR="00AA5AD5" w:rsidRPr="00EB02B3" w:rsidRDefault="00AA5AD5" w:rsidP="00AA5AD5">
      <w:pPr>
        <w:autoSpaceDE w:val="0"/>
        <w:autoSpaceDN w:val="0"/>
        <w:adjustRightInd w:val="0"/>
        <w:rPr>
          <w:rFonts w:cs="Arial"/>
          <w:color w:val="000000"/>
          <w:sz w:val="24"/>
          <w:szCs w:val="24"/>
        </w:rPr>
      </w:pPr>
      <w:r w:rsidRPr="00EB02B3">
        <w:rPr>
          <w:rFonts w:cs="Arial"/>
          <w:color w:val="000000"/>
          <w:sz w:val="24"/>
          <w:szCs w:val="24"/>
        </w:rPr>
        <w:t>Per quanto riguarda il tema delle infiltrazioni mafiose, il Consiglio di S</w:t>
      </w:r>
      <w:r w:rsidR="006C4D73" w:rsidRPr="00EB02B3">
        <w:rPr>
          <w:rFonts w:cs="Arial"/>
          <w:color w:val="000000"/>
          <w:sz w:val="24"/>
          <w:szCs w:val="24"/>
        </w:rPr>
        <w:t>tato si esprime come segue: «</w:t>
      </w:r>
      <w:r w:rsidRPr="00EB02B3">
        <w:rPr>
          <w:rFonts w:cs="Arial"/>
          <w:color w:val="000000"/>
          <w:sz w:val="24"/>
          <w:szCs w:val="24"/>
        </w:rPr>
        <w:t xml:space="preserve">[…], </w:t>
      </w:r>
      <w:r w:rsidRPr="00EB02B3">
        <w:rPr>
          <w:rFonts w:cs="Arial"/>
          <w:i/>
          <w:color w:val="000000"/>
          <w:sz w:val="24"/>
          <w:szCs w:val="24"/>
        </w:rPr>
        <w:t>si osserva che lo stesso (NDR: tema delle infiltrazioni mafiose) è trattato nel rapporto sulla mozione 1704</w:t>
      </w:r>
      <w:r w:rsidRPr="00EB02B3">
        <w:rPr>
          <w:rFonts w:cs="Arial"/>
          <w:i/>
          <w:color w:val="000000"/>
          <w:sz w:val="24"/>
          <w:szCs w:val="24"/>
          <w:vertAlign w:val="superscript"/>
        </w:rPr>
        <w:footnoteReference w:id="1"/>
      </w:r>
      <w:r w:rsidRPr="00EB02B3">
        <w:rPr>
          <w:rFonts w:cs="Arial"/>
          <w:i/>
          <w:color w:val="000000"/>
          <w:sz w:val="24"/>
          <w:szCs w:val="24"/>
        </w:rPr>
        <w:t xml:space="preserve"> al quale si rimanda. Si osserva inoltre che il prezzo può rappresentare solo un indizio di un caso di concor</w:t>
      </w:r>
      <w:r w:rsidR="00125A0A" w:rsidRPr="00EB02B3">
        <w:rPr>
          <w:rFonts w:cs="Arial"/>
          <w:i/>
          <w:color w:val="000000"/>
          <w:sz w:val="24"/>
          <w:szCs w:val="24"/>
        </w:rPr>
        <w:t>renza sleale. In presenza di un'</w:t>
      </w:r>
      <w:r w:rsidRPr="00EB02B3">
        <w:rPr>
          <w:rFonts w:cs="Arial"/>
          <w:i/>
          <w:color w:val="000000"/>
          <w:sz w:val="24"/>
          <w:szCs w:val="24"/>
        </w:rPr>
        <w:t>offerta insolitamente bassa il committente, sentito il concorrente che l’ha inoltrata, può escluderlo dalla gara nella misura in cui matura la convinzione che esso non è in grado di eseguire correttamente la commessa al prezzo che gli ha proposto</w:t>
      </w:r>
      <w:r w:rsidRPr="00EB02B3">
        <w:rPr>
          <w:rFonts w:cs="Arial"/>
          <w:i/>
          <w:color w:val="000000"/>
          <w:sz w:val="24"/>
          <w:szCs w:val="24"/>
          <w:vertAlign w:val="superscript"/>
        </w:rPr>
        <w:footnoteReference w:id="2"/>
      </w:r>
      <w:r w:rsidR="00125A0A" w:rsidRPr="00EB02B3">
        <w:rPr>
          <w:rFonts w:cs="Arial"/>
          <w:i/>
          <w:color w:val="000000"/>
          <w:sz w:val="24"/>
          <w:szCs w:val="24"/>
        </w:rPr>
        <w:t>. L'</w:t>
      </w:r>
      <w:r w:rsidRPr="00EB02B3">
        <w:rPr>
          <w:rFonts w:cs="Arial"/>
          <w:i/>
          <w:color w:val="000000"/>
          <w:sz w:val="24"/>
          <w:szCs w:val="24"/>
        </w:rPr>
        <w:t>offerta può quindi essere esclusa nel caso in cui le ulteriori indagini del committente permettono di riscontrare manchevolezze, ma non a causa del prezzo basso</w:t>
      </w:r>
      <w:r w:rsidRPr="00EB02B3">
        <w:rPr>
          <w:rFonts w:cs="Arial"/>
          <w:i/>
          <w:color w:val="000000"/>
          <w:sz w:val="24"/>
          <w:szCs w:val="24"/>
          <w:vertAlign w:val="superscript"/>
        </w:rPr>
        <w:footnoteReference w:id="3"/>
      </w:r>
      <w:r w:rsidRPr="00EB02B3">
        <w:rPr>
          <w:rFonts w:cs="Arial"/>
          <w:i/>
          <w:color w:val="000000"/>
          <w:sz w:val="24"/>
          <w:szCs w:val="24"/>
        </w:rPr>
        <w:t xml:space="preserve">. </w:t>
      </w:r>
      <w:r w:rsidR="00125A0A" w:rsidRPr="00EB02B3">
        <w:rPr>
          <w:rFonts w:cs="Arial"/>
          <w:i/>
          <w:color w:val="000000"/>
          <w:sz w:val="24"/>
          <w:szCs w:val="24"/>
        </w:rPr>
        <w:t>D'</w:t>
      </w:r>
      <w:r w:rsidRPr="00EB02B3">
        <w:rPr>
          <w:rFonts w:cs="Arial"/>
          <w:i/>
          <w:color w:val="000000"/>
          <w:sz w:val="24"/>
          <w:szCs w:val="24"/>
        </w:rPr>
        <w:t>altra parte, non spetta ai committenti pubblici ma compete alle autori</w:t>
      </w:r>
      <w:r w:rsidR="00125A0A" w:rsidRPr="00EB02B3">
        <w:rPr>
          <w:rFonts w:cs="Arial"/>
          <w:i/>
          <w:color w:val="000000"/>
          <w:sz w:val="24"/>
          <w:szCs w:val="24"/>
        </w:rPr>
        <w:t>tà civili e penali deputate all'</w:t>
      </w:r>
      <w:r w:rsidRPr="00EB02B3">
        <w:rPr>
          <w:rFonts w:cs="Arial"/>
          <w:i/>
          <w:color w:val="000000"/>
          <w:sz w:val="24"/>
          <w:szCs w:val="24"/>
        </w:rPr>
        <w:t>applicazione del diritto della concorrenza, pronunciarsi sulla sussistenza o meno di un caso di concorrenza sleale</w:t>
      </w:r>
      <w:r w:rsidRPr="00EB02B3">
        <w:rPr>
          <w:rFonts w:cs="Arial"/>
          <w:color w:val="000000"/>
          <w:sz w:val="24"/>
          <w:szCs w:val="24"/>
          <w:vertAlign w:val="superscript"/>
        </w:rPr>
        <w:footnoteReference w:id="4"/>
      </w:r>
      <w:r w:rsidR="006C4D73" w:rsidRPr="00EB02B3">
        <w:rPr>
          <w:rFonts w:cs="Arial"/>
          <w:color w:val="000000"/>
          <w:sz w:val="24"/>
          <w:szCs w:val="24"/>
        </w:rPr>
        <w:t xml:space="preserve">». </w:t>
      </w:r>
      <w:r w:rsidRPr="00EB02B3">
        <w:rPr>
          <w:rFonts w:cs="Arial"/>
          <w:color w:val="000000"/>
          <w:sz w:val="24"/>
          <w:szCs w:val="24"/>
        </w:rPr>
        <w:t xml:space="preserve"> </w:t>
      </w:r>
    </w:p>
    <w:p w14:paraId="6606EA1E" w14:textId="77777777" w:rsidR="00AA5AD5" w:rsidRPr="00EB02B3" w:rsidRDefault="00AA5AD5" w:rsidP="00AA5AD5">
      <w:pPr>
        <w:autoSpaceDE w:val="0"/>
        <w:autoSpaceDN w:val="0"/>
        <w:adjustRightInd w:val="0"/>
        <w:rPr>
          <w:rFonts w:cs="Arial"/>
          <w:color w:val="000000"/>
          <w:sz w:val="24"/>
          <w:szCs w:val="24"/>
        </w:rPr>
      </w:pPr>
    </w:p>
    <w:p w14:paraId="32505CFD" w14:textId="7CA0CD6B" w:rsidR="00AA5AD5" w:rsidRPr="00EB02B3" w:rsidRDefault="00AA5AD5" w:rsidP="00AA5AD5">
      <w:pPr>
        <w:autoSpaceDE w:val="0"/>
        <w:autoSpaceDN w:val="0"/>
        <w:adjustRightInd w:val="0"/>
        <w:rPr>
          <w:rFonts w:cs="Arial"/>
          <w:color w:val="000000"/>
          <w:sz w:val="24"/>
          <w:szCs w:val="24"/>
        </w:rPr>
      </w:pPr>
      <w:r w:rsidRPr="00EB02B3">
        <w:rPr>
          <w:rFonts w:cs="Arial"/>
          <w:color w:val="000000"/>
          <w:sz w:val="24"/>
          <w:szCs w:val="24"/>
        </w:rPr>
        <w:t>A fronte di quanto esposto dal Consiglio di Stato, possiamo sicuramente notare che</w:t>
      </w:r>
      <w:r w:rsidR="00125A0A" w:rsidRPr="00EB02B3">
        <w:rPr>
          <w:rFonts w:cs="Arial"/>
          <w:color w:val="000000"/>
          <w:sz w:val="24"/>
          <w:szCs w:val="24"/>
        </w:rPr>
        <w:t>,</w:t>
      </w:r>
      <w:r w:rsidRPr="00EB02B3">
        <w:rPr>
          <w:rFonts w:cs="Arial"/>
          <w:color w:val="000000"/>
          <w:sz w:val="24"/>
          <w:szCs w:val="24"/>
        </w:rPr>
        <w:t xml:space="preserve"> grazie ad atti parlamentari passati, sono stati integrati degli strumenti a favore degli enti appaltanti per combattere la problematica esposta.</w:t>
      </w:r>
    </w:p>
    <w:p w14:paraId="500C1274" w14:textId="77777777" w:rsidR="00AA5AD5" w:rsidRPr="00AA5AD5" w:rsidRDefault="00AA5AD5" w:rsidP="00AA5AD5">
      <w:pPr>
        <w:autoSpaceDE w:val="0"/>
        <w:autoSpaceDN w:val="0"/>
        <w:adjustRightInd w:val="0"/>
        <w:rPr>
          <w:rFonts w:cs="Arial"/>
          <w:color w:val="000000"/>
          <w:sz w:val="23"/>
          <w:szCs w:val="23"/>
        </w:rPr>
      </w:pPr>
    </w:p>
    <w:p w14:paraId="7A2CBCFC" w14:textId="77777777" w:rsidR="00AA5AD5" w:rsidRPr="00AA5AD5" w:rsidRDefault="00AA5AD5" w:rsidP="00AA5AD5">
      <w:pPr>
        <w:autoSpaceDE w:val="0"/>
        <w:autoSpaceDN w:val="0"/>
        <w:adjustRightInd w:val="0"/>
        <w:rPr>
          <w:rFonts w:cs="Arial"/>
          <w:color w:val="000000"/>
          <w:sz w:val="23"/>
          <w:szCs w:val="23"/>
        </w:rPr>
      </w:pPr>
    </w:p>
    <w:p w14:paraId="3D69AB38" w14:textId="04FC7725" w:rsidR="00AA5AD5" w:rsidRPr="00EB02B3" w:rsidRDefault="00AA5AD5" w:rsidP="00EB02B3">
      <w:pPr>
        <w:keepNext/>
        <w:numPr>
          <w:ilvl w:val="0"/>
          <w:numId w:val="18"/>
        </w:numPr>
        <w:tabs>
          <w:tab w:val="left" w:pos="567"/>
        </w:tabs>
        <w:spacing w:after="120"/>
        <w:ind w:left="567" w:hanging="567"/>
        <w:outlineLvl w:val="0"/>
        <w:rPr>
          <w:rFonts w:eastAsia="Calibri" w:cs="Times New Roman"/>
          <w:b/>
          <w:caps/>
          <w:sz w:val="24"/>
          <w:szCs w:val="24"/>
          <w:lang w:val="it-IT" w:eastAsia="it-IT"/>
        </w:rPr>
      </w:pPr>
      <w:r w:rsidRPr="00EB02B3">
        <w:rPr>
          <w:rFonts w:eastAsia="Calibri" w:cs="Times New Roman"/>
          <w:b/>
          <w:caps/>
          <w:sz w:val="24"/>
          <w:szCs w:val="24"/>
          <w:lang w:val="it-IT" w:eastAsia="it-IT"/>
        </w:rPr>
        <w:t>Ponderazione dei criteri di aggiudicazione e Ponderazione del prezzo</w:t>
      </w:r>
    </w:p>
    <w:p w14:paraId="6891CD1E" w14:textId="12D58E65" w:rsidR="00AA5AD5" w:rsidRPr="00EB02B3" w:rsidRDefault="00AA5AD5" w:rsidP="00EB02B3">
      <w:pPr>
        <w:pStyle w:val="Titolo2"/>
        <w:numPr>
          <w:ilvl w:val="0"/>
          <w:numId w:val="22"/>
        </w:numPr>
        <w:tabs>
          <w:tab w:val="left" w:pos="567"/>
        </w:tabs>
        <w:spacing w:before="0" w:after="120"/>
        <w:ind w:left="0" w:firstLine="0"/>
        <w:jc w:val="both"/>
        <w:rPr>
          <w:rFonts w:eastAsia="Calibri" w:cs="Times New Roman"/>
          <w:sz w:val="24"/>
          <w:lang w:val="it-IT" w:eastAsia="it-IT"/>
        </w:rPr>
      </w:pPr>
      <w:r w:rsidRPr="00EB02B3">
        <w:rPr>
          <w:rFonts w:eastAsia="Calibri" w:cs="Times New Roman"/>
          <w:sz w:val="24"/>
          <w:lang w:val="it-IT" w:eastAsia="it-IT"/>
        </w:rPr>
        <w:t>Ponderazione dei criteri di aggiudicazione</w:t>
      </w:r>
    </w:p>
    <w:p w14:paraId="3C76D602" w14:textId="0B7661A2" w:rsidR="00AA5AD5" w:rsidRPr="00EB02B3" w:rsidRDefault="00AA5AD5" w:rsidP="00EB02B3">
      <w:pPr>
        <w:suppressAutoHyphens/>
        <w:autoSpaceDN w:val="0"/>
        <w:textAlignment w:val="baseline"/>
        <w:rPr>
          <w:sz w:val="24"/>
          <w:szCs w:val="24"/>
        </w:rPr>
      </w:pPr>
      <w:r w:rsidRPr="00EB02B3">
        <w:rPr>
          <w:sz w:val="24"/>
          <w:szCs w:val="24"/>
        </w:rPr>
        <w:t xml:space="preserve">Nella Risoluzione governativa </w:t>
      </w:r>
      <w:r w:rsidR="00125A0A" w:rsidRPr="00EB02B3">
        <w:rPr>
          <w:sz w:val="24"/>
          <w:szCs w:val="24"/>
        </w:rPr>
        <w:t xml:space="preserve">n. </w:t>
      </w:r>
      <w:r w:rsidRPr="00EB02B3">
        <w:rPr>
          <w:sz w:val="24"/>
          <w:szCs w:val="24"/>
        </w:rPr>
        <w:t>1391 del</w:t>
      </w:r>
      <w:r w:rsidR="00125A0A" w:rsidRPr="00EB02B3">
        <w:rPr>
          <w:sz w:val="24"/>
          <w:szCs w:val="24"/>
        </w:rPr>
        <w:t xml:space="preserve"> 20 marzo 2024 il Consiglio di S</w:t>
      </w:r>
      <w:r w:rsidRPr="00EB02B3">
        <w:rPr>
          <w:sz w:val="24"/>
          <w:szCs w:val="24"/>
        </w:rPr>
        <w:t>tato è entrato nel merito della ponderazione dei criteri di aggiudicazione e della ponderazione del prezzo. Da quanto esposto possiamo esporre i seguenti approfondimenti:</w:t>
      </w:r>
    </w:p>
    <w:p w14:paraId="35FCE9F6" w14:textId="625B970F" w:rsidR="00AA5AD5" w:rsidRPr="00EB02B3" w:rsidRDefault="00AA5AD5" w:rsidP="00EB02B3">
      <w:pPr>
        <w:suppressAutoHyphens/>
        <w:autoSpaceDN w:val="0"/>
        <w:textAlignment w:val="baseline"/>
        <w:rPr>
          <w:sz w:val="24"/>
          <w:szCs w:val="24"/>
        </w:rPr>
      </w:pPr>
      <w:r w:rsidRPr="00EB02B3">
        <w:rPr>
          <w:sz w:val="24"/>
          <w:szCs w:val="24"/>
        </w:rPr>
        <w:t xml:space="preserve">I </w:t>
      </w:r>
      <w:r w:rsidRPr="00EB02B3">
        <w:rPr>
          <w:rFonts w:cs="Arial"/>
          <w:sz w:val="24"/>
          <w:szCs w:val="24"/>
        </w:rPr>
        <w:t>criteri di aggiudicazione hanno lo scopo di</w:t>
      </w:r>
      <w:r w:rsidR="00125A0A" w:rsidRPr="00EB02B3">
        <w:rPr>
          <w:rFonts w:cs="Arial"/>
          <w:sz w:val="24"/>
          <w:szCs w:val="24"/>
        </w:rPr>
        <w:t xml:space="preserve"> individuare l'</w:t>
      </w:r>
      <w:r w:rsidRPr="00EB02B3">
        <w:rPr>
          <w:rFonts w:cs="Arial"/>
          <w:sz w:val="24"/>
          <w:szCs w:val="24"/>
        </w:rPr>
        <w:t>offerta più vantaggiosa fra quelle presentate</w:t>
      </w:r>
      <w:r w:rsidRPr="00EB02B3">
        <w:rPr>
          <w:rFonts w:cs="Arial"/>
          <w:sz w:val="24"/>
          <w:szCs w:val="24"/>
          <w:vertAlign w:val="superscript"/>
        </w:rPr>
        <w:footnoteReference w:id="5"/>
      </w:r>
      <w:r w:rsidRPr="00EB02B3">
        <w:rPr>
          <w:rFonts w:cs="Arial"/>
          <w:sz w:val="24"/>
          <w:szCs w:val="24"/>
        </w:rPr>
        <w:t xml:space="preserve">. </w:t>
      </w:r>
      <w:r w:rsidRPr="00EB02B3">
        <w:rPr>
          <w:sz w:val="24"/>
          <w:szCs w:val="24"/>
        </w:rPr>
        <w:t>In altre parole, lo scopo dei criteri di aggiudicazione è quello di fornire al committente gli strumenti per</w:t>
      </w:r>
      <w:r w:rsidR="00125A0A" w:rsidRPr="00EB02B3">
        <w:rPr>
          <w:sz w:val="24"/>
          <w:szCs w:val="24"/>
        </w:rPr>
        <w:t xml:space="preserve"> scegliere l'</w:t>
      </w:r>
      <w:r w:rsidRPr="00EB02B3">
        <w:rPr>
          <w:sz w:val="24"/>
          <w:szCs w:val="24"/>
        </w:rPr>
        <w:t xml:space="preserve">offerta complessivamente più vantaggiosa nelle procedure di pubblico concorso, selettive e su invito. Accertamento, questo, che segue la verifica </w:t>
      </w:r>
      <w:r w:rsidR="00125A0A" w:rsidRPr="00EB02B3">
        <w:rPr>
          <w:sz w:val="24"/>
          <w:szCs w:val="24"/>
        </w:rPr>
        <w:t>della bontà dei concorrenti e l'</w:t>
      </w:r>
      <w:r w:rsidRPr="00EB02B3">
        <w:rPr>
          <w:sz w:val="24"/>
          <w:szCs w:val="24"/>
        </w:rPr>
        <w:t>esclusione di quelli non ritenuti idonei</w:t>
      </w:r>
      <w:r w:rsidRPr="00EB02B3">
        <w:rPr>
          <w:sz w:val="24"/>
          <w:szCs w:val="24"/>
          <w:vertAlign w:val="superscript"/>
        </w:rPr>
        <w:footnoteReference w:id="6"/>
      </w:r>
      <w:r w:rsidRPr="00EB02B3">
        <w:rPr>
          <w:sz w:val="24"/>
          <w:szCs w:val="24"/>
        </w:rPr>
        <w:t>.</w:t>
      </w:r>
      <w:r w:rsidR="00125A0A" w:rsidRPr="00EB02B3">
        <w:rPr>
          <w:sz w:val="24"/>
          <w:szCs w:val="24"/>
        </w:rPr>
        <w:t xml:space="preserve"> </w:t>
      </w:r>
    </w:p>
    <w:p w14:paraId="42A85709" w14:textId="77777777" w:rsidR="00AA5AD5" w:rsidRPr="00EB02B3" w:rsidRDefault="00AA5AD5" w:rsidP="00EB02B3">
      <w:pPr>
        <w:suppressAutoHyphens/>
        <w:autoSpaceDN w:val="0"/>
        <w:textAlignment w:val="baseline"/>
        <w:rPr>
          <w:rFonts w:cs="Arial"/>
          <w:sz w:val="24"/>
          <w:szCs w:val="24"/>
        </w:rPr>
      </w:pPr>
    </w:p>
    <w:p w14:paraId="4F1FD7D9" w14:textId="537F8E8E" w:rsidR="00AA5AD5" w:rsidRPr="00EB02B3" w:rsidRDefault="00AA5AD5" w:rsidP="00EB02B3">
      <w:pPr>
        <w:autoSpaceDE w:val="0"/>
        <w:autoSpaceDN w:val="0"/>
        <w:adjustRightInd w:val="0"/>
        <w:rPr>
          <w:rFonts w:cs="Arial"/>
          <w:color w:val="000000"/>
          <w:sz w:val="24"/>
          <w:szCs w:val="24"/>
        </w:rPr>
      </w:pPr>
      <w:r w:rsidRPr="00EB02B3">
        <w:rPr>
          <w:rFonts w:cs="Arial"/>
          <w:color w:val="000000"/>
          <w:sz w:val="24"/>
          <w:szCs w:val="24"/>
        </w:rPr>
        <w:t>Le offerte vengono valutate con una scala graduale secondo più parametri di valutazione. Questo comporta che è possibile che la cattiva valutazione in un criterio di aggiudicazi</w:t>
      </w:r>
      <w:r w:rsidR="002015AB" w:rsidRPr="00EB02B3">
        <w:rPr>
          <w:rFonts w:cs="Arial"/>
          <w:color w:val="000000"/>
          <w:sz w:val="24"/>
          <w:szCs w:val="24"/>
        </w:rPr>
        <w:t>one può essere compensata da un'</w:t>
      </w:r>
      <w:r w:rsidRPr="00EB02B3">
        <w:rPr>
          <w:rFonts w:cs="Arial"/>
          <w:color w:val="000000"/>
          <w:sz w:val="24"/>
          <w:szCs w:val="24"/>
        </w:rPr>
        <w:t>ottima valutazione in un altro cri</w:t>
      </w:r>
      <w:r w:rsidR="009206D9" w:rsidRPr="00EB02B3">
        <w:rPr>
          <w:rFonts w:cs="Arial"/>
          <w:color w:val="000000"/>
          <w:sz w:val="24"/>
          <w:szCs w:val="24"/>
        </w:rPr>
        <w:t>terio. Al riguardo l'</w:t>
      </w:r>
      <w:r w:rsidRPr="00EB02B3">
        <w:rPr>
          <w:rFonts w:cs="Arial"/>
          <w:color w:val="000000"/>
          <w:sz w:val="24"/>
          <w:szCs w:val="24"/>
        </w:rPr>
        <w:t>art. 53 cpv. 1 del Regolamento sulla LCPubb/CIAP</w:t>
      </w:r>
      <w:r w:rsidRPr="00EB02B3">
        <w:rPr>
          <w:rFonts w:cs="Arial"/>
          <w:color w:val="000000"/>
          <w:sz w:val="24"/>
          <w:szCs w:val="24"/>
          <w:vertAlign w:val="superscript"/>
        </w:rPr>
        <w:footnoteReference w:id="7"/>
      </w:r>
      <w:r w:rsidRPr="00EB02B3">
        <w:rPr>
          <w:rFonts w:cs="Arial"/>
          <w:color w:val="000000"/>
          <w:sz w:val="24"/>
          <w:szCs w:val="24"/>
        </w:rPr>
        <w:t xml:space="preserve"> dispone che i criteri di aggiudicazione devono essere pertinenti con la commessa. Inoltre, nella scelta e nella definizione</w:t>
      </w:r>
      <w:r w:rsidRPr="00EB02B3">
        <w:rPr>
          <w:rFonts w:cs="Arial"/>
          <w:b/>
          <w:bCs/>
          <w:color w:val="000000"/>
          <w:sz w:val="24"/>
          <w:szCs w:val="24"/>
        </w:rPr>
        <w:t xml:space="preserve"> </w:t>
      </w:r>
      <w:r w:rsidRPr="00EB02B3">
        <w:rPr>
          <w:rFonts w:cs="Arial"/>
          <w:color w:val="000000"/>
          <w:sz w:val="24"/>
          <w:szCs w:val="24"/>
        </w:rPr>
        <w:t>dei criteri di aggiudicazione e dei relativi fattori di ponderazione il committente ha un ampio margine di manovra, che dev’essere esercitato in base alle particolarità della commessa in oggetto. Pertanto, questi parametri di aggiudicazione non possono essere standardizzati, ma devono essere modificabili. I criteri di aggiudicazione non devo</w:t>
      </w:r>
      <w:r w:rsidR="002015AB" w:rsidRPr="00EB02B3">
        <w:rPr>
          <w:rFonts w:cs="Arial"/>
          <w:color w:val="000000"/>
          <w:sz w:val="24"/>
          <w:szCs w:val="24"/>
        </w:rPr>
        <w:t>no in particolare ostacolare un'</w:t>
      </w:r>
      <w:r w:rsidRPr="00EB02B3">
        <w:rPr>
          <w:rFonts w:cs="Arial"/>
          <w:color w:val="000000"/>
          <w:sz w:val="24"/>
          <w:szCs w:val="24"/>
        </w:rPr>
        <w:t xml:space="preserve">efficace concorrenza </w:t>
      </w:r>
      <w:r w:rsidR="002015AB" w:rsidRPr="00EB02B3">
        <w:rPr>
          <w:rFonts w:cs="Arial"/>
          <w:color w:val="000000"/>
          <w:sz w:val="24"/>
          <w:szCs w:val="24"/>
        </w:rPr>
        <w:t>e l'</w:t>
      </w:r>
      <w:r w:rsidRPr="00EB02B3">
        <w:rPr>
          <w:rFonts w:cs="Arial"/>
          <w:color w:val="000000"/>
          <w:sz w:val="24"/>
          <w:szCs w:val="24"/>
        </w:rPr>
        <w:t>impiego parsimonioso delle risorse finanziarie pubbliche</w:t>
      </w:r>
      <w:r w:rsidRPr="00EB02B3">
        <w:rPr>
          <w:rFonts w:cs="Arial"/>
          <w:color w:val="000000"/>
          <w:sz w:val="24"/>
          <w:szCs w:val="24"/>
          <w:vertAlign w:val="superscript"/>
        </w:rPr>
        <w:footnoteReference w:id="8"/>
      </w:r>
      <w:r w:rsidRPr="00EB02B3">
        <w:rPr>
          <w:rFonts w:cs="Arial"/>
          <w:color w:val="000000"/>
          <w:sz w:val="24"/>
          <w:szCs w:val="24"/>
        </w:rPr>
        <w:t>. In sostanza, se un criterio di aggiudicazione è direttamente collegato alla commessa in questione e consente di fa</w:t>
      </w:r>
      <w:r w:rsidR="002015AB" w:rsidRPr="00EB02B3">
        <w:rPr>
          <w:rFonts w:cs="Arial"/>
          <w:color w:val="000000"/>
          <w:sz w:val="24"/>
          <w:szCs w:val="24"/>
        </w:rPr>
        <w:t>re valutazioni sull'</w:t>
      </w:r>
      <w:r w:rsidRPr="00EB02B3">
        <w:rPr>
          <w:rFonts w:cs="Arial"/>
          <w:color w:val="000000"/>
          <w:sz w:val="24"/>
          <w:szCs w:val="24"/>
        </w:rPr>
        <w:t>efficienza dei servizi offerti, la sua scelta e la sua formulazione sono a discrezione del committente, che deve tuttavia rispettare il principio della parità di trattamento</w:t>
      </w:r>
      <w:r w:rsidRPr="00EB02B3">
        <w:rPr>
          <w:rFonts w:cs="Arial"/>
          <w:color w:val="000000"/>
          <w:sz w:val="24"/>
          <w:szCs w:val="24"/>
          <w:vertAlign w:val="superscript"/>
        </w:rPr>
        <w:footnoteReference w:id="9"/>
      </w:r>
      <w:r w:rsidRPr="00EB02B3">
        <w:rPr>
          <w:rFonts w:cs="Arial"/>
          <w:color w:val="000000"/>
          <w:sz w:val="24"/>
          <w:szCs w:val="24"/>
        </w:rPr>
        <w:t xml:space="preserve">. </w:t>
      </w:r>
    </w:p>
    <w:p w14:paraId="13A88909" w14:textId="77777777" w:rsidR="00AA5AD5" w:rsidRPr="00EB02B3" w:rsidRDefault="00AA5AD5" w:rsidP="00EB02B3">
      <w:pPr>
        <w:autoSpaceDE w:val="0"/>
        <w:autoSpaceDN w:val="0"/>
        <w:adjustRightInd w:val="0"/>
        <w:rPr>
          <w:rFonts w:cs="Arial"/>
          <w:color w:val="000000"/>
          <w:sz w:val="24"/>
          <w:szCs w:val="24"/>
        </w:rPr>
      </w:pPr>
    </w:p>
    <w:p w14:paraId="439DD2A5" w14:textId="45020F26" w:rsidR="00AA5AD5" w:rsidRPr="00EB02B3" w:rsidRDefault="00AA5AD5" w:rsidP="00EB02B3">
      <w:pPr>
        <w:autoSpaceDE w:val="0"/>
        <w:autoSpaceDN w:val="0"/>
        <w:adjustRightInd w:val="0"/>
        <w:rPr>
          <w:rFonts w:cs="Arial"/>
          <w:color w:val="000000"/>
          <w:sz w:val="24"/>
          <w:szCs w:val="24"/>
        </w:rPr>
      </w:pPr>
      <w:r w:rsidRPr="00EB02B3">
        <w:rPr>
          <w:rFonts w:cs="Arial"/>
          <w:color w:val="000000"/>
          <w:sz w:val="24"/>
          <w:szCs w:val="24"/>
        </w:rPr>
        <w:t>I criteri di aggiudicazione sono ponderati</w:t>
      </w:r>
      <w:r w:rsidRPr="00EB02B3">
        <w:rPr>
          <w:rFonts w:cs="Arial"/>
          <w:b/>
          <w:bCs/>
          <w:color w:val="000000"/>
          <w:sz w:val="24"/>
          <w:szCs w:val="24"/>
        </w:rPr>
        <w:t xml:space="preserve"> </w:t>
      </w:r>
      <w:r w:rsidRPr="00EB02B3">
        <w:rPr>
          <w:rFonts w:cs="Arial"/>
          <w:color w:val="000000"/>
          <w:sz w:val="24"/>
          <w:szCs w:val="24"/>
        </w:rPr>
        <w:t xml:space="preserve">in percentuale in modo che la loro somma sia il </w:t>
      </w:r>
      <w:r w:rsidR="006B3CAF" w:rsidRPr="00EB02B3">
        <w:rPr>
          <w:rFonts w:cs="Arial"/>
          <w:color w:val="000000"/>
          <w:sz w:val="24"/>
          <w:szCs w:val="24"/>
        </w:rPr>
        <w:t>100%. L'</w:t>
      </w:r>
      <w:r w:rsidRPr="00EB02B3">
        <w:rPr>
          <w:rFonts w:cs="Arial"/>
          <w:color w:val="000000"/>
          <w:sz w:val="24"/>
          <w:szCs w:val="24"/>
        </w:rPr>
        <w:t>art. 32 cpv. 1 e 3 LCPubb impone che la ponderazione di un singolo criterio non può superare il 50%, ad eccezione dei beni ampiamente standardizzati. Le prestazioni standardizzate sono caratterizzate da processi tecnici di serie, segnat</w:t>
      </w:r>
      <w:r w:rsidR="002015AB" w:rsidRPr="00EB02B3">
        <w:rPr>
          <w:rFonts w:cs="Arial"/>
          <w:color w:val="000000"/>
          <w:sz w:val="24"/>
          <w:szCs w:val="24"/>
        </w:rPr>
        <w:t>amente per la fabbricazione o l'</w:t>
      </w:r>
      <w:r w:rsidRPr="00EB02B3">
        <w:rPr>
          <w:rFonts w:cs="Arial"/>
          <w:color w:val="000000"/>
          <w:sz w:val="24"/>
          <w:szCs w:val="24"/>
        </w:rPr>
        <w:t>applicazione. In altri termini la descrizione della prestazione nel bando e nella documentazione del bando deve essere chiara e dettagliata in modo da poter confrontare facilmente le offerte, che si distinguono, così, fondamentalmente solo per il prezzo</w:t>
      </w:r>
      <w:r w:rsidRPr="00EB02B3">
        <w:rPr>
          <w:rFonts w:cs="Arial"/>
          <w:color w:val="000000"/>
          <w:sz w:val="24"/>
          <w:szCs w:val="24"/>
          <w:vertAlign w:val="superscript"/>
        </w:rPr>
        <w:footnoteReference w:id="10"/>
      </w:r>
      <w:r w:rsidRPr="00EB02B3">
        <w:rPr>
          <w:rFonts w:cs="Arial"/>
          <w:color w:val="000000"/>
          <w:sz w:val="24"/>
          <w:szCs w:val="24"/>
        </w:rPr>
        <w:t>. Per queste prestazioni</w:t>
      </w:r>
      <w:r w:rsidR="006B3CAF" w:rsidRPr="00EB02B3">
        <w:rPr>
          <w:rFonts w:cs="Arial"/>
          <w:color w:val="000000"/>
          <w:sz w:val="24"/>
          <w:szCs w:val="24"/>
        </w:rPr>
        <w:t xml:space="preserve"> l'</w:t>
      </w:r>
      <w:r w:rsidRPr="00EB02B3">
        <w:rPr>
          <w:rFonts w:cs="Arial"/>
          <w:color w:val="000000"/>
          <w:sz w:val="24"/>
          <w:szCs w:val="24"/>
        </w:rPr>
        <w:t xml:space="preserve">aggiudicazione della commessa può avvenire anche tenendo conto unicamente del criterio del minor prezzo. </w:t>
      </w:r>
      <w:r w:rsidR="006B3CAF" w:rsidRPr="00EB02B3">
        <w:rPr>
          <w:rFonts w:cs="Arial"/>
          <w:color w:val="000000"/>
          <w:sz w:val="24"/>
          <w:szCs w:val="24"/>
        </w:rPr>
        <w:t>L'</w:t>
      </w:r>
      <w:r w:rsidRPr="00EB02B3">
        <w:rPr>
          <w:rFonts w:cs="Arial"/>
          <w:color w:val="000000"/>
          <w:sz w:val="24"/>
          <w:szCs w:val="24"/>
        </w:rPr>
        <w:t>art. 8 cpv. 3 lett. m RLCPubb/CIAP definisce</w:t>
      </w:r>
      <w:r w:rsidR="002015AB" w:rsidRPr="00EB02B3">
        <w:rPr>
          <w:rFonts w:cs="Arial"/>
          <w:color w:val="000000"/>
          <w:sz w:val="24"/>
          <w:szCs w:val="24"/>
        </w:rPr>
        <w:t xml:space="preserve"> l'</w:t>
      </w:r>
      <w:r w:rsidRPr="00EB02B3">
        <w:rPr>
          <w:rFonts w:cs="Arial"/>
          <w:color w:val="000000"/>
          <w:sz w:val="24"/>
          <w:szCs w:val="24"/>
        </w:rPr>
        <w:t xml:space="preserve">obbligo di rendere nota </w:t>
      </w:r>
      <w:r w:rsidR="002015AB" w:rsidRPr="00EB02B3">
        <w:rPr>
          <w:rFonts w:cs="Arial"/>
          <w:color w:val="000000"/>
          <w:sz w:val="24"/>
          <w:szCs w:val="24"/>
        </w:rPr>
        <w:t>la ponderazione nell'</w:t>
      </w:r>
      <w:r w:rsidRPr="00EB02B3">
        <w:rPr>
          <w:rFonts w:cs="Arial"/>
          <w:color w:val="000000"/>
          <w:sz w:val="24"/>
          <w:szCs w:val="24"/>
        </w:rPr>
        <w:t>avviso della gara</w:t>
      </w:r>
      <w:r w:rsidR="002015AB" w:rsidRPr="00EB02B3">
        <w:rPr>
          <w:rFonts w:cs="Arial"/>
          <w:color w:val="000000"/>
          <w:sz w:val="24"/>
          <w:szCs w:val="24"/>
        </w:rPr>
        <w:t xml:space="preserve"> d'</w:t>
      </w:r>
      <w:r w:rsidRPr="00EB02B3">
        <w:rPr>
          <w:rFonts w:cs="Arial"/>
          <w:color w:val="000000"/>
          <w:sz w:val="24"/>
          <w:szCs w:val="24"/>
        </w:rPr>
        <w:t>appalto</w:t>
      </w:r>
      <w:r w:rsidR="002015AB" w:rsidRPr="00EB02B3">
        <w:rPr>
          <w:rFonts w:cs="Arial"/>
          <w:color w:val="000000"/>
          <w:sz w:val="24"/>
          <w:szCs w:val="24"/>
        </w:rPr>
        <w:t>, mentre l'</w:t>
      </w:r>
      <w:r w:rsidRPr="00EB02B3">
        <w:rPr>
          <w:rFonts w:cs="Arial"/>
          <w:color w:val="000000"/>
          <w:sz w:val="24"/>
          <w:szCs w:val="24"/>
        </w:rPr>
        <w:t>art. 53 cpv. 4 RLCPubb/CIAP specifica che il Consiglio di Stato emana annualmente specifiche direttive di applicazione dei criteri di aggiudicazione sociali obbligatori (formazione degli apprendisti e contributo alla formazione professionale) e di quello facoltativo (responsabilità sociale delle imprese), ammessi unicamente nelle commesse non sottoposte ai trattati internazionali.</w:t>
      </w:r>
      <w:r w:rsidR="006B3CAF" w:rsidRPr="00EB02B3">
        <w:rPr>
          <w:rFonts w:cs="Arial"/>
          <w:color w:val="000000"/>
          <w:sz w:val="24"/>
          <w:szCs w:val="24"/>
        </w:rPr>
        <w:t xml:space="preserve"> </w:t>
      </w:r>
    </w:p>
    <w:p w14:paraId="18A6DC82" w14:textId="2E89B29B" w:rsidR="00AA5AD5" w:rsidRPr="00EB02B3" w:rsidRDefault="00AA5AD5" w:rsidP="00EB02B3">
      <w:pPr>
        <w:suppressAutoHyphens/>
        <w:autoSpaceDN w:val="0"/>
        <w:textAlignment w:val="baseline"/>
        <w:rPr>
          <w:sz w:val="24"/>
          <w:szCs w:val="24"/>
        </w:rPr>
      </w:pPr>
      <w:r w:rsidRPr="00EB02B3">
        <w:rPr>
          <w:sz w:val="24"/>
          <w:szCs w:val="24"/>
        </w:rPr>
        <w:t>Per il resto il committente è libero di esprimere quali elementi sono considerati di particolare importanza nella commessa, ovvero ciò che sarà maggiorment</w:t>
      </w:r>
      <w:r w:rsidR="002015AB" w:rsidRPr="00EB02B3">
        <w:rPr>
          <w:sz w:val="24"/>
          <w:szCs w:val="24"/>
        </w:rPr>
        <w:t>e considerato nella scelta dell'</w:t>
      </w:r>
      <w:r w:rsidRPr="00EB02B3">
        <w:rPr>
          <w:sz w:val="24"/>
          <w:szCs w:val="24"/>
        </w:rPr>
        <w:t>offerta più vantaggiosa</w:t>
      </w:r>
      <w:r w:rsidRPr="00EB02B3">
        <w:rPr>
          <w:sz w:val="24"/>
          <w:szCs w:val="24"/>
          <w:vertAlign w:val="superscript"/>
        </w:rPr>
        <w:footnoteReference w:id="11"/>
      </w:r>
      <w:r w:rsidRPr="00EB02B3">
        <w:rPr>
          <w:sz w:val="24"/>
          <w:szCs w:val="24"/>
        </w:rPr>
        <w:t>.</w:t>
      </w:r>
    </w:p>
    <w:p w14:paraId="54663587" w14:textId="77777777" w:rsidR="00AA5AD5" w:rsidRPr="00EB02B3" w:rsidRDefault="00AA5AD5" w:rsidP="00EB02B3">
      <w:pPr>
        <w:suppressAutoHyphens/>
        <w:autoSpaceDN w:val="0"/>
        <w:textAlignment w:val="baseline"/>
        <w:rPr>
          <w:sz w:val="24"/>
          <w:szCs w:val="24"/>
        </w:rPr>
      </w:pPr>
    </w:p>
    <w:p w14:paraId="70204EC3" w14:textId="269623E4" w:rsidR="00AA5AD5" w:rsidRPr="00EB02B3" w:rsidRDefault="002015AB" w:rsidP="00EB02B3">
      <w:pPr>
        <w:autoSpaceDE w:val="0"/>
        <w:autoSpaceDN w:val="0"/>
        <w:adjustRightInd w:val="0"/>
        <w:rPr>
          <w:rFonts w:cs="Arial"/>
          <w:color w:val="000000"/>
          <w:sz w:val="24"/>
          <w:szCs w:val="24"/>
        </w:rPr>
      </w:pPr>
      <w:r w:rsidRPr="00EB02B3">
        <w:rPr>
          <w:rFonts w:cs="Arial"/>
          <w:color w:val="000000"/>
          <w:sz w:val="24"/>
          <w:szCs w:val="24"/>
        </w:rPr>
        <w:t>L'</w:t>
      </w:r>
      <w:r w:rsidR="00AA5AD5" w:rsidRPr="00EB02B3">
        <w:rPr>
          <w:rFonts w:cs="Arial"/>
          <w:color w:val="000000"/>
          <w:sz w:val="24"/>
          <w:szCs w:val="24"/>
        </w:rPr>
        <w:t>ufficio di vigilanza sulle commesse pubbliche ha pu</w:t>
      </w:r>
      <w:r w:rsidRPr="00EB02B3">
        <w:rPr>
          <w:rFonts w:cs="Arial"/>
          <w:color w:val="000000"/>
          <w:sz w:val="24"/>
          <w:szCs w:val="24"/>
        </w:rPr>
        <w:t>bblicato la scheda informativa "Criteri di aggiudicazione"</w:t>
      </w:r>
      <w:r w:rsidR="00AA5AD5" w:rsidRPr="00EB02B3">
        <w:rPr>
          <w:rFonts w:cs="Arial"/>
          <w:color w:val="000000"/>
          <w:sz w:val="24"/>
          <w:szCs w:val="24"/>
        </w:rPr>
        <w:t xml:space="preserve"> (versione del 01.12.2023) sul portale </w:t>
      </w:r>
      <w:hyperlink r:id="rId13" w:history="1">
        <w:r w:rsidR="00AA5AD5" w:rsidRPr="00EB02B3">
          <w:rPr>
            <w:rFonts w:cs="Arial"/>
            <w:color w:val="0000FF" w:themeColor="hyperlink"/>
            <w:sz w:val="24"/>
            <w:szCs w:val="24"/>
            <w:u w:val="single"/>
          </w:rPr>
          <w:t>www.ti.ch/commesse</w:t>
        </w:r>
      </w:hyperlink>
      <w:r w:rsidR="00AA5AD5" w:rsidRPr="00EB02B3">
        <w:rPr>
          <w:rFonts w:cs="Arial"/>
          <w:color w:val="000000"/>
          <w:sz w:val="24"/>
          <w:szCs w:val="24"/>
        </w:rPr>
        <w:t xml:space="preserve"> che dà una panoramica aggiornata sui criteri e ne illustra le principali caratteristiche. </w:t>
      </w:r>
    </w:p>
    <w:p w14:paraId="227A7D10" w14:textId="77777777" w:rsidR="00AA5AD5" w:rsidRPr="00AA5AD5" w:rsidRDefault="00AA5AD5" w:rsidP="002015AB">
      <w:pPr>
        <w:suppressAutoHyphens/>
        <w:autoSpaceDN w:val="0"/>
        <w:ind w:left="567"/>
        <w:textAlignment w:val="baseline"/>
        <w:rPr>
          <w:sz w:val="23"/>
          <w:szCs w:val="23"/>
        </w:rPr>
      </w:pPr>
    </w:p>
    <w:p w14:paraId="501C89C8" w14:textId="77777777" w:rsidR="00AA5AD5" w:rsidRPr="00EB02B3" w:rsidRDefault="00AA5AD5" w:rsidP="00EB02B3">
      <w:pPr>
        <w:pStyle w:val="Titolo2"/>
        <w:numPr>
          <w:ilvl w:val="0"/>
          <w:numId w:val="22"/>
        </w:numPr>
        <w:tabs>
          <w:tab w:val="left" w:pos="567"/>
        </w:tabs>
        <w:spacing w:before="0" w:after="120"/>
        <w:ind w:left="0" w:firstLine="0"/>
        <w:jc w:val="both"/>
        <w:rPr>
          <w:rFonts w:eastAsia="Calibri" w:cs="Times New Roman"/>
          <w:sz w:val="24"/>
          <w:lang w:val="it-IT" w:eastAsia="it-IT"/>
        </w:rPr>
      </w:pPr>
      <w:r w:rsidRPr="00EB02B3">
        <w:rPr>
          <w:rFonts w:eastAsia="Calibri" w:cs="Times New Roman"/>
          <w:sz w:val="24"/>
          <w:lang w:val="it-IT" w:eastAsia="it-IT"/>
        </w:rPr>
        <w:t>Ponderazione del prezzo</w:t>
      </w:r>
    </w:p>
    <w:p w14:paraId="031ED80C" w14:textId="6D6EBAE1" w:rsidR="00AA5AD5" w:rsidRPr="00EB02B3" w:rsidRDefault="00AA5AD5" w:rsidP="00EB02B3">
      <w:pPr>
        <w:autoSpaceDE w:val="0"/>
        <w:autoSpaceDN w:val="0"/>
        <w:adjustRightInd w:val="0"/>
        <w:rPr>
          <w:rFonts w:cs="Arial"/>
          <w:color w:val="000000"/>
          <w:sz w:val="24"/>
          <w:szCs w:val="24"/>
        </w:rPr>
      </w:pPr>
      <w:r w:rsidRPr="00EB02B3">
        <w:rPr>
          <w:rFonts w:cs="Arial"/>
          <w:color w:val="000000"/>
          <w:sz w:val="24"/>
          <w:szCs w:val="24"/>
        </w:rPr>
        <w:t>Il criterio di aggiudicazione inerente al prezzo</w:t>
      </w:r>
      <w:r w:rsidRPr="00EB02B3">
        <w:rPr>
          <w:rFonts w:cs="Arial"/>
          <w:b/>
          <w:bCs/>
          <w:color w:val="000000"/>
          <w:sz w:val="24"/>
          <w:szCs w:val="24"/>
        </w:rPr>
        <w:t xml:space="preserve"> </w:t>
      </w:r>
      <w:r w:rsidRPr="00EB02B3">
        <w:rPr>
          <w:rFonts w:cs="Arial"/>
          <w:color w:val="000000"/>
          <w:sz w:val="24"/>
          <w:szCs w:val="24"/>
        </w:rPr>
        <w:t>è obbligatorio, ad eccezione dei concorsi di idee o di progetto e mandati di studio in parallelo, congiuntamente a criteri qualitativi. Da solo il prezzo può essere utilizzato unicamente quando si tratta di commesse aventi per oggetto beni ampiamente standardizzati</w:t>
      </w:r>
      <w:r w:rsidRPr="00EB02B3">
        <w:rPr>
          <w:rFonts w:cs="Arial"/>
          <w:color w:val="000000"/>
          <w:sz w:val="24"/>
          <w:szCs w:val="24"/>
          <w:vertAlign w:val="superscript"/>
        </w:rPr>
        <w:footnoteReference w:id="12"/>
      </w:r>
      <w:r w:rsidRPr="00EB02B3">
        <w:rPr>
          <w:rFonts w:cs="Arial"/>
          <w:color w:val="000000"/>
          <w:sz w:val="24"/>
          <w:szCs w:val="24"/>
        </w:rPr>
        <w:t>. In presenza di commesse per opere o prestazioni particolarmente complesse, di regola, il prezzo assume un peso minore rispet</w:t>
      </w:r>
      <w:r w:rsidR="00AF1696" w:rsidRPr="00EB02B3">
        <w:rPr>
          <w:rFonts w:cs="Arial"/>
          <w:color w:val="000000"/>
          <w:sz w:val="24"/>
          <w:szCs w:val="24"/>
        </w:rPr>
        <w:t>to ad altri criteri quali per l'</w:t>
      </w:r>
      <w:r w:rsidRPr="00EB02B3">
        <w:rPr>
          <w:rFonts w:cs="Arial"/>
          <w:color w:val="000000"/>
          <w:sz w:val="24"/>
          <w:szCs w:val="24"/>
        </w:rPr>
        <w:t>appunto la qualità o i termini; in ogni caso la sua ponderazione non può essere inferiore al 20% e questa soglia non può es</w:t>
      </w:r>
      <w:r w:rsidR="00AF1696" w:rsidRPr="00EB02B3">
        <w:rPr>
          <w:rFonts w:cs="Arial"/>
          <w:color w:val="000000"/>
          <w:sz w:val="24"/>
          <w:szCs w:val="24"/>
        </w:rPr>
        <w:t>sere abbassata per effetto dell'</w:t>
      </w:r>
      <w:r w:rsidRPr="00EB02B3">
        <w:rPr>
          <w:rFonts w:cs="Arial"/>
          <w:color w:val="000000"/>
          <w:sz w:val="24"/>
          <w:szCs w:val="24"/>
        </w:rPr>
        <w:t>applicazione di altri criteri. Inoltre,</w:t>
      </w:r>
      <w:r w:rsidR="00AF1696" w:rsidRPr="00EB02B3">
        <w:rPr>
          <w:rFonts w:cs="Arial"/>
          <w:color w:val="000000"/>
          <w:sz w:val="24"/>
          <w:szCs w:val="24"/>
        </w:rPr>
        <w:t xml:space="preserve"> è possibile valutare un'</w:t>
      </w:r>
      <w:r w:rsidRPr="00EB02B3">
        <w:rPr>
          <w:rFonts w:cs="Arial"/>
          <w:color w:val="000000"/>
          <w:sz w:val="24"/>
          <w:szCs w:val="24"/>
        </w:rPr>
        <w:t>offerta dal profilo della plausibilità quando le pres</w:t>
      </w:r>
      <w:r w:rsidR="00AF1696" w:rsidRPr="00EB02B3">
        <w:rPr>
          <w:rFonts w:cs="Arial"/>
          <w:color w:val="000000"/>
          <w:sz w:val="24"/>
          <w:szCs w:val="24"/>
        </w:rPr>
        <w:t>tazioni coperte dal prezzo dell'</w:t>
      </w:r>
      <w:r w:rsidRPr="00EB02B3">
        <w:rPr>
          <w:rFonts w:cs="Arial"/>
          <w:color w:val="000000"/>
          <w:sz w:val="24"/>
          <w:szCs w:val="24"/>
        </w:rPr>
        <w:t>offerta sono valutabili in maniera soggettiva</w:t>
      </w:r>
      <w:r w:rsidRPr="00EB02B3">
        <w:rPr>
          <w:rFonts w:cs="Arial"/>
          <w:color w:val="000000"/>
          <w:sz w:val="24"/>
          <w:szCs w:val="24"/>
          <w:vertAlign w:val="superscript"/>
        </w:rPr>
        <w:footnoteReference w:id="13"/>
      </w:r>
      <w:r w:rsidRPr="00EB02B3">
        <w:rPr>
          <w:rFonts w:cs="Arial"/>
          <w:color w:val="000000"/>
          <w:sz w:val="24"/>
          <w:szCs w:val="24"/>
        </w:rPr>
        <w:t>, ad esempio prendendo in considerazione il livello di difficoltà del progetto ed i relativi fattori ad esse applicati, come le modalità di esecuzione delle prestazioni, le maestranze a disposizione o altri fattori pertinenti alla natura del progetto</w:t>
      </w:r>
      <w:r w:rsidRPr="00EB02B3">
        <w:rPr>
          <w:rFonts w:cs="Arial"/>
          <w:color w:val="000000"/>
          <w:sz w:val="24"/>
          <w:szCs w:val="24"/>
          <w:vertAlign w:val="superscript"/>
        </w:rPr>
        <w:footnoteReference w:id="14"/>
      </w:r>
      <w:r w:rsidRPr="00EB02B3">
        <w:rPr>
          <w:rFonts w:cs="Arial"/>
          <w:color w:val="000000"/>
          <w:sz w:val="24"/>
          <w:szCs w:val="24"/>
        </w:rPr>
        <w:t xml:space="preserve">. </w:t>
      </w:r>
    </w:p>
    <w:p w14:paraId="5152EB65" w14:textId="77777777" w:rsidR="00AA5AD5" w:rsidRPr="00EB02B3" w:rsidRDefault="00AA5AD5" w:rsidP="00EB02B3">
      <w:pPr>
        <w:suppressAutoHyphens/>
        <w:autoSpaceDN w:val="0"/>
        <w:textAlignment w:val="baseline"/>
        <w:rPr>
          <w:sz w:val="24"/>
          <w:szCs w:val="24"/>
        </w:rPr>
      </w:pPr>
    </w:p>
    <w:p w14:paraId="751D73E2" w14:textId="72657CFC" w:rsidR="00AA5AD5" w:rsidRPr="00EB02B3" w:rsidRDefault="00AA5AD5" w:rsidP="00EB02B3">
      <w:pPr>
        <w:suppressAutoHyphens/>
        <w:autoSpaceDN w:val="0"/>
        <w:textAlignment w:val="baseline"/>
        <w:rPr>
          <w:rFonts w:eastAsia="Songti SC" w:cs="Arial Unicode MS"/>
          <w:kern w:val="3"/>
          <w:sz w:val="24"/>
          <w:szCs w:val="24"/>
          <w:lang w:eastAsia="zh-CN" w:bidi="hi-IN"/>
        </w:rPr>
      </w:pPr>
      <w:r w:rsidRPr="00EB02B3">
        <w:rPr>
          <w:sz w:val="24"/>
          <w:szCs w:val="24"/>
        </w:rPr>
        <w:t xml:space="preserve">In riferimento ad un caso recente del Canton Zurigo, il Tribunale federale ha addirittura statuito che il committente </w:t>
      </w:r>
      <w:r w:rsidRPr="00EB02B3">
        <w:rPr>
          <w:b/>
          <w:bCs/>
          <w:sz w:val="24"/>
          <w:szCs w:val="24"/>
        </w:rPr>
        <w:t>non</w:t>
      </w:r>
      <w:r w:rsidRPr="00EB02B3">
        <w:rPr>
          <w:sz w:val="24"/>
          <w:szCs w:val="24"/>
        </w:rPr>
        <w:t xml:space="preserve"> può fissare la ponderazione del criterio del pre</w:t>
      </w:r>
      <w:r w:rsidR="002C54A1" w:rsidRPr="00EB02B3">
        <w:rPr>
          <w:sz w:val="24"/>
          <w:szCs w:val="24"/>
        </w:rPr>
        <w:t>zzo al di sotto del 60% per le "</w:t>
      </w:r>
      <w:r w:rsidRPr="00EB02B3">
        <w:rPr>
          <w:sz w:val="24"/>
          <w:szCs w:val="24"/>
        </w:rPr>
        <w:t>commess</w:t>
      </w:r>
      <w:r w:rsidR="002C54A1" w:rsidRPr="00EB02B3">
        <w:rPr>
          <w:sz w:val="24"/>
          <w:szCs w:val="24"/>
        </w:rPr>
        <w:t>e più semplici"</w:t>
      </w:r>
      <w:r w:rsidR="00AF1696" w:rsidRPr="00EB02B3">
        <w:rPr>
          <w:sz w:val="24"/>
          <w:szCs w:val="24"/>
        </w:rPr>
        <w:t>, ma non ancora "ampiamente standardizzate"</w:t>
      </w:r>
      <w:r w:rsidRPr="00EB02B3">
        <w:rPr>
          <w:sz w:val="24"/>
          <w:szCs w:val="24"/>
          <w:vertAlign w:val="superscript"/>
        </w:rPr>
        <w:footnoteReference w:id="15"/>
      </w:r>
      <w:r w:rsidRPr="00EB02B3">
        <w:rPr>
          <w:sz w:val="24"/>
          <w:szCs w:val="24"/>
        </w:rPr>
        <w:t>.</w:t>
      </w:r>
      <w:r w:rsidR="00AF1696" w:rsidRPr="00EB02B3">
        <w:rPr>
          <w:sz w:val="24"/>
          <w:szCs w:val="24"/>
        </w:rPr>
        <w:t xml:space="preserve"> </w:t>
      </w:r>
    </w:p>
    <w:p w14:paraId="05F38F0E" w14:textId="1722CA47" w:rsidR="00AA5AD5" w:rsidRDefault="00AA5AD5" w:rsidP="00AA5AD5">
      <w:pPr>
        <w:suppressAutoHyphens/>
        <w:autoSpaceDN w:val="0"/>
        <w:textAlignment w:val="baseline"/>
        <w:rPr>
          <w:rFonts w:eastAsia="Songti SC" w:cs="Arial Unicode MS"/>
          <w:kern w:val="3"/>
          <w:sz w:val="23"/>
          <w:szCs w:val="23"/>
          <w:lang w:eastAsia="zh-CN" w:bidi="hi-IN"/>
        </w:rPr>
      </w:pPr>
    </w:p>
    <w:p w14:paraId="2CB6C1D0" w14:textId="77777777" w:rsidR="00EB02B3" w:rsidRPr="00AA5AD5" w:rsidRDefault="00EB02B3" w:rsidP="00AA5AD5">
      <w:pPr>
        <w:suppressAutoHyphens/>
        <w:autoSpaceDN w:val="0"/>
        <w:textAlignment w:val="baseline"/>
        <w:rPr>
          <w:rFonts w:eastAsia="Songti SC" w:cs="Arial Unicode MS"/>
          <w:kern w:val="3"/>
          <w:sz w:val="23"/>
          <w:szCs w:val="23"/>
          <w:lang w:eastAsia="zh-CN" w:bidi="hi-IN"/>
        </w:rPr>
      </w:pPr>
    </w:p>
    <w:p w14:paraId="6BC3B991" w14:textId="77777777" w:rsidR="00AA5AD5" w:rsidRPr="00AA5AD5" w:rsidRDefault="00AA5AD5" w:rsidP="00AA5AD5">
      <w:pPr>
        <w:suppressAutoHyphens/>
        <w:autoSpaceDN w:val="0"/>
        <w:textAlignment w:val="baseline"/>
        <w:rPr>
          <w:rFonts w:eastAsia="Songti SC" w:cs="Arial Unicode MS"/>
          <w:kern w:val="3"/>
          <w:sz w:val="23"/>
          <w:szCs w:val="23"/>
          <w:lang w:eastAsia="zh-CN" w:bidi="hi-IN"/>
        </w:rPr>
      </w:pPr>
    </w:p>
    <w:p w14:paraId="3D622DD5" w14:textId="2E6A0268" w:rsidR="00AA5AD5" w:rsidRPr="00EB02B3" w:rsidRDefault="00AA5AD5" w:rsidP="00AA5AD5">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EB02B3">
        <w:rPr>
          <w:rFonts w:eastAsia="Calibri" w:cs="Times New Roman"/>
          <w:caps/>
          <w:sz w:val="24"/>
          <w:szCs w:val="24"/>
          <w:lang w:val="it-IT" w:eastAsia="it-IT"/>
        </w:rPr>
        <w:t>Considerazioni commissionali</w:t>
      </w:r>
    </w:p>
    <w:p w14:paraId="7A8528EE" w14:textId="6C719B0B" w:rsidR="00AA5AD5" w:rsidRPr="00EB02B3" w:rsidRDefault="00AA5AD5" w:rsidP="00AA5AD5">
      <w:pPr>
        <w:autoSpaceDE w:val="0"/>
        <w:autoSpaceDN w:val="0"/>
        <w:adjustRightInd w:val="0"/>
        <w:rPr>
          <w:rFonts w:cs="Arial"/>
          <w:color w:val="000000"/>
          <w:sz w:val="24"/>
          <w:szCs w:val="24"/>
        </w:rPr>
      </w:pPr>
      <w:r w:rsidRPr="00EB02B3">
        <w:rPr>
          <w:rFonts w:cs="Arial"/>
          <w:color w:val="000000"/>
          <w:sz w:val="24"/>
          <w:szCs w:val="24"/>
        </w:rPr>
        <w:t xml:space="preserve">Dai dati esposti dal Consiglio di Stato riguardanti le commesse pubbliche 2022 possiamo notare come, a carattere generale, circa il 30% degli appalti sono stati deliberati ad aziende che </w:t>
      </w:r>
      <w:r w:rsidRPr="00EB02B3">
        <w:rPr>
          <w:rFonts w:cs="Arial"/>
          <w:b/>
          <w:bCs/>
          <w:color w:val="000000"/>
          <w:sz w:val="24"/>
          <w:szCs w:val="24"/>
        </w:rPr>
        <w:t>non</w:t>
      </w:r>
      <w:r w:rsidRPr="00EB02B3">
        <w:rPr>
          <w:rFonts w:cs="Arial"/>
          <w:color w:val="000000"/>
          <w:sz w:val="24"/>
          <w:szCs w:val="24"/>
        </w:rPr>
        <w:t xml:space="preserve"> avevano il prezzo più conveniente. Discorso leggermente diverso per le opere edili principali, dove solo poco più del 10% delle aziende vincitrici presentavano un prezzo più alto d</w:t>
      </w:r>
      <w:r w:rsidR="00063497" w:rsidRPr="00EB02B3">
        <w:rPr>
          <w:rFonts w:cs="Arial"/>
          <w:color w:val="000000"/>
          <w:sz w:val="24"/>
          <w:szCs w:val="24"/>
        </w:rPr>
        <w:t>el miglior offerente. Per queste ultime i capitolati d'</w:t>
      </w:r>
      <w:r w:rsidRPr="00EB02B3">
        <w:rPr>
          <w:rFonts w:cs="Arial"/>
          <w:color w:val="000000"/>
          <w:sz w:val="24"/>
          <w:szCs w:val="24"/>
        </w:rPr>
        <w:t>appalto sono spesso standardizzati e quindi diventa difficile giustificare una parametrizzazione della componente prezzo a valori troppo bassi. Inoltre, bisogna però sottolineare che, anche una ponderazione troppo bassa del criterio del prezzo può potenzialmente determinare una distorsione del mercato. In particolare, dove</w:t>
      </w:r>
      <w:r w:rsidR="00063497" w:rsidRPr="00EB02B3">
        <w:rPr>
          <w:rFonts w:cs="Arial"/>
          <w:color w:val="000000"/>
          <w:sz w:val="24"/>
          <w:szCs w:val="24"/>
        </w:rPr>
        <w:t xml:space="preserve"> solo un </w:t>
      </w:r>
      <w:r w:rsidRPr="00EB02B3">
        <w:rPr>
          <w:rFonts w:cs="Arial"/>
          <w:color w:val="000000"/>
          <w:sz w:val="24"/>
          <w:szCs w:val="24"/>
        </w:rPr>
        <w:t>offerente – in base a determinati criteri di aggiudicazione q</w:t>
      </w:r>
      <w:r w:rsidR="00063497" w:rsidRPr="00EB02B3">
        <w:rPr>
          <w:rFonts w:cs="Arial"/>
          <w:color w:val="000000"/>
          <w:sz w:val="24"/>
          <w:szCs w:val="24"/>
        </w:rPr>
        <w:t>ualitativi, quali ad esempio, l'</w:t>
      </w:r>
      <w:r w:rsidRPr="00EB02B3">
        <w:rPr>
          <w:rFonts w:cs="Arial"/>
          <w:color w:val="000000"/>
          <w:sz w:val="24"/>
          <w:szCs w:val="24"/>
        </w:rPr>
        <w:t>esperienza, le risorse, le certificazioni – si vedrebbe potenzialmente aggiudicare costantemente e con discreta facilità delle commesse, a discapito di aziende nuove o con meno esperienza nel settore pubblico. La ponderazione dei criteri di aggiudicazione richiede pertanto attenzione ed equilibrio a dipendenza delle peculiarità di ogni commessa.</w:t>
      </w:r>
      <w:r w:rsidR="0019119A" w:rsidRPr="00EB02B3">
        <w:rPr>
          <w:rFonts w:cs="Arial"/>
          <w:color w:val="000000"/>
          <w:sz w:val="24"/>
          <w:szCs w:val="24"/>
        </w:rPr>
        <w:t xml:space="preserve"> </w:t>
      </w:r>
    </w:p>
    <w:p w14:paraId="61802985" w14:textId="77777777" w:rsidR="00AA5AD5" w:rsidRPr="00EB02B3" w:rsidRDefault="00AA5AD5" w:rsidP="00AA5AD5">
      <w:pPr>
        <w:autoSpaceDE w:val="0"/>
        <w:autoSpaceDN w:val="0"/>
        <w:adjustRightInd w:val="0"/>
        <w:rPr>
          <w:rFonts w:cs="Arial"/>
          <w:color w:val="000000"/>
          <w:sz w:val="24"/>
          <w:szCs w:val="24"/>
        </w:rPr>
      </w:pPr>
    </w:p>
    <w:p w14:paraId="0CC5C549" w14:textId="223FB25E" w:rsidR="00AA5AD5" w:rsidRPr="00EB02B3" w:rsidRDefault="00AA5AD5" w:rsidP="00AA5AD5">
      <w:pPr>
        <w:autoSpaceDE w:val="0"/>
        <w:autoSpaceDN w:val="0"/>
        <w:adjustRightInd w:val="0"/>
        <w:rPr>
          <w:rFonts w:cs="Arial"/>
          <w:color w:val="000000"/>
          <w:sz w:val="24"/>
          <w:szCs w:val="24"/>
        </w:rPr>
      </w:pPr>
      <w:r w:rsidRPr="00EB02B3">
        <w:rPr>
          <w:rFonts w:cs="Arial"/>
          <w:color w:val="000000"/>
          <w:sz w:val="24"/>
          <w:szCs w:val="24"/>
        </w:rPr>
        <w:t>Per quanto rigu</w:t>
      </w:r>
      <w:r w:rsidR="0019119A" w:rsidRPr="00EB02B3">
        <w:rPr>
          <w:rFonts w:cs="Arial"/>
          <w:color w:val="000000"/>
          <w:sz w:val="24"/>
          <w:szCs w:val="24"/>
        </w:rPr>
        <w:t>arda l'</w:t>
      </w:r>
      <w:r w:rsidRPr="00EB02B3">
        <w:rPr>
          <w:rFonts w:cs="Arial"/>
          <w:color w:val="000000"/>
          <w:sz w:val="24"/>
          <w:szCs w:val="24"/>
        </w:rPr>
        <w:t>aspetto delle infiltrazioni mafiose, grazie ad alcuni atti parlamentari passati, è stata</w:t>
      </w:r>
      <w:r w:rsidR="0019119A" w:rsidRPr="00EB02B3">
        <w:rPr>
          <w:rFonts w:cs="Arial"/>
          <w:color w:val="000000"/>
          <w:sz w:val="24"/>
          <w:szCs w:val="24"/>
        </w:rPr>
        <w:t xml:space="preserve"> rafforzata la possibilità dell'</w:t>
      </w:r>
      <w:r w:rsidRPr="00EB02B3">
        <w:rPr>
          <w:rFonts w:cs="Arial"/>
          <w:color w:val="000000"/>
          <w:sz w:val="24"/>
          <w:szCs w:val="24"/>
        </w:rPr>
        <w:t>ente pubblico e para pubblico che soggiace alla LCPubb di combattere questa problematica. Introdurre ulteriori strumenti in una legge che, di principio, non ha il compito di combatte</w:t>
      </w:r>
      <w:r w:rsidR="003457C2" w:rsidRPr="00EB02B3">
        <w:rPr>
          <w:rFonts w:cs="Arial"/>
          <w:color w:val="000000"/>
          <w:sz w:val="24"/>
          <w:szCs w:val="24"/>
        </w:rPr>
        <w:t>re la malavita, a parere della C</w:t>
      </w:r>
      <w:r w:rsidRPr="00EB02B3">
        <w:rPr>
          <w:rFonts w:cs="Arial"/>
          <w:color w:val="000000"/>
          <w:sz w:val="24"/>
          <w:szCs w:val="24"/>
        </w:rPr>
        <w:t xml:space="preserve">ommissione, non è </w:t>
      </w:r>
      <w:r w:rsidR="00744694" w:rsidRPr="00EB02B3">
        <w:rPr>
          <w:rFonts w:cs="Arial"/>
          <w:color w:val="000000"/>
          <w:sz w:val="24"/>
          <w:szCs w:val="24"/>
        </w:rPr>
        <w:t>la via</w:t>
      </w:r>
      <w:r w:rsidR="00A5094D" w:rsidRPr="00EB02B3">
        <w:rPr>
          <w:rFonts w:cs="Arial"/>
          <w:color w:val="000000"/>
          <w:sz w:val="24"/>
          <w:szCs w:val="24"/>
        </w:rPr>
        <w:t xml:space="preserve"> ideale da percorrere. D'</w:t>
      </w:r>
      <w:r w:rsidRPr="00EB02B3">
        <w:rPr>
          <w:rFonts w:cs="Arial"/>
          <w:color w:val="000000"/>
          <w:sz w:val="24"/>
          <w:szCs w:val="24"/>
        </w:rPr>
        <w:t xml:space="preserve">altra parte, è sicuramente necessario informare al meglio gli enti appaltanti di questi strumenti e del sistematico controllo degli appalti, anche da questo punto di vista e, se del caso, far intervenire al più presto gli enti predisposti a combattere la mafia e le altre organizzazioni malavitose. </w:t>
      </w:r>
    </w:p>
    <w:p w14:paraId="1A2E3F90" w14:textId="77777777" w:rsidR="00AA5AD5" w:rsidRPr="00EB02B3" w:rsidRDefault="00AA5AD5" w:rsidP="00AA5AD5">
      <w:pPr>
        <w:autoSpaceDE w:val="0"/>
        <w:autoSpaceDN w:val="0"/>
        <w:adjustRightInd w:val="0"/>
        <w:rPr>
          <w:rFonts w:cs="Arial"/>
          <w:color w:val="000000"/>
          <w:sz w:val="24"/>
          <w:szCs w:val="24"/>
        </w:rPr>
      </w:pPr>
    </w:p>
    <w:p w14:paraId="7B493A12" w14:textId="1F5F0AB3" w:rsidR="00AA5AD5" w:rsidRPr="00EB02B3" w:rsidRDefault="003457C2" w:rsidP="00AA5AD5">
      <w:pPr>
        <w:autoSpaceDE w:val="0"/>
        <w:autoSpaceDN w:val="0"/>
        <w:adjustRightInd w:val="0"/>
        <w:rPr>
          <w:rFonts w:cs="Arial"/>
          <w:sz w:val="24"/>
          <w:szCs w:val="24"/>
        </w:rPr>
      </w:pPr>
      <w:r w:rsidRPr="00EB02B3">
        <w:rPr>
          <w:rFonts w:cs="Arial"/>
          <w:sz w:val="24"/>
          <w:szCs w:val="24"/>
        </w:rPr>
        <w:t>La Commissione economia e l</w:t>
      </w:r>
      <w:r w:rsidR="00AA5AD5" w:rsidRPr="00EB02B3">
        <w:rPr>
          <w:rFonts w:cs="Arial"/>
          <w:sz w:val="24"/>
          <w:szCs w:val="24"/>
        </w:rPr>
        <w:t>avoro vuole però sensibilizzare il Consiglio di Stato sul tema e quindi lo invita a farsi parte attiva verso la deputazione ticinese alle Camere Federali per verificare i margini di miglior</w:t>
      </w:r>
      <w:r w:rsidR="00847111" w:rsidRPr="00EB02B3">
        <w:rPr>
          <w:rFonts w:cs="Arial"/>
          <w:sz w:val="24"/>
          <w:szCs w:val="24"/>
        </w:rPr>
        <w:t>amento sull'</w:t>
      </w:r>
      <w:r w:rsidR="00AA5AD5" w:rsidRPr="00EB02B3">
        <w:rPr>
          <w:rFonts w:cs="Arial"/>
          <w:sz w:val="24"/>
          <w:szCs w:val="24"/>
        </w:rPr>
        <w:t xml:space="preserve">aspetto delle infiltrazioni mafiose. Il nostro diritto federale è sicuramente arretrato </w:t>
      </w:r>
      <w:r w:rsidR="00AA5AD5" w:rsidRPr="00EB02B3">
        <w:rPr>
          <w:rFonts w:eastAsia="Songti SC" w:cs="Arial"/>
          <w:kern w:val="3"/>
          <w:sz w:val="24"/>
          <w:szCs w:val="24"/>
          <w:lang w:eastAsia="zh-CN" w:bidi="hi-IN"/>
        </w:rPr>
        <w:t>rispetto ad altri Paesi nella lotta al crimine organizzato su vari aspetti, come evidenziato recentemente durante un dibattito nel Consiglio Nazionale promosso dal deputato Farinelli</w:t>
      </w:r>
      <w:r w:rsidR="00AA5AD5" w:rsidRPr="00EB02B3">
        <w:rPr>
          <w:rFonts w:eastAsia="Songti SC" w:cs="Arial"/>
          <w:kern w:val="3"/>
          <w:sz w:val="24"/>
          <w:szCs w:val="24"/>
          <w:vertAlign w:val="superscript"/>
          <w:lang w:eastAsia="zh-CN" w:bidi="hi-IN"/>
        </w:rPr>
        <w:footnoteReference w:id="16"/>
      </w:r>
      <w:r w:rsidR="00AA5AD5" w:rsidRPr="00EB02B3">
        <w:rPr>
          <w:rFonts w:eastAsia="Songti SC" w:cs="Arial"/>
          <w:kern w:val="3"/>
          <w:sz w:val="24"/>
          <w:szCs w:val="24"/>
          <w:lang w:eastAsia="zh-CN" w:bidi="hi-IN"/>
        </w:rPr>
        <w:t>. Inoltre un intervento sulla legge fed</w:t>
      </w:r>
      <w:r w:rsidR="00847111" w:rsidRPr="00EB02B3">
        <w:rPr>
          <w:rFonts w:eastAsia="Songti SC" w:cs="Arial"/>
          <w:kern w:val="3"/>
          <w:sz w:val="24"/>
          <w:szCs w:val="24"/>
          <w:lang w:eastAsia="zh-CN" w:bidi="hi-IN"/>
        </w:rPr>
        <w:t>erale comporterebbe un effetto "cascata"</w:t>
      </w:r>
      <w:r w:rsidR="00AA5AD5" w:rsidRPr="00EB02B3">
        <w:rPr>
          <w:rFonts w:eastAsia="Songti SC" w:cs="Arial"/>
          <w:kern w:val="3"/>
          <w:sz w:val="24"/>
          <w:szCs w:val="24"/>
          <w:lang w:eastAsia="zh-CN" w:bidi="hi-IN"/>
        </w:rPr>
        <w:t xml:space="preserve"> sulle legislazioni cantonali. Per concludere, ricordiamo anche l'interpellanza di Fabio Regazzi presentata in Consiglio Nazionale </w:t>
      </w:r>
      <w:r w:rsidR="00AA5AD5" w:rsidRPr="00EB02B3">
        <w:rPr>
          <w:rFonts w:eastAsia="Songti SC" w:cs="Arial"/>
          <w:i/>
          <w:kern w:val="3"/>
          <w:sz w:val="24"/>
          <w:szCs w:val="24"/>
          <w:lang w:eastAsia="zh-CN" w:bidi="hi-IN"/>
        </w:rPr>
        <w:t>Infiltrazioni mafiose negli appalti pubblici. Quali misure concrete per contrastare il fenomeno?</w:t>
      </w:r>
      <w:r w:rsidR="00AA5AD5" w:rsidRPr="00EB02B3">
        <w:rPr>
          <w:rFonts w:cs="Arial"/>
          <w:i/>
          <w:sz w:val="24"/>
          <w:szCs w:val="24"/>
        </w:rPr>
        <w:t xml:space="preserve"> </w:t>
      </w:r>
      <w:r w:rsidR="00AA5AD5" w:rsidRPr="00EB02B3">
        <w:rPr>
          <w:rFonts w:cs="Arial"/>
          <w:sz w:val="24"/>
          <w:szCs w:val="24"/>
        </w:rPr>
        <w:t xml:space="preserve">con cui chiedeva </w:t>
      </w:r>
      <w:r w:rsidR="00AA5AD5" w:rsidRPr="00EB02B3">
        <w:rPr>
          <w:rFonts w:eastAsia="Songti SC" w:cs="Arial"/>
          <w:kern w:val="3"/>
          <w:sz w:val="24"/>
          <w:szCs w:val="24"/>
          <w:lang w:eastAsia="zh-CN" w:bidi="hi-IN"/>
        </w:rPr>
        <w:t>di inserire nella legge federale sugli acquisti pubblici una norma di esclusione o revoca d'aggiudicazione per dirigenti di ditte sospettate di infiltrazioni mafiose</w:t>
      </w:r>
      <w:r w:rsidR="00AA5AD5" w:rsidRPr="00EB02B3">
        <w:rPr>
          <w:rFonts w:eastAsia="Songti SC" w:cs="Arial"/>
          <w:kern w:val="3"/>
          <w:sz w:val="24"/>
          <w:szCs w:val="24"/>
          <w:vertAlign w:val="superscript"/>
          <w:lang w:eastAsia="zh-CN" w:bidi="hi-IN"/>
        </w:rPr>
        <w:footnoteReference w:id="17"/>
      </w:r>
      <w:r w:rsidR="00AA5AD5" w:rsidRPr="00EB02B3">
        <w:rPr>
          <w:rFonts w:eastAsia="Songti SC" w:cs="Arial"/>
          <w:kern w:val="3"/>
          <w:sz w:val="24"/>
          <w:szCs w:val="24"/>
          <w:lang w:eastAsia="zh-CN" w:bidi="hi-IN"/>
        </w:rPr>
        <w:t xml:space="preserve">. Sicuramente </w:t>
      </w:r>
      <w:r w:rsidR="00847111" w:rsidRPr="00EB02B3">
        <w:rPr>
          <w:rFonts w:eastAsia="Songti SC" w:cs="Arial"/>
          <w:kern w:val="3"/>
          <w:sz w:val="24"/>
          <w:szCs w:val="24"/>
          <w:lang w:eastAsia="zh-CN" w:bidi="hi-IN"/>
        </w:rPr>
        <w:t>l'</w:t>
      </w:r>
      <w:r w:rsidR="00AA5AD5" w:rsidRPr="00EB02B3">
        <w:rPr>
          <w:rFonts w:eastAsia="Songti SC" w:cs="Arial"/>
          <w:kern w:val="3"/>
          <w:sz w:val="24"/>
          <w:szCs w:val="24"/>
          <w:lang w:eastAsia="zh-CN" w:bidi="hi-IN"/>
        </w:rPr>
        <w:t>approfondimento di questi aspetti potrà, e dovrà, portare importanti miglioramenti a quanto giustamente esposto dalla collega Soldati.</w:t>
      </w:r>
      <w:r w:rsidR="00847111" w:rsidRPr="00EB02B3">
        <w:rPr>
          <w:rFonts w:eastAsia="Songti SC" w:cs="Arial"/>
          <w:kern w:val="3"/>
          <w:sz w:val="24"/>
          <w:szCs w:val="24"/>
          <w:lang w:eastAsia="zh-CN" w:bidi="hi-IN"/>
        </w:rPr>
        <w:t xml:space="preserve"> </w:t>
      </w:r>
    </w:p>
    <w:p w14:paraId="4345BEAC" w14:textId="77777777" w:rsidR="00AA5AD5" w:rsidRPr="00EB02B3" w:rsidRDefault="00AA5AD5" w:rsidP="00AA5AD5">
      <w:pPr>
        <w:autoSpaceDE w:val="0"/>
        <w:autoSpaceDN w:val="0"/>
        <w:adjustRightInd w:val="0"/>
        <w:rPr>
          <w:rFonts w:cs="Arial"/>
          <w:color w:val="000000"/>
          <w:sz w:val="24"/>
          <w:szCs w:val="24"/>
        </w:rPr>
      </w:pPr>
    </w:p>
    <w:p w14:paraId="65B0A952" w14:textId="4F74C4F0" w:rsidR="00AA5AD5" w:rsidRPr="00EB02B3" w:rsidRDefault="00FE0FAC" w:rsidP="00AA5AD5">
      <w:pPr>
        <w:autoSpaceDE w:val="0"/>
        <w:autoSpaceDN w:val="0"/>
        <w:adjustRightInd w:val="0"/>
        <w:rPr>
          <w:rFonts w:cs="Arial"/>
          <w:color w:val="000000"/>
          <w:sz w:val="24"/>
          <w:szCs w:val="24"/>
        </w:rPr>
      </w:pPr>
      <w:r w:rsidRPr="00EB02B3">
        <w:rPr>
          <w:rFonts w:cs="Arial"/>
          <w:color w:val="000000"/>
          <w:sz w:val="24"/>
          <w:szCs w:val="24"/>
        </w:rPr>
        <w:t>Durante l'</w:t>
      </w:r>
      <w:r w:rsidR="00AA5AD5" w:rsidRPr="00EB02B3">
        <w:rPr>
          <w:rFonts w:cs="Arial"/>
          <w:color w:val="000000"/>
          <w:sz w:val="24"/>
          <w:szCs w:val="24"/>
        </w:rPr>
        <w:t>approfondimento presentato dal Consiglio di Stato sulla ponderazione dei criteri di aggiudicazione e dei prezzi sono emersi molto bene i vincoli di legge e le potenziali storture che potrebbero crearsi con un intervento sui criteri di aggiudicazione. Infatti, il committente dispone di ampio margine di apprezzamento nella scelta e ponderazione dei criteri di aggiudicazione e, ad oggi, nessun Cantone finora ha fissato delle percentuali per tipologia di commessa, ad eccezione del Cantone Ticino</w:t>
      </w:r>
      <w:r w:rsidRPr="00EB02B3">
        <w:rPr>
          <w:rFonts w:cs="Arial"/>
          <w:color w:val="000000"/>
          <w:sz w:val="24"/>
          <w:szCs w:val="24"/>
        </w:rPr>
        <w:t>,</w:t>
      </w:r>
      <w:r w:rsidR="00AA5AD5" w:rsidRPr="00EB02B3">
        <w:rPr>
          <w:rFonts w:cs="Arial"/>
          <w:color w:val="000000"/>
          <w:sz w:val="24"/>
          <w:szCs w:val="24"/>
        </w:rPr>
        <w:t xml:space="preserve"> che ha imposto il valore massim</w:t>
      </w:r>
      <w:r w:rsidRPr="00EB02B3">
        <w:rPr>
          <w:rFonts w:cs="Arial"/>
          <w:color w:val="000000"/>
          <w:sz w:val="24"/>
          <w:szCs w:val="24"/>
        </w:rPr>
        <w:t>o del 50% nella LCPubb. Alcuni C</w:t>
      </w:r>
      <w:r w:rsidR="00AA5AD5" w:rsidRPr="00EB02B3">
        <w:rPr>
          <w:rFonts w:cs="Arial"/>
          <w:color w:val="000000"/>
          <w:sz w:val="24"/>
          <w:szCs w:val="24"/>
        </w:rPr>
        <w:t xml:space="preserve">antoni hanno allestito delle guide, ma i tribunali hanno indicato che si tratta </w:t>
      </w:r>
      <w:r w:rsidRPr="00EB02B3">
        <w:rPr>
          <w:rFonts w:cs="Arial"/>
          <w:color w:val="000000"/>
          <w:sz w:val="24"/>
          <w:szCs w:val="24"/>
        </w:rPr>
        <w:t>di semplici raccomandazioni all'</w:t>
      </w:r>
      <w:r w:rsidR="00AA5AD5" w:rsidRPr="00EB02B3">
        <w:rPr>
          <w:rFonts w:cs="Arial"/>
          <w:color w:val="000000"/>
          <w:sz w:val="24"/>
          <w:szCs w:val="24"/>
        </w:rPr>
        <w:t>attenzione dei committenti e pertanto non sono vincolanti</w:t>
      </w:r>
      <w:r w:rsidR="00AA5AD5" w:rsidRPr="00EB02B3">
        <w:rPr>
          <w:rFonts w:cs="Arial"/>
          <w:color w:val="000000"/>
          <w:sz w:val="24"/>
          <w:szCs w:val="24"/>
          <w:vertAlign w:val="superscript"/>
        </w:rPr>
        <w:footnoteReference w:id="18"/>
      </w:r>
      <w:r w:rsidR="00AA5AD5" w:rsidRPr="00EB02B3">
        <w:rPr>
          <w:rFonts w:cs="Arial"/>
          <w:color w:val="000000"/>
          <w:sz w:val="24"/>
          <w:szCs w:val="24"/>
        </w:rPr>
        <w:t xml:space="preserve">. Anche il CIAP 2019 lascia ampio margine di apprezzamento ai committenti. </w:t>
      </w:r>
    </w:p>
    <w:p w14:paraId="0A3FF6AC" w14:textId="77777777" w:rsidR="00AA5AD5" w:rsidRPr="00AA5AD5" w:rsidRDefault="00AA5AD5" w:rsidP="00AA5AD5">
      <w:pPr>
        <w:autoSpaceDE w:val="0"/>
        <w:autoSpaceDN w:val="0"/>
        <w:adjustRightInd w:val="0"/>
        <w:jc w:val="left"/>
        <w:rPr>
          <w:rFonts w:cs="Arial"/>
          <w:color w:val="000000"/>
          <w:sz w:val="23"/>
          <w:szCs w:val="23"/>
        </w:rPr>
      </w:pPr>
    </w:p>
    <w:p w14:paraId="52E6DB55" w14:textId="3D933E38" w:rsidR="00EB02B3" w:rsidRDefault="00EB02B3">
      <w:pPr>
        <w:rPr>
          <w:rFonts w:eastAsia="Songti SC" w:cs="Arial Unicode MS"/>
          <w:kern w:val="3"/>
          <w:sz w:val="23"/>
          <w:szCs w:val="23"/>
          <w:lang w:eastAsia="zh-CN" w:bidi="hi-IN"/>
        </w:rPr>
      </w:pPr>
      <w:r>
        <w:rPr>
          <w:rFonts w:eastAsia="Songti SC" w:cs="Arial Unicode MS"/>
          <w:kern w:val="3"/>
          <w:sz w:val="23"/>
          <w:szCs w:val="23"/>
          <w:lang w:eastAsia="zh-CN" w:bidi="hi-IN"/>
        </w:rPr>
        <w:br w:type="page"/>
      </w:r>
    </w:p>
    <w:p w14:paraId="2B6F581B" w14:textId="76E69622" w:rsidR="00AA5AD5" w:rsidRPr="00EB02B3" w:rsidRDefault="00AA5AD5" w:rsidP="00EB02B3">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EB02B3">
        <w:rPr>
          <w:rFonts w:eastAsia="Calibri" w:cs="Times New Roman"/>
          <w:caps/>
          <w:sz w:val="24"/>
          <w:szCs w:val="24"/>
          <w:lang w:val="it-IT" w:eastAsia="it-IT"/>
        </w:rPr>
        <w:t>Conclusioni</w:t>
      </w:r>
    </w:p>
    <w:p w14:paraId="6993BCAD" w14:textId="764DF38A" w:rsidR="00AA5AD5" w:rsidRPr="00EB02B3" w:rsidRDefault="00AA5AD5" w:rsidP="00AA5AD5">
      <w:pPr>
        <w:autoSpaceDE w:val="0"/>
        <w:autoSpaceDN w:val="0"/>
        <w:adjustRightInd w:val="0"/>
        <w:rPr>
          <w:rFonts w:cs="Arial"/>
          <w:sz w:val="24"/>
          <w:szCs w:val="24"/>
        </w:rPr>
      </w:pPr>
      <w:r w:rsidRPr="00EB02B3">
        <w:rPr>
          <w:rFonts w:cs="Arial"/>
          <w:color w:val="000000"/>
          <w:sz w:val="24"/>
          <w:szCs w:val="24"/>
        </w:rPr>
        <w:t xml:space="preserve">In sostanza, ogni commessa è differente dalle altre e spetta ai committenti valutare quali criteri permettono di valutare al meglio le offerte dei concorrenti che adempiono i criteri di idoneità. </w:t>
      </w:r>
      <w:r w:rsidRPr="00EB02B3">
        <w:rPr>
          <w:rFonts w:cs="Arial"/>
          <w:sz w:val="24"/>
          <w:szCs w:val="24"/>
        </w:rPr>
        <w:t>Non è pensabile, e contrario ai principi della materia, introdurre rigidi schemi di criteri di aggiudicazione per ogni singola tipologia di commessa. Detto ques</w:t>
      </w:r>
      <w:r w:rsidR="007169E2" w:rsidRPr="00EB02B3">
        <w:rPr>
          <w:rFonts w:cs="Arial"/>
          <w:sz w:val="24"/>
          <w:szCs w:val="24"/>
        </w:rPr>
        <w:t>to, i problemi sollevati dalla d</w:t>
      </w:r>
      <w:r w:rsidRPr="00EB02B3">
        <w:rPr>
          <w:rFonts w:cs="Arial"/>
          <w:sz w:val="24"/>
          <w:szCs w:val="24"/>
        </w:rPr>
        <w:t>eputata Soldati presenti nel nostro Cantone sono reali e tangibili</w:t>
      </w:r>
      <w:r w:rsidR="007169E2" w:rsidRPr="00EB02B3">
        <w:rPr>
          <w:rFonts w:cs="Arial"/>
          <w:sz w:val="24"/>
          <w:szCs w:val="24"/>
        </w:rPr>
        <w:t xml:space="preserve"> e</w:t>
      </w:r>
      <w:r w:rsidRPr="00EB02B3">
        <w:rPr>
          <w:rFonts w:cs="Arial"/>
          <w:sz w:val="24"/>
          <w:szCs w:val="24"/>
        </w:rPr>
        <w:t xml:space="preserve"> quindi la </w:t>
      </w:r>
      <w:r w:rsidR="007169E2" w:rsidRPr="00EB02B3">
        <w:rPr>
          <w:rFonts w:cs="Arial"/>
          <w:sz w:val="24"/>
          <w:szCs w:val="24"/>
        </w:rPr>
        <w:t>C</w:t>
      </w:r>
      <w:r w:rsidRPr="00EB02B3">
        <w:rPr>
          <w:rFonts w:cs="Arial"/>
          <w:sz w:val="24"/>
          <w:szCs w:val="24"/>
        </w:rPr>
        <w:t>ommissione ben comprende gli intendimenti della collega e auspica che nei futuri adeguamenti della LCPubb venga fatt</w:t>
      </w:r>
      <w:r w:rsidR="007169E2" w:rsidRPr="00EB02B3">
        <w:rPr>
          <w:rFonts w:cs="Arial"/>
          <w:sz w:val="24"/>
          <w:szCs w:val="24"/>
        </w:rPr>
        <w:t>o tesoro di quanto esposto nell'</w:t>
      </w:r>
      <w:r w:rsidRPr="00EB02B3">
        <w:rPr>
          <w:rFonts w:cs="Arial"/>
          <w:sz w:val="24"/>
          <w:szCs w:val="24"/>
        </w:rPr>
        <w:t>atto parlamentare e si possano portare, se la legislazione superiore cambiasse e lo permettesse, dei piccoli correttivi.</w:t>
      </w:r>
    </w:p>
    <w:p w14:paraId="63BA33E1" w14:textId="77777777" w:rsidR="00AA5AD5" w:rsidRPr="00EB02B3" w:rsidRDefault="00AA5AD5" w:rsidP="00AA5AD5">
      <w:pPr>
        <w:autoSpaceDE w:val="0"/>
        <w:autoSpaceDN w:val="0"/>
        <w:adjustRightInd w:val="0"/>
        <w:rPr>
          <w:rFonts w:cs="Arial"/>
          <w:sz w:val="24"/>
          <w:szCs w:val="24"/>
        </w:rPr>
      </w:pPr>
    </w:p>
    <w:p w14:paraId="79652251" w14:textId="30E51B78" w:rsidR="00AA5AD5" w:rsidRPr="00EB02B3" w:rsidRDefault="00AA5AD5" w:rsidP="00AA5AD5">
      <w:pPr>
        <w:autoSpaceDE w:val="0"/>
        <w:autoSpaceDN w:val="0"/>
        <w:adjustRightInd w:val="0"/>
        <w:rPr>
          <w:rFonts w:cs="Arial"/>
          <w:sz w:val="24"/>
          <w:szCs w:val="24"/>
        </w:rPr>
      </w:pPr>
      <w:r w:rsidRPr="00EB02B3">
        <w:rPr>
          <w:rFonts w:cs="Arial"/>
          <w:sz w:val="24"/>
          <w:szCs w:val="24"/>
        </w:rPr>
        <w:t>Per tutti i motivi sopra esposti, la scrivente Commissione non ritiene possibile allo stato attuale</w:t>
      </w:r>
      <w:r w:rsidR="007169E2" w:rsidRPr="00EB02B3">
        <w:rPr>
          <w:rFonts w:cs="Arial"/>
          <w:sz w:val="24"/>
          <w:szCs w:val="24"/>
        </w:rPr>
        <w:t xml:space="preserve"> l'</w:t>
      </w:r>
      <w:r w:rsidRPr="00EB02B3">
        <w:rPr>
          <w:rFonts w:cs="Arial"/>
          <w:sz w:val="24"/>
          <w:szCs w:val="24"/>
        </w:rPr>
        <w:t>adozione di ulteriori provvedimenti e</w:t>
      </w:r>
      <w:r w:rsidR="007169E2" w:rsidRPr="00EB02B3">
        <w:rPr>
          <w:rFonts w:cs="Arial"/>
          <w:sz w:val="24"/>
          <w:szCs w:val="24"/>
        </w:rPr>
        <w:t xml:space="preserve"> quindi propone di respingere l'</w:t>
      </w:r>
      <w:r w:rsidRPr="00EB02B3">
        <w:rPr>
          <w:rFonts w:cs="Arial"/>
          <w:sz w:val="24"/>
          <w:szCs w:val="24"/>
        </w:rPr>
        <w:t>iniziativa.</w:t>
      </w:r>
    </w:p>
    <w:p w14:paraId="0387E2DE" w14:textId="02FD89ED" w:rsidR="00AA5AD5" w:rsidRPr="00AA5AD5" w:rsidRDefault="00AA5AD5" w:rsidP="00AA5AD5">
      <w:pPr>
        <w:rPr>
          <w:rFonts w:asciiTheme="minorHAnsi" w:eastAsiaTheme="minorEastAsia" w:hAnsiTheme="minorHAnsi"/>
          <w:sz w:val="23"/>
          <w:szCs w:val="23"/>
        </w:rPr>
      </w:pPr>
    </w:p>
    <w:p w14:paraId="0F1710DB" w14:textId="77777777" w:rsidR="00AA5AD5" w:rsidRPr="00AA5AD5" w:rsidRDefault="00AA5AD5" w:rsidP="00AA5AD5">
      <w:pPr>
        <w:rPr>
          <w:rFonts w:asciiTheme="minorHAnsi" w:eastAsiaTheme="minorEastAsia" w:hAnsiTheme="minorHAnsi"/>
          <w:sz w:val="23"/>
          <w:szCs w:val="23"/>
        </w:rPr>
      </w:pPr>
    </w:p>
    <w:p w14:paraId="02EE4980" w14:textId="310199A6" w:rsidR="00AA5AD5" w:rsidRPr="00EB02B3" w:rsidRDefault="00AA5AD5" w:rsidP="00AA5AD5">
      <w:pPr>
        <w:tabs>
          <w:tab w:val="left" w:pos="567"/>
        </w:tabs>
        <w:rPr>
          <w:rFonts w:asciiTheme="minorHAnsi" w:eastAsia="Arial" w:hAnsiTheme="minorHAnsi" w:cstheme="minorHAnsi"/>
          <w:color w:val="000000" w:themeColor="text1"/>
          <w:sz w:val="24"/>
          <w:szCs w:val="24"/>
        </w:rPr>
      </w:pPr>
      <w:r w:rsidRPr="00EB02B3">
        <w:rPr>
          <w:rFonts w:asciiTheme="minorHAnsi" w:eastAsia="Arial" w:hAnsiTheme="minorHAnsi" w:cstheme="minorHAnsi"/>
          <w:color w:val="000000" w:themeColor="text1"/>
          <w:sz w:val="24"/>
          <w:szCs w:val="24"/>
        </w:rPr>
        <w:t xml:space="preserve">Per la </w:t>
      </w:r>
      <w:r w:rsidR="00EB02B3" w:rsidRPr="00EB02B3">
        <w:rPr>
          <w:rFonts w:asciiTheme="minorHAnsi" w:eastAsia="Arial" w:hAnsiTheme="minorHAnsi" w:cstheme="minorHAnsi"/>
          <w:color w:val="000000" w:themeColor="text1"/>
          <w:sz w:val="24"/>
          <w:szCs w:val="24"/>
        </w:rPr>
        <w:t xml:space="preserve">maggioranza della </w:t>
      </w:r>
      <w:r w:rsidRPr="00EB02B3">
        <w:rPr>
          <w:rFonts w:asciiTheme="minorHAnsi" w:eastAsia="Arial" w:hAnsiTheme="minorHAnsi" w:cstheme="minorHAnsi"/>
          <w:color w:val="000000" w:themeColor="text1"/>
          <w:sz w:val="24"/>
          <w:szCs w:val="24"/>
        </w:rPr>
        <w:t>Commissione economia e lavoro</w:t>
      </w:r>
      <w:r w:rsidR="00EB02B3" w:rsidRPr="00EB02B3">
        <w:rPr>
          <w:rFonts w:asciiTheme="minorHAnsi" w:eastAsia="Arial" w:hAnsiTheme="minorHAnsi" w:cstheme="minorHAnsi"/>
          <w:color w:val="000000" w:themeColor="text1"/>
          <w:sz w:val="24"/>
          <w:szCs w:val="24"/>
        </w:rPr>
        <w:t>:</w:t>
      </w:r>
    </w:p>
    <w:p w14:paraId="6161F52C" w14:textId="24DDA5C5" w:rsidR="005F427A" w:rsidRPr="00EB02B3" w:rsidRDefault="00AA5AD5" w:rsidP="00EB02B3">
      <w:pPr>
        <w:tabs>
          <w:tab w:val="left" w:pos="567"/>
        </w:tabs>
        <w:spacing w:before="120"/>
        <w:rPr>
          <w:rFonts w:asciiTheme="minorHAnsi" w:eastAsia="Arial" w:hAnsiTheme="minorHAnsi" w:cstheme="minorHAnsi"/>
          <w:color w:val="000000" w:themeColor="text1"/>
          <w:sz w:val="24"/>
          <w:szCs w:val="24"/>
        </w:rPr>
      </w:pPr>
      <w:r w:rsidRPr="00EB02B3">
        <w:rPr>
          <w:rFonts w:asciiTheme="minorHAnsi" w:eastAsia="Arial" w:hAnsiTheme="minorHAnsi" w:cstheme="minorHAnsi"/>
          <w:color w:val="000000" w:themeColor="text1"/>
          <w:sz w:val="24"/>
          <w:szCs w:val="24"/>
        </w:rPr>
        <w:t>Luca Renzetti, relatore</w:t>
      </w:r>
    </w:p>
    <w:p w14:paraId="16540174" w14:textId="77777777" w:rsidR="00EB02B3" w:rsidRDefault="00F27B3B" w:rsidP="00F27B3B">
      <w:pPr>
        <w:ind w:right="-1"/>
        <w:rPr>
          <w:bCs/>
          <w:sz w:val="24"/>
          <w:szCs w:val="24"/>
        </w:rPr>
      </w:pPr>
      <w:r w:rsidRPr="00EB02B3">
        <w:rPr>
          <w:bCs/>
          <w:sz w:val="24"/>
          <w:szCs w:val="24"/>
        </w:rPr>
        <w:t>Balli</w:t>
      </w:r>
      <w:r w:rsidR="00EB02B3" w:rsidRPr="00EB02B3">
        <w:rPr>
          <w:bCs/>
          <w:sz w:val="24"/>
          <w:szCs w:val="24"/>
        </w:rPr>
        <w:t xml:space="preserve"> </w:t>
      </w:r>
      <w:r w:rsidR="00EB02B3">
        <w:rPr>
          <w:bCs/>
          <w:sz w:val="24"/>
          <w:szCs w:val="24"/>
        </w:rPr>
        <w:t>-</w:t>
      </w:r>
      <w:r w:rsidR="00EB02B3" w:rsidRPr="00EB02B3">
        <w:rPr>
          <w:bCs/>
          <w:sz w:val="24"/>
          <w:szCs w:val="24"/>
        </w:rPr>
        <w:t xml:space="preserve"> </w:t>
      </w:r>
      <w:r w:rsidRPr="00EB02B3">
        <w:rPr>
          <w:bCs/>
          <w:sz w:val="24"/>
          <w:szCs w:val="24"/>
        </w:rPr>
        <w:t>Berardi</w:t>
      </w:r>
      <w:r w:rsidR="00EB02B3">
        <w:rPr>
          <w:bCs/>
          <w:sz w:val="24"/>
          <w:szCs w:val="24"/>
        </w:rPr>
        <w:t xml:space="preserve"> - </w:t>
      </w:r>
      <w:r w:rsidRPr="00C06514">
        <w:rPr>
          <w:bCs/>
          <w:sz w:val="24"/>
          <w:szCs w:val="24"/>
        </w:rPr>
        <w:t xml:space="preserve">Censi </w:t>
      </w:r>
      <w:r w:rsidR="00EB02B3">
        <w:rPr>
          <w:bCs/>
          <w:sz w:val="24"/>
          <w:szCs w:val="24"/>
        </w:rPr>
        <w:t xml:space="preserve">- </w:t>
      </w:r>
      <w:r>
        <w:rPr>
          <w:bCs/>
          <w:sz w:val="24"/>
          <w:szCs w:val="24"/>
        </w:rPr>
        <w:t xml:space="preserve">Demaria </w:t>
      </w:r>
      <w:r w:rsidR="00EB02B3">
        <w:rPr>
          <w:bCs/>
          <w:sz w:val="24"/>
          <w:szCs w:val="24"/>
        </w:rPr>
        <w:t xml:space="preserve">- </w:t>
      </w:r>
    </w:p>
    <w:p w14:paraId="0B9B1A0D" w14:textId="247BA0C9" w:rsidR="00F27B3B" w:rsidRDefault="00F27B3B" w:rsidP="00F27B3B">
      <w:pPr>
        <w:ind w:right="-1"/>
        <w:rPr>
          <w:bCs/>
          <w:sz w:val="24"/>
          <w:szCs w:val="24"/>
        </w:rPr>
      </w:pPr>
      <w:r w:rsidRPr="00C06514">
        <w:rPr>
          <w:bCs/>
          <w:sz w:val="24"/>
          <w:szCs w:val="24"/>
        </w:rPr>
        <w:t xml:space="preserve">Demir </w:t>
      </w:r>
      <w:r w:rsidR="00EB02B3">
        <w:rPr>
          <w:bCs/>
          <w:sz w:val="24"/>
          <w:szCs w:val="24"/>
        </w:rPr>
        <w:t xml:space="preserve">- </w:t>
      </w:r>
      <w:r>
        <w:rPr>
          <w:bCs/>
          <w:sz w:val="24"/>
          <w:szCs w:val="24"/>
        </w:rPr>
        <w:t xml:space="preserve">Ghisla </w:t>
      </w:r>
      <w:r w:rsidR="00EB02B3">
        <w:rPr>
          <w:bCs/>
          <w:sz w:val="24"/>
          <w:szCs w:val="24"/>
        </w:rPr>
        <w:t xml:space="preserve">- </w:t>
      </w:r>
      <w:r w:rsidRPr="00C06514">
        <w:rPr>
          <w:bCs/>
          <w:sz w:val="24"/>
          <w:szCs w:val="24"/>
        </w:rPr>
        <w:t xml:space="preserve">Isabella </w:t>
      </w:r>
      <w:r w:rsidR="00EB02B3">
        <w:rPr>
          <w:bCs/>
          <w:sz w:val="24"/>
          <w:szCs w:val="24"/>
        </w:rPr>
        <w:t>-</w:t>
      </w:r>
      <w:bookmarkStart w:id="0" w:name="_GoBack"/>
      <w:bookmarkEnd w:id="0"/>
      <w:r w:rsidR="00EB02B3">
        <w:rPr>
          <w:bCs/>
          <w:sz w:val="24"/>
          <w:szCs w:val="24"/>
        </w:rPr>
        <w:t xml:space="preserve"> </w:t>
      </w:r>
      <w:r>
        <w:rPr>
          <w:bCs/>
          <w:sz w:val="24"/>
          <w:szCs w:val="24"/>
        </w:rPr>
        <w:t>Maderni</w:t>
      </w:r>
      <w:r w:rsidR="00EB02B3">
        <w:rPr>
          <w:bCs/>
          <w:sz w:val="24"/>
          <w:szCs w:val="24"/>
        </w:rPr>
        <w:t xml:space="preserve"> -</w:t>
      </w:r>
    </w:p>
    <w:p w14:paraId="5373DAC9" w14:textId="3CADA378" w:rsidR="00F27B3B" w:rsidRDefault="00F27B3B" w:rsidP="00F27B3B">
      <w:pPr>
        <w:ind w:right="-1"/>
        <w:rPr>
          <w:bCs/>
          <w:sz w:val="24"/>
          <w:szCs w:val="24"/>
        </w:rPr>
      </w:pPr>
      <w:r w:rsidRPr="00C06514">
        <w:rPr>
          <w:bCs/>
          <w:sz w:val="24"/>
          <w:szCs w:val="24"/>
        </w:rPr>
        <w:t xml:space="preserve">Mirante </w:t>
      </w:r>
      <w:r w:rsidR="00EB02B3">
        <w:rPr>
          <w:bCs/>
          <w:sz w:val="24"/>
          <w:szCs w:val="24"/>
        </w:rPr>
        <w:t xml:space="preserve">- </w:t>
      </w:r>
      <w:r>
        <w:rPr>
          <w:bCs/>
          <w:sz w:val="24"/>
          <w:szCs w:val="24"/>
        </w:rPr>
        <w:t>Noi</w:t>
      </w:r>
      <w:r w:rsidR="00EB02B3">
        <w:rPr>
          <w:bCs/>
          <w:sz w:val="24"/>
          <w:szCs w:val="24"/>
        </w:rPr>
        <w:t xml:space="preserve"> - </w:t>
      </w:r>
      <w:r w:rsidRPr="00C06514">
        <w:rPr>
          <w:bCs/>
          <w:sz w:val="24"/>
          <w:szCs w:val="24"/>
        </w:rPr>
        <w:t xml:space="preserve">Piezzi </w:t>
      </w:r>
      <w:r w:rsidR="00EB02B3">
        <w:rPr>
          <w:bCs/>
          <w:sz w:val="24"/>
          <w:szCs w:val="24"/>
        </w:rPr>
        <w:t xml:space="preserve">- </w:t>
      </w:r>
      <w:r w:rsidR="003A549B">
        <w:rPr>
          <w:bCs/>
          <w:sz w:val="24"/>
          <w:szCs w:val="24"/>
        </w:rPr>
        <w:t>Quadri</w:t>
      </w:r>
      <w:r w:rsidR="00EB02B3">
        <w:rPr>
          <w:bCs/>
          <w:sz w:val="24"/>
          <w:szCs w:val="24"/>
        </w:rPr>
        <w:t xml:space="preserve"> - </w:t>
      </w:r>
      <w:r>
        <w:rPr>
          <w:bCs/>
          <w:sz w:val="24"/>
          <w:szCs w:val="24"/>
        </w:rPr>
        <w:t>Sirica</w:t>
      </w:r>
      <w:r w:rsidR="00EB02B3">
        <w:rPr>
          <w:bCs/>
          <w:sz w:val="24"/>
          <w:szCs w:val="24"/>
        </w:rPr>
        <w:t xml:space="preserve"> - </w:t>
      </w:r>
      <w:r w:rsidRPr="00C06514">
        <w:rPr>
          <w:bCs/>
          <w:sz w:val="24"/>
          <w:szCs w:val="24"/>
        </w:rPr>
        <w:t>Speziali</w:t>
      </w:r>
    </w:p>
    <w:p w14:paraId="1E9D37E6" w14:textId="77777777" w:rsidR="00F27B3B" w:rsidRDefault="00F27B3B" w:rsidP="00F27B3B">
      <w:pPr>
        <w:spacing w:line="276" w:lineRule="auto"/>
        <w:rPr>
          <w:rFonts w:eastAsia="Calibri" w:cs="Arial"/>
          <w:bCs/>
          <w:iCs/>
          <w:color w:val="000000"/>
          <w:sz w:val="24"/>
          <w:szCs w:val="24"/>
          <w:lang w:val="it-IT"/>
        </w:rPr>
      </w:pPr>
    </w:p>
    <w:p w14:paraId="1954F297" w14:textId="77777777" w:rsidR="00F27B3B" w:rsidRPr="005F427A" w:rsidRDefault="00F27B3B" w:rsidP="005F427A">
      <w:pPr>
        <w:tabs>
          <w:tab w:val="left" w:pos="567"/>
        </w:tabs>
        <w:spacing w:before="120"/>
        <w:rPr>
          <w:rFonts w:asciiTheme="minorHAnsi" w:eastAsia="Arial" w:hAnsiTheme="minorHAnsi" w:cstheme="minorHAnsi"/>
          <w:color w:val="000000" w:themeColor="text1"/>
          <w:sz w:val="23"/>
          <w:szCs w:val="23"/>
        </w:rPr>
      </w:pPr>
    </w:p>
    <w:sectPr w:rsidR="00F27B3B" w:rsidRPr="005F427A" w:rsidSect="009B2DBA">
      <w:headerReference w:type="even" r:id="rId14"/>
      <w:headerReference w:type="default" r:id="rId15"/>
      <w:footerReference w:type="even" r:id="rId16"/>
      <w:footerReference w:type="default" r:id="rId17"/>
      <w:headerReference w:type="first" r:id="rId18"/>
      <w:footerReference w:type="first" r:id="rId19"/>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46666" w14:textId="77777777" w:rsidR="00F03852" w:rsidRDefault="00F03852" w:rsidP="00F657BF">
      <w:r>
        <w:separator/>
      </w:r>
    </w:p>
  </w:endnote>
  <w:endnote w:type="continuationSeparator" w:id="0">
    <w:p w14:paraId="7E4577E7" w14:textId="77777777" w:rsidR="00F03852" w:rsidRDefault="00F03852"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ongti SC">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1C6C1" w14:textId="77777777" w:rsidR="00EB02B3" w:rsidRDefault="00EB02B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14:paraId="2F20DCC9" w14:textId="77777777" w:rsidTr="007A3D11">
      <w:trPr>
        <w:trHeight w:hRule="exact" w:val="737"/>
      </w:trPr>
      <w:tc>
        <w:tcPr>
          <w:tcW w:w="4695" w:type="dxa"/>
        </w:tcPr>
        <w:p w14:paraId="77C7D457" w14:textId="77777777" w:rsidR="006C54A3" w:rsidRPr="003D1008" w:rsidRDefault="006C54A3" w:rsidP="00912E34">
          <w:pPr>
            <w:tabs>
              <w:tab w:val="center" w:pos="2382"/>
            </w:tabs>
          </w:pPr>
        </w:p>
      </w:tc>
      <w:tc>
        <w:tcPr>
          <w:tcW w:w="721" w:type="dxa"/>
        </w:tcPr>
        <w:p w14:paraId="4829F408" w14:textId="77777777" w:rsidR="006C54A3" w:rsidRPr="003D1008" w:rsidRDefault="00C05063" w:rsidP="00912E34">
          <w:pPr>
            <w:jc w:val="center"/>
          </w:pPr>
          <w:r w:rsidRPr="003D1008">
            <w:rPr>
              <w:noProof/>
              <w:lang w:eastAsia="it-CH"/>
            </w:rPr>
            <w:drawing>
              <wp:anchor distT="0" distB="0" distL="114300" distR="114300" simplePos="0" relativeHeight="251669504" behindDoc="0" locked="1" layoutInCell="1" allowOverlap="1" wp14:anchorId="6EFE5EF1" wp14:editId="67B37CFF">
                <wp:simplePos x="0" y="0"/>
                <wp:positionH relativeFrom="column">
                  <wp:posOffset>-46990</wp:posOffset>
                </wp:positionH>
                <wp:positionV relativeFrom="paragraph">
                  <wp:posOffset>4445</wp:posOffset>
                </wp:positionV>
                <wp:extent cx="423929" cy="431800"/>
                <wp:effectExtent l="0" t="0" r="0" b="6350"/>
                <wp:wrapNone/>
                <wp:docPr id="23"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14:paraId="0C83BC70" w14:textId="77777777" w:rsidR="006C54A3" w:rsidRPr="003D1008" w:rsidRDefault="00C05063" w:rsidP="00912E34">
          <w:pPr>
            <w:jc w:val="center"/>
          </w:pPr>
          <w:r w:rsidRPr="003D1008">
            <w:rPr>
              <w:noProof/>
              <w:lang w:eastAsia="it-CH"/>
            </w:rPr>
            <w:drawing>
              <wp:anchor distT="0" distB="0" distL="114300" distR="114300" simplePos="0" relativeHeight="251670528" behindDoc="0" locked="1" layoutInCell="1" allowOverlap="1" wp14:anchorId="2F8D3239" wp14:editId="0647662F">
                <wp:simplePos x="0" y="0"/>
                <wp:positionH relativeFrom="column">
                  <wp:posOffset>-57785</wp:posOffset>
                </wp:positionH>
                <wp:positionV relativeFrom="paragraph">
                  <wp:posOffset>4445</wp:posOffset>
                </wp:positionV>
                <wp:extent cx="253247" cy="428400"/>
                <wp:effectExtent l="0" t="0" r="0" b="0"/>
                <wp:wrapNone/>
                <wp:docPr id="24"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14:paraId="34E0CCE2" w14:textId="77777777" w:rsidR="006C54A3" w:rsidRPr="003D1008" w:rsidRDefault="006C54A3" w:rsidP="00912E34"/>
      </w:tc>
    </w:tr>
  </w:tbl>
  <w:p w14:paraId="1AC2C6F7" w14:textId="77777777"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75002" w14:textId="77777777" w:rsidR="006C54A3" w:rsidRDefault="006C54A3">
    <w:pPr>
      <w:pStyle w:val="Pidipagina"/>
      <w:jc w:val="center"/>
    </w:pPr>
  </w:p>
  <w:p w14:paraId="08D539CB" w14:textId="77777777"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3CFCB" w14:textId="77777777" w:rsidR="00F03852" w:rsidRDefault="00F03852" w:rsidP="00F657BF">
      <w:r>
        <w:separator/>
      </w:r>
    </w:p>
  </w:footnote>
  <w:footnote w:type="continuationSeparator" w:id="0">
    <w:p w14:paraId="6C3B7441" w14:textId="77777777" w:rsidR="00F03852" w:rsidRDefault="00F03852" w:rsidP="00F657BF">
      <w:r>
        <w:continuationSeparator/>
      </w:r>
    </w:p>
  </w:footnote>
  <w:footnote w:id="1">
    <w:p w14:paraId="6D6EE781" w14:textId="77777777" w:rsidR="00AA5AD5" w:rsidRPr="00EB02B3" w:rsidRDefault="00AA5AD5" w:rsidP="00AA5AD5">
      <w:pPr>
        <w:pStyle w:val="Testonotaapidipagina"/>
        <w:spacing w:after="0"/>
        <w:ind w:left="142" w:hanging="142"/>
        <w:rPr>
          <w:sz w:val="20"/>
          <w:lang w:val="it-CH"/>
        </w:rPr>
      </w:pPr>
      <w:r w:rsidRPr="00EB02B3">
        <w:rPr>
          <w:rStyle w:val="Rimandonotaapidipagina"/>
          <w:sz w:val="20"/>
        </w:rPr>
        <w:footnoteRef/>
      </w:r>
      <w:r w:rsidRPr="00EB02B3">
        <w:rPr>
          <w:sz w:val="20"/>
          <w:lang w:val="it-CH"/>
        </w:rPr>
        <w:t xml:space="preserve"> Mozione 1704: </w:t>
      </w:r>
      <w:r w:rsidRPr="00EB02B3">
        <w:rPr>
          <w:iCs/>
          <w:sz w:val="20"/>
          <w:lang w:val="it-CH"/>
        </w:rPr>
        <w:t>“Per una modifica del Regolamento di applicazione della Legge sulle commesse pubbliche e del Concordato intercantonale sugli appalti pubblici (RLCPubb/CIAP) – Richiesta del certificato antimafia per le ditte concorrenti”</w:t>
      </w:r>
      <w:r w:rsidRPr="00EB02B3">
        <w:rPr>
          <w:i/>
          <w:iCs/>
          <w:sz w:val="20"/>
          <w:lang w:val="it-CH"/>
        </w:rPr>
        <w:t xml:space="preserve"> </w:t>
      </w:r>
      <w:r w:rsidRPr="00EB02B3">
        <w:rPr>
          <w:sz w:val="20"/>
          <w:lang w:val="it-CH"/>
        </w:rPr>
        <w:t>presentata da M. Ermotti-Lepori e cofirmatari il 12 dicembre 2022»</w:t>
      </w:r>
    </w:p>
  </w:footnote>
  <w:footnote w:id="2">
    <w:p w14:paraId="52B425FD" w14:textId="77777777" w:rsidR="00AA5AD5" w:rsidRPr="00EB02B3" w:rsidRDefault="00AA5AD5" w:rsidP="00AA5AD5">
      <w:pPr>
        <w:pStyle w:val="Testonotaapidipagina"/>
        <w:spacing w:after="0"/>
        <w:ind w:left="142" w:hanging="142"/>
        <w:rPr>
          <w:sz w:val="20"/>
          <w:lang w:val="it-CH"/>
        </w:rPr>
      </w:pPr>
      <w:r w:rsidRPr="00EB02B3">
        <w:rPr>
          <w:rStyle w:val="Rimandonotaapidipagina"/>
          <w:sz w:val="20"/>
        </w:rPr>
        <w:footnoteRef/>
      </w:r>
      <w:r w:rsidRPr="00EB02B3">
        <w:rPr>
          <w:sz w:val="20"/>
          <w:lang w:val="it-CH"/>
        </w:rPr>
        <w:t xml:space="preserve"> cfr. Sentenza Tribunale Amministrativo (STA) 52.2016.215 del 29 settembre 2016 consid. 3.1</w:t>
      </w:r>
    </w:p>
  </w:footnote>
  <w:footnote w:id="3">
    <w:p w14:paraId="64224AED" w14:textId="77777777" w:rsidR="00AA5AD5" w:rsidRPr="00EB02B3" w:rsidRDefault="00AA5AD5" w:rsidP="00AA5AD5">
      <w:pPr>
        <w:pStyle w:val="Testonotaapidipagina"/>
        <w:spacing w:after="0"/>
        <w:ind w:left="142" w:hanging="142"/>
        <w:rPr>
          <w:sz w:val="20"/>
          <w:lang w:val="fr-FR"/>
        </w:rPr>
      </w:pPr>
      <w:r w:rsidRPr="00EB02B3">
        <w:rPr>
          <w:rStyle w:val="Rimandonotaapidipagina"/>
          <w:sz w:val="20"/>
        </w:rPr>
        <w:footnoteRef/>
      </w:r>
      <w:r w:rsidRPr="00EB02B3">
        <w:rPr>
          <w:sz w:val="20"/>
          <w:lang w:val="it-CH"/>
        </w:rPr>
        <w:t xml:space="preserve"> cfr. Decisione Tribunale Federale (DTF) 143 II 553 consid. 7.1; STA 52.2022.212 del 5 ottobre 2022 consid. </w:t>
      </w:r>
      <w:r w:rsidRPr="00EB02B3">
        <w:rPr>
          <w:sz w:val="20"/>
          <w:lang w:val="fr-CH"/>
        </w:rPr>
        <w:t>4.1</w:t>
      </w:r>
    </w:p>
  </w:footnote>
  <w:footnote w:id="4">
    <w:p w14:paraId="12A15525" w14:textId="77777777" w:rsidR="00AA5AD5" w:rsidRPr="009C13FD" w:rsidRDefault="00AA5AD5" w:rsidP="00AA5AD5">
      <w:pPr>
        <w:pStyle w:val="Testonotaapidipagina"/>
        <w:ind w:left="142" w:hanging="142"/>
        <w:rPr>
          <w:sz w:val="18"/>
          <w:szCs w:val="18"/>
          <w:lang w:val="fr-FR"/>
        </w:rPr>
      </w:pPr>
      <w:r w:rsidRPr="00EB02B3">
        <w:rPr>
          <w:rStyle w:val="Rimandonotaapidipagina"/>
          <w:sz w:val="20"/>
        </w:rPr>
        <w:footnoteRef/>
      </w:r>
      <w:r w:rsidRPr="00EB02B3">
        <w:rPr>
          <w:sz w:val="20"/>
          <w:lang w:val="fr-CH"/>
        </w:rPr>
        <w:t xml:space="preserve"> cfr. “Revue du droit de la construction et des marchés publics” BR/DC 4/2013, n. 274-275, pag. 207.”</w:t>
      </w:r>
    </w:p>
  </w:footnote>
  <w:footnote w:id="5">
    <w:p w14:paraId="524C2742" w14:textId="77777777" w:rsidR="00AA5AD5" w:rsidRPr="00EB02B3" w:rsidRDefault="00AA5AD5" w:rsidP="00AA5AD5">
      <w:pPr>
        <w:pStyle w:val="Testonotaapidipagina"/>
        <w:spacing w:after="0"/>
        <w:rPr>
          <w:rFonts w:cstheme="minorHAnsi"/>
          <w:sz w:val="20"/>
          <w:lang w:val="it-CH"/>
        </w:rPr>
      </w:pPr>
      <w:r w:rsidRPr="00EB02B3">
        <w:rPr>
          <w:rStyle w:val="Rimandonotaapidipagina"/>
          <w:rFonts w:cstheme="minorHAnsi"/>
          <w:sz w:val="20"/>
        </w:rPr>
        <w:footnoteRef/>
      </w:r>
      <w:r w:rsidRPr="00EB02B3">
        <w:rPr>
          <w:rFonts w:cstheme="minorHAnsi"/>
          <w:sz w:val="20"/>
          <w:lang w:val="it-CH"/>
        </w:rPr>
        <w:t xml:space="preserve"> cfr. DTF 140 I 285 consid. 5.1; STA 52.2019.171 del 10 luglio 2019 consid. 3.1</w:t>
      </w:r>
    </w:p>
  </w:footnote>
  <w:footnote w:id="6">
    <w:p w14:paraId="4E8AFF5E" w14:textId="77777777" w:rsidR="00AA5AD5" w:rsidRPr="00EB02B3" w:rsidRDefault="00AA5AD5" w:rsidP="00AA5AD5">
      <w:pPr>
        <w:suppressAutoHyphens/>
        <w:autoSpaceDN w:val="0"/>
        <w:textAlignment w:val="baseline"/>
        <w:rPr>
          <w:rFonts w:asciiTheme="minorHAnsi" w:hAnsiTheme="minorHAnsi" w:cstheme="minorHAnsi"/>
          <w:sz w:val="20"/>
          <w:szCs w:val="20"/>
        </w:rPr>
      </w:pPr>
      <w:r w:rsidRPr="00EB02B3">
        <w:rPr>
          <w:rStyle w:val="Rimandonotaapidipagina"/>
          <w:rFonts w:asciiTheme="minorHAnsi" w:hAnsiTheme="minorHAnsi" w:cstheme="minorHAnsi"/>
          <w:sz w:val="20"/>
          <w:szCs w:val="20"/>
        </w:rPr>
        <w:footnoteRef/>
      </w:r>
      <w:r w:rsidRPr="00EB02B3">
        <w:rPr>
          <w:rFonts w:asciiTheme="minorHAnsi" w:hAnsiTheme="minorHAnsi" w:cstheme="minorHAnsi"/>
          <w:sz w:val="20"/>
          <w:szCs w:val="20"/>
        </w:rPr>
        <w:t xml:space="preserve"> cfr. STA 52.2019.171 del 10 luglio 2019 consid. 3.1 </w:t>
      </w:r>
    </w:p>
  </w:footnote>
  <w:footnote w:id="7">
    <w:p w14:paraId="4573A4AC" w14:textId="77777777" w:rsidR="00AA5AD5" w:rsidRPr="00EB02B3" w:rsidRDefault="00AA5AD5" w:rsidP="00AA5AD5">
      <w:pPr>
        <w:pStyle w:val="NormaleWeb"/>
        <w:shd w:val="clear" w:color="auto" w:fill="FFFFFF"/>
        <w:spacing w:before="0" w:beforeAutospacing="0" w:after="0" w:afterAutospacing="0"/>
        <w:ind w:right="187"/>
        <w:rPr>
          <w:rFonts w:asciiTheme="minorHAnsi" w:hAnsiTheme="minorHAnsi" w:cstheme="minorHAnsi"/>
          <w:color w:val="000000"/>
          <w:sz w:val="20"/>
          <w:szCs w:val="20"/>
        </w:rPr>
      </w:pPr>
      <w:r w:rsidRPr="00EB02B3">
        <w:rPr>
          <w:rStyle w:val="Rimandonotaapidipagina"/>
          <w:rFonts w:asciiTheme="minorHAnsi" w:hAnsiTheme="minorHAnsi" w:cstheme="minorHAnsi"/>
          <w:sz w:val="20"/>
          <w:szCs w:val="20"/>
        </w:rPr>
        <w:footnoteRef/>
      </w:r>
      <w:r w:rsidRPr="00EB02B3">
        <w:rPr>
          <w:rFonts w:asciiTheme="minorHAnsi" w:hAnsiTheme="minorHAnsi" w:cstheme="minorHAnsi"/>
          <w:sz w:val="20"/>
          <w:szCs w:val="20"/>
        </w:rPr>
        <w:t xml:space="preserve"> </w:t>
      </w:r>
      <w:r w:rsidRPr="00EB02B3">
        <w:rPr>
          <w:rFonts w:asciiTheme="minorHAnsi" w:hAnsiTheme="minorHAnsi" w:cstheme="minorHAnsi"/>
          <w:color w:val="000000"/>
          <w:sz w:val="20"/>
          <w:szCs w:val="20"/>
        </w:rPr>
        <w:t>Concordato Intercantonale sugli appalti pubblici</w:t>
      </w:r>
    </w:p>
  </w:footnote>
  <w:footnote w:id="8">
    <w:p w14:paraId="00812711" w14:textId="77777777" w:rsidR="00AA5AD5" w:rsidRPr="00EB02B3" w:rsidRDefault="00AA5AD5" w:rsidP="00AA5AD5">
      <w:pPr>
        <w:pStyle w:val="Testonotaapidipagina"/>
        <w:spacing w:after="0"/>
        <w:rPr>
          <w:rFonts w:cstheme="minorHAnsi"/>
          <w:sz w:val="20"/>
          <w:lang w:val="it-CH"/>
        </w:rPr>
      </w:pPr>
      <w:r w:rsidRPr="00EB02B3">
        <w:rPr>
          <w:rStyle w:val="Rimandonotaapidipagina"/>
          <w:rFonts w:cstheme="minorHAnsi"/>
          <w:sz w:val="20"/>
        </w:rPr>
        <w:footnoteRef/>
      </w:r>
      <w:r w:rsidRPr="00EB02B3">
        <w:rPr>
          <w:rFonts w:cstheme="minorHAnsi"/>
          <w:sz w:val="20"/>
          <w:lang w:val="it-CH"/>
        </w:rPr>
        <w:t xml:space="preserve"> art. 1 cpv. 1 lett. b LCPubb</w:t>
      </w:r>
    </w:p>
  </w:footnote>
  <w:footnote w:id="9">
    <w:p w14:paraId="75C45CB6" w14:textId="77777777" w:rsidR="00AA5AD5" w:rsidRPr="00EB02B3" w:rsidRDefault="00AA5AD5" w:rsidP="00AA5AD5">
      <w:pPr>
        <w:pStyle w:val="Testonotaapidipagina"/>
        <w:spacing w:after="0"/>
        <w:rPr>
          <w:rFonts w:cstheme="minorHAnsi"/>
          <w:sz w:val="20"/>
          <w:lang w:val="it-CH"/>
        </w:rPr>
      </w:pPr>
      <w:r w:rsidRPr="00EB02B3">
        <w:rPr>
          <w:rStyle w:val="Rimandonotaapidipagina"/>
          <w:rFonts w:cstheme="minorHAnsi"/>
          <w:sz w:val="20"/>
        </w:rPr>
        <w:footnoteRef/>
      </w:r>
      <w:r w:rsidRPr="00EB02B3">
        <w:rPr>
          <w:rFonts w:cstheme="minorHAnsi"/>
          <w:sz w:val="20"/>
          <w:lang w:val="it-CH"/>
        </w:rPr>
        <w:t xml:space="preserve"> cfr. DTF 140 I 285 consid. 5.2</w:t>
      </w:r>
    </w:p>
  </w:footnote>
  <w:footnote w:id="10">
    <w:p w14:paraId="0925B266" w14:textId="77777777" w:rsidR="00AA5AD5" w:rsidRPr="00BB3121" w:rsidRDefault="00AA5AD5" w:rsidP="00AA5AD5">
      <w:pPr>
        <w:pStyle w:val="Testonotaapidipagina"/>
        <w:rPr>
          <w:sz w:val="20"/>
          <w:lang w:val="it-CH"/>
        </w:rPr>
      </w:pPr>
      <w:r w:rsidRPr="00EB02B3">
        <w:rPr>
          <w:rStyle w:val="Rimandonotaapidipagina"/>
          <w:rFonts w:cstheme="minorHAnsi"/>
          <w:sz w:val="20"/>
        </w:rPr>
        <w:footnoteRef/>
      </w:r>
      <w:r w:rsidRPr="00EB02B3">
        <w:rPr>
          <w:rFonts w:cstheme="minorHAnsi"/>
          <w:sz w:val="20"/>
          <w:lang w:val="it-CH"/>
        </w:rPr>
        <w:t xml:space="preserve"> Scheda informativa Prestazioni standardizzate (art. 29 cpv. 4 LAPub/CIAP)</w:t>
      </w:r>
    </w:p>
  </w:footnote>
  <w:footnote w:id="11">
    <w:p w14:paraId="0639B0E0" w14:textId="77777777" w:rsidR="00AA5AD5" w:rsidRPr="00EB02B3" w:rsidRDefault="00AA5AD5" w:rsidP="00AA5AD5">
      <w:pPr>
        <w:pStyle w:val="Testonotaapidipagina"/>
        <w:spacing w:after="0"/>
        <w:rPr>
          <w:sz w:val="20"/>
          <w:lang w:val="it-CH"/>
        </w:rPr>
      </w:pPr>
      <w:r w:rsidRPr="00EB02B3">
        <w:rPr>
          <w:rStyle w:val="Rimandonotaapidipagina"/>
          <w:sz w:val="20"/>
        </w:rPr>
        <w:footnoteRef/>
      </w:r>
      <w:r w:rsidRPr="00EB02B3">
        <w:rPr>
          <w:sz w:val="20"/>
          <w:lang w:val="it-CH"/>
        </w:rPr>
        <w:t xml:space="preserve"> cfr. DTF 125 II 86 consid. 7.c</w:t>
      </w:r>
    </w:p>
  </w:footnote>
  <w:footnote w:id="12">
    <w:p w14:paraId="6E432F3B" w14:textId="77777777" w:rsidR="00AA5AD5" w:rsidRPr="00EB02B3" w:rsidRDefault="00AA5AD5" w:rsidP="00AA5AD5">
      <w:pPr>
        <w:pStyle w:val="Testonotaapidipagina"/>
        <w:spacing w:after="0"/>
        <w:rPr>
          <w:sz w:val="20"/>
          <w:lang w:val="it-CH"/>
        </w:rPr>
      </w:pPr>
      <w:r w:rsidRPr="00EB02B3">
        <w:rPr>
          <w:rStyle w:val="Rimandonotaapidipagina"/>
          <w:sz w:val="20"/>
        </w:rPr>
        <w:footnoteRef/>
      </w:r>
      <w:r w:rsidRPr="00EB02B3">
        <w:rPr>
          <w:sz w:val="20"/>
          <w:lang w:val="it-CH"/>
        </w:rPr>
        <w:t xml:space="preserve"> art. 32 cpv. 3 LCPubb; cfr. STA 52.2021.127 del 16 luglio 2021 consid. 3.2</w:t>
      </w:r>
    </w:p>
  </w:footnote>
  <w:footnote w:id="13">
    <w:p w14:paraId="2277CA92" w14:textId="77777777" w:rsidR="00AA5AD5" w:rsidRPr="00EB02B3" w:rsidRDefault="00AA5AD5" w:rsidP="00AA5AD5">
      <w:pPr>
        <w:pStyle w:val="Testonotaapidipagina"/>
        <w:spacing w:after="0"/>
        <w:rPr>
          <w:sz w:val="20"/>
          <w:lang w:val="it-CH"/>
        </w:rPr>
      </w:pPr>
      <w:r w:rsidRPr="00EB02B3">
        <w:rPr>
          <w:rStyle w:val="Rimandonotaapidipagina"/>
          <w:sz w:val="20"/>
        </w:rPr>
        <w:footnoteRef/>
      </w:r>
      <w:r w:rsidRPr="00EB02B3">
        <w:rPr>
          <w:sz w:val="20"/>
          <w:lang w:val="it-CH"/>
        </w:rPr>
        <w:t xml:space="preserve"> cfr. DTF 143 II 553</w:t>
      </w:r>
    </w:p>
  </w:footnote>
  <w:footnote w:id="14">
    <w:p w14:paraId="68A2F850" w14:textId="77777777" w:rsidR="00AA5AD5" w:rsidRPr="00EB02B3" w:rsidRDefault="00AA5AD5" w:rsidP="00AA5AD5">
      <w:pPr>
        <w:pStyle w:val="Default"/>
        <w:rPr>
          <w:sz w:val="20"/>
          <w:szCs w:val="20"/>
        </w:rPr>
      </w:pPr>
      <w:r w:rsidRPr="00EB02B3">
        <w:rPr>
          <w:rStyle w:val="Rimandonotaapidipagina"/>
          <w:sz w:val="20"/>
          <w:szCs w:val="20"/>
        </w:rPr>
        <w:footnoteRef/>
      </w:r>
      <w:r w:rsidRPr="00EB02B3">
        <w:rPr>
          <w:sz w:val="20"/>
          <w:szCs w:val="20"/>
        </w:rPr>
        <w:t xml:space="preserve"> cfr. STA 52.2021.127 del 16 luglio 2021 consid. 4.4</w:t>
      </w:r>
    </w:p>
  </w:footnote>
  <w:footnote w:id="15">
    <w:p w14:paraId="4F1CF485" w14:textId="77777777" w:rsidR="00AA5AD5" w:rsidRPr="006D6010" w:rsidRDefault="00AA5AD5" w:rsidP="00AA5AD5">
      <w:pPr>
        <w:pStyle w:val="Testonotaapidipagina"/>
        <w:rPr>
          <w:lang w:val="it-CH"/>
        </w:rPr>
      </w:pPr>
      <w:r w:rsidRPr="00EB02B3">
        <w:rPr>
          <w:rStyle w:val="Rimandonotaapidipagina"/>
          <w:sz w:val="20"/>
        </w:rPr>
        <w:footnoteRef/>
      </w:r>
      <w:r w:rsidRPr="00EB02B3">
        <w:rPr>
          <w:sz w:val="20"/>
          <w:lang w:val="it-CH"/>
        </w:rPr>
        <w:t xml:space="preserve"> cfr. STF 2C_802/2021 del 24 novembre 2022</w:t>
      </w:r>
    </w:p>
  </w:footnote>
  <w:footnote w:id="16">
    <w:p w14:paraId="24DD7BE4" w14:textId="77777777" w:rsidR="00AA5AD5" w:rsidRPr="00EB02B3" w:rsidRDefault="00AA5AD5" w:rsidP="00AA5AD5">
      <w:pPr>
        <w:pStyle w:val="Testonotaapidipagina"/>
        <w:rPr>
          <w:sz w:val="20"/>
          <w:lang w:val="it-CH"/>
        </w:rPr>
      </w:pPr>
      <w:r w:rsidRPr="00EB02B3">
        <w:rPr>
          <w:rStyle w:val="Rimandonotaapidipagina"/>
          <w:sz w:val="20"/>
        </w:rPr>
        <w:footnoteRef/>
      </w:r>
      <w:r w:rsidRPr="00EB02B3">
        <w:rPr>
          <w:sz w:val="20"/>
          <w:lang w:val="it-CH"/>
        </w:rPr>
        <w:t>https://www.parlament.ch/it/ratsbetrieb/amtliches-bulletin/amtliches-bulletin-die-videos?TranscriptId=343835</w:t>
      </w:r>
    </w:p>
  </w:footnote>
  <w:footnote w:id="17">
    <w:p w14:paraId="5FE6B10B" w14:textId="77777777" w:rsidR="00AA5AD5" w:rsidRPr="00EB02B3" w:rsidRDefault="00AA5AD5" w:rsidP="00AA5AD5">
      <w:pPr>
        <w:pStyle w:val="Testonotaapidipagina"/>
        <w:rPr>
          <w:sz w:val="20"/>
          <w:lang w:val="it-CH"/>
        </w:rPr>
      </w:pPr>
      <w:r w:rsidRPr="00EB02B3">
        <w:rPr>
          <w:rStyle w:val="Rimandonotaapidipagina"/>
          <w:sz w:val="20"/>
        </w:rPr>
        <w:footnoteRef/>
      </w:r>
      <w:r w:rsidRPr="00EB02B3">
        <w:rPr>
          <w:sz w:val="20"/>
          <w:lang w:val="it-CH"/>
        </w:rPr>
        <w:t xml:space="preserve"> https://www.parlament.ch/it/ratsbetrieb/suche-curia-vista/geschaeft?AffairId=20173304</w:t>
      </w:r>
    </w:p>
  </w:footnote>
  <w:footnote w:id="18">
    <w:p w14:paraId="3022DD52" w14:textId="77777777" w:rsidR="00AA5AD5" w:rsidRPr="009C13FD" w:rsidRDefault="00AA5AD5" w:rsidP="00AA5AD5">
      <w:pPr>
        <w:pStyle w:val="Testonotaapidipagina"/>
        <w:ind w:right="-295"/>
        <w:jc w:val="left"/>
        <w:rPr>
          <w:sz w:val="18"/>
          <w:szCs w:val="18"/>
          <w:lang w:val="it-CH"/>
        </w:rPr>
      </w:pPr>
      <w:r w:rsidRPr="00EB02B3">
        <w:rPr>
          <w:rStyle w:val="Rimandonotaapidipagina"/>
          <w:sz w:val="20"/>
        </w:rPr>
        <w:footnoteRef/>
      </w:r>
      <w:r w:rsidRPr="00EB02B3">
        <w:rPr>
          <w:sz w:val="20"/>
          <w:lang w:val="it-CH"/>
        </w:rPr>
        <w:t xml:space="preserve"> cfr. Tribunale Amministrativo (TA) Ginevra ATA/936/2021 del 14 settembre 2021; TA Berna 100.2020.30 del </w:t>
      </w:r>
      <w:r w:rsidRPr="00EB02B3">
        <w:rPr>
          <w:sz w:val="20"/>
          <w:lang w:val="it-CH"/>
        </w:rPr>
        <w:br/>
        <w:t>14 ottobre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0E2C0" w14:textId="77777777" w:rsidR="00EB02B3" w:rsidRDefault="00EB02B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14:paraId="208F14C7" w14:textId="77777777" w:rsidTr="006B682A">
      <w:trPr>
        <w:trHeight w:val="562"/>
      </w:trPr>
      <w:sdt>
        <w:sdtPr>
          <w:rPr>
            <w:rFonts w:ascii="Gill Alt One MT Light" w:hAnsi="Gill Alt One MT Light"/>
            <w:sz w:val="16"/>
            <w:szCs w:val="16"/>
          </w:rPr>
          <w:alias w:val="CustomElements.Fields.Dipartimenti"/>
          <w:id w:val="1567676091"/>
          <w:dataBinding w:xpath="//Text[@id='CustomElements.Fields.Dipartimenti']" w:storeItemID="{CABCF1D9-80A4-476A-B148-D00509E88C67}"/>
          <w:text w:multiLine="1"/>
        </w:sdtPr>
        <w:sdtEndPr/>
        <w:sdtContent>
          <w:tc>
            <w:tcPr>
              <w:tcW w:w="8383" w:type="dxa"/>
              <w:tcBorders>
                <w:left w:val="single" w:sz="4" w:space="0" w:color="auto"/>
                <w:bottom w:val="single" w:sz="4" w:space="0" w:color="auto"/>
              </w:tcBorders>
              <w:tcMar>
                <w:left w:w="142" w:type="dxa"/>
              </w:tcMar>
              <w:vAlign w:val="bottom"/>
            </w:tcPr>
            <w:p w14:paraId="496996D5" w14:textId="77777777" w:rsidR="006C54A3" w:rsidRPr="00E8185F" w:rsidRDefault="00E17CB6" w:rsidP="00A532F6">
              <w:pPr>
                <w:pStyle w:val="Page"/>
                <w:rPr>
                  <w:rFonts w:ascii="Gill Alt One MT Light" w:hAnsi="Gill Alt One MT Light"/>
                  <w:sz w:val="16"/>
                  <w:szCs w:val="16"/>
                </w:rPr>
              </w:pPr>
              <w:r>
                <w:rPr>
                  <w:rFonts w:ascii="Gill Alt One MT Light" w:hAnsi="Gill Alt One MT Light"/>
                  <w:sz w:val="16"/>
                  <w:szCs w:val="16"/>
                </w:rPr>
                <w:t>Dipartimento del territorio</w:t>
              </w:r>
            </w:p>
          </w:tc>
        </w:sdtContent>
      </w:sdt>
      <w:tc>
        <w:tcPr>
          <w:tcW w:w="1710" w:type="dxa"/>
          <w:tcBorders>
            <w:bottom w:val="single" w:sz="4" w:space="0" w:color="auto"/>
          </w:tcBorders>
          <w:vAlign w:val="bottom"/>
        </w:tcPr>
        <w:p w14:paraId="72CC3EB8" w14:textId="5ED60343" w:rsidR="006C54A3" w:rsidRPr="004204CB" w:rsidRDefault="00C05063"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830192">
            <w:rPr>
              <w:noProof/>
              <w:sz w:val="24"/>
            </w:rPr>
            <w:t>6</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830192">
            <w:rPr>
              <w:noProof/>
              <w:sz w:val="24"/>
            </w:rPr>
            <w:t>6</w:t>
          </w:r>
          <w:r w:rsidRPr="004204CB">
            <w:rPr>
              <w:noProof/>
              <w:sz w:val="24"/>
            </w:rPr>
            <w:fldChar w:fldCharType="end"/>
          </w:r>
        </w:p>
      </w:tc>
    </w:tr>
    <w:tr w:rsidR="005012EC" w:rsidRPr="009E444B" w14:paraId="19FD1110" w14:textId="77777777"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CABCF1D9-80A4-476A-B148-D00509E88C67}"/>
          <w:text w:multiLine="1"/>
        </w:sdtPr>
        <w:sdtEndPr/>
        <w:sdtContent>
          <w:tc>
            <w:tcPr>
              <w:tcW w:w="8383" w:type="dxa"/>
              <w:tcBorders>
                <w:left w:val="single" w:sz="4" w:space="0" w:color="auto"/>
              </w:tcBorders>
              <w:tcMar>
                <w:top w:w="0" w:type="dxa"/>
                <w:left w:w="142" w:type="dxa"/>
              </w:tcMar>
            </w:tcPr>
            <w:p w14:paraId="2C1CDA8E" w14:textId="1D8D3A05" w:rsidR="006C54A3" w:rsidRPr="00EB02B3" w:rsidRDefault="00EB02B3"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di maggioranza del 26 novembre 2024</w:t>
              </w:r>
            </w:p>
          </w:tc>
        </w:sdtContent>
      </w:sdt>
      <w:tc>
        <w:tcPr>
          <w:tcW w:w="1710" w:type="dxa"/>
          <w:tcBorders>
            <w:top w:val="single" w:sz="4" w:space="0" w:color="auto"/>
          </w:tcBorders>
        </w:tcPr>
        <w:p w14:paraId="69F93F44" w14:textId="77777777" w:rsidR="006C54A3" w:rsidRPr="00EB02B3" w:rsidRDefault="006C54A3" w:rsidP="00662409">
          <w:pPr>
            <w:pStyle w:val="InvisibleLine"/>
            <w:rPr>
              <w:lang w:val="it-CH"/>
            </w:rPr>
          </w:pPr>
        </w:p>
      </w:tc>
    </w:tr>
  </w:tbl>
  <w:p w14:paraId="1C8441DF" w14:textId="77777777" w:rsidR="00F657BF" w:rsidRPr="00980362" w:rsidRDefault="00C05063"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684D0D26"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CABCF1D9-80A4-476A-B148-D00509E88C67}"/>
                            <w:text w:multiLine="1"/>
                          </w:sdtPr>
                          <w:sdtEndPr/>
                          <w:sdtContent>
                            <w:p w14:paraId="58BC7AD1" w14:textId="77777777" w:rsidR="006C54A3" w:rsidRPr="00411371" w:rsidRDefault="00C05063"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4D0D26"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" filled="f" stroked="f" strokeweight=".5pt">
              <v:textbox inset="0,0,0,0">
                <w:txbxContent>
                  <w:sdt>
                    <w:sdtPr>
                      <w:rPr>
                        <w:lang w:val="it-CH"/>
                      </w:rPr>
                      <w:alias w:val="CustomElements.Texts.Draft"/>
                      <w:id w:val="1849289353"/>
                      <w:dataBinding w:xpath="//Text[@id='CustomElements.Texts.Draft']" w:storeItemID="{CABCF1D9-80A4-476A-B148-D00509E88C67}"/>
                      <w:text w:multiLine="1"/>
                    </w:sdtPr>
                    <w:sdtEndPr/>
                    <w:sdtContent>
                      <w:p w14:paraId="58BC7AD1" w14:textId="77777777" w:rsidR="006C54A3" w:rsidRPr="00411371" w:rsidRDefault="00C05063"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14:paraId="03C2A41B" w14:textId="77777777" w:rsidTr="0098208F">
      <w:trPr>
        <w:trHeight w:val="586"/>
      </w:trPr>
      <w:tc>
        <w:tcPr>
          <w:tcW w:w="2440" w:type="pct"/>
          <w:gridSpan w:val="3"/>
          <w:tcBorders>
            <w:top w:val="nil"/>
            <w:left w:val="nil"/>
            <w:bottom w:val="single" w:sz="4" w:space="0" w:color="auto"/>
          </w:tcBorders>
          <w:vAlign w:val="bottom"/>
        </w:tcPr>
        <w:p w14:paraId="68359F3B" w14:textId="77777777" w:rsidR="006C54A3" w:rsidRPr="003108C0" w:rsidRDefault="006C54A3" w:rsidP="00D07D6E">
          <w:pPr>
            <w:pStyle w:val="InvisibleLine"/>
            <w:ind w:left="150"/>
            <w:rPr>
              <w:sz w:val="16"/>
            </w:rPr>
          </w:pPr>
        </w:p>
      </w:tc>
      <w:tc>
        <w:tcPr>
          <w:tcW w:w="373" w:type="pct"/>
          <w:tcBorders>
            <w:top w:val="nil"/>
            <w:bottom w:val="single" w:sz="4" w:space="0" w:color="auto"/>
          </w:tcBorders>
          <w:vAlign w:val="bottom"/>
        </w:tcPr>
        <w:p w14:paraId="6C2A92FE" w14:textId="77777777" w:rsidR="006C54A3" w:rsidRPr="003108C0" w:rsidRDefault="006C54A3" w:rsidP="00D07D6E">
          <w:pPr>
            <w:pStyle w:val="Level"/>
            <w:ind w:left="150"/>
            <w:rPr>
              <w:sz w:val="16"/>
            </w:rPr>
          </w:pPr>
        </w:p>
      </w:tc>
      <w:tc>
        <w:tcPr>
          <w:tcW w:w="209" w:type="pct"/>
          <w:tcBorders>
            <w:top w:val="nil"/>
            <w:bottom w:val="single" w:sz="4" w:space="0" w:color="auto"/>
          </w:tcBorders>
        </w:tcPr>
        <w:p w14:paraId="3855FE14" w14:textId="77777777" w:rsidR="006C54A3" w:rsidRDefault="00C05063" w:rsidP="00D07D6E">
          <w:pPr>
            <w:pStyle w:val="InvisibleLine"/>
            <w:ind w:left="150"/>
          </w:pPr>
          <w:r>
            <w:rPr>
              <w:noProof/>
              <w:lang w:val="it-CH" w:eastAsia="it-CH"/>
            </w:rPr>
            <w:drawing>
              <wp:anchor distT="0" distB="0" distL="114300" distR="114300" simplePos="0" relativeHeight="251667456" behindDoc="1" locked="1" layoutInCell="1" allowOverlap="1" wp14:anchorId="56CC731F" wp14:editId="226CACA6">
                <wp:simplePos x="0" y="0"/>
                <wp:positionH relativeFrom="column">
                  <wp:posOffset>-92710</wp:posOffset>
                </wp:positionH>
                <wp:positionV relativeFrom="page">
                  <wp:posOffset>-119380</wp:posOffset>
                </wp:positionV>
                <wp:extent cx="276653" cy="467995"/>
                <wp:effectExtent l="0" t="0" r="0" b="8255"/>
                <wp:wrapNone/>
                <wp:docPr id="25" name="ooImg_96264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14:paraId="56011D01" w14:textId="0C13898A" w:rsidR="006C54A3" w:rsidRPr="004204CB" w:rsidRDefault="00C05063"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830192">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830192">
            <w:rPr>
              <w:rFonts w:asciiTheme="minorHAnsi" w:hAnsiTheme="minorHAnsi" w:cstheme="minorHAnsi"/>
              <w:noProof/>
              <w:sz w:val="24"/>
            </w:rPr>
            <w:t>6</w:t>
          </w:r>
          <w:r w:rsidRPr="004204CB">
            <w:rPr>
              <w:rFonts w:asciiTheme="minorHAnsi" w:hAnsiTheme="minorHAnsi" w:cstheme="minorHAnsi"/>
              <w:noProof/>
              <w:sz w:val="24"/>
            </w:rPr>
            <w:fldChar w:fldCharType="end"/>
          </w:r>
        </w:p>
      </w:tc>
    </w:tr>
    <w:tr w:rsidR="00912E34" w:rsidRPr="0004624C" w14:paraId="6F682973" w14:textId="77777777"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CABCF1D9-80A4-476A-B148-D00509E88C67}"/>
          <w:text w:multiLine="1"/>
        </w:sdtPr>
        <w:sdtEndPr/>
        <w:sdtContent>
          <w:tc>
            <w:tcPr>
              <w:tcW w:w="5000" w:type="pct"/>
              <w:gridSpan w:val="6"/>
              <w:tcBorders>
                <w:left w:val="nil"/>
                <w:right w:val="nil"/>
              </w:tcBorders>
              <w:noWrap/>
              <w:tcMar>
                <w:top w:w="0" w:type="dxa"/>
              </w:tcMar>
              <w:vAlign w:val="bottom"/>
            </w:tcPr>
            <w:p w14:paraId="5D1E5322" w14:textId="280DFB21" w:rsidR="006C54A3" w:rsidRPr="008C03B5" w:rsidRDefault="00EB02B3"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 di maggioranza</w:t>
              </w:r>
            </w:p>
          </w:tc>
        </w:sdtContent>
      </w:sdt>
    </w:tr>
    <w:tr w:rsidR="008C03B5" w:rsidRPr="0004624C" w14:paraId="777034A4" w14:textId="77777777" w:rsidTr="00B76ABD">
      <w:trPr>
        <w:trHeight w:hRule="exact" w:val="306"/>
      </w:trPr>
      <w:tc>
        <w:tcPr>
          <w:tcW w:w="670" w:type="pct"/>
          <w:tcBorders>
            <w:left w:val="nil"/>
            <w:bottom w:val="nil"/>
          </w:tcBorders>
          <w:noWrap/>
          <w:tcMar>
            <w:top w:w="57" w:type="dxa"/>
            <w:left w:w="142" w:type="dxa"/>
          </w:tcMar>
        </w:tcPr>
        <w:p w14:paraId="0A0B026A" w14:textId="77777777" w:rsidR="006C54A3" w:rsidRPr="00C7320A" w:rsidRDefault="00C05063" w:rsidP="002B0F22">
          <w:pPr>
            <w:pStyle w:val="Level"/>
            <w:spacing w:before="60"/>
            <w:rPr>
              <w:rFonts w:ascii="Gill Alt One MT Light" w:hAnsi="Gill Alt One MT Light"/>
              <w:sz w:val="16"/>
            </w:rPr>
          </w:pPr>
          <w:r w:rsidRPr="00C7320A">
            <w:rPr>
              <w:rFonts w:ascii="Gill Alt One MT Light" w:hAnsi="Gill Alt One MT Light"/>
              <w:sz w:val="16"/>
            </w:rPr>
            <w:t>numero</w:t>
          </w:r>
        </w:p>
        <w:p w14:paraId="636843B2" w14:textId="77777777" w:rsidR="006C54A3" w:rsidRPr="00C7320A" w:rsidRDefault="006C54A3"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14:paraId="31F9DD6E" w14:textId="77777777" w:rsidR="006C54A3" w:rsidRPr="00C7320A" w:rsidRDefault="00C05063" w:rsidP="002B0F22">
          <w:pPr>
            <w:pStyle w:val="Level"/>
            <w:spacing w:before="60"/>
            <w:rPr>
              <w:rFonts w:ascii="Gill Alt One MT Light" w:hAnsi="Gill Alt One MT Light"/>
              <w:sz w:val="16"/>
            </w:rPr>
          </w:pPr>
          <w:r w:rsidRPr="00C7320A">
            <w:rPr>
              <w:rFonts w:ascii="Gill Alt One MT Light" w:hAnsi="Gill Alt One MT Light"/>
              <w:sz w:val="16"/>
            </w:rPr>
            <w:t>data</w:t>
          </w:r>
        </w:p>
        <w:p w14:paraId="59B08FAA" w14:textId="77777777" w:rsidR="006C54A3" w:rsidRPr="00C7320A" w:rsidRDefault="006C54A3"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14:paraId="65844A44" w14:textId="77777777" w:rsidR="006C54A3" w:rsidRPr="00C7320A" w:rsidRDefault="00C05063" w:rsidP="002B0F22">
          <w:pPr>
            <w:pStyle w:val="Level"/>
            <w:spacing w:before="60"/>
            <w:rPr>
              <w:rFonts w:ascii="Gill Alt One MT Light" w:hAnsi="Gill Alt One MT Light"/>
              <w:sz w:val="16"/>
            </w:rPr>
          </w:pPr>
          <w:r>
            <w:rPr>
              <w:rFonts w:ascii="Gill Alt One MT Light" w:hAnsi="Gill Alt One MT Light"/>
              <w:sz w:val="16"/>
            </w:rPr>
            <w:t>competenza</w:t>
          </w:r>
        </w:p>
        <w:p w14:paraId="1F2206EB" w14:textId="77777777" w:rsidR="006C54A3" w:rsidRPr="008C03B5" w:rsidRDefault="006C54A3" w:rsidP="002B0F22">
          <w:pPr>
            <w:pStyle w:val="Level"/>
            <w:spacing w:before="60" w:line="240" w:lineRule="auto"/>
            <w:rPr>
              <w:rFonts w:ascii="Gill Alt One MT Light" w:hAnsi="Gill Alt One MT Light"/>
              <w:sz w:val="16"/>
            </w:rPr>
          </w:pPr>
        </w:p>
      </w:tc>
    </w:tr>
    <w:tr w:rsidR="008C03B5" w:rsidRPr="0004624C" w14:paraId="25D66EA6" w14:textId="77777777" w:rsidTr="008C03B5">
      <w:trPr>
        <w:trHeight w:hRule="exact" w:val="699"/>
      </w:trPr>
      <w:tc>
        <w:tcPr>
          <w:tcW w:w="670" w:type="pct"/>
          <w:tcBorders>
            <w:top w:val="nil"/>
            <w:left w:val="nil"/>
            <w:bottom w:val="single" w:sz="4" w:space="0" w:color="auto"/>
            <w:right w:val="nil"/>
          </w:tcBorders>
          <w:noWrap/>
          <w:tcMar>
            <w:top w:w="0" w:type="dxa"/>
          </w:tcMar>
        </w:tcPr>
        <w:p w14:paraId="26A07E87" w14:textId="77777777" w:rsidR="006C54A3" w:rsidRPr="00BE22A2" w:rsidRDefault="00251550"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CABCF1D9-80A4-476A-B148-D00509E88C67}"/>
              <w:text w:multiLine="1"/>
            </w:sdtPr>
            <w:sdtEndPr/>
            <w:sdtContent>
              <w:r w:rsidR="00C05063" w:rsidRPr="00BE22A2">
                <w:rPr>
                  <w:rFonts w:cstheme="minorHAnsi"/>
                  <w:b/>
                  <w:sz w:val="24"/>
                  <w:szCs w:val="24"/>
                </w:rPr>
                <w:t xml:space="preserve"> </w:t>
              </w:r>
            </w:sdtContent>
          </w:sdt>
        </w:p>
      </w:tc>
      <w:sdt>
        <w:sdtPr>
          <w:rPr>
            <w:sz w:val="24"/>
          </w:rPr>
          <w:alias w:val="DocParam.Date"/>
          <w:id w:val="-464426178"/>
          <w:dataBinding w:xpath="//DateTime[@id='DocParam.Date']" w:storeItemID="{CABCF1D9-80A4-476A-B148-D00509E88C67}"/>
          <w:date w:fullDate="2024-11-26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14:paraId="7622B9C3" w14:textId="27597111" w:rsidR="006C54A3" w:rsidRPr="002A0371" w:rsidRDefault="00EB02B3" w:rsidP="00A532F6">
              <w:pPr>
                <w:pStyle w:val="Data"/>
              </w:pPr>
              <w:r>
                <w:rPr>
                  <w:sz w:val="24"/>
                </w:rPr>
                <w:t>26 novembre 2024</w:t>
              </w:r>
            </w:p>
          </w:tc>
        </w:sdtContent>
      </w:sdt>
      <w:tc>
        <w:tcPr>
          <w:tcW w:w="3218" w:type="pct"/>
          <w:gridSpan w:val="4"/>
          <w:tcBorders>
            <w:top w:val="nil"/>
            <w:left w:val="nil"/>
            <w:bottom w:val="nil"/>
            <w:right w:val="nil"/>
          </w:tcBorders>
        </w:tcPr>
        <w:p w14:paraId="2D3D5AF0" w14:textId="77777777" w:rsidR="006C54A3" w:rsidRPr="00BE22A2" w:rsidRDefault="00251550"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CABCF1D9-80A4-476A-B148-D00509E88C67}"/>
              <w:text w:multiLine="1"/>
            </w:sdtPr>
            <w:sdtEndPr/>
            <w:sdtContent>
              <w:r w:rsidR="00E17CB6">
                <w:rPr>
                  <w:smallCaps/>
                  <w:sz w:val="23"/>
                  <w:szCs w:val="23"/>
                </w:rPr>
                <w:t>Dipartimento del territorio</w:t>
              </w:r>
            </w:sdtContent>
          </w:sdt>
        </w:p>
      </w:tc>
    </w:tr>
    <w:tr w:rsidR="00912E34" w:rsidRPr="00C63927" w14:paraId="2466161D" w14:textId="77777777" w:rsidTr="0098208F">
      <w:trPr>
        <w:trHeight w:hRule="exact" w:val="198"/>
      </w:trPr>
      <w:tc>
        <w:tcPr>
          <w:tcW w:w="5000" w:type="pct"/>
          <w:gridSpan w:val="6"/>
          <w:tcBorders>
            <w:left w:val="nil"/>
            <w:bottom w:val="nil"/>
            <w:right w:val="nil"/>
          </w:tcBorders>
          <w:noWrap/>
          <w:tcMar>
            <w:top w:w="57" w:type="dxa"/>
            <w:left w:w="85" w:type="dxa"/>
            <w:bottom w:w="170" w:type="dxa"/>
          </w:tcMar>
        </w:tcPr>
        <w:p w14:paraId="2E5F9865" w14:textId="77777777" w:rsidR="006C54A3" w:rsidRPr="00C7320A" w:rsidRDefault="006C54A3" w:rsidP="00D07D6E">
          <w:pPr>
            <w:pStyle w:val="Level"/>
            <w:ind w:left="150"/>
            <w:rPr>
              <w:rFonts w:ascii="Gill Alt One MT Light" w:hAnsi="Gill Alt One MT Light"/>
              <w:sz w:val="16"/>
              <w:szCs w:val="16"/>
            </w:rPr>
          </w:pPr>
        </w:p>
      </w:tc>
    </w:tr>
  </w:tbl>
  <w:p w14:paraId="7B6B0B95" w14:textId="77777777" w:rsidR="00F657BF" w:rsidRPr="00DA2879" w:rsidRDefault="00C05063"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7C6951DC" wp14:editId="2D72E6B9">
          <wp:simplePos x="0" y="0"/>
          <wp:positionH relativeFrom="column">
            <wp:posOffset>3042920</wp:posOffset>
          </wp:positionH>
          <wp:positionV relativeFrom="page">
            <wp:posOffset>215265</wp:posOffset>
          </wp:positionV>
          <wp:extent cx="459464" cy="467995"/>
          <wp:effectExtent l="0" t="0" r="0" b="8255"/>
          <wp:wrapNone/>
          <wp:docPr id="26" name="ooImg_692145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6F7670CF"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CABCF1D9-80A4-476A-B148-D00509E88C67}"/>
                            <w:text w:multiLine="1"/>
                          </w:sdtPr>
                          <w:sdtEndPr/>
                          <w:sdtContent>
                            <w:p w14:paraId="6351BB18" w14:textId="77777777" w:rsidR="006C54A3" w:rsidRPr="00411371" w:rsidRDefault="00C05063"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7670CF"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" filled="f" stroked="f" strokeweight=".5pt">
              <v:textbox inset="0,0,0,0">
                <w:txbxContent>
                  <w:sdt>
                    <w:sdtPr>
                      <w:rPr>
                        <w:lang w:val="it-CH"/>
                      </w:rPr>
                      <w:alias w:val="CustomElements.Texts.Draft"/>
                      <w:id w:val="1582408335"/>
                      <w:dataBinding w:xpath="//Text[@id='CustomElements.Texts.Draft']" w:storeItemID="{CABCF1D9-80A4-476A-B148-D00509E88C67}"/>
                      <w:text w:multiLine="1"/>
                    </w:sdtPr>
                    <w:sdtEndPr/>
                    <w:sdtContent>
                      <w:p w14:paraId="6351BB18" w14:textId="77777777" w:rsidR="006C54A3" w:rsidRPr="00411371" w:rsidRDefault="00C05063"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8A33085"/>
    <w:multiLevelType w:val="multilevel"/>
    <w:tmpl w:val="16DA22F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30306C0B"/>
    <w:multiLevelType w:val="hybridMultilevel"/>
    <w:tmpl w:val="80BAFBE0"/>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6" w15:restartNumberingAfterBreak="0">
    <w:nsid w:val="31960316"/>
    <w:multiLevelType w:val="hybridMultilevel"/>
    <w:tmpl w:val="317E1E3C"/>
    <w:lvl w:ilvl="0" w:tplc="51A82802">
      <w:start w:val="1"/>
      <w:numFmt w:val="lowerLetter"/>
      <w:lvlText w:val="%1)"/>
      <w:lvlJc w:val="left"/>
      <w:pPr>
        <w:ind w:left="502" w:hanging="360"/>
      </w:pPr>
      <w:rPr>
        <w:rFonts w:cstheme="minorBidi" w:hint="default"/>
      </w:rPr>
    </w:lvl>
    <w:lvl w:ilvl="1" w:tplc="08100019" w:tentative="1">
      <w:start w:val="1"/>
      <w:numFmt w:val="lowerLetter"/>
      <w:lvlText w:val="%2."/>
      <w:lvlJc w:val="left"/>
      <w:pPr>
        <w:ind w:left="1222" w:hanging="360"/>
      </w:pPr>
    </w:lvl>
    <w:lvl w:ilvl="2" w:tplc="0810001B" w:tentative="1">
      <w:start w:val="1"/>
      <w:numFmt w:val="lowerRoman"/>
      <w:lvlText w:val="%3."/>
      <w:lvlJc w:val="right"/>
      <w:pPr>
        <w:ind w:left="1942" w:hanging="180"/>
      </w:pPr>
    </w:lvl>
    <w:lvl w:ilvl="3" w:tplc="0810000F" w:tentative="1">
      <w:start w:val="1"/>
      <w:numFmt w:val="decimal"/>
      <w:lvlText w:val="%4."/>
      <w:lvlJc w:val="left"/>
      <w:pPr>
        <w:ind w:left="2662" w:hanging="360"/>
      </w:pPr>
    </w:lvl>
    <w:lvl w:ilvl="4" w:tplc="08100019" w:tentative="1">
      <w:start w:val="1"/>
      <w:numFmt w:val="lowerLetter"/>
      <w:lvlText w:val="%5."/>
      <w:lvlJc w:val="left"/>
      <w:pPr>
        <w:ind w:left="3382" w:hanging="360"/>
      </w:pPr>
    </w:lvl>
    <w:lvl w:ilvl="5" w:tplc="0810001B" w:tentative="1">
      <w:start w:val="1"/>
      <w:numFmt w:val="lowerRoman"/>
      <w:lvlText w:val="%6."/>
      <w:lvlJc w:val="right"/>
      <w:pPr>
        <w:ind w:left="4102" w:hanging="180"/>
      </w:pPr>
    </w:lvl>
    <w:lvl w:ilvl="6" w:tplc="0810000F" w:tentative="1">
      <w:start w:val="1"/>
      <w:numFmt w:val="decimal"/>
      <w:lvlText w:val="%7."/>
      <w:lvlJc w:val="left"/>
      <w:pPr>
        <w:ind w:left="4822" w:hanging="360"/>
      </w:pPr>
    </w:lvl>
    <w:lvl w:ilvl="7" w:tplc="08100019" w:tentative="1">
      <w:start w:val="1"/>
      <w:numFmt w:val="lowerLetter"/>
      <w:lvlText w:val="%8."/>
      <w:lvlJc w:val="left"/>
      <w:pPr>
        <w:ind w:left="5542" w:hanging="360"/>
      </w:pPr>
    </w:lvl>
    <w:lvl w:ilvl="8" w:tplc="0810001B" w:tentative="1">
      <w:start w:val="1"/>
      <w:numFmt w:val="lowerRoman"/>
      <w:lvlText w:val="%9."/>
      <w:lvlJc w:val="right"/>
      <w:pPr>
        <w:ind w:left="6262" w:hanging="180"/>
      </w:pPr>
    </w:lvl>
  </w:abstractNum>
  <w:abstractNum w:abstractNumId="17" w15:restartNumberingAfterBreak="0">
    <w:nsid w:val="31D32337"/>
    <w:multiLevelType w:val="hybridMultilevel"/>
    <w:tmpl w:val="626EA880"/>
    <w:lvl w:ilvl="0" w:tplc="08100001">
      <w:start w:val="1"/>
      <w:numFmt w:val="bullet"/>
      <w:lvlText w:val=""/>
      <w:lvlJc w:val="left"/>
      <w:pPr>
        <w:ind w:left="1080" w:hanging="360"/>
      </w:pPr>
      <w:rPr>
        <w:rFonts w:ascii="Symbol" w:hAnsi="Symbol" w:hint="default"/>
      </w:rPr>
    </w:lvl>
    <w:lvl w:ilvl="1" w:tplc="08100003" w:tentative="1">
      <w:start w:val="1"/>
      <w:numFmt w:val="bullet"/>
      <w:lvlText w:val="o"/>
      <w:lvlJc w:val="left"/>
      <w:pPr>
        <w:ind w:left="1800" w:hanging="360"/>
      </w:pPr>
      <w:rPr>
        <w:rFonts w:ascii="Courier New" w:hAnsi="Courier New" w:cs="Courier New" w:hint="default"/>
      </w:rPr>
    </w:lvl>
    <w:lvl w:ilvl="2" w:tplc="08100005" w:tentative="1">
      <w:start w:val="1"/>
      <w:numFmt w:val="bullet"/>
      <w:lvlText w:val=""/>
      <w:lvlJc w:val="left"/>
      <w:pPr>
        <w:ind w:left="2520" w:hanging="360"/>
      </w:pPr>
      <w:rPr>
        <w:rFonts w:ascii="Wingdings" w:hAnsi="Wingdings" w:hint="default"/>
      </w:rPr>
    </w:lvl>
    <w:lvl w:ilvl="3" w:tplc="08100001" w:tentative="1">
      <w:start w:val="1"/>
      <w:numFmt w:val="bullet"/>
      <w:lvlText w:val=""/>
      <w:lvlJc w:val="left"/>
      <w:pPr>
        <w:ind w:left="3240" w:hanging="360"/>
      </w:pPr>
      <w:rPr>
        <w:rFonts w:ascii="Symbol" w:hAnsi="Symbol" w:hint="default"/>
      </w:rPr>
    </w:lvl>
    <w:lvl w:ilvl="4" w:tplc="08100003" w:tentative="1">
      <w:start w:val="1"/>
      <w:numFmt w:val="bullet"/>
      <w:lvlText w:val="o"/>
      <w:lvlJc w:val="left"/>
      <w:pPr>
        <w:ind w:left="3960" w:hanging="360"/>
      </w:pPr>
      <w:rPr>
        <w:rFonts w:ascii="Courier New" w:hAnsi="Courier New" w:cs="Courier New" w:hint="default"/>
      </w:rPr>
    </w:lvl>
    <w:lvl w:ilvl="5" w:tplc="08100005" w:tentative="1">
      <w:start w:val="1"/>
      <w:numFmt w:val="bullet"/>
      <w:lvlText w:val=""/>
      <w:lvlJc w:val="left"/>
      <w:pPr>
        <w:ind w:left="4680" w:hanging="360"/>
      </w:pPr>
      <w:rPr>
        <w:rFonts w:ascii="Wingdings" w:hAnsi="Wingdings" w:hint="default"/>
      </w:rPr>
    </w:lvl>
    <w:lvl w:ilvl="6" w:tplc="08100001" w:tentative="1">
      <w:start w:val="1"/>
      <w:numFmt w:val="bullet"/>
      <w:lvlText w:val=""/>
      <w:lvlJc w:val="left"/>
      <w:pPr>
        <w:ind w:left="5400" w:hanging="360"/>
      </w:pPr>
      <w:rPr>
        <w:rFonts w:ascii="Symbol" w:hAnsi="Symbol" w:hint="default"/>
      </w:rPr>
    </w:lvl>
    <w:lvl w:ilvl="7" w:tplc="08100003" w:tentative="1">
      <w:start w:val="1"/>
      <w:numFmt w:val="bullet"/>
      <w:lvlText w:val="o"/>
      <w:lvlJc w:val="left"/>
      <w:pPr>
        <w:ind w:left="6120" w:hanging="360"/>
      </w:pPr>
      <w:rPr>
        <w:rFonts w:ascii="Courier New" w:hAnsi="Courier New" w:cs="Courier New" w:hint="default"/>
      </w:rPr>
    </w:lvl>
    <w:lvl w:ilvl="8" w:tplc="08100005" w:tentative="1">
      <w:start w:val="1"/>
      <w:numFmt w:val="bullet"/>
      <w:lvlText w:val=""/>
      <w:lvlJc w:val="left"/>
      <w:pPr>
        <w:ind w:left="6840" w:hanging="360"/>
      </w:pPr>
      <w:rPr>
        <w:rFonts w:ascii="Wingdings" w:hAnsi="Wingdings" w:hint="default"/>
      </w:rPr>
    </w:lvl>
  </w:abstractNum>
  <w:abstractNum w:abstractNumId="18"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9"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0" w15:restartNumberingAfterBreak="0">
    <w:nsid w:val="49D524CC"/>
    <w:multiLevelType w:val="multilevel"/>
    <w:tmpl w:val="953CA1B2"/>
    <w:numStyleLink w:val="HeadingList"/>
  </w:abstractNum>
  <w:abstractNum w:abstractNumId="21" w15:restartNumberingAfterBreak="0">
    <w:nsid w:val="54FC10CA"/>
    <w:multiLevelType w:val="hybridMultilevel"/>
    <w:tmpl w:val="4EF0DB3A"/>
    <w:lvl w:ilvl="0" w:tplc="08100017">
      <w:start w:val="1"/>
      <w:numFmt w:val="lowerLetter"/>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2" w15:restartNumberingAfterBreak="0">
    <w:nsid w:val="65181EBD"/>
    <w:multiLevelType w:val="hybridMultilevel"/>
    <w:tmpl w:val="063EDB72"/>
    <w:lvl w:ilvl="0" w:tplc="08100001">
      <w:start w:val="1"/>
      <w:numFmt w:val="bullet"/>
      <w:lvlText w:val=""/>
      <w:lvlJc w:val="left"/>
      <w:pPr>
        <w:ind w:left="1080" w:hanging="360"/>
      </w:pPr>
      <w:rPr>
        <w:rFonts w:ascii="Symbol" w:hAnsi="Symbol" w:hint="default"/>
      </w:rPr>
    </w:lvl>
    <w:lvl w:ilvl="1" w:tplc="08100003" w:tentative="1">
      <w:start w:val="1"/>
      <w:numFmt w:val="bullet"/>
      <w:lvlText w:val="o"/>
      <w:lvlJc w:val="left"/>
      <w:pPr>
        <w:ind w:left="1800" w:hanging="360"/>
      </w:pPr>
      <w:rPr>
        <w:rFonts w:ascii="Courier New" w:hAnsi="Courier New" w:cs="Courier New" w:hint="default"/>
      </w:rPr>
    </w:lvl>
    <w:lvl w:ilvl="2" w:tplc="08100005" w:tentative="1">
      <w:start w:val="1"/>
      <w:numFmt w:val="bullet"/>
      <w:lvlText w:val=""/>
      <w:lvlJc w:val="left"/>
      <w:pPr>
        <w:ind w:left="2520" w:hanging="360"/>
      </w:pPr>
      <w:rPr>
        <w:rFonts w:ascii="Wingdings" w:hAnsi="Wingdings" w:hint="default"/>
      </w:rPr>
    </w:lvl>
    <w:lvl w:ilvl="3" w:tplc="08100001" w:tentative="1">
      <w:start w:val="1"/>
      <w:numFmt w:val="bullet"/>
      <w:lvlText w:val=""/>
      <w:lvlJc w:val="left"/>
      <w:pPr>
        <w:ind w:left="3240" w:hanging="360"/>
      </w:pPr>
      <w:rPr>
        <w:rFonts w:ascii="Symbol" w:hAnsi="Symbol" w:hint="default"/>
      </w:rPr>
    </w:lvl>
    <w:lvl w:ilvl="4" w:tplc="08100003" w:tentative="1">
      <w:start w:val="1"/>
      <w:numFmt w:val="bullet"/>
      <w:lvlText w:val="o"/>
      <w:lvlJc w:val="left"/>
      <w:pPr>
        <w:ind w:left="3960" w:hanging="360"/>
      </w:pPr>
      <w:rPr>
        <w:rFonts w:ascii="Courier New" w:hAnsi="Courier New" w:cs="Courier New" w:hint="default"/>
      </w:rPr>
    </w:lvl>
    <w:lvl w:ilvl="5" w:tplc="08100005" w:tentative="1">
      <w:start w:val="1"/>
      <w:numFmt w:val="bullet"/>
      <w:lvlText w:val=""/>
      <w:lvlJc w:val="left"/>
      <w:pPr>
        <w:ind w:left="4680" w:hanging="360"/>
      </w:pPr>
      <w:rPr>
        <w:rFonts w:ascii="Wingdings" w:hAnsi="Wingdings" w:hint="default"/>
      </w:rPr>
    </w:lvl>
    <w:lvl w:ilvl="6" w:tplc="08100001" w:tentative="1">
      <w:start w:val="1"/>
      <w:numFmt w:val="bullet"/>
      <w:lvlText w:val=""/>
      <w:lvlJc w:val="left"/>
      <w:pPr>
        <w:ind w:left="5400" w:hanging="360"/>
      </w:pPr>
      <w:rPr>
        <w:rFonts w:ascii="Symbol" w:hAnsi="Symbol" w:hint="default"/>
      </w:rPr>
    </w:lvl>
    <w:lvl w:ilvl="7" w:tplc="08100003" w:tentative="1">
      <w:start w:val="1"/>
      <w:numFmt w:val="bullet"/>
      <w:lvlText w:val="o"/>
      <w:lvlJc w:val="left"/>
      <w:pPr>
        <w:ind w:left="6120" w:hanging="360"/>
      </w:pPr>
      <w:rPr>
        <w:rFonts w:ascii="Courier New" w:hAnsi="Courier New" w:cs="Courier New" w:hint="default"/>
      </w:rPr>
    </w:lvl>
    <w:lvl w:ilvl="8" w:tplc="08100005" w:tentative="1">
      <w:start w:val="1"/>
      <w:numFmt w:val="bullet"/>
      <w:lvlText w:val=""/>
      <w:lvlJc w:val="left"/>
      <w:pPr>
        <w:ind w:left="6840" w:hanging="360"/>
      </w:pPr>
      <w:rPr>
        <w:rFonts w:ascii="Wingdings" w:hAnsi="Wingdings" w:hint="default"/>
      </w:rPr>
    </w:lvl>
  </w:abstractNum>
  <w:num w:numId="1">
    <w:abstractNumId w:val="11"/>
  </w:num>
  <w:num w:numId="2">
    <w:abstractNumId w:val="20"/>
    <w:lvlOverride w:ilvl="0">
      <w:lvl w:ilvl="0">
        <w:start w:val="1"/>
        <w:numFmt w:val="decimal"/>
        <w:lvlText w:val="%1"/>
        <w:lvlJc w:val="left"/>
        <w:pPr>
          <w:ind w:left="363" w:hanging="363"/>
        </w:pPr>
        <w:rPr>
          <w:rFonts w:ascii="Arial" w:hAnsi="Arial" w:cs="Arial" w:hint="default"/>
        </w:rPr>
      </w:lvl>
    </w:lvlOverride>
  </w:num>
  <w:num w:numId="3">
    <w:abstractNumId w:val="10"/>
  </w:num>
  <w:num w:numId="4">
    <w:abstractNumId w:val="19"/>
  </w:num>
  <w:num w:numId="5">
    <w:abstractNumId w:val="18"/>
  </w:num>
  <w:num w:numId="6">
    <w:abstractNumId w:val="12"/>
  </w:num>
  <w:num w:numId="7">
    <w:abstractNumId w:val="14"/>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5"/>
  </w:num>
  <w:num w:numId="19">
    <w:abstractNumId w:val="13"/>
  </w:num>
  <w:num w:numId="20">
    <w:abstractNumId w:val="17"/>
  </w:num>
  <w:num w:numId="21">
    <w:abstractNumId w:val="22"/>
  </w:num>
  <w:num w:numId="22">
    <w:abstractNumId w:val="16"/>
  </w:num>
  <w:num w:numId="23">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0A8"/>
    <w:rsid w:val="00006A99"/>
    <w:rsid w:val="00063497"/>
    <w:rsid w:val="00070435"/>
    <w:rsid w:val="00073B6F"/>
    <w:rsid w:val="000B21F4"/>
    <w:rsid w:val="000E44A4"/>
    <w:rsid w:val="000E5991"/>
    <w:rsid w:val="00125A0A"/>
    <w:rsid w:val="00146B97"/>
    <w:rsid w:val="00165D05"/>
    <w:rsid w:val="00171CA2"/>
    <w:rsid w:val="0019119A"/>
    <w:rsid w:val="001D29F5"/>
    <w:rsid w:val="001D693C"/>
    <w:rsid w:val="001E36F9"/>
    <w:rsid w:val="001E7453"/>
    <w:rsid w:val="002015AB"/>
    <w:rsid w:val="002170B7"/>
    <w:rsid w:val="002367D9"/>
    <w:rsid w:val="00251550"/>
    <w:rsid w:val="00264C6D"/>
    <w:rsid w:val="002B5D9F"/>
    <w:rsid w:val="002C54A1"/>
    <w:rsid w:val="002E08C2"/>
    <w:rsid w:val="002E08ED"/>
    <w:rsid w:val="002F6D2C"/>
    <w:rsid w:val="00341E8C"/>
    <w:rsid w:val="003457C2"/>
    <w:rsid w:val="00386403"/>
    <w:rsid w:val="003A549B"/>
    <w:rsid w:val="003B756D"/>
    <w:rsid w:val="003E2E48"/>
    <w:rsid w:val="003F7A84"/>
    <w:rsid w:val="00403ADB"/>
    <w:rsid w:val="00415F7D"/>
    <w:rsid w:val="0046635A"/>
    <w:rsid w:val="005208DE"/>
    <w:rsid w:val="005223C3"/>
    <w:rsid w:val="00572FD3"/>
    <w:rsid w:val="00583A40"/>
    <w:rsid w:val="005A3F7F"/>
    <w:rsid w:val="005E7BCD"/>
    <w:rsid w:val="005F427A"/>
    <w:rsid w:val="0067270B"/>
    <w:rsid w:val="006821D8"/>
    <w:rsid w:val="006B306C"/>
    <w:rsid w:val="006B3CAF"/>
    <w:rsid w:val="006C4D73"/>
    <w:rsid w:val="006C54A3"/>
    <w:rsid w:val="006D6010"/>
    <w:rsid w:val="007169E2"/>
    <w:rsid w:val="00744694"/>
    <w:rsid w:val="00774410"/>
    <w:rsid w:val="00817DD8"/>
    <w:rsid w:val="00830192"/>
    <w:rsid w:val="00847111"/>
    <w:rsid w:val="008720C4"/>
    <w:rsid w:val="008C234A"/>
    <w:rsid w:val="008D79AD"/>
    <w:rsid w:val="008F52AF"/>
    <w:rsid w:val="008F5DBB"/>
    <w:rsid w:val="0090268B"/>
    <w:rsid w:val="009206D9"/>
    <w:rsid w:val="009856C7"/>
    <w:rsid w:val="009905DE"/>
    <w:rsid w:val="00994195"/>
    <w:rsid w:val="009B13D0"/>
    <w:rsid w:val="009B2DBA"/>
    <w:rsid w:val="009B3EAC"/>
    <w:rsid w:val="009C13FD"/>
    <w:rsid w:val="009C5E5A"/>
    <w:rsid w:val="009C7E86"/>
    <w:rsid w:val="00A5094D"/>
    <w:rsid w:val="00AA5AD5"/>
    <w:rsid w:val="00AD2013"/>
    <w:rsid w:val="00AF0268"/>
    <w:rsid w:val="00AF1696"/>
    <w:rsid w:val="00B015CE"/>
    <w:rsid w:val="00B07AB4"/>
    <w:rsid w:val="00B160A8"/>
    <w:rsid w:val="00B364C2"/>
    <w:rsid w:val="00B364E4"/>
    <w:rsid w:val="00B70681"/>
    <w:rsid w:val="00B937BA"/>
    <w:rsid w:val="00B94748"/>
    <w:rsid w:val="00BB16CE"/>
    <w:rsid w:val="00BB3121"/>
    <w:rsid w:val="00BE716F"/>
    <w:rsid w:val="00BF0A1F"/>
    <w:rsid w:val="00C01FB9"/>
    <w:rsid w:val="00C05063"/>
    <w:rsid w:val="00C21062"/>
    <w:rsid w:val="00C30B7F"/>
    <w:rsid w:val="00C750DB"/>
    <w:rsid w:val="00CB754E"/>
    <w:rsid w:val="00CE669C"/>
    <w:rsid w:val="00D33940"/>
    <w:rsid w:val="00D438AB"/>
    <w:rsid w:val="00D5059A"/>
    <w:rsid w:val="00D509C4"/>
    <w:rsid w:val="00D556BC"/>
    <w:rsid w:val="00D600FD"/>
    <w:rsid w:val="00D649A8"/>
    <w:rsid w:val="00D64ED2"/>
    <w:rsid w:val="00D83EE3"/>
    <w:rsid w:val="00D934AC"/>
    <w:rsid w:val="00DA3636"/>
    <w:rsid w:val="00DD6BC7"/>
    <w:rsid w:val="00E17CB6"/>
    <w:rsid w:val="00E422D0"/>
    <w:rsid w:val="00E60CE6"/>
    <w:rsid w:val="00E97446"/>
    <w:rsid w:val="00EA19D8"/>
    <w:rsid w:val="00EB02B3"/>
    <w:rsid w:val="00EB088A"/>
    <w:rsid w:val="00EE22CD"/>
    <w:rsid w:val="00F03852"/>
    <w:rsid w:val="00F22729"/>
    <w:rsid w:val="00F27B3B"/>
    <w:rsid w:val="00F35EF5"/>
    <w:rsid w:val="00F648A9"/>
    <w:rsid w:val="00F657BF"/>
    <w:rsid w:val="00FE0FAC"/>
    <w:rsid w:val="00FE123F"/>
    <w:rsid w:val="00FE4DE3"/>
    <w:rsid w:val="0B3F1E2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68730"/>
  <w15:docId w15:val="{3BE7AC19-DB58-4564-9B00-99BFD3CD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styleId="Testofumetto">
    <w:name w:val="Balloon Text"/>
    <w:basedOn w:val="Normale"/>
    <w:link w:val="TestofumettoCarattere"/>
    <w:uiPriority w:val="99"/>
    <w:semiHidden/>
    <w:unhideWhenUsed/>
    <w:rsid w:val="001E745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E7453"/>
    <w:rPr>
      <w:rFonts w:ascii="Segoe UI" w:hAnsi="Segoe UI" w:cs="Segoe UI"/>
      <w:sz w:val="18"/>
      <w:szCs w:val="18"/>
      <w:lang w:val="it-CH"/>
    </w:rPr>
  </w:style>
  <w:style w:type="paragraph" w:customStyle="1" w:styleId="Default">
    <w:name w:val="Default"/>
    <w:rsid w:val="009B13D0"/>
    <w:pPr>
      <w:autoSpaceDE w:val="0"/>
      <w:autoSpaceDN w:val="0"/>
      <w:adjustRightInd w:val="0"/>
      <w:jc w:val="left"/>
    </w:pPr>
    <w:rPr>
      <w:rFonts w:ascii="Arial" w:hAnsi="Arial" w:cs="Arial"/>
      <w:color w:val="000000"/>
      <w:sz w:val="24"/>
      <w:szCs w:val="24"/>
      <w:lang w:val="it-CH"/>
    </w:rPr>
  </w:style>
  <w:style w:type="paragraph" w:styleId="NormaleWeb">
    <w:name w:val="Normal (Web)"/>
    <w:basedOn w:val="Normale"/>
    <w:uiPriority w:val="99"/>
    <w:unhideWhenUsed/>
    <w:rsid w:val="00E97446"/>
    <w:pPr>
      <w:spacing w:before="100" w:beforeAutospacing="1" w:after="100" w:afterAutospacing="1"/>
      <w:jc w:val="left"/>
    </w:pPr>
    <w:rPr>
      <w:rFonts w:ascii="Times New Roman" w:eastAsia="Times New Roman" w:hAnsi="Times New Roman" w:cs="Times New Roman"/>
      <w:sz w:val="24"/>
      <w:szCs w:val="24"/>
      <w:lang w:eastAsia="it-CH"/>
    </w:rPr>
  </w:style>
  <w:style w:type="character" w:styleId="Collegamentoipertestuale">
    <w:name w:val="Hyperlink"/>
    <w:basedOn w:val="Carpredefinitoparagrafo"/>
    <w:uiPriority w:val="99"/>
    <w:unhideWhenUsed/>
    <w:rsid w:val="009941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 w:id="62889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i.ch/commess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35529e2f-da46-4ce2-83d5-2144c3196052.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neOffixxExtendedBindingPart xmlns:xsd="http://www.w3.org/2001/XMLSchema" xmlns:xsi="http://www.w3.org/2001/XMLSchema-instance" xmlns="http://schema.oneoffixx.com/OneOffixxExtendedBindingPart/1">
  <ExtendedBindings/>
</OneOffixxExtendedBindingPart>
</file>

<file path=customXml/item2.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96264102</Id>
      <Width>0</Width>
      <Height>0</Height>
      <XPath>//Image[@id='Profile.Org.WappenSW']</XPath>
      <ImageHash>02f1c0cdac6aeac316213b2e7cb733a0</ImageHash>
    </ImageSizeDefinition>
    <ImageSizeDefinition>
      <Id>692145919</Id>
      <Width>0</Width>
      <Height>0</Height>
      <XPath>//Image[@id='Profile.Org.Logo']</XPath>
      <ImageHash>c45d7cd7b68e3e6ca57220766e88079c</ImageHash>
    </ImageSizeDefinition>
  </ImageDefinitions>
</OneOffixxImageDefinitionPart>
</file>

<file path=customXml/item3.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4.xml>��< ? x m l   v e r s i o n = " 1 . 0 "   e n c o d i n g = " u t f - 1 6 " ? > < O n e O f f i x x D o c u m e n t P a r t   x m l n s : x s d = " h t t p : / / w w w . w 3 . o r g / 2 0 0 1 / X M L S c h e m a "   x m l n s : x s i = " h t t p : / / w w w . w 3 . o r g / 2 0 0 1 / X M L S c h e m a - i n s t a n c e "   i d = " 5 a c d 9 a 2 8 - 1 9 5 1 - 4 b 9 a - a f e e - 0 7 0 9 1 1 a e f d 6 5 "   t I d = " a 3 6 2 a 5 d 4 - 9 5 8 9 - 4 1 b f - a 4 e 6 - 4 f 8 7 c 4 e 4 1 2 3 9 "   i n t e r n a l T I d = " 9 0 6 4 c c 7 f - 3 1 6 d - 4 6 b 1 - a 4 a c - 7 4 8 6 0 c 3 f 8 a 5 b "   m t I d = " 2 7 5 a f 3 2 e - b c 4 0 - 4 5 c 2 - 8 5 b 7 - a f b 1 c 0 3 8 2 6 5 3 "   r e v i s i o n = " 0 "   c r e a t e d m a j o r v e r s i o n = " 0 "   c r e a t e d m i n o r v e r s i o n = " 0 "   c r e a t e d = " 2 0 2 3 - 0 1 - 2 0 T 1 2 : 5 3 : 0 5 . 6 3 1 7 0 5 3 Z "   m o d i f i e d m a j o r v e r s i o n = " 0 "   m o d i f i e d m i n o r v e r s i o n = " 0 "   m o d i f i e d = " 0 0 0 1 - 0 1 - 0 1 T 0 0 : 0 0 : 0 0 "   p r o f i l e = " 5 9 5 8 5 8 a 3 - 7 2 4 4 - 4 0 c 7 - b d b 3 - b c 5 b 5 5 b f f 6 f d "   m o d e = " S a v e d D o c u m e n t "   c o l o r m o d e = " C o l o r "   l c i d = " 2 0 6 4 "   x m l n s = " h t t p : / / s c h e m a . o n e o f f i x x . c o m / O n e O f f i x x D o c u m e n t P a r t / 1 " >  
     < C o n t e n t >  
         < D a t a M o d e l   x m l n s = " " >  
             < S c r i p t i n g >  
                 < T e x t   i d = " C u s t o m E l e m e n t s . S u b T e m p l a t e . L a n d s c a p e . H e a d e r . O r g I n f o s "   l a b e l = " C u s t o m E l e m e n t s . S u b T e m p l a t e . L a n d s c a p e . H e a d e r . O r g I n f o s " > < ! [ C D A T A [ R e p u b b l i c a   e   C a n t o n e   T i c i n o  
 D i p a r t i m e n t o   d e l   t e r r i t o r i o ] ] > < / T e x t >  
                 < T e x t   i d = " C u s t o m E l e m e n t s . S u b T e m p l a t e . L a n d s c a p e . H e a d e r . T i t o l o "   l a b e l = " C u s t o m E l e m e n t s . S u b T e m p l a t e . L a n d s c a p e . H e a d e r . T i t o l o " > < ! [ C D A T A [ R a p p o r t o   d i   m a g g i o r a n z a   d e l   2 6   n o v e m b r e   2 0 2 4 ] ] > < / T e x t >  
                 < T e x t   i d = " C u s t o m E l e m e n t s . T e x t s . D r a f t "   l a b e l = " C u s t o m E l e m e n t s . T e x t s . D r a f t " > < ! [ C D A T A [ B o z z a ] ] > < / T e x t >  
                 < T e x t   i d = " C u s t o m E l e m e n t s . F i e l d s . D i p a r t i m e n t i "   l a b e l = " C u s t o m E l e m e n t s . F i e l d s . D i p a r t i m e n t i " > < ! [ C D A T A [ D i p a r t i m e n t o   d e l   t e r r i t o r i o ] ] > < / T e x t >  
                 < T e x t   i d = " C u s t o m E l e m e n t s . F i e l d s . T i t o l o 1 "   l a b e l = " C u s t o m E l e m e n t s . F i e l d s . T i t o l o 1 " > < ! [ C D A T A [ R a p p o r t o   d i   m a g g i o r a n z a ] ] > < / T e x t >  
                 < T e x t   i d = " C u s t o m E l e m e n t s . F i e l d s . T i t o l o 2 "   l a b e l = " C u s t o m E l e m e n t s . F i e l d s . T i t o l o 2 " > < ! [ C D A T A [ R a p p o r t o   d i   m a g g i o r a n z a   d e l   2 6   n o v e m b r e   2 0 2 4 ] ] > < / T e x t >  
                 < T e x t   i d = " C u s t o m E l e m e n t s . F i e l d s . O r g L i v e l l o 1 "   l a b e l = " C u s t o m E l e m e n t s . F i e l d s . O r g L i v e l l o 1 " > < ! [ C D A T A [ R e p u b b l i c a   e   C a n t o n e   T i c i n o ] ] > < / T e x t >  
             < / S c r i p t i n g > 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 2 0 2 4 - 1 1 - 2 6 T 0 0 : 0 0 : 0 0 Z < / D a t e T i m e >  
                 < T e x t   i d = " D o c P a r a m . N u m b e r " > < ! [ C D A T A [   ] ] > < / T e x t >  
                 < T e x t   i d = " D o c P a r a m . D o c u m e n t o " > < ! [ C D A T A [ R a p p o r t o   d i   m a g g i o r a n z a ] ] > < / T e x t >  
                 < T e x t   i d = " D o c P a r a m . A g g i u n t a D o c "   t o o l t i p = " ( e s .   b i s ,   a g g i u n t i v o ,   a g g i u n t i v o   b i s ,   1 ,   2   e c c . ) " > < ! [ C D A T A [   ] ] > < / T e x t >  
                 < T e x t   i d = " D o c P a r a m . D i p a r t i m e n t i " > < ! [ C D A T A [ D i p a r t i m e n t o   d e l   t e r r i t o r i o ] ] > < / 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9D612415-2755-42C7-8930-B78010B1A5DE}">
  <ds:schemaRefs>
    <ds:schemaRef ds:uri="http://www.w3.org/2001/XMLSchema"/>
    <ds:schemaRef ds:uri="http://schema.oneoffixx.com/OneOffixxFormattingPart/1"/>
    <ds:schemaRef ds:uri=""/>
  </ds:schemaRefs>
</ds:datastoreItem>
</file>

<file path=customXml/itemProps4.xml><?xml version="1.0" encoding="utf-8"?>
<ds:datastoreItem xmlns:ds="http://schemas.openxmlformats.org/officeDocument/2006/customXml" ds:itemID="{CABCF1D9-80A4-476A-B148-D00509E88C67}">
  <ds:schemaRefs>
    <ds:schemaRef ds:uri="http://www.w3.org/2001/XMLSchema"/>
    <ds:schemaRef ds:uri="http://schema.oneoffixx.com/OneOffixxDocumentPart/1"/>
    <ds:schemaRef ds:uri=""/>
  </ds:schemaRefs>
</ds:datastoreItem>
</file>

<file path=customXml/itemProps5.xml><?xml version="1.0" encoding="utf-8"?>
<ds:datastoreItem xmlns:ds="http://schemas.openxmlformats.org/officeDocument/2006/customXml" ds:itemID="{1B8552A4-21C2-4A04-AB15-845A22146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35529e2f-da46-4ce2-83d5-2144c3196052.dotx</Template>
  <TotalTime>6</TotalTime>
  <Pages>6</Pages>
  <Words>2029</Words>
  <Characters>12077</Characters>
  <Application>Microsoft Office Word</Application>
  <DocSecurity>0</DocSecurity>
  <Lines>246</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9</cp:revision>
  <cp:lastPrinted>2024-11-26T18:18:00Z</cp:lastPrinted>
  <dcterms:created xsi:type="dcterms:W3CDTF">2024-11-26T18:11:00Z</dcterms:created>
  <dcterms:modified xsi:type="dcterms:W3CDTF">2024-11-26T18:18:00Z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