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49" w:rsidRDefault="00D57D49" w:rsidP="00D57D49">
      <w:pPr>
        <w:spacing w:before="1"/>
        <w:rPr>
          <w:b/>
          <w:sz w:val="28"/>
        </w:rPr>
      </w:pPr>
      <w:r>
        <w:rPr>
          <w:noProof/>
          <w:lang w:eastAsia="it-CH"/>
        </w:rPr>
        <mc:AlternateContent>
          <mc:Choice Requires="wps">
            <w:drawing>
              <wp:anchor distT="0" distB="0" distL="0" distR="0" simplePos="0" relativeHeight="251659264" behindDoc="0" locked="0" layoutInCell="1" allowOverlap="1" wp14:anchorId="1019DA59" wp14:editId="4ADA4014">
                <wp:simplePos x="0" y="0"/>
                <wp:positionH relativeFrom="page">
                  <wp:posOffset>893063</wp:posOffset>
                </wp:positionH>
                <wp:positionV relativeFrom="paragraph">
                  <wp:posOffset>-256286</wp:posOffset>
                </wp:positionV>
                <wp:extent cx="641032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6350"/>
                        </a:xfrm>
                        <a:custGeom>
                          <a:avLst/>
                          <a:gdLst/>
                          <a:ahLst/>
                          <a:cxnLst/>
                          <a:rect l="l" t="t" r="r" b="b"/>
                          <a:pathLst>
                            <a:path w="6410325" h="6350">
                              <a:moveTo>
                                <a:pt x="2290559" y="0"/>
                              </a:moveTo>
                              <a:lnTo>
                                <a:pt x="2290559" y="0"/>
                              </a:lnTo>
                              <a:lnTo>
                                <a:pt x="0" y="0"/>
                              </a:lnTo>
                              <a:lnTo>
                                <a:pt x="0" y="6096"/>
                              </a:lnTo>
                              <a:lnTo>
                                <a:pt x="2290559" y="6096"/>
                              </a:lnTo>
                              <a:lnTo>
                                <a:pt x="2290559" y="0"/>
                              </a:lnTo>
                              <a:close/>
                            </a:path>
                            <a:path w="6410325" h="6350">
                              <a:moveTo>
                                <a:pt x="6409944" y="0"/>
                              </a:moveTo>
                              <a:lnTo>
                                <a:pt x="2290572" y="0"/>
                              </a:lnTo>
                              <a:lnTo>
                                <a:pt x="2290572" y="6096"/>
                              </a:lnTo>
                              <a:lnTo>
                                <a:pt x="6409944" y="6096"/>
                              </a:lnTo>
                              <a:lnTo>
                                <a:pt x="6409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01D5C" id="Graphic 12" o:spid="_x0000_s1026" style="position:absolute;margin-left:70.3pt;margin-top:-20.2pt;width:504.7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10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" path="m2290559,r,l,,,6096r2290559,l2290559,xem6409944,l2290572,r,6096l6409944,6096r,-6096xe" fillcolor="black" stroked="f">
                <v:path arrowok="t"/>
                <w10:wrap anchorx="page"/>
              </v:shape>
            </w:pict>
          </mc:Fallback>
        </mc:AlternateContent>
      </w:r>
      <w:r>
        <w:rPr>
          <w:b/>
          <w:sz w:val="28"/>
        </w:rPr>
        <w:t>della Commissione gestione e finanze</w:t>
      </w:r>
    </w:p>
    <w:p w:rsidR="00D57D49" w:rsidRDefault="00D57D49" w:rsidP="00D57D49">
      <w:pPr>
        <w:spacing w:before="1"/>
        <w:rPr>
          <w:b/>
          <w:sz w:val="28"/>
        </w:rPr>
      </w:pPr>
      <w:r>
        <w:rPr>
          <w:b/>
          <w:sz w:val="28"/>
        </w:rPr>
        <w:t>sul messaggio 22 marzo 2023 concernente la pianificazione ospedaliera cantonale:</w:t>
      </w:r>
    </w:p>
    <w:p w:rsidR="00D57D49" w:rsidRDefault="00D57D49" w:rsidP="00D57D49">
      <w:pPr>
        <w:pStyle w:val="Paragrafoelenco"/>
        <w:widowControl w:val="0"/>
        <w:numPr>
          <w:ilvl w:val="0"/>
          <w:numId w:val="18"/>
        </w:numPr>
        <w:tabs>
          <w:tab w:val="left" w:pos="284"/>
        </w:tabs>
        <w:autoSpaceDE w:val="0"/>
        <w:autoSpaceDN w:val="0"/>
        <w:spacing w:before="2" w:line="342" w:lineRule="exact"/>
        <w:ind w:left="0" w:firstLine="0"/>
        <w:contextualSpacing w:val="0"/>
        <w:rPr>
          <w:b/>
          <w:sz w:val="28"/>
        </w:rPr>
      </w:pPr>
      <w:r>
        <w:rPr>
          <w:b/>
          <w:spacing w:val="-2"/>
          <w:sz w:val="28"/>
        </w:rPr>
        <w:t>determinazione</w:t>
      </w:r>
    </w:p>
    <w:p w:rsidR="00D57D49" w:rsidRPr="00781E0F" w:rsidRDefault="00D57D49" w:rsidP="00D57D49">
      <w:pPr>
        <w:pStyle w:val="Paragrafoelenco"/>
        <w:numPr>
          <w:ilvl w:val="0"/>
          <w:numId w:val="20"/>
        </w:numPr>
        <w:spacing w:line="333" w:lineRule="exact"/>
        <w:ind w:left="567" w:hanging="283"/>
        <w:rPr>
          <w:b/>
          <w:sz w:val="28"/>
        </w:rPr>
      </w:pPr>
      <w:r w:rsidRPr="00781E0F">
        <w:rPr>
          <w:b/>
          <w:sz w:val="28"/>
        </w:rPr>
        <w:t>degli</w:t>
      </w:r>
      <w:r w:rsidRPr="00781E0F">
        <w:rPr>
          <w:b/>
          <w:spacing w:val="-12"/>
          <w:sz w:val="28"/>
        </w:rPr>
        <w:t xml:space="preserve"> </w:t>
      </w:r>
      <w:r w:rsidRPr="00781E0F">
        <w:rPr>
          <w:b/>
          <w:sz w:val="28"/>
        </w:rPr>
        <w:t>indirizzi</w:t>
      </w:r>
      <w:r w:rsidRPr="00781E0F">
        <w:rPr>
          <w:b/>
          <w:spacing w:val="-4"/>
          <w:sz w:val="28"/>
        </w:rPr>
        <w:t xml:space="preserve"> </w:t>
      </w:r>
      <w:r w:rsidRPr="00781E0F">
        <w:rPr>
          <w:b/>
          <w:sz w:val="28"/>
        </w:rPr>
        <w:t>strategici</w:t>
      </w:r>
      <w:r w:rsidRPr="00781E0F">
        <w:rPr>
          <w:b/>
          <w:spacing w:val="-5"/>
          <w:sz w:val="28"/>
        </w:rPr>
        <w:t xml:space="preserve"> </w:t>
      </w:r>
      <w:r w:rsidRPr="00781E0F">
        <w:rPr>
          <w:b/>
          <w:sz w:val="28"/>
        </w:rPr>
        <w:t>sulla</w:t>
      </w:r>
      <w:r w:rsidRPr="00781E0F">
        <w:rPr>
          <w:b/>
          <w:spacing w:val="-6"/>
          <w:sz w:val="28"/>
        </w:rPr>
        <w:t xml:space="preserve"> </w:t>
      </w:r>
      <w:r w:rsidRPr="00781E0F">
        <w:rPr>
          <w:b/>
          <w:sz w:val="28"/>
        </w:rPr>
        <w:t>base</w:t>
      </w:r>
      <w:r w:rsidRPr="00781E0F">
        <w:rPr>
          <w:b/>
          <w:spacing w:val="-4"/>
          <w:sz w:val="28"/>
        </w:rPr>
        <w:t xml:space="preserve"> </w:t>
      </w:r>
      <w:r w:rsidRPr="00781E0F">
        <w:rPr>
          <w:b/>
          <w:sz w:val="28"/>
        </w:rPr>
        <w:t>del</w:t>
      </w:r>
      <w:r w:rsidRPr="00781E0F">
        <w:rPr>
          <w:b/>
          <w:spacing w:val="-2"/>
          <w:sz w:val="28"/>
        </w:rPr>
        <w:t xml:space="preserve"> </w:t>
      </w:r>
      <w:r w:rsidRPr="00781E0F">
        <w:rPr>
          <w:b/>
          <w:sz w:val="28"/>
        </w:rPr>
        <w:t>calcolo</w:t>
      </w:r>
      <w:r w:rsidRPr="00781E0F">
        <w:rPr>
          <w:b/>
          <w:spacing w:val="-5"/>
          <w:sz w:val="28"/>
        </w:rPr>
        <w:t xml:space="preserve"> </w:t>
      </w:r>
      <w:r w:rsidRPr="00781E0F">
        <w:rPr>
          <w:b/>
          <w:sz w:val="28"/>
        </w:rPr>
        <w:t>del</w:t>
      </w:r>
      <w:r w:rsidRPr="00781E0F">
        <w:rPr>
          <w:b/>
          <w:spacing w:val="-4"/>
          <w:sz w:val="28"/>
        </w:rPr>
        <w:t xml:space="preserve"> </w:t>
      </w:r>
      <w:r w:rsidRPr="00781E0F">
        <w:rPr>
          <w:b/>
          <w:spacing w:val="-2"/>
          <w:sz w:val="28"/>
        </w:rPr>
        <w:t>fabbisogno</w:t>
      </w:r>
    </w:p>
    <w:p w:rsidR="00D57D49" w:rsidRPr="00781E0F" w:rsidRDefault="00D57D49" w:rsidP="00D57D49">
      <w:pPr>
        <w:pStyle w:val="Paragrafoelenco"/>
        <w:numPr>
          <w:ilvl w:val="0"/>
          <w:numId w:val="20"/>
        </w:numPr>
        <w:spacing w:after="120" w:line="322" w:lineRule="exact"/>
        <w:ind w:left="568" w:hanging="284"/>
        <w:contextualSpacing w:val="0"/>
        <w:rPr>
          <w:b/>
          <w:sz w:val="28"/>
        </w:rPr>
      </w:pPr>
      <w:r w:rsidRPr="00781E0F">
        <w:rPr>
          <w:b/>
          <w:sz w:val="28"/>
        </w:rPr>
        <w:t>delle</w:t>
      </w:r>
      <w:r w:rsidRPr="00781E0F">
        <w:rPr>
          <w:b/>
          <w:spacing w:val="-19"/>
          <w:sz w:val="28"/>
        </w:rPr>
        <w:t xml:space="preserve"> </w:t>
      </w:r>
      <w:r w:rsidRPr="00781E0F">
        <w:rPr>
          <w:b/>
          <w:sz w:val="28"/>
        </w:rPr>
        <w:t>prestazioni</w:t>
      </w:r>
      <w:r w:rsidRPr="00781E0F">
        <w:rPr>
          <w:b/>
          <w:spacing w:val="-5"/>
          <w:sz w:val="28"/>
        </w:rPr>
        <w:t xml:space="preserve"> </w:t>
      </w:r>
      <w:r w:rsidRPr="00781E0F">
        <w:rPr>
          <w:b/>
          <w:sz w:val="28"/>
        </w:rPr>
        <w:t>economicamente</w:t>
      </w:r>
      <w:r w:rsidRPr="00781E0F">
        <w:rPr>
          <w:b/>
          <w:spacing w:val="-6"/>
          <w:sz w:val="28"/>
        </w:rPr>
        <w:t xml:space="preserve"> </w:t>
      </w:r>
      <w:r w:rsidRPr="00781E0F">
        <w:rPr>
          <w:b/>
          <w:sz w:val="28"/>
        </w:rPr>
        <w:t>d'interesse</w:t>
      </w:r>
      <w:r w:rsidRPr="00781E0F">
        <w:rPr>
          <w:b/>
          <w:spacing w:val="-6"/>
          <w:sz w:val="28"/>
        </w:rPr>
        <w:t xml:space="preserve"> </w:t>
      </w:r>
      <w:r w:rsidRPr="00781E0F">
        <w:rPr>
          <w:b/>
          <w:spacing w:val="-2"/>
          <w:sz w:val="28"/>
        </w:rPr>
        <w:t>generale</w:t>
      </w:r>
    </w:p>
    <w:p w:rsidR="00D57D49" w:rsidRPr="00781E0F" w:rsidRDefault="00D57D49" w:rsidP="00D57D49">
      <w:pPr>
        <w:pStyle w:val="Paragrafoelenco"/>
        <w:numPr>
          <w:ilvl w:val="0"/>
          <w:numId w:val="19"/>
        </w:numPr>
        <w:tabs>
          <w:tab w:val="left" w:pos="284"/>
        </w:tabs>
        <w:spacing w:line="309" w:lineRule="exact"/>
        <w:ind w:left="0" w:firstLine="0"/>
        <w:rPr>
          <w:b/>
          <w:sz w:val="28"/>
        </w:rPr>
      </w:pPr>
      <w:r w:rsidRPr="00781E0F">
        <w:rPr>
          <w:b/>
          <w:sz w:val="28"/>
        </w:rPr>
        <w:t>presa</w:t>
      </w:r>
      <w:r w:rsidRPr="00781E0F">
        <w:rPr>
          <w:b/>
          <w:spacing w:val="-1"/>
          <w:sz w:val="28"/>
        </w:rPr>
        <w:t xml:space="preserve"> </w:t>
      </w:r>
      <w:r w:rsidRPr="00781E0F">
        <w:rPr>
          <w:b/>
          <w:sz w:val="28"/>
        </w:rPr>
        <w:t>di</w:t>
      </w:r>
      <w:r w:rsidRPr="00781E0F">
        <w:rPr>
          <w:b/>
          <w:spacing w:val="1"/>
          <w:sz w:val="28"/>
        </w:rPr>
        <w:t xml:space="preserve"> </w:t>
      </w:r>
      <w:r w:rsidRPr="00781E0F">
        <w:rPr>
          <w:b/>
          <w:spacing w:val="-2"/>
          <w:sz w:val="28"/>
        </w:rPr>
        <w:t>conoscenza</w:t>
      </w:r>
    </w:p>
    <w:p w:rsidR="00D57D49" w:rsidRPr="00781E0F" w:rsidRDefault="00D57D49" w:rsidP="00D57D49">
      <w:pPr>
        <w:pStyle w:val="Paragrafoelenco"/>
        <w:numPr>
          <w:ilvl w:val="1"/>
          <w:numId w:val="21"/>
        </w:numPr>
        <w:spacing w:line="334" w:lineRule="exact"/>
        <w:ind w:left="567" w:hanging="283"/>
        <w:rPr>
          <w:b/>
          <w:sz w:val="28"/>
        </w:rPr>
      </w:pPr>
      <w:r w:rsidRPr="00781E0F">
        <w:rPr>
          <w:b/>
          <w:sz w:val="28"/>
        </w:rPr>
        <w:t>del</w:t>
      </w:r>
      <w:r w:rsidRPr="00781E0F">
        <w:rPr>
          <w:b/>
          <w:spacing w:val="-10"/>
          <w:sz w:val="28"/>
        </w:rPr>
        <w:t xml:space="preserve"> </w:t>
      </w:r>
      <w:r w:rsidRPr="00781E0F">
        <w:rPr>
          <w:b/>
          <w:sz w:val="28"/>
        </w:rPr>
        <w:t>modulo</w:t>
      </w:r>
      <w:r w:rsidRPr="00781E0F">
        <w:rPr>
          <w:b/>
          <w:spacing w:val="-4"/>
          <w:sz w:val="28"/>
        </w:rPr>
        <w:t xml:space="preserve"> </w:t>
      </w:r>
      <w:r w:rsidRPr="00781E0F">
        <w:rPr>
          <w:b/>
          <w:sz w:val="28"/>
        </w:rPr>
        <w:t>di</w:t>
      </w:r>
      <w:r w:rsidRPr="00781E0F">
        <w:rPr>
          <w:b/>
          <w:spacing w:val="-3"/>
          <w:sz w:val="28"/>
        </w:rPr>
        <w:t xml:space="preserve"> </w:t>
      </w:r>
      <w:r w:rsidRPr="00781E0F">
        <w:rPr>
          <w:b/>
          <w:sz w:val="28"/>
        </w:rPr>
        <w:t>sollecitazione</w:t>
      </w:r>
      <w:r w:rsidRPr="00781E0F">
        <w:rPr>
          <w:b/>
          <w:spacing w:val="-3"/>
          <w:sz w:val="28"/>
        </w:rPr>
        <w:t xml:space="preserve"> </w:t>
      </w:r>
      <w:r w:rsidRPr="00781E0F">
        <w:rPr>
          <w:b/>
          <w:spacing w:val="-2"/>
          <w:sz w:val="28"/>
        </w:rPr>
        <w:t>d'offerta</w:t>
      </w:r>
    </w:p>
    <w:p w:rsidR="00D57D49" w:rsidRPr="00781E0F" w:rsidRDefault="00D57D49" w:rsidP="00D57D49">
      <w:pPr>
        <w:pStyle w:val="Paragrafoelenco"/>
        <w:numPr>
          <w:ilvl w:val="1"/>
          <w:numId w:val="21"/>
        </w:numPr>
        <w:spacing w:line="334" w:lineRule="exact"/>
        <w:ind w:left="567" w:hanging="283"/>
        <w:rPr>
          <w:b/>
          <w:sz w:val="28"/>
        </w:rPr>
      </w:pPr>
      <w:r w:rsidRPr="00781E0F">
        <w:rPr>
          <w:b/>
          <w:sz w:val="28"/>
        </w:rPr>
        <w:t>della</w:t>
      </w:r>
      <w:r w:rsidRPr="00781E0F">
        <w:rPr>
          <w:b/>
          <w:spacing w:val="-15"/>
          <w:sz w:val="28"/>
        </w:rPr>
        <w:t xml:space="preserve"> </w:t>
      </w:r>
      <w:r w:rsidRPr="00781E0F">
        <w:rPr>
          <w:b/>
          <w:sz w:val="28"/>
        </w:rPr>
        <w:t>suddivisione</w:t>
      </w:r>
      <w:r w:rsidRPr="00781E0F">
        <w:rPr>
          <w:b/>
          <w:spacing w:val="-7"/>
          <w:sz w:val="28"/>
        </w:rPr>
        <w:t xml:space="preserve"> </w:t>
      </w:r>
      <w:r w:rsidRPr="00781E0F">
        <w:rPr>
          <w:b/>
          <w:sz w:val="28"/>
        </w:rPr>
        <w:t>nei</w:t>
      </w:r>
      <w:r w:rsidRPr="00781E0F">
        <w:rPr>
          <w:b/>
          <w:spacing w:val="-5"/>
          <w:sz w:val="28"/>
        </w:rPr>
        <w:t xml:space="preserve"> </w:t>
      </w:r>
      <w:r w:rsidRPr="00781E0F">
        <w:rPr>
          <w:b/>
          <w:sz w:val="28"/>
        </w:rPr>
        <w:t>gruppi</w:t>
      </w:r>
      <w:r w:rsidRPr="00781E0F">
        <w:rPr>
          <w:b/>
          <w:spacing w:val="-3"/>
          <w:sz w:val="28"/>
        </w:rPr>
        <w:t xml:space="preserve"> </w:t>
      </w:r>
      <w:r w:rsidRPr="00781E0F">
        <w:rPr>
          <w:b/>
          <w:sz w:val="28"/>
        </w:rPr>
        <w:t>di</w:t>
      </w:r>
      <w:r w:rsidRPr="00781E0F">
        <w:rPr>
          <w:b/>
          <w:spacing w:val="-3"/>
          <w:sz w:val="28"/>
        </w:rPr>
        <w:t xml:space="preserve"> </w:t>
      </w:r>
      <w:r w:rsidRPr="00781E0F">
        <w:rPr>
          <w:b/>
          <w:sz w:val="28"/>
        </w:rPr>
        <w:t>prestazione</w:t>
      </w:r>
      <w:r w:rsidRPr="00781E0F">
        <w:rPr>
          <w:b/>
          <w:spacing w:val="-4"/>
          <w:sz w:val="28"/>
        </w:rPr>
        <w:t xml:space="preserve"> </w:t>
      </w:r>
      <w:r w:rsidRPr="00781E0F">
        <w:rPr>
          <w:b/>
          <w:sz w:val="28"/>
        </w:rPr>
        <w:t>e</w:t>
      </w:r>
      <w:r w:rsidRPr="00781E0F">
        <w:rPr>
          <w:b/>
          <w:spacing w:val="-4"/>
          <w:sz w:val="28"/>
        </w:rPr>
        <w:t xml:space="preserve"> </w:t>
      </w:r>
      <w:r w:rsidRPr="00781E0F">
        <w:rPr>
          <w:b/>
          <w:sz w:val="28"/>
        </w:rPr>
        <w:t>dei</w:t>
      </w:r>
      <w:r w:rsidRPr="00781E0F">
        <w:rPr>
          <w:b/>
          <w:spacing w:val="-5"/>
          <w:sz w:val="28"/>
        </w:rPr>
        <w:t xml:space="preserve"> </w:t>
      </w:r>
      <w:r w:rsidRPr="00781E0F">
        <w:rPr>
          <w:b/>
          <w:sz w:val="28"/>
        </w:rPr>
        <w:t>relativi</w:t>
      </w:r>
      <w:r w:rsidRPr="00781E0F">
        <w:rPr>
          <w:b/>
          <w:spacing w:val="-3"/>
          <w:sz w:val="28"/>
        </w:rPr>
        <w:t xml:space="preserve"> </w:t>
      </w:r>
      <w:r w:rsidRPr="00781E0F">
        <w:rPr>
          <w:b/>
          <w:spacing w:val="-2"/>
          <w:sz w:val="28"/>
        </w:rPr>
        <w:t>requisiti"</w:t>
      </w:r>
    </w:p>
    <w:p w:rsidR="008F52AF" w:rsidRDefault="008F52AF" w:rsidP="00D33940">
      <w:pPr>
        <w:pStyle w:val="StandardRisoluzionedelConsigliodiStato"/>
        <w:ind w:right="-1"/>
      </w:pPr>
    </w:p>
    <w:p w:rsidR="00D57D49" w:rsidRDefault="00D57D49" w:rsidP="00D33940">
      <w:pPr>
        <w:pStyle w:val="StandardRisoluzionedelConsigliodiStato"/>
        <w:ind w:right="-1"/>
      </w:pPr>
    </w:p>
    <w:sdt>
      <w:sdtPr>
        <w:rPr>
          <w:rFonts w:ascii="Arial" w:hAnsi="Arial"/>
          <w:b w:val="0"/>
          <w:sz w:val="22"/>
          <w:lang w:val="it-IT"/>
        </w:rPr>
        <w:id w:val="-593244946"/>
        <w:docPartObj>
          <w:docPartGallery w:val="Table of Contents"/>
          <w:docPartUnique/>
        </w:docPartObj>
      </w:sdtPr>
      <w:sdtEndPr>
        <w:rPr>
          <w:bCs/>
        </w:rPr>
      </w:sdtEndPr>
      <w:sdtContent>
        <w:p w:rsidR="00C92BF5" w:rsidRPr="00C92BF5" w:rsidRDefault="00C92BF5">
          <w:pPr>
            <w:pStyle w:val="Titolosommario"/>
            <w:rPr>
              <w:rFonts w:asciiTheme="minorHAnsi" w:hAnsiTheme="minorHAnsi" w:cstheme="minorHAnsi"/>
              <w:b w:val="0"/>
              <w:sz w:val="24"/>
              <w:szCs w:val="24"/>
            </w:rPr>
          </w:pPr>
          <w:r w:rsidRPr="00C92BF5">
            <w:rPr>
              <w:rFonts w:asciiTheme="minorHAnsi" w:hAnsiTheme="minorHAnsi" w:cstheme="minorHAnsi"/>
              <w:b w:val="0"/>
              <w:sz w:val="24"/>
              <w:szCs w:val="24"/>
              <w:lang w:val="it-IT"/>
            </w:rPr>
            <w:t>INDICE</w:t>
          </w:r>
        </w:p>
        <w:p w:rsidR="00C92BF5" w:rsidRPr="00C92BF5" w:rsidRDefault="00C92BF5">
          <w:pPr>
            <w:pStyle w:val="Sommario1"/>
            <w:rPr>
              <w:rFonts w:asciiTheme="minorHAnsi" w:eastAsiaTheme="minorEastAsia" w:hAnsiTheme="minorHAnsi" w:cstheme="minorHAnsi"/>
              <w:b w:val="0"/>
              <w:noProof/>
              <w:sz w:val="24"/>
              <w:szCs w:val="24"/>
              <w:lang w:eastAsia="it-CH"/>
            </w:rPr>
          </w:pPr>
          <w:r w:rsidRPr="00C92BF5">
            <w:rPr>
              <w:rFonts w:asciiTheme="minorHAnsi" w:hAnsiTheme="minorHAnsi" w:cstheme="minorHAnsi"/>
              <w:b w:val="0"/>
              <w:sz w:val="24"/>
              <w:szCs w:val="24"/>
            </w:rPr>
            <w:fldChar w:fldCharType="begin"/>
          </w:r>
          <w:r w:rsidRPr="00C92BF5">
            <w:rPr>
              <w:rFonts w:asciiTheme="minorHAnsi" w:hAnsiTheme="minorHAnsi" w:cstheme="minorHAnsi"/>
              <w:b w:val="0"/>
              <w:sz w:val="24"/>
              <w:szCs w:val="24"/>
            </w:rPr>
            <w:instrText xml:space="preserve"> TOC \o "1-3" \h \z \u </w:instrText>
          </w:r>
          <w:r w:rsidRPr="00C92BF5">
            <w:rPr>
              <w:rFonts w:asciiTheme="minorHAnsi" w:hAnsiTheme="minorHAnsi" w:cstheme="minorHAnsi"/>
              <w:b w:val="0"/>
              <w:sz w:val="24"/>
              <w:szCs w:val="24"/>
            </w:rPr>
            <w:fldChar w:fldCharType="separate"/>
          </w:r>
          <w:hyperlink w:anchor="_Toc183013489" w:history="1">
            <w:r w:rsidRPr="00C92BF5">
              <w:rPr>
                <w:rStyle w:val="Collegamentoipertestuale"/>
                <w:rFonts w:asciiTheme="minorHAnsi" w:eastAsia="Calibri" w:hAnsiTheme="minorHAnsi" w:cstheme="minorHAnsi"/>
                <w:b w:val="0"/>
                <w:caps/>
                <w:noProof/>
                <w:sz w:val="24"/>
                <w:szCs w:val="24"/>
                <w:lang w:val="it-IT" w:eastAsia="it-IT"/>
              </w:rPr>
              <w:t>1.</w:t>
            </w:r>
            <w:r w:rsidRPr="00C92BF5">
              <w:rPr>
                <w:rFonts w:asciiTheme="minorHAnsi" w:eastAsiaTheme="minorEastAsia" w:hAnsiTheme="minorHAnsi" w:cstheme="minorHAnsi"/>
                <w:b w:val="0"/>
                <w:noProof/>
                <w:sz w:val="24"/>
                <w:szCs w:val="24"/>
                <w:lang w:eastAsia="it-CH"/>
              </w:rPr>
              <w:tab/>
            </w:r>
            <w:r w:rsidRPr="00C92BF5">
              <w:rPr>
                <w:rStyle w:val="Collegamentoipertestuale"/>
                <w:rFonts w:asciiTheme="minorHAnsi" w:eastAsia="Calibri" w:hAnsiTheme="minorHAnsi" w:cstheme="minorHAnsi"/>
                <w:b w:val="0"/>
                <w:caps/>
                <w:noProof/>
                <w:sz w:val="24"/>
                <w:szCs w:val="24"/>
                <w:lang w:val="it-IT" w:eastAsia="it-IT"/>
              </w:rPr>
              <w:t>Premessa</w:t>
            </w:r>
            <w:r w:rsidRPr="00C92BF5">
              <w:rPr>
                <w:rFonts w:asciiTheme="minorHAnsi" w:hAnsiTheme="minorHAnsi" w:cstheme="minorHAnsi"/>
                <w:b w:val="0"/>
                <w:noProof/>
                <w:webHidden/>
                <w:sz w:val="24"/>
                <w:szCs w:val="24"/>
              </w:rPr>
              <w:tab/>
            </w:r>
            <w:r w:rsidRPr="00C92BF5">
              <w:rPr>
                <w:rFonts w:asciiTheme="minorHAnsi" w:hAnsiTheme="minorHAnsi" w:cstheme="minorHAnsi"/>
                <w:b w:val="0"/>
                <w:noProof/>
                <w:webHidden/>
                <w:sz w:val="24"/>
                <w:szCs w:val="24"/>
              </w:rPr>
              <w:fldChar w:fldCharType="begin"/>
            </w:r>
            <w:r w:rsidRPr="00C92BF5">
              <w:rPr>
                <w:rFonts w:asciiTheme="minorHAnsi" w:hAnsiTheme="minorHAnsi" w:cstheme="minorHAnsi"/>
                <w:b w:val="0"/>
                <w:noProof/>
                <w:webHidden/>
                <w:sz w:val="24"/>
                <w:szCs w:val="24"/>
              </w:rPr>
              <w:instrText xml:space="preserve"> PAGEREF _Toc183013489 \h </w:instrText>
            </w:r>
            <w:r w:rsidRPr="00C92BF5">
              <w:rPr>
                <w:rFonts w:asciiTheme="minorHAnsi" w:hAnsiTheme="minorHAnsi" w:cstheme="minorHAnsi"/>
                <w:b w:val="0"/>
                <w:noProof/>
                <w:webHidden/>
                <w:sz w:val="24"/>
                <w:szCs w:val="24"/>
              </w:rPr>
            </w:r>
            <w:r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2</w:t>
            </w:r>
            <w:r w:rsidRPr="00C92BF5">
              <w:rPr>
                <w:rFonts w:asciiTheme="minorHAnsi" w:hAnsiTheme="minorHAnsi" w:cstheme="minorHAnsi"/>
                <w:b w:val="0"/>
                <w:noProof/>
                <w:webHidden/>
                <w:sz w:val="24"/>
                <w:szCs w:val="24"/>
              </w:rPr>
              <w:fldChar w:fldCharType="end"/>
            </w:r>
          </w:hyperlink>
        </w:p>
        <w:p w:rsidR="00C92BF5" w:rsidRPr="00C92BF5" w:rsidRDefault="00DC4A3C">
          <w:pPr>
            <w:pStyle w:val="Sommario1"/>
            <w:rPr>
              <w:rFonts w:asciiTheme="minorHAnsi" w:eastAsiaTheme="minorEastAsia" w:hAnsiTheme="minorHAnsi" w:cstheme="minorHAnsi"/>
              <w:b w:val="0"/>
              <w:noProof/>
              <w:sz w:val="24"/>
              <w:szCs w:val="24"/>
              <w:lang w:eastAsia="it-CH"/>
            </w:rPr>
          </w:pPr>
          <w:hyperlink w:anchor="_Toc183013490" w:history="1">
            <w:r w:rsidR="00C92BF5" w:rsidRPr="00C92BF5">
              <w:rPr>
                <w:rStyle w:val="Collegamentoipertestuale"/>
                <w:rFonts w:asciiTheme="minorHAnsi" w:eastAsia="Calibri" w:hAnsiTheme="minorHAnsi" w:cstheme="minorHAnsi"/>
                <w:b w:val="0"/>
                <w:caps/>
                <w:noProof/>
                <w:sz w:val="24"/>
                <w:szCs w:val="24"/>
                <w:lang w:val="it-IT" w:eastAsia="it-IT"/>
              </w:rPr>
              <w:t>2.</w:t>
            </w:r>
            <w:r w:rsidR="00C92BF5" w:rsidRPr="00C92BF5">
              <w:rPr>
                <w:rFonts w:asciiTheme="minorHAnsi" w:eastAsiaTheme="minorEastAsia" w:hAnsiTheme="minorHAnsi" w:cstheme="minorHAnsi"/>
                <w:b w:val="0"/>
                <w:noProof/>
                <w:sz w:val="24"/>
                <w:szCs w:val="24"/>
                <w:lang w:eastAsia="it-CH"/>
              </w:rPr>
              <w:tab/>
            </w:r>
            <w:r w:rsidR="00C92BF5" w:rsidRPr="00C92BF5">
              <w:rPr>
                <w:rStyle w:val="Collegamentoipertestuale"/>
                <w:rFonts w:asciiTheme="minorHAnsi" w:eastAsia="Calibri" w:hAnsiTheme="minorHAnsi" w:cstheme="minorHAnsi"/>
                <w:b w:val="0"/>
                <w:caps/>
                <w:noProof/>
                <w:sz w:val="24"/>
                <w:szCs w:val="24"/>
                <w:lang w:val="it-IT" w:eastAsia="it-IT"/>
              </w:rPr>
              <w:t>Il Rapporto della Commissione sanità e sicurezza sociale (CSSS) del 10 ottobre 2024</w:t>
            </w:r>
            <w:r w:rsidR="00C92BF5" w:rsidRPr="00C92BF5">
              <w:rPr>
                <w:rFonts w:asciiTheme="minorHAnsi" w:hAnsiTheme="minorHAnsi" w:cstheme="minorHAnsi"/>
                <w:b w:val="0"/>
                <w:noProof/>
                <w:webHidden/>
                <w:sz w:val="24"/>
                <w:szCs w:val="24"/>
              </w:rPr>
              <w:tab/>
            </w:r>
            <w:r w:rsidR="00C92BF5" w:rsidRPr="00C92BF5">
              <w:rPr>
                <w:rFonts w:asciiTheme="minorHAnsi" w:hAnsiTheme="minorHAnsi" w:cstheme="minorHAnsi"/>
                <w:b w:val="0"/>
                <w:noProof/>
                <w:webHidden/>
                <w:sz w:val="24"/>
                <w:szCs w:val="24"/>
              </w:rPr>
              <w:fldChar w:fldCharType="begin"/>
            </w:r>
            <w:r w:rsidR="00C92BF5" w:rsidRPr="00C92BF5">
              <w:rPr>
                <w:rFonts w:asciiTheme="minorHAnsi" w:hAnsiTheme="minorHAnsi" w:cstheme="minorHAnsi"/>
                <w:b w:val="0"/>
                <w:noProof/>
                <w:webHidden/>
                <w:sz w:val="24"/>
                <w:szCs w:val="24"/>
              </w:rPr>
              <w:instrText xml:space="preserve"> PAGEREF _Toc183013490 \h </w:instrText>
            </w:r>
            <w:r w:rsidR="00C92BF5" w:rsidRPr="00C92BF5">
              <w:rPr>
                <w:rFonts w:asciiTheme="minorHAnsi" w:hAnsiTheme="minorHAnsi" w:cstheme="minorHAnsi"/>
                <w:b w:val="0"/>
                <w:noProof/>
                <w:webHidden/>
                <w:sz w:val="24"/>
                <w:szCs w:val="24"/>
              </w:rPr>
            </w:r>
            <w:r w:rsidR="00C92BF5"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2</w:t>
            </w:r>
            <w:r w:rsidR="00C92BF5" w:rsidRPr="00C92BF5">
              <w:rPr>
                <w:rFonts w:asciiTheme="minorHAnsi" w:hAnsiTheme="minorHAnsi" w:cstheme="minorHAnsi"/>
                <w:b w:val="0"/>
                <w:noProof/>
                <w:webHidden/>
                <w:sz w:val="24"/>
                <w:szCs w:val="24"/>
              </w:rPr>
              <w:fldChar w:fldCharType="end"/>
            </w:r>
          </w:hyperlink>
        </w:p>
        <w:p w:rsidR="00C92BF5" w:rsidRPr="00C92BF5" w:rsidRDefault="00DC4A3C">
          <w:pPr>
            <w:pStyle w:val="Sommario1"/>
            <w:rPr>
              <w:rFonts w:asciiTheme="minorHAnsi" w:eastAsiaTheme="minorEastAsia" w:hAnsiTheme="minorHAnsi" w:cstheme="minorHAnsi"/>
              <w:b w:val="0"/>
              <w:noProof/>
              <w:sz w:val="24"/>
              <w:szCs w:val="24"/>
              <w:lang w:eastAsia="it-CH"/>
            </w:rPr>
          </w:pPr>
          <w:hyperlink w:anchor="_Toc183013491" w:history="1">
            <w:r w:rsidR="00C92BF5" w:rsidRPr="00C92BF5">
              <w:rPr>
                <w:rStyle w:val="Collegamentoipertestuale"/>
                <w:rFonts w:asciiTheme="minorHAnsi" w:eastAsia="Calibri" w:hAnsiTheme="minorHAnsi" w:cstheme="minorHAnsi"/>
                <w:b w:val="0"/>
                <w:caps/>
                <w:noProof/>
                <w:sz w:val="24"/>
                <w:szCs w:val="24"/>
                <w:lang w:val="it-IT" w:eastAsia="it-IT"/>
              </w:rPr>
              <w:t>3.</w:t>
            </w:r>
            <w:r w:rsidR="00C92BF5" w:rsidRPr="00C92BF5">
              <w:rPr>
                <w:rFonts w:asciiTheme="minorHAnsi" w:eastAsiaTheme="minorEastAsia" w:hAnsiTheme="minorHAnsi" w:cstheme="minorHAnsi"/>
                <w:b w:val="0"/>
                <w:noProof/>
                <w:sz w:val="24"/>
                <w:szCs w:val="24"/>
                <w:lang w:eastAsia="it-CH"/>
              </w:rPr>
              <w:tab/>
            </w:r>
            <w:r w:rsidR="00C92BF5" w:rsidRPr="00C92BF5">
              <w:rPr>
                <w:rStyle w:val="Collegamentoipertestuale"/>
                <w:rFonts w:asciiTheme="minorHAnsi" w:eastAsia="Calibri" w:hAnsiTheme="minorHAnsi" w:cstheme="minorHAnsi"/>
                <w:b w:val="0"/>
                <w:caps/>
                <w:noProof/>
                <w:sz w:val="24"/>
                <w:szCs w:val="24"/>
                <w:lang w:val="it-IT" w:eastAsia="it-IT"/>
              </w:rPr>
              <w:t>Basi legali</w:t>
            </w:r>
            <w:r w:rsidR="00C92BF5" w:rsidRPr="00C92BF5">
              <w:rPr>
                <w:rFonts w:asciiTheme="minorHAnsi" w:hAnsiTheme="minorHAnsi" w:cstheme="minorHAnsi"/>
                <w:b w:val="0"/>
                <w:noProof/>
                <w:webHidden/>
                <w:sz w:val="24"/>
                <w:szCs w:val="24"/>
              </w:rPr>
              <w:tab/>
            </w:r>
            <w:r w:rsidR="00C92BF5" w:rsidRPr="00C92BF5">
              <w:rPr>
                <w:rFonts w:asciiTheme="minorHAnsi" w:hAnsiTheme="minorHAnsi" w:cstheme="minorHAnsi"/>
                <w:b w:val="0"/>
                <w:noProof/>
                <w:webHidden/>
                <w:sz w:val="24"/>
                <w:szCs w:val="24"/>
              </w:rPr>
              <w:fldChar w:fldCharType="begin"/>
            </w:r>
            <w:r w:rsidR="00C92BF5" w:rsidRPr="00C92BF5">
              <w:rPr>
                <w:rFonts w:asciiTheme="minorHAnsi" w:hAnsiTheme="minorHAnsi" w:cstheme="minorHAnsi"/>
                <w:b w:val="0"/>
                <w:noProof/>
                <w:webHidden/>
                <w:sz w:val="24"/>
                <w:szCs w:val="24"/>
              </w:rPr>
              <w:instrText xml:space="preserve"> PAGEREF _Toc183013491 \h </w:instrText>
            </w:r>
            <w:r w:rsidR="00C92BF5" w:rsidRPr="00C92BF5">
              <w:rPr>
                <w:rFonts w:asciiTheme="minorHAnsi" w:hAnsiTheme="minorHAnsi" w:cstheme="minorHAnsi"/>
                <w:b w:val="0"/>
                <w:noProof/>
                <w:webHidden/>
                <w:sz w:val="24"/>
                <w:szCs w:val="24"/>
              </w:rPr>
            </w:r>
            <w:r w:rsidR="00C92BF5"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3</w:t>
            </w:r>
            <w:r w:rsidR="00C92BF5" w:rsidRPr="00C92BF5">
              <w:rPr>
                <w:rFonts w:asciiTheme="minorHAnsi" w:hAnsiTheme="minorHAnsi" w:cstheme="minorHAnsi"/>
                <w:b w:val="0"/>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2" w:history="1">
            <w:r w:rsidR="00C92BF5" w:rsidRPr="00C92BF5">
              <w:rPr>
                <w:rStyle w:val="Collegamentoipertestuale"/>
                <w:rFonts w:asciiTheme="minorHAnsi" w:eastAsia="Calibri" w:hAnsiTheme="minorHAnsi" w:cstheme="minorHAnsi"/>
                <w:noProof/>
                <w:sz w:val="24"/>
                <w:szCs w:val="24"/>
                <w:lang w:val="it-IT" w:eastAsia="it-IT"/>
              </w:rPr>
              <w:t>3.1.</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Cantone</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_Toc183013492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3</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3" w:history="1">
            <w:r w:rsidR="00C92BF5" w:rsidRPr="00C92BF5">
              <w:rPr>
                <w:rStyle w:val="Collegamentoipertestuale"/>
                <w:rFonts w:asciiTheme="minorHAnsi" w:eastAsia="Calibri" w:hAnsiTheme="minorHAnsi" w:cstheme="minorHAnsi"/>
                <w:noProof/>
                <w:sz w:val="24"/>
                <w:szCs w:val="24"/>
                <w:lang w:val="it-IT" w:eastAsia="it-IT"/>
              </w:rPr>
              <w:t>3.2.</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Sentenza Tribunale amministrativo federale (TAF)</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_Toc183013493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4</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1"/>
            <w:rPr>
              <w:rFonts w:asciiTheme="minorHAnsi" w:eastAsiaTheme="minorEastAsia" w:hAnsiTheme="minorHAnsi" w:cstheme="minorHAnsi"/>
              <w:b w:val="0"/>
              <w:noProof/>
              <w:sz w:val="24"/>
              <w:szCs w:val="24"/>
              <w:lang w:eastAsia="it-CH"/>
            </w:rPr>
          </w:pPr>
          <w:hyperlink w:anchor="_Toc183013494" w:history="1">
            <w:r w:rsidR="00C92BF5" w:rsidRPr="00C92BF5">
              <w:rPr>
                <w:rStyle w:val="Collegamentoipertestuale"/>
                <w:rFonts w:asciiTheme="minorHAnsi" w:eastAsia="Calibri" w:hAnsiTheme="minorHAnsi" w:cstheme="minorHAnsi"/>
                <w:b w:val="0"/>
                <w:caps/>
                <w:noProof/>
                <w:sz w:val="24"/>
                <w:szCs w:val="24"/>
                <w:lang w:val="it-IT" w:eastAsia="it-IT"/>
              </w:rPr>
              <w:t>4.</w:t>
            </w:r>
            <w:r w:rsidR="00C92BF5" w:rsidRPr="00C92BF5">
              <w:rPr>
                <w:rFonts w:asciiTheme="minorHAnsi" w:eastAsiaTheme="minorEastAsia" w:hAnsiTheme="minorHAnsi" w:cstheme="minorHAnsi"/>
                <w:b w:val="0"/>
                <w:noProof/>
                <w:sz w:val="24"/>
                <w:szCs w:val="24"/>
                <w:lang w:eastAsia="it-CH"/>
              </w:rPr>
              <w:tab/>
            </w:r>
            <w:r w:rsidR="00C92BF5" w:rsidRPr="00C92BF5">
              <w:rPr>
                <w:rStyle w:val="Collegamentoipertestuale"/>
                <w:rFonts w:asciiTheme="minorHAnsi" w:eastAsia="Calibri" w:hAnsiTheme="minorHAnsi" w:cstheme="minorHAnsi"/>
                <w:b w:val="0"/>
                <w:caps/>
                <w:noProof/>
                <w:sz w:val="24"/>
                <w:szCs w:val="24"/>
                <w:lang w:val="it-IT" w:eastAsia="it-IT"/>
              </w:rPr>
              <w:t>Il quadro ospedaliero in svizzera</w:t>
            </w:r>
            <w:r w:rsidR="00C92BF5" w:rsidRPr="00C92BF5">
              <w:rPr>
                <w:rFonts w:asciiTheme="minorHAnsi" w:hAnsiTheme="minorHAnsi" w:cstheme="minorHAnsi"/>
                <w:b w:val="0"/>
                <w:noProof/>
                <w:webHidden/>
                <w:sz w:val="24"/>
                <w:szCs w:val="24"/>
              </w:rPr>
              <w:tab/>
            </w:r>
            <w:r w:rsidR="00C92BF5" w:rsidRPr="00C92BF5">
              <w:rPr>
                <w:rFonts w:asciiTheme="minorHAnsi" w:hAnsiTheme="minorHAnsi" w:cstheme="minorHAnsi"/>
                <w:b w:val="0"/>
                <w:noProof/>
                <w:webHidden/>
                <w:sz w:val="24"/>
                <w:szCs w:val="24"/>
              </w:rPr>
              <w:fldChar w:fldCharType="begin"/>
            </w:r>
            <w:r w:rsidR="00C92BF5" w:rsidRPr="00C92BF5">
              <w:rPr>
                <w:rFonts w:asciiTheme="minorHAnsi" w:hAnsiTheme="minorHAnsi" w:cstheme="minorHAnsi"/>
                <w:b w:val="0"/>
                <w:noProof/>
                <w:webHidden/>
                <w:sz w:val="24"/>
                <w:szCs w:val="24"/>
              </w:rPr>
              <w:instrText xml:space="preserve"> PAGEREF _Toc183013494 \h </w:instrText>
            </w:r>
            <w:r w:rsidR="00C92BF5" w:rsidRPr="00C92BF5">
              <w:rPr>
                <w:rFonts w:asciiTheme="minorHAnsi" w:hAnsiTheme="minorHAnsi" w:cstheme="minorHAnsi"/>
                <w:b w:val="0"/>
                <w:noProof/>
                <w:webHidden/>
                <w:sz w:val="24"/>
                <w:szCs w:val="24"/>
              </w:rPr>
            </w:r>
            <w:r w:rsidR="00C92BF5"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7</w:t>
            </w:r>
            <w:r w:rsidR="00C92BF5" w:rsidRPr="00C92BF5">
              <w:rPr>
                <w:rFonts w:asciiTheme="minorHAnsi" w:hAnsiTheme="minorHAnsi" w:cstheme="minorHAnsi"/>
                <w:b w:val="0"/>
                <w:noProof/>
                <w:webHidden/>
                <w:sz w:val="24"/>
                <w:szCs w:val="24"/>
              </w:rPr>
              <w:fldChar w:fldCharType="end"/>
            </w:r>
          </w:hyperlink>
        </w:p>
        <w:p w:rsidR="00C92BF5" w:rsidRPr="00C92BF5" w:rsidRDefault="00DC4A3C">
          <w:pPr>
            <w:pStyle w:val="Sommario1"/>
            <w:rPr>
              <w:rFonts w:asciiTheme="minorHAnsi" w:eastAsiaTheme="minorEastAsia" w:hAnsiTheme="minorHAnsi" w:cstheme="minorHAnsi"/>
              <w:b w:val="0"/>
              <w:noProof/>
              <w:sz w:val="24"/>
              <w:szCs w:val="24"/>
              <w:lang w:eastAsia="it-CH"/>
            </w:rPr>
          </w:pPr>
          <w:hyperlink w:anchor="_Toc183013495" w:history="1">
            <w:r w:rsidR="00C92BF5" w:rsidRPr="00C92BF5">
              <w:rPr>
                <w:rStyle w:val="Collegamentoipertestuale"/>
                <w:rFonts w:asciiTheme="minorHAnsi" w:eastAsia="Calibri" w:hAnsiTheme="minorHAnsi" w:cstheme="minorHAnsi"/>
                <w:b w:val="0"/>
                <w:caps/>
                <w:noProof/>
                <w:sz w:val="24"/>
                <w:szCs w:val="24"/>
                <w:lang w:val="it-IT" w:eastAsia="it-IT"/>
              </w:rPr>
              <w:t>5.</w:t>
            </w:r>
            <w:r w:rsidR="00C92BF5" w:rsidRPr="00C92BF5">
              <w:rPr>
                <w:rFonts w:asciiTheme="minorHAnsi" w:eastAsiaTheme="minorEastAsia" w:hAnsiTheme="minorHAnsi" w:cstheme="minorHAnsi"/>
                <w:b w:val="0"/>
                <w:noProof/>
                <w:sz w:val="24"/>
                <w:szCs w:val="24"/>
                <w:lang w:eastAsia="it-CH"/>
              </w:rPr>
              <w:tab/>
            </w:r>
            <w:r w:rsidR="00C92BF5" w:rsidRPr="00C92BF5">
              <w:rPr>
                <w:rStyle w:val="Collegamentoipertestuale"/>
                <w:rFonts w:asciiTheme="minorHAnsi" w:eastAsia="Calibri" w:hAnsiTheme="minorHAnsi" w:cstheme="minorHAnsi"/>
                <w:b w:val="0"/>
                <w:caps/>
                <w:noProof/>
                <w:sz w:val="24"/>
                <w:szCs w:val="24"/>
                <w:lang w:val="it-IT" w:eastAsia="it-IT"/>
              </w:rPr>
              <w:t>Considerazioni CGF</w:t>
            </w:r>
            <w:r w:rsidR="00C92BF5" w:rsidRPr="00C92BF5">
              <w:rPr>
                <w:rFonts w:asciiTheme="minorHAnsi" w:hAnsiTheme="minorHAnsi" w:cstheme="minorHAnsi"/>
                <w:b w:val="0"/>
                <w:noProof/>
                <w:webHidden/>
                <w:sz w:val="24"/>
                <w:szCs w:val="24"/>
              </w:rPr>
              <w:tab/>
            </w:r>
            <w:r w:rsidR="00C92BF5" w:rsidRPr="00C92BF5">
              <w:rPr>
                <w:rFonts w:asciiTheme="minorHAnsi" w:hAnsiTheme="minorHAnsi" w:cstheme="minorHAnsi"/>
                <w:b w:val="0"/>
                <w:noProof/>
                <w:webHidden/>
                <w:sz w:val="24"/>
                <w:szCs w:val="24"/>
              </w:rPr>
              <w:fldChar w:fldCharType="begin"/>
            </w:r>
            <w:r w:rsidR="00C92BF5" w:rsidRPr="00C92BF5">
              <w:rPr>
                <w:rFonts w:asciiTheme="minorHAnsi" w:hAnsiTheme="minorHAnsi" w:cstheme="minorHAnsi"/>
                <w:b w:val="0"/>
                <w:noProof/>
                <w:webHidden/>
                <w:sz w:val="24"/>
                <w:szCs w:val="24"/>
              </w:rPr>
              <w:instrText xml:space="preserve"> PAGEREF _Toc183013495 \h </w:instrText>
            </w:r>
            <w:r w:rsidR="00C92BF5" w:rsidRPr="00C92BF5">
              <w:rPr>
                <w:rFonts w:asciiTheme="minorHAnsi" w:hAnsiTheme="minorHAnsi" w:cstheme="minorHAnsi"/>
                <w:b w:val="0"/>
                <w:noProof/>
                <w:webHidden/>
                <w:sz w:val="24"/>
                <w:szCs w:val="24"/>
              </w:rPr>
            </w:r>
            <w:r w:rsidR="00C92BF5"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8</w:t>
            </w:r>
            <w:r w:rsidR="00C92BF5" w:rsidRPr="00C92BF5">
              <w:rPr>
                <w:rFonts w:asciiTheme="minorHAnsi" w:hAnsiTheme="minorHAnsi" w:cstheme="minorHAnsi"/>
                <w:b w:val="0"/>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6" w:history="1">
            <w:r w:rsidR="00C92BF5" w:rsidRPr="00C92BF5">
              <w:rPr>
                <w:rStyle w:val="Collegamentoipertestuale"/>
                <w:rFonts w:asciiTheme="minorHAnsi" w:eastAsia="Calibri" w:hAnsiTheme="minorHAnsi" w:cstheme="minorHAnsi"/>
                <w:noProof/>
                <w:sz w:val="24"/>
                <w:szCs w:val="24"/>
                <w:lang w:val="it-IT" w:eastAsia="it-IT"/>
              </w:rPr>
              <w:t>5.1.</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Impostazione generale</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_Toc183013496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8</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7" w:history="1">
            <w:r w:rsidR="00C92BF5" w:rsidRPr="00C92BF5">
              <w:rPr>
                <w:rStyle w:val="Collegamentoipertestuale"/>
                <w:rFonts w:asciiTheme="minorHAnsi" w:eastAsia="Calibri" w:hAnsiTheme="minorHAnsi" w:cstheme="minorHAnsi"/>
                <w:noProof/>
                <w:sz w:val="24"/>
                <w:szCs w:val="24"/>
                <w:lang w:val="it-IT" w:eastAsia="it-IT"/>
              </w:rPr>
              <w:t>5.2.</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Quadro giuridico</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_Toc183013497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9</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8" w:history="1">
            <w:r w:rsidR="00C92BF5" w:rsidRPr="00C92BF5">
              <w:rPr>
                <w:rStyle w:val="Collegamentoipertestuale"/>
                <w:rFonts w:asciiTheme="minorHAnsi" w:eastAsia="Calibri" w:hAnsiTheme="minorHAnsi" w:cstheme="minorHAnsi"/>
                <w:noProof/>
                <w:sz w:val="24"/>
                <w:szCs w:val="24"/>
                <w:lang w:val="it-IT" w:eastAsia="it-IT"/>
              </w:rPr>
              <w:t>5.3.</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Fabbisogno</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_Toc183013498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10</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499" w:history="1">
            <w:r w:rsidR="00C92BF5" w:rsidRPr="00C92BF5">
              <w:rPr>
                <w:rStyle w:val="Collegamentoipertestuale"/>
                <w:rFonts w:asciiTheme="minorHAnsi" w:eastAsia="Arial" w:hAnsiTheme="minorHAnsi" w:cstheme="minorHAnsi"/>
                <w:bCs/>
                <w:noProof/>
                <w:sz w:val="24"/>
                <w:szCs w:val="24"/>
              </w:rPr>
              <w:t>5.4.</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Qualità</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_Toc183013499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10</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500" w:history="1">
            <w:r w:rsidR="00C92BF5" w:rsidRPr="00C92BF5">
              <w:rPr>
                <w:rStyle w:val="Collegamentoipertestuale"/>
                <w:rFonts w:asciiTheme="minorHAnsi" w:eastAsia="Calibri" w:hAnsiTheme="minorHAnsi" w:cstheme="minorHAnsi"/>
                <w:noProof/>
                <w:sz w:val="24"/>
                <w:szCs w:val="24"/>
                <w:lang w:val="it-IT" w:eastAsia="it-IT"/>
              </w:rPr>
              <w:t>5.5.</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Procedure</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_Toc183013500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10</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501" w:history="1">
            <w:r w:rsidR="00C92BF5" w:rsidRPr="00C92BF5">
              <w:rPr>
                <w:rStyle w:val="Collegamentoipertestuale"/>
                <w:rFonts w:asciiTheme="minorHAnsi" w:eastAsia="Calibri" w:hAnsiTheme="minorHAnsi" w:cstheme="minorHAnsi"/>
                <w:noProof/>
                <w:sz w:val="24"/>
                <w:szCs w:val="24"/>
                <w:lang w:val="it-IT" w:eastAsia="it-IT"/>
              </w:rPr>
              <w:t>5.6.</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Letti RAMI</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_Toc183013501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11</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502" w:history="1">
            <w:r w:rsidR="00C92BF5" w:rsidRPr="00C92BF5">
              <w:rPr>
                <w:rStyle w:val="Collegamentoipertestuale"/>
                <w:rFonts w:asciiTheme="minorHAnsi" w:eastAsia="Arial" w:hAnsiTheme="minorHAnsi" w:cstheme="minorHAnsi"/>
                <w:bCs/>
                <w:noProof/>
                <w:sz w:val="24"/>
                <w:szCs w:val="24"/>
              </w:rPr>
              <w:t>5.7.</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Finanze</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_Toc183013502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11</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2"/>
            <w:rPr>
              <w:rFonts w:asciiTheme="minorHAnsi" w:eastAsiaTheme="minorEastAsia" w:hAnsiTheme="minorHAnsi" w:cstheme="minorHAnsi"/>
              <w:noProof/>
              <w:sz w:val="24"/>
              <w:szCs w:val="24"/>
              <w:lang w:eastAsia="it-CH"/>
            </w:rPr>
          </w:pPr>
          <w:hyperlink w:anchor="_Toc183013503" w:history="1">
            <w:r w:rsidR="00C92BF5" w:rsidRPr="00C92BF5">
              <w:rPr>
                <w:rStyle w:val="Collegamentoipertestuale"/>
                <w:rFonts w:asciiTheme="minorHAnsi" w:eastAsia="Calibri" w:hAnsiTheme="minorHAnsi" w:cstheme="minorHAnsi"/>
                <w:noProof/>
                <w:sz w:val="24"/>
                <w:szCs w:val="24"/>
                <w:lang w:val="it-IT" w:eastAsia="it-IT"/>
              </w:rPr>
              <w:t>5.8.</w:t>
            </w:r>
            <w:r w:rsidR="00C92BF5" w:rsidRPr="00C92BF5">
              <w:rPr>
                <w:rFonts w:asciiTheme="minorHAnsi" w:eastAsiaTheme="minorEastAsia" w:hAnsiTheme="minorHAnsi" w:cstheme="minorHAnsi"/>
                <w:noProof/>
                <w:sz w:val="24"/>
                <w:szCs w:val="24"/>
                <w:lang w:eastAsia="it-CH"/>
              </w:rPr>
              <w:tab/>
            </w:r>
            <w:r w:rsidR="00C92BF5" w:rsidRPr="00C92BF5">
              <w:rPr>
                <w:rStyle w:val="Collegamentoipertestuale"/>
                <w:rFonts w:asciiTheme="minorHAnsi" w:eastAsia="Calibri" w:hAnsiTheme="minorHAnsi" w:cstheme="minorHAnsi"/>
                <w:noProof/>
                <w:sz w:val="24"/>
                <w:szCs w:val="24"/>
                <w:lang w:val="it-IT" w:eastAsia="it-IT"/>
              </w:rPr>
              <w:t>Prospettive</w:t>
            </w:r>
            <w:r w:rsidR="00C92BF5" w:rsidRPr="00C92BF5">
              <w:rPr>
                <w:rFonts w:asciiTheme="minorHAnsi" w:hAnsiTheme="minorHAnsi" w:cstheme="minorHAnsi"/>
                <w:noProof/>
                <w:webHidden/>
                <w:sz w:val="24"/>
                <w:szCs w:val="24"/>
              </w:rPr>
              <w:tab/>
            </w:r>
            <w:r w:rsidR="00C92BF5" w:rsidRPr="00C92BF5">
              <w:rPr>
                <w:rFonts w:asciiTheme="minorHAnsi" w:hAnsiTheme="minorHAnsi" w:cstheme="minorHAnsi"/>
                <w:noProof/>
                <w:webHidden/>
                <w:sz w:val="24"/>
                <w:szCs w:val="24"/>
              </w:rPr>
              <w:fldChar w:fldCharType="begin"/>
            </w:r>
            <w:r w:rsidR="00C92BF5" w:rsidRPr="00C92BF5">
              <w:rPr>
                <w:rFonts w:asciiTheme="minorHAnsi" w:hAnsiTheme="minorHAnsi" w:cstheme="minorHAnsi"/>
                <w:noProof/>
                <w:webHidden/>
                <w:sz w:val="24"/>
                <w:szCs w:val="24"/>
              </w:rPr>
              <w:instrText xml:space="preserve"> PAGEREF _Toc183013503 \h </w:instrText>
            </w:r>
            <w:r w:rsidR="00C92BF5" w:rsidRPr="00C92BF5">
              <w:rPr>
                <w:rFonts w:asciiTheme="minorHAnsi" w:hAnsiTheme="minorHAnsi" w:cstheme="minorHAnsi"/>
                <w:noProof/>
                <w:webHidden/>
                <w:sz w:val="24"/>
                <w:szCs w:val="24"/>
              </w:rPr>
            </w:r>
            <w:r w:rsidR="00C92BF5" w:rsidRPr="00C92BF5">
              <w:rPr>
                <w:rFonts w:asciiTheme="minorHAnsi" w:hAnsiTheme="minorHAnsi" w:cstheme="minorHAnsi"/>
                <w:noProof/>
                <w:webHidden/>
                <w:sz w:val="24"/>
                <w:szCs w:val="24"/>
              </w:rPr>
              <w:fldChar w:fldCharType="separate"/>
            </w:r>
            <w:r w:rsidR="00E05066">
              <w:rPr>
                <w:rFonts w:asciiTheme="minorHAnsi" w:hAnsiTheme="minorHAnsi" w:cstheme="minorHAnsi"/>
                <w:noProof/>
                <w:webHidden/>
                <w:sz w:val="24"/>
                <w:szCs w:val="24"/>
              </w:rPr>
              <w:t>12</w:t>
            </w:r>
            <w:r w:rsidR="00C92BF5" w:rsidRPr="00C92BF5">
              <w:rPr>
                <w:rFonts w:asciiTheme="minorHAnsi" w:hAnsiTheme="minorHAnsi" w:cstheme="minorHAnsi"/>
                <w:noProof/>
                <w:webHidden/>
                <w:sz w:val="24"/>
                <w:szCs w:val="24"/>
              </w:rPr>
              <w:fldChar w:fldCharType="end"/>
            </w:r>
          </w:hyperlink>
        </w:p>
        <w:p w:rsidR="00C92BF5" w:rsidRPr="00C92BF5" w:rsidRDefault="00DC4A3C">
          <w:pPr>
            <w:pStyle w:val="Sommario1"/>
            <w:rPr>
              <w:rFonts w:asciiTheme="minorHAnsi" w:eastAsiaTheme="minorEastAsia" w:hAnsiTheme="minorHAnsi" w:cstheme="minorHAnsi"/>
              <w:b w:val="0"/>
              <w:noProof/>
              <w:sz w:val="24"/>
              <w:szCs w:val="24"/>
              <w:lang w:eastAsia="it-CH"/>
            </w:rPr>
          </w:pPr>
          <w:hyperlink w:anchor="_Toc183013504" w:history="1">
            <w:r w:rsidR="00C92BF5" w:rsidRPr="00C92BF5">
              <w:rPr>
                <w:rStyle w:val="Collegamentoipertestuale"/>
                <w:rFonts w:asciiTheme="minorHAnsi" w:eastAsia="Arial" w:hAnsiTheme="minorHAnsi" w:cstheme="minorHAnsi"/>
                <w:b w:val="0"/>
                <w:bCs/>
                <w:noProof/>
                <w:sz w:val="24"/>
                <w:szCs w:val="24"/>
              </w:rPr>
              <w:t>6.</w:t>
            </w:r>
            <w:r w:rsidR="00C92BF5" w:rsidRPr="00C92BF5">
              <w:rPr>
                <w:rFonts w:asciiTheme="minorHAnsi" w:eastAsiaTheme="minorEastAsia" w:hAnsiTheme="minorHAnsi" w:cstheme="minorHAnsi"/>
                <w:b w:val="0"/>
                <w:noProof/>
                <w:sz w:val="24"/>
                <w:szCs w:val="24"/>
                <w:lang w:eastAsia="it-CH"/>
              </w:rPr>
              <w:tab/>
            </w:r>
            <w:r w:rsidR="00C92BF5" w:rsidRPr="00C92BF5">
              <w:rPr>
                <w:rStyle w:val="Collegamentoipertestuale"/>
                <w:rFonts w:asciiTheme="minorHAnsi" w:eastAsia="Calibri" w:hAnsiTheme="minorHAnsi" w:cstheme="minorHAnsi"/>
                <w:b w:val="0"/>
                <w:caps/>
                <w:noProof/>
                <w:sz w:val="24"/>
                <w:szCs w:val="24"/>
                <w:lang w:val="it-IT" w:eastAsia="it-IT"/>
              </w:rPr>
              <w:t>Conclusioni</w:t>
            </w:r>
            <w:r w:rsidR="00C92BF5" w:rsidRPr="00C92BF5">
              <w:rPr>
                <w:rFonts w:asciiTheme="minorHAnsi" w:hAnsiTheme="minorHAnsi" w:cstheme="minorHAnsi"/>
                <w:b w:val="0"/>
                <w:noProof/>
                <w:webHidden/>
                <w:sz w:val="24"/>
                <w:szCs w:val="24"/>
              </w:rPr>
              <w:tab/>
            </w:r>
            <w:r w:rsidR="00C92BF5" w:rsidRPr="00C92BF5">
              <w:rPr>
                <w:rFonts w:asciiTheme="minorHAnsi" w:hAnsiTheme="minorHAnsi" w:cstheme="minorHAnsi"/>
                <w:b w:val="0"/>
                <w:noProof/>
                <w:webHidden/>
                <w:sz w:val="24"/>
                <w:szCs w:val="24"/>
              </w:rPr>
              <w:fldChar w:fldCharType="begin"/>
            </w:r>
            <w:r w:rsidR="00C92BF5" w:rsidRPr="00C92BF5">
              <w:rPr>
                <w:rFonts w:asciiTheme="minorHAnsi" w:hAnsiTheme="minorHAnsi" w:cstheme="minorHAnsi"/>
                <w:b w:val="0"/>
                <w:noProof/>
                <w:webHidden/>
                <w:sz w:val="24"/>
                <w:szCs w:val="24"/>
              </w:rPr>
              <w:instrText xml:space="preserve"> PAGEREF _Toc183013504 \h </w:instrText>
            </w:r>
            <w:r w:rsidR="00C92BF5" w:rsidRPr="00C92BF5">
              <w:rPr>
                <w:rFonts w:asciiTheme="minorHAnsi" w:hAnsiTheme="minorHAnsi" w:cstheme="minorHAnsi"/>
                <w:b w:val="0"/>
                <w:noProof/>
                <w:webHidden/>
                <w:sz w:val="24"/>
                <w:szCs w:val="24"/>
              </w:rPr>
            </w:r>
            <w:r w:rsidR="00C92BF5" w:rsidRPr="00C92BF5">
              <w:rPr>
                <w:rFonts w:asciiTheme="minorHAnsi" w:hAnsiTheme="minorHAnsi" w:cstheme="minorHAnsi"/>
                <w:b w:val="0"/>
                <w:noProof/>
                <w:webHidden/>
                <w:sz w:val="24"/>
                <w:szCs w:val="24"/>
              </w:rPr>
              <w:fldChar w:fldCharType="separate"/>
            </w:r>
            <w:r w:rsidR="00E05066">
              <w:rPr>
                <w:rFonts w:asciiTheme="minorHAnsi" w:hAnsiTheme="minorHAnsi" w:cstheme="minorHAnsi"/>
                <w:b w:val="0"/>
                <w:noProof/>
                <w:webHidden/>
                <w:sz w:val="24"/>
                <w:szCs w:val="24"/>
              </w:rPr>
              <w:t>15</w:t>
            </w:r>
            <w:r w:rsidR="00C92BF5" w:rsidRPr="00C92BF5">
              <w:rPr>
                <w:rFonts w:asciiTheme="minorHAnsi" w:hAnsiTheme="minorHAnsi" w:cstheme="minorHAnsi"/>
                <w:b w:val="0"/>
                <w:noProof/>
                <w:webHidden/>
                <w:sz w:val="24"/>
                <w:szCs w:val="24"/>
              </w:rPr>
              <w:fldChar w:fldCharType="end"/>
            </w:r>
          </w:hyperlink>
        </w:p>
        <w:p w:rsidR="00C92BF5" w:rsidRDefault="00C92BF5">
          <w:r w:rsidRPr="00C92BF5">
            <w:rPr>
              <w:rFonts w:asciiTheme="minorHAnsi" w:hAnsiTheme="minorHAnsi" w:cstheme="minorHAnsi"/>
              <w:bCs/>
              <w:sz w:val="24"/>
              <w:szCs w:val="24"/>
              <w:lang w:val="it-IT"/>
            </w:rPr>
            <w:fldChar w:fldCharType="end"/>
          </w:r>
        </w:p>
      </w:sdtContent>
    </w:sdt>
    <w:p w:rsidR="00EC0E7E" w:rsidRPr="00EC0E7E" w:rsidRDefault="00EC0E7E" w:rsidP="00EC0E7E">
      <w:pPr>
        <w:rPr>
          <w:rFonts w:eastAsia="Arial" w:cs="Arial"/>
          <w:color w:val="244061"/>
          <w:szCs w:val="24"/>
        </w:rPr>
      </w:pPr>
    </w:p>
    <w:p w:rsidR="00EC0E7E" w:rsidRPr="00EC0E7E" w:rsidRDefault="00EC0E7E" w:rsidP="00EC0E7E">
      <w:pPr>
        <w:rPr>
          <w:rFonts w:eastAsia="Arial" w:cs="Arial"/>
          <w:color w:val="244061"/>
          <w:szCs w:val="24"/>
        </w:rPr>
      </w:pPr>
    </w:p>
    <w:p w:rsidR="00EC0E7E" w:rsidRPr="00EC0E7E" w:rsidRDefault="00EC0E7E" w:rsidP="00EC0E7E">
      <w:pPr>
        <w:rPr>
          <w:rFonts w:eastAsia="Arial" w:cs="Arial"/>
          <w:color w:val="244061"/>
          <w:szCs w:val="24"/>
        </w:rPr>
      </w:pPr>
      <w:r w:rsidRPr="00EC0E7E">
        <w:rPr>
          <w:rFonts w:eastAsia="Arial" w:cs="Arial"/>
          <w:color w:val="244061"/>
          <w:szCs w:val="24"/>
        </w:rPr>
        <w:br w:type="page"/>
      </w:r>
    </w:p>
    <w:p w:rsidR="00EC0E7E" w:rsidRPr="00EC0E7E" w:rsidRDefault="00EC0E7E" w:rsidP="00EC0E7E">
      <w:pPr>
        <w:pStyle w:val="Titolo1"/>
        <w:numPr>
          <w:ilvl w:val="0"/>
          <w:numId w:val="24"/>
        </w:numPr>
        <w:tabs>
          <w:tab w:val="left" w:pos="567"/>
        </w:tabs>
        <w:spacing w:before="0"/>
        <w:ind w:left="567" w:hanging="567"/>
        <w:jc w:val="both"/>
        <w:rPr>
          <w:rFonts w:eastAsia="Calibri" w:cs="Times New Roman"/>
          <w:caps/>
          <w:sz w:val="24"/>
          <w:szCs w:val="24"/>
          <w:lang w:val="it-IT" w:eastAsia="it-IT"/>
        </w:rPr>
      </w:pPr>
      <w:bookmarkStart w:id="0" w:name="_Toc183013489"/>
      <w:r w:rsidRPr="00EC0E7E">
        <w:rPr>
          <w:rFonts w:eastAsia="Calibri" w:cs="Times New Roman"/>
          <w:caps/>
          <w:sz w:val="24"/>
          <w:szCs w:val="24"/>
          <w:lang w:val="it-IT" w:eastAsia="it-IT"/>
        </w:rPr>
        <w:lastRenderedPageBreak/>
        <w:t>Premessa</w:t>
      </w:r>
      <w:bookmarkEnd w:id="0"/>
    </w:p>
    <w:p w:rsidR="00EC0E7E" w:rsidRPr="00EC0E7E" w:rsidRDefault="00EC0E7E" w:rsidP="00EC0E7E">
      <w:pPr>
        <w:spacing w:before="120"/>
        <w:rPr>
          <w:rFonts w:eastAsia="Arial" w:cs="Arial"/>
          <w:sz w:val="24"/>
          <w:szCs w:val="24"/>
        </w:rPr>
      </w:pPr>
      <w:r w:rsidRPr="00EC0E7E">
        <w:rPr>
          <w:rFonts w:eastAsia="Arial" w:cs="Arial"/>
          <w:sz w:val="24"/>
          <w:szCs w:val="24"/>
        </w:rPr>
        <w:t>La Commissione sanità e sicurezza sociale (CSSS) ha redatto un rapporto relativo alla Pianificazione ospedaliera presentata dal Consiglio di Stato con il Messaggio 8259 del 22 marzo 2023.</w:t>
      </w:r>
    </w:p>
    <w:p w:rsidR="00EC0E7E" w:rsidRPr="00EC0E7E" w:rsidRDefault="00EC0E7E" w:rsidP="00EC0E7E">
      <w:pPr>
        <w:rPr>
          <w:rFonts w:eastAsia="Arial" w:cs="Arial"/>
          <w:sz w:val="24"/>
          <w:szCs w:val="24"/>
        </w:rPr>
      </w:pPr>
      <w:r>
        <w:rPr>
          <w:rFonts w:eastAsia="Arial" w:cs="Arial"/>
          <w:sz w:val="24"/>
          <w:szCs w:val="24"/>
        </w:rPr>
        <w:t>La Commissione gestione e f</w:t>
      </w:r>
      <w:r w:rsidRPr="00EC0E7E">
        <w:rPr>
          <w:rFonts w:eastAsia="Arial" w:cs="Arial"/>
          <w:sz w:val="24"/>
          <w:szCs w:val="24"/>
        </w:rPr>
        <w:t xml:space="preserve">inanze CGF) ne ha preso atto in data 10 ottobre 2024 e deve fornire il proprio preavviso in base a </w:t>
      </w:r>
    </w:p>
    <w:p w:rsidR="00EC0E7E" w:rsidRPr="00EC0E7E" w:rsidRDefault="00EC0E7E" w:rsidP="00EC0E7E">
      <w:pPr>
        <w:shd w:val="clear" w:color="auto" w:fill="FFFFFF"/>
        <w:ind w:right="187"/>
        <w:jc w:val="left"/>
        <w:rPr>
          <w:rFonts w:eastAsia="Times New Roman" w:cs="Arial"/>
          <w:bCs/>
          <w:color w:val="000000"/>
          <w:sz w:val="24"/>
          <w:szCs w:val="24"/>
          <w:lang w:eastAsia="it-CH"/>
        </w:rPr>
      </w:pPr>
    </w:p>
    <w:p w:rsidR="00EC0E7E" w:rsidRPr="00EC0E7E" w:rsidRDefault="00EC0E7E" w:rsidP="00EC0E7E">
      <w:pPr>
        <w:shd w:val="clear" w:color="auto" w:fill="FFFFFF"/>
        <w:ind w:right="187"/>
        <w:jc w:val="left"/>
        <w:rPr>
          <w:rFonts w:eastAsia="Times New Roman" w:cs="Arial"/>
          <w:color w:val="000000"/>
          <w:sz w:val="24"/>
          <w:szCs w:val="24"/>
          <w:lang w:eastAsia="it-CH"/>
        </w:rPr>
      </w:pPr>
      <w:r w:rsidRPr="00EC0E7E">
        <w:rPr>
          <w:rFonts w:eastAsia="Times New Roman" w:cs="Arial"/>
          <w:bCs/>
          <w:color w:val="000000"/>
          <w:sz w:val="24"/>
          <w:szCs w:val="24"/>
          <w:lang w:eastAsia="it-CH"/>
        </w:rPr>
        <w:t xml:space="preserve">Legge sul Gran Consiglio e sui rapporti con il Consiglio di Stato (LGC), </w:t>
      </w:r>
      <w:r w:rsidRPr="00EC0E7E">
        <w:rPr>
          <w:rFonts w:eastAsia="Times New Roman" w:cs="Arial"/>
          <w:sz w:val="24"/>
          <w:szCs w:val="24"/>
          <w:lang w:eastAsia="it-CH"/>
        </w:rPr>
        <w:t>art 24</w:t>
      </w:r>
    </w:p>
    <w:p w:rsidR="00EC0E7E" w:rsidRPr="00EC0E7E" w:rsidRDefault="00EC0E7E" w:rsidP="00EC0E7E">
      <w:pPr>
        <w:shd w:val="clear" w:color="auto" w:fill="FFFFFF"/>
        <w:ind w:right="187"/>
        <w:rPr>
          <w:rFonts w:eastAsia="Arial" w:cs="Arial"/>
          <w:bCs/>
          <w:color w:val="000000"/>
          <w:sz w:val="20"/>
          <w:szCs w:val="20"/>
          <w:lang w:eastAsia="it-CH"/>
        </w:rPr>
      </w:pPr>
      <w:bookmarkStart w:id="1" w:name="_Toc28145957"/>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 xml:space="preserve">Commissione </w:t>
      </w:r>
      <w:bookmarkEnd w:id="1"/>
      <w:r w:rsidRPr="00EC0E7E">
        <w:rPr>
          <w:rFonts w:eastAsia="Arial" w:cs="Arial"/>
          <w:bCs/>
          <w:color w:val="000000"/>
          <w:lang w:eastAsia="it-CH"/>
        </w:rPr>
        <w:t>gestione e finanze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Art. 24</w:t>
      </w:r>
      <w:bookmarkStart w:id="2" w:name="_ftnref12"/>
      <w:bookmarkEnd w:id="2"/>
      <w:r w:rsidRPr="00EC0E7E">
        <w:rPr>
          <w:rFonts w:eastAsia="Arial" w:cs="Arial"/>
          <w:color w:val="000000"/>
          <w:lang w:eastAsia="it-CH"/>
        </w:rPr>
        <w:fldChar w:fldCharType="begin"/>
      </w:r>
      <w:r w:rsidRPr="00EC0E7E">
        <w:rPr>
          <w:rFonts w:eastAsia="Arial" w:cs="Arial"/>
          <w:color w:val="000000"/>
          <w:lang w:eastAsia="it-CH"/>
        </w:rPr>
        <w:instrText xml:space="preserve"> HYPERLINK "https://www3.ti.ch/CAN/RLeggi/public/index.php/raccolta-leggi/legge/num/93" \l "_ftn12" </w:instrText>
      </w:r>
      <w:r w:rsidRPr="00EC0E7E">
        <w:rPr>
          <w:rFonts w:eastAsia="Arial" w:cs="Arial"/>
          <w:color w:val="000000"/>
          <w:lang w:eastAsia="it-CH"/>
        </w:rPr>
        <w:fldChar w:fldCharType="separate"/>
      </w:r>
      <w:r w:rsidRPr="00EC0E7E">
        <w:rPr>
          <w:rFonts w:eastAsia="Arial" w:cs="Arial"/>
          <w:color w:val="000000"/>
          <w:u w:val="single"/>
          <w:vertAlign w:val="superscript"/>
          <w:lang w:eastAsia="it-CH"/>
        </w:rPr>
        <w:t>[12]</w:t>
      </w:r>
      <w:r w:rsidRPr="00EC0E7E">
        <w:rPr>
          <w:rFonts w:eastAsia="Arial" w:cs="Arial"/>
          <w:color w:val="000000"/>
          <w:lang w:eastAsia="it-CH"/>
        </w:rPr>
        <w:fldChar w:fldCharType="end"/>
      </w:r>
      <w:r w:rsidRPr="00EC0E7E">
        <w:rPr>
          <w:rFonts w:eastAsia="Arial" w:cs="Arial"/>
          <w:color w:val="000000"/>
          <w:position w:val="4"/>
          <w:lang w:eastAsia="it-CH"/>
        </w:rPr>
        <w:t>1</w:t>
      </w:r>
      <w:r w:rsidRPr="00EC0E7E">
        <w:rPr>
          <w:rFonts w:eastAsia="Arial" w:cs="Arial"/>
          <w:color w:val="000000"/>
          <w:lang w:eastAsia="it-CH"/>
        </w:rPr>
        <w:t xml:space="preserve">La Commissione gestione e finanze </w:t>
      </w:r>
      <w:r w:rsidRPr="00EC0E7E">
        <w:rPr>
          <w:rFonts w:eastAsia="Arial" w:cs="Arial"/>
          <w:bCs/>
          <w:color w:val="000000"/>
          <w:lang w:eastAsia="it-CH"/>
        </w:rPr>
        <w:t>esamina e preavvisa</w:t>
      </w:r>
      <w:r w:rsidRPr="00EC0E7E">
        <w:rPr>
          <w:rFonts w:eastAsia="Arial" w:cs="Arial"/>
          <w:color w:val="000000"/>
          <w:lang w:eastAsia="it-CH"/>
        </w:rPr>
        <w:t>:</w:t>
      </w:r>
    </w:p>
    <w:p w:rsidR="00EC0E7E" w:rsidRPr="00EC0E7E" w:rsidRDefault="00EC0E7E" w:rsidP="00EC0E7E">
      <w:pPr>
        <w:shd w:val="clear" w:color="auto" w:fill="FFFFFF"/>
        <w:ind w:left="1134" w:right="187" w:hanging="414"/>
        <w:rPr>
          <w:rFonts w:eastAsia="Arial" w:cs="Arial"/>
          <w:color w:val="000000"/>
          <w:lang w:eastAsia="it-CH"/>
        </w:rPr>
      </w:pPr>
      <w:r w:rsidRPr="00EC0E7E">
        <w:rPr>
          <w:rFonts w:eastAsia="Arial" w:cs="Arial"/>
          <w:color w:val="000000"/>
          <w:lang w:eastAsia="it-CH"/>
        </w:rPr>
        <w:t xml:space="preserve">a)il rapporto sugli </w:t>
      </w:r>
      <w:r w:rsidRPr="00EC0E7E">
        <w:rPr>
          <w:rFonts w:eastAsia="Arial" w:cs="Arial"/>
          <w:bCs/>
          <w:color w:val="000000"/>
          <w:lang w:eastAsia="it-CH"/>
        </w:rPr>
        <w:t>indirizzi</w:t>
      </w:r>
      <w:r w:rsidRPr="00EC0E7E">
        <w:rPr>
          <w:rFonts w:eastAsia="Arial" w:cs="Arial"/>
          <w:color w:val="000000"/>
          <w:lang w:eastAsia="it-CH"/>
        </w:rPr>
        <w:t xml:space="preserve"> di sviluppo socio-economico, di politica finanziaria e di organizzazione del territorio;</w:t>
      </w:r>
    </w:p>
    <w:p w:rsidR="00EC0E7E" w:rsidRPr="00EC0E7E" w:rsidRDefault="00EC0E7E" w:rsidP="00EC0E7E">
      <w:pPr>
        <w:shd w:val="clear" w:color="auto" w:fill="FFFFFF"/>
        <w:ind w:left="1134" w:right="187" w:hanging="414"/>
        <w:rPr>
          <w:rFonts w:eastAsia="Arial" w:cs="Arial"/>
          <w:color w:val="000000"/>
          <w:lang w:eastAsia="it-CH"/>
        </w:rPr>
      </w:pPr>
      <w:r w:rsidRPr="00EC0E7E">
        <w:rPr>
          <w:rFonts w:eastAsia="Arial" w:cs="Arial"/>
          <w:color w:val="000000"/>
          <w:lang w:eastAsia="it-CH"/>
        </w:rPr>
        <w:t>…</w:t>
      </w:r>
    </w:p>
    <w:p w:rsidR="00EC0E7E" w:rsidRPr="00EC0E7E" w:rsidRDefault="00EC0E7E" w:rsidP="00EC0E7E">
      <w:pPr>
        <w:shd w:val="clear" w:color="auto" w:fill="FFFFFF"/>
        <w:ind w:left="1134" w:right="187" w:hanging="414"/>
        <w:rPr>
          <w:rFonts w:eastAsia="Arial" w:cs="Arial"/>
        </w:rPr>
      </w:pPr>
      <w:r w:rsidRPr="00EC0E7E">
        <w:rPr>
          <w:rFonts w:eastAsia="Arial" w:cs="Arial"/>
          <w:color w:val="000000"/>
          <w:position w:val="4"/>
          <w:shd w:val="clear" w:color="auto" w:fill="FFFFFF"/>
        </w:rPr>
        <w:t>4</w:t>
      </w:r>
      <w:r w:rsidRPr="00EC0E7E">
        <w:rPr>
          <w:rFonts w:eastAsia="Arial" w:cs="Arial"/>
          <w:color w:val="000000"/>
          <w:shd w:val="clear" w:color="auto" w:fill="FFFFFF"/>
        </w:rPr>
        <w:t xml:space="preserve">La Commissione gestione e finanze ha facoltà di </w:t>
      </w:r>
      <w:r w:rsidRPr="00EC0E7E">
        <w:rPr>
          <w:rFonts w:eastAsia="Arial" w:cs="Arial"/>
          <w:bCs/>
          <w:color w:val="000000"/>
          <w:shd w:val="clear" w:color="auto" w:fill="FFFFFF"/>
        </w:rPr>
        <w:t>formulare un preavviso sull’impatto finanziario</w:t>
      </w:r>
      <w:r w:rsidRPr="00EC0E7E">
        <w:rPr>
          <w:rFonts w:eastAsia="Arial" w:cs="Arial"/>
          <w:color w:val="000000"/>
          <w:shd w:val="clear" w:color="auto" w:fill="FFFFFF"/>
        </w:rPr>
        <w:t xml:space="preserve"> di un oggetto assegnato ad altra Commissione. Il preavviso dev’essere allegato al rapporto commissionale.</w:t>
      </w:r>
    </w:p>
    <w:p w:rsidR="00EC0E7E" w:rsidRPr="00EC0E7E" w:rsidRDefault="00EC0E7E" w:rsidP="00EC0E7E">
      <w:pPr>
        <w:rPr>
          <w:rFonts w:eastAsia="Arial" w:cs="Arial"/>
          <w:szCs w:val="24"/>
        </w:rPr>
      </w:pPr>
    </w:p>
    <w:p w:rsidR="00EC0E7E" w:rsidRDefault="00EC0E7E" w:rsidP="00EC0E7E">
      <w:pPr>
        <w:rPr>
          <w:rFonts w:eastAsia="Arial" w:cs="Arial"/>
          <w:szCs w:val="24"/>
        </w:rPr>
      </w:pPr>
    </w:p>
    <w:p w:rsidR="002C065C" w:rsidRPr="00EC0E7E" w:rsidRDefault="002C065C" w:rsidP="00EC0E7E">
      <w:pPr>
        <w:rPr>
          <w:rFonts w:eastAsia="Arial" w:cs="Arial"/>
          <w:szCs w:val="24"/>
        </w:rPr>
      </w:pPr>
    </w:p>
    <w:p w:rsidR="00EC0E7E" w:rsidRPr="00EC0E7E" w:rsidRDefault="00EC0E7E" w:rsidP="00EC0E7E">
      <w:pPr>
        <w:pStyle w:val="Titolo1"/>
        <w:numPr>
          <w:ilvl w:val="0"/>
          <w:numId w:val="24"/>
        </w:numPr>
        <w:tabs>
          <w:tab w:val="left" w:pos="567"/>
        </w:tabs>
        <w:spacing w:before="0"/>
        <w:ind w:left="567" w:hanging="567"/>
        <w:jc w:val="both"/>
        <w:rPr>
          <w:rFonts w:eastAsia="Calibri" w:cs="Times New Roman"/>
          <w:caps/>
          <w:sz w:val="24"/>
          <w:szCs w:val="24"/>
          <w:lang w:val="it-IT" w:eastAsia="it-IT"/>
        </w:rPr>
      </w:pPr>
      <w:bookmarkStart w:id="3" w:name="_Toc183013490"/>
      <w:r w:rsidRPr="00EC0E7E">
        <w:rPr>
          <w:rFonts w:eastAsia="Calibri" w:cs="Times New Roman"/>
          <w:caps/>
          <w:sz w:val="24"/>
          <w:szCs w:val="24"/>
          <w:lang w:val="it-IT" w:eastAsia="it-IT"/>
        </w:rPr>
        <w:t>Il Rapporto della Commissione sanità e sicurezza sociale (CSSS) del 10 ottobre 2024</w:t>
      </w:r>
      <w:bookmarkEnd w:id="3"/>
    </w:p>
    <w:p w:rsidR="00EC0E7E" w:rsidRPr="00EC0E7E" w:rsidRDefault="00EC0E7E" w:rsidP="00EC0E7E">
      <w:pPr>
        <w:contextualSpacing/>
        <w:rPr>
          <w:rFonts w:eastAsia="Arial" w:cs="Arial"/>
          <w:sz w:val="24"/>
          <w:szCs w:val="24"/>
        </w:rPr>
      </w:pPr>
      <w:r w:rsidRPr="00EC0E7E">
        <w:rPr>
          <w:rFonts w:eastAsia="Arial" w:cs="Arial"/>
          <w:sz w:val="24"/>
          <w:szCs w:val="24"/>
        </w:rPr>
        <w:t>La CGF esprime apprezzamento per il grande lavoro svolto da parte della CSSS conclusosi con un rapporto unanime relativo al sempre delicato tema della pianificazione ospedaliera cantonale (POC).</w:t>
      </w:r>
    </w:p>
    <w:p w:rsidR="00EC0E7E" w:rsidRPr="00EC0E7E" w:rsidRDefault="00EC0E7E" w:rsidP="00EC0E7E">
      <w:pPr>
        <w:contextualSpacing/>
        <w:rPr>
          <w:rFonts w:eastAsia="Arial" w:cs="Times New Roman"/>
          <w:i/>
          <w:iCs/>
          <w:sz w:val="24"/>
          <w:szCs w:val="24"/>
          <w:lang w:eastAsia="it-CH"/>
        </w:rPr>
      </w:pPr>
      <w:r w:rsidRPr="00EC0E7E">
        <w:rPr>
          <w:rFonts w:eastAsia="Arial" w:cs="Arial"/>
          <w:sz w:val="24"/>
          <w:szCs w:val="24"/>
        </w:rPr>
        <w:t>Come già detto nelle note introduttive della POC del 2015 “</w:t>
      </w:r>
      <w:r w:rsidRPr="00EC0E7E">
        <w:rPr>
          <w:rFonts w:eastAsia="Arial" w:cs="Times New Roman"/>
          <w:i/>
          <w:iCs/>
          <w:sz w:val="24"/>
          <w:szCs w:val="24"/>
          <w:lang w:eastAsia="it-CH"/>
        </w:rPr>
        <w:t>La pianificazione ospedaliera è un tema estremamente delicato che coinvolge tutta la popolazione e i più variegati interessi socio-economici, economici, politici e personali.</w:t>
      </w:r>
    </w:p>
    <w:p w:rsidR="00EC0E7E" w:rsidRPr="00EC0E7E" w:rsidRDefault="00EC0E7E" w:rsidP="00EC0E7E">
      <w:pPr>
        <w:rPr>
          <w:rFonts w:eastAsia="Arial" w:cs="Times New Roman"/>
          <w:i/>
          <w:iCs/>
          <w:sz w:val="24"/>
          <w:szCs w:val="24"/>
          <w:lang w:eastAsia="it-CH"/>
        </w:rPr>
      </w:pPr>
      <w:r w:rsidRPr="00EC0E7E">
        <w:rPr>
          <w:rFonts w:eastAsia="Arial" w:cs="Times New Roman"/>
          <w:i/>
          <w:iCs/>
          <w:sz w:val="24"/>
          <w:szCs w:val="24"/>
          <w:lang w:eastAsia="it-CH"/>
        </w:rPr>
        <w:t>L’interesse pubblico deve però prevalere ed è pertanto indispensabile che le procedure siano definite con estrema trasparenza e valutate con la maggior oggettività possibile.”</w:t>
      </w:r>
    </w:p>
    <w:p w:rsidR="00EC0E7E" w:rsidRPr="00EC0E7E" w:rsidRDefault="00EC0E7E" w:rsidP="00EC0E7E">
      <w:pPr>
        <w:rPr>
          <w:rFonts w:eastAsia="Arial" w:cs="Times New Roman"/>
          <w:i/>
          <w:iCs/>
          <w:sz w:val="24"/>
          <w:szCs w:val="24"/>
          <w:lang w:eastAsia="it-CH"/>
        </w:rPr>
      </w:pPr>
    </w:p>
    <w:p w:rsidR="00EC0E7E" w:rsidRPr="00EC0E7E" w:rsidRDefault="00EC0E7E" w:rsidP="00EC0E7E">
      <w:pPr>
        <w:contextualSpacing/>
        <w:rPr>
          <w:rFonts w:eastAsia="Arial" w:cs="Arial"/>
          <w:sz w:val="24"/>
          <w:szCs w:val="24"/>
        </w:rPr>
      </w:pPr>
      <w:r w:rsidRPr="00EC0E7E">
        <w:rPr>
          <w:rFonts w:eastAsia="Arial" w:cs="Arial"/>
          <w:sz w:val="24"/>
          <w:szCs w:val="24"/>
        </w:rPr>
        <w:t>Il Gran Consiglio ha approvato l’attuale pianificazione ospedaliera nel 2015 che è entrata in vigore pur con l’eccezione di alcuni istituti che l’anno impugnata con esito positivo di fronte al Tribunale amministrativo federale. Importante sottolineare come la sentenza del TAF del 2019 abbia di fatto provocato una disparità di trattamento tra le ricorrenti clinica Moncucco e clinica Santa Chiara, ora riunite nel Gruppo ospedaliero Moncucco, che sono state di fatto liberate dalla POC del 2015 e gli altri attori che invece, non avendo ricorso, sono rimasti soggetti alla decisione di allora.</w:t>
      </w:r>
    </w:p>
    <w:p w:rsidR="00EC0E7E" w:rsidRPr="00EC0E7E" w:rsidRDefault="00EC0E7E" w:rsidP="00EC0E7E">
      <w:pPr>
        <w:contextualSpacing/>
        <w:rPr>
          <w:rFonts w:eastAsia="Arial" w:cs="Arial"/>
          <w:sz w:val="24"/>
          <w:szCs w:val="24"/>
        </w:rPr>
      </w:pPr>
      <w:r w:rsidRPr="00EC0E7E">
        <w:rPr>
          <w:rFonts w:eastAsia="Arial" w:cs="Arial"/>
          <w:sz w:val="24"/>
          <w:szCs w:val="24"/>
        </w:rPr>
        <w:t xml:space="preserve">In altri cantoni, trovatisi in situazioni simili, la POC era stata annullata e ripresentata con le correzioni del caso dopo un paio di anni. Peccato che in Ticino siano stati necessari 5 anni. </w:t>
      </w:r>
    </w:p>
    <w:p w:rsidR="00EC0E7E" w:rsidRPr="00EC0E7E" w:rsidRDefault="00EC0E7E" w:rsidP="00EC0E7E">
      <w:pPr>
        <w:contextualSpacing/>
        <w:rPr>
          <w:rFonts w:eastAsia="Arial" w:cs="Arial"/>
          <w:szCs w:val="24"/>
        </w:rPr>
      </w:pPr>
    </w:p>
    <w:p w:rsidR="00EC0E7E" w:rsidRDefault="00EC0E7E" w:rsidP="00EC0E7E">
      <w:pPr>
        <w:contextualSpacing/>
        <w:rPr>
          <w:rFonts w:eastAsia="Arial" w:cs="Arial"/>
          <w:szCs w:val="24"/>
        </w:rPr>
      </w:pPr>
    </w:p>
    <w:p w:rsidR="002C065C" w:rsidRDefault="002C065C">
      <w:pPr>
        <w:rPr>
          <w:rFonts w:eastAsia="Arial" w:cs="Arial"/>
          <w:szCs w:val="24"/>
        </w:rPr>
      </w:pPr>
      <w:r>
        <w:rPr>
          <w:rFonts w:eastAsia="Arial" w:cs="Arial"/>
          <w:szCs w:val="24"/>
        </w:rPr>
        <w:br w:type="page"/>
      </w:r>
    </w:p>
    <w:p w:rsidR="00EC0E7E" w:rsidRPr="00EC0E7E" w:rsidRDefault="00EC0E7E" w:rsidP="00EC0E7E">
      <w:pPr>
        <w:pStyle w:val="Titolo1"/>
        <w:numPr>
          <w:ilvl w:val="0"/>
          <w:numId w:val="24"/>
        </w:numPr>
        <w:tabs>
          <w:tab w:val="left" w:pos="567"/>
        </w:tabs>
        <w:spacing w:before="0"/>
        <w:ind w:left="567" w:hanging="567"/>
        <w:jc w:val="both"/>
        <w:rPr>
          <w:rFonts w:eastAsia="Calibri" w:cs="Times New Roman"/>
          <w:caps/>
          <w:sz w:val="24"/>
          <w:szCs w:val="24"/>
          <w:lang w:val="it-IT" w:eastAsia="it-IT"/>
        </w:rPr>
      </w:pPr>
      <w:bookmarkStart w:id="4" w:name="_Toc183013491"/>
      <w:r w:rsidRPr="00EC0E7E">
        <w:rPr>
          <w:rFonts w:eastAsia="Calibri" w:cs="Times New Roman"/>
          <w:caps/>
          <w:sz w:val="24"/>
          <w:szCs w:val="24"/>
          <w:lang w:val="it-IT" w:eastAsia="it-IT"/>
        </w:rPr>
        <w:lastRenderedPageBreak/>
        <w:t>Basi legali</w:t>
      </w:r>
      <w:bookmarkEnd w:id="4"/>
      <w:r w:rsidRPr="00EC0E7E">
        <w:rPr>
          <w:rFonts w:eastAsia="Calibri" w:cs="Times New Roman"/>
          <w:caps/>
          <w:sz w:val="24"/>
          <w:szCs w:val="24"/>
          <w:lang w:val="it-IT" w:eastAsia="it-IT"/>
        </w:rPr>
        <w:t xml:space="preserve"> </w:t>
      </w:r>
    </w:p>
    <w:p w:rsidR="00EC0E7E" w:rsidRPr="00EC0E7E" w:rsidRDefault="00EC0E7E" w:rsidP="00EC0E7E">
      <w:pPr>
        <w:rPr>
          <w:rFonts w:eastAsia="Arial" w:cs="Arial"/>
          <w:sz w:val="24"/>
          <w:szCs w:val="24"/>
        </w:rPr>
      </w:pPr>
      <w:r w:rsidRPr="00EC0E7E">
        <w:rPr>
          <w:rFonts w:eastAsia="Arial" w:cs="Arial"/>
          <w:sz w:val="24"/>
          <w:szCs w:val="24"/>
        </w:rPr>
        <w:t>Ogni riflessione e discussione sulla pianificazione ospedaliera non può fare astrazione da un quadro giuridico molto denso e non sempre scontato.</w:t>
      </w:r>
    </w:p>
    <w:p w:rsidR="00EC0E7E" w:rsidRPr="00EC0E7E" w:rsidRDefault="00EC0E7E" w:rsidP="00EC0E7E">
      <w:pPr>
        <w:rPr>
          <w:rFonts w:eastAsia="Arial" w:cs="Arial"/>
          <w:sz w:val="24"/>
          <w:szCs w:val="24"/>
        </w:rPr>
      </w:pPr>
    </w:p>
    <w:p w:rsidR="00EC0E7E" w:rsidRPr="00EC0E7E" w:rsidRDefault="00EC0E7E" w:rsidP="00EC0E7E">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5" w:name="_Toc183013492"/>
      <w:r w:rsidRPr="00EC0E7E">
        <w:rPr>
          <w:rFonts w:eastAsia="Calibri" w:cs="Times New Roman"/>
          <w:sz w:val="24"/>
          <w:lang w:val="it-IT" w:eastAsia="it-IT"/>
        </w:rPr>
        <w:t>Cantone</w:t>
      </w:r>
      <w:bookmarkEnd w:id="5"/>
    </w:p>
    <w:p w:rsidR="00EC0E7E" w:rsidRPr="00EC0E7E" w:rsidRDefault="00EC0E7E" w:rsidP="00EC0E7E">
      <w:pPr>
        <w:contextualSpacing/>
        <w:rPr>
          <w:rFonts w:eastAsia="Arial" w:cs="Arial"/>
          <w:sz w:val="24"/>
          <w:szCs w:val="24"/>
        </w:rPr>
      </w:pPr>
      <w:r w:rsidRPr="00EC0E7E">
        <w:rPr>
          <w:rFonts w:eastAsia="Arial" w:cs="Arial"/>
          <w:sz w:val="24"/>
          <w:szCs w:val="24"/>
        </w:rPr>
        <w:t xml:space="preserve">Le basi legali cantonali che definiscono i criteri da considerare per la pianificazione ospedaliera sono definite nella LCAMAL in base alle norme dell’Ordinanza federale sull’assicurazione malattie (OAMal), agli art. 58a segg. Il legislatore federale sottolinea all’art 58 cpv 4 che nella valutazione degli ospedali il Cantone deve tenere conto in particolare dei criteri </w:t>
      </w:r>
      <w:r w:rsidRPr="00EC0E7E">
        <w:rPr>
          <w:rFonts w:eastAsia="Arial" w:cs="Arial"/>
          <w:bCs/>
          <w:sz w:val="24"/>
          <w:szCs w:val="24"/>
        </w:rPr>
        <w:t>economicità e qualità</w:t>
      </w:r>
      <w:r w:rsidRPr="00EC0E7E">
        <w:rPr>
          <w:rFonts w:eastAsia="Arial" w:cs="Arial"/>
          <w:sz w:val="24"/>
          <w:szCs w:val="24"/>
        </w:rPr>
        <w:t xml:space="preserve"> delle cure, indicatori strettamente correlati con il numero minimo dei casi e la concentrazione delle prestazioni.  </w:t>
      </w:r>
    </w:p>
    <w:p w:rsidR="00EC0E7E" w:rsidRPr="00EC0E7E" w:rsidRDefault="00EC0E7E" w:rsidP="00EC0E7E">
      <w:pPr>
        <w:shd w:val="clear" w:color="auto" w:fill="FFFFFF"/>
        <w:ind w:right="187"/>
        <w:rPr>
          <w:rFonts w:eastAsia="Arial" w:cs="Arial"/>
          <w:bCs/>
          <w:sz w:val="20"/>
          <w:szCs w:val="20"/>
          <w:lang w:eastAsia="it-CH"/>
        </w:rPr>
      </w:pPr>
    </w:p>
    <w:p w:rsidR="00EC0E7E" w:rsidRPr="00EC0E7E" w:rsidRDefault="00DC4A3C" w:rsidP="00EC0E7E">
      <w:pPr>
        <w:shd w:val="clear" w:color="auto" w:fill="FFFFFF"/>
        <w:jc w:val="left"/>
        <w:outlineLvl w:val="5"/>
        <w:rPr>
          <w:rFonts w:eastAsia="Arial" w:cs="Arial"/>
          <w:b/>
          <w:lang w:eastAsia="it-CH"/>
        </w:rPr>
      </w:pPr>
      <w:hyperlink r:id="rId12" w:anchor="art_58_d" w:history="1">
        <w:r w:rsidR="00EC0E7E" w:rsidRPr="00EC0E7E">
          <w:rPr>
            <w:rFonts w:eastAsia="Arial" w:cs="Arial"/>
            <w:b/>
            <w:bCs/>
            <w:lang w:eastAsia="it-CH"/>
          </w:rPr>
          <w:t>Art. 58</w:t>
        </w:r>
        <w:r w:rsidR="00EC0E7E" w:rsidRPr="00EC0E7E">
          <w:rPr>
            <w:rFonts w:eastAsia="Arial" w:cs="Arial"/>
            <w:b/>
            <w:i/>
            <w:iCs/>
            <w:lang w:eastAsia="it-CH"/>
          </w:rPr>
          <w:t>d</w:t>
        </w:r>
      </w:hyperlink>
      <w:r w:rsidR="00EC0E7E" w:rsidRPr="00EC0E7E">
        <w:rPr>
          <w:rFonts w:eastAsia="Arial" w:cs="Arial"/>
          <w:b/>
          <w:lang w:eastAsia="it-CH"/>
        </w:rPr>
        <w:t xml:space="preserve"> </w:t>
      </w:r>
      <w:hyperlink r:id="rId13" w:anchor="fn-d7e5272" w:history="1">
        <w:r w:rsidR="00EC0E7E" w:rsidRPr="00EC0E7E">
          <w:rPr>
            <w:rFonts w:eastAsia="Arial" w:cs="Arial"/>
            <w:b/>
            <w:vertAlign w:val="superscript"/>
            <w:lang w:eastAsia="it-CH"/>
          </w:rPr>
          <w:t>230</w:t>
        </w:r>
      </w:hyperlink>
      <w:r w:rsidR="00EC0E7E" w:rsidRPr="00EC0E7E">
        <w:rPr>
          <w:rFonts w:eastAsia="Arial" w:cs="Arial"/>
          <w:b/>
          <w:vertAlign w:val="superscript"/>
          <w:lang w:eastAsia="it-CH"/>
        </w:rPr>
        <w:t xml:space="preserve"> </w:t>
      </w:r>
      <w:hyperlink r:id="rId14" w:anchor="art_58_d" w:history="1">
        <w:r w:rsidR="00EC0E7E" w:rsidRPr="00EC0E7E">
          <w:rPr>
            <w:rFonts w:eastAsia="Arial" w:cs="Arial"/>
            <w:b/>
            <w:lang w:eastAsia="it-CH"/>
          </w:rPr>
          <w:t>Valutazione dell’</w:t>
        </w:r>
        <w:r w:rsidR="00EC0E7E" w:rsidRPr="00EC0E7E">
          <w:rPr>
            <w:rFonts w:eastAsia="Arial" w:cs="Arial"/>
            <w:b/>
            <w:bCs/>
            <w:lang w:eastAsia="it-CH"/>
          </w:rPr>
          <w:t>economicità e della qualità</w:t>
        </w:r>
      </w:hyperlink>
    </w:p>
    <w:p w:rsidR="00EC0E7E" w:rsidRPr="00EC0E7E" w:rsidRDefault="00EC0E7E" w:rsidP="00EC0E7E">
      <w:pPr>
        <w:shd w:val="clear" w:color="auto" w:fill="FFFFFF"/>
        <w:spacing w:after="165"/>
        <w:jc w:val="left"/>
        <w:rPr>
          <w:rFonts w:eastAsia="Arial" w:cs="Arial"/>
          <w:lang w:eastAsia="it-CH"/>
        </w:rPr>
      </w:pPr>
      <w:r w:rsidRPr="00EC0E7E">
        <w:rPr>
          <w:rFonts w:eastAsia="Arial" w:cs="Arial"/>
          <w:vertAlign w:val="superscript"/>
          <w:lang w:eastAsia="it-CH"/>
        </w:rPr>
        <w:t xml:space="preserve">1 </w:t>
      </w:r>
      <w:r w:rsidRPr="00EC0E7E">
        <w:rPr>
          <w:rFonts w:eastAsia="Arial" w:cs="Arial"/>
          <w:lang w:eastAsia="it-CH"/>
        </w:rPr>
        <w:t>La valutazione dell’economicità degli ospedali e delle case per partorienti è effettuata segnatamente mediante confronti dei costi corretti per il grado di gravità. Per le case di cura l’economicità della fornitura di prestazioni dev’essere presa in considerazione in modo adeguato.</w:t>
      </w:r>
    </w:p>
    <w:p w:rsidR="00EC0E7E" w:rsidRPr="00EC0E7E" w:rsidRDefault="00EC0E7E" w:rsidP="00EC0E7E">
      <w:pPr>
        <w:shd w:val="clear" w:color="auto" w:fill="FFFFFF"/>
        <w:spacing w:after="165"/>
        <w:jc w:val="left"/>
        <w:rPr>
          <w:rFonts w:eastAsia="Arial" w:cs="Arial"/>
          <w:lang w:eastAsia="it-CH"/>
        </w:rPr>
      </w:pPr>
      <w:r w:rsidRPr="00EC0E7E">
        <w:rPr>
          <w:rFonts w:eastAsia="Arial" w:cs="Arial"/>
          <w:vertAlign w:val="superscript"/>
          <w:lang w:eastAsia="it-CH"/>
        </w:rPr>
        <w:t xml:space="preserve">2 </w:t>
      </w:r>
      <w:r w:rsidRPr="00EC0E7E">
        <w:rPr>
          <w:rFonts w:eastAsia="Arial" w:cs="Arial"/>
          <w:lang w:eastAsia="it-CH"/>
        </w:rPr>
        <w:t>Nella valutazione della qualità degli istituti occorre in particolare esaminare se l’insieme dell’istituto adempie le esigenze seguenti:</w:t>
      </w:r>
    </w:p>
    <w:p w:rsidR="00EC0E7E" w:rsidRPr="00EC0E7E" w:rsidRDefault="00EC0E7E" w:rsidP="00EC0E7E">
      <w:pPr>
        <w:numPr>
          <w:ilvl w:val="0"/>
          <w:numId w:val="29"/>
        </w:numPr>
        <w:shd w:val="clear" w:color="auto" w:fill="FFFFFF"/>
        <w:ind w:left="284" w:hanging="284"/>
        <w:contextualSpacing/>
        <w:jc w:val="left"/>
        <w:rPr>
          <w:rFonts w:eastAsia="Arial" w:cs="Arial"/>
          <w:lang w:eastAsia="it-CH"/>
        </w:rPr>
      </w:pPr>
      <w:r w:rsidRPr="00EC0E7E">
        <w:rPr>
          <w:rFonts w:eastAsia="Arial" w:cs="Arial"/>
          <w:lang w:eastAsia="it-CH"/>
        </w:rPr>
        <w:t>disporre del necessario personale qualificato;</w:t>
      </w:r>
    </w:p>
    <w:p w:rsidR="00EC0E7E" w:rsidRPr="00EC0E7E" w:rsidRDefault="00EC0E7E" w:rsidP="00EC0E7E">
      <w:pPr>
        <w:numPr>
          <w:ilvl w:val="0"/>
          <w:numId w:val="29"/>
        </w:numPr>
        <w:shd w:val="clear" w:color="auto" w:fill="FFFFFF"/>
        <w:ind w:left="284" w:hanging="284"/>
        <w:contextualSpacing/>
        <w:jc w:val="left"/>
        <w:rPr>
          <w:rFonts w:eastAsia="Arial" w:cs="Arial"/>
          <w:lang w:eastAsia="it-CH"/>
        </w:rPr>
      </w:pPr>
      <w:r w:rsidRPr="00EC0E7E">
        <w:rPr>
          <w:rFonts w:eastAsia="Arial" w:cs="Arial"/>
          <w:lang w:eastAsia="it-CH"/>
        </w:rPr>
        <w:t>disporre di un adeguato sistema di gestione della qualità;</w:t>
      </w:r>
    </w:p>
    <w:p w:rsidR="00EC0E7E" w:rsidRPr="00EC0E7E" w:rsidRDefault="00EC0E7E" w:rsidP="00EC0E7E">
      <w:pPr>
        <w:numPr>
          <w:ilvl w:val="0"/>
          <w:numId w:val="29"/>
        </w:numPr>
        <w:shd w:val="clear" w:color="auto" w:fill="FFFFFF"/>
        <w:ind w:left="284" w:hanging="284"/>
        <w:contextualSpacing/>
        <w:jc w:val="left"/>
        <w:rPr>
          <w:rFonts w:eastAsia="Arial" w:cs="Arial"/>
          <w:lang w:eastAsia="it-CH"/>
        </w:rPr>
      </w:pPr>
      <w:r w:rsidRPr="00EC0E7E">
        <w:rPr>
          <w:rFonts w:eastAsia="Arial" w:cs="Arial"/>
          <w:lang w:eastAsia="it-CH"/>
        </w:rPr>
        <w:t>disporre di un sistema interno di rapporti e d’apprendimento appropriato e aver aderito a una rete di notifica di eventi indesiderabili uniforme a livello svizzero, per quanto tale rete esista;</w:t>
      </w:r>
    </w:p>
    <w:p w:rsidR="00EC0E7E" w:rsidRPr="00EC0E7E" w:rsidRDefault="00EC0E7E" w:rsidP="00EC0E7E">
      <w:pPr>
        <w:numPr>
          <w:ilvl w:val="0"/>
          <w:numId w:val="29"/>
        </w:numPr>
        <w:shd w:val="clear" w:color="auto" w:fill="FFFFFF"/>
        <w:ind w:left="284" w:hanging="284"/>
        <w:contextualSpacing/>
        <w:jc w:val="left"/>
        <w:rPr>
          <w:rFonts w:eastAsia="Arial" w:cs="Arial"/>
          <w:lang w:eastAsia="it-CH"/>
        </w:rPr>
      </w:pPr>
      <w:r w:rsidRPr="00EC0E7E">
        <w:rPr>
          <w:rFonts w:eastAsia="Arial" w:cs="Arial"/>
          <w:lang w:eastAsia="it-CH"/>
        </w:rPr>
        <w:t>disporre delle attrezzature che consentono di partecipare alle misurazioni nazionali della qualità;</w:t>
      </w:r>
    </w:p>
    <w:p w:rsidR="00EC0E7E" w:rsidRPr="00EC0E7E" w:rsidRDefault="00EC0E7E" w:rsidP="00EC0E7E">
      <w:pPr>
        <w:numPr>
          <w:ilvl w:val="0"/>
          <w:numId w:val="29"/>
        </w:numPr>
        <w:shd w:val="clear" w:color="auto" w:fill="FFFFFF"/>
        <w:ind w:left="284" w:hanging="284"/>
        <w:contextualSpacing/>
        <w:jc w:val="left"/>
        <w:rPr>
          <w:rFonts w:eastAsia="Arial" w:cs="Arial"/>
          <w:lang w:eastAsia="it-CH"/>
        </w:rPr>
      </w:pPr>
      <w:r w:rsidRPr="00EC0E7E">
        <w:rPr>
          <w:rFonts w:eastAsia="Arial" w:cs="Arial"/>
          <w:lang w:eastAsia="it-CH"/>
        </w:rPr>
        <w:t>disporre dell’attrezzatura per garantire la sicurezza delle terapie farmacologiche, in particolare mediante il rilevamento elettronico dei medicamenti prescritti e dispensati.</w:t>
      </w:r>
    </w:p>
    <w:p w:rsidR="00EC0E7E" w:rsidRPr="00EC0E7E" w:rsidRDefault="00EC0E7E" w:rsidP="00EC0E7E">
      <w:pPr>
        <w:shd w:val="clear" w:color="auto" w:fill="FFFFFF"/>
        <w:jc w:val="left"/>
        <w:rPr>
          <w:rFonts w:eastAsia="Arial" w:cs="Arial"/>
          <w:lang w:eastAsia="it-CH"/>
        </w:rPr>
      </w:pPr>
    </w:p>
    <w:p w:rsidR="00EC0E7E" w:rsidRPr="00EC0E7E" w:rsidRDefault="00EC0E7E" w:rsidP="00EC0E7E">
      <w:pPr>
        <w:shd w:val="clear" w:color="auto" w:fill="FFFFFF"/>
        <w:spacing w:after="165"/>
        <w:jc w:val="left"/>
        <w:rPr>
          <w:rFonts w:eastAsia="Arial" w:cs="Arial"/>
          <w:lang w:eastAsia="it-CH"/>
        </w:rPr>
      </w:pPr>
      <w:r w:rsidRPr="00EC0E7E">
        <w:rPr>
          <w:rFonts w:eastAsia="Arial" w:cs="Arial"/>
          <w:vertAlign w:val="superscript"/>
          <w:lang w:eastAsia="it-CH"/>
        </w:rPr>
        <w:t>3</w:t>
      </w:r>
      <w:r w:rsidRPr="00EC0E7E">
        <w:rPr>
          <w:rFonts w:eastAsia="Arial" w:cs="Arial"/>
          <w:lang w:eastAsia="it-CH"/>
        </w:rPr>
        <w:t xml:space="preserve"> I risultati delle misurazioni della qualità condotte su scala nazionale possono essere utilizzati come criteri di selezione degli istituti.</w:t>
      </w:r>
    </w:p>
    <w:p w:rsidR="00EC0E7E" w:rsidRPr="00EC0E7E" w:rsidRDefault="00EC0E7E" w:rsidP="00EC0E7E">
      <w:pPr>
        <w:shd w:val="clear" w:color="auto" w:fill="FFFFFF"/>
        <w:spacing w:after="165"/>
        <w:jc w:val="left"/>
        <w:rPr>
          <w:rFonts w:eastAsia="Arial" w:cs="Arial"/>
          <w:lang w:eastAsia="it-CH"/>
        </w:rPr>
      </w:pPr>
      <w:r w:rsidRPr="00EC0E7E">
        <w:rPr>
          <w:rFonts w:eastAsia="Arial" w:cs="Arial"/>
          <w:vertAlign w:val="superscript"/>
          <w:lang w:eastAsia="it-CH"/>
        </w:rPr>
        <w:t xml:space="preserve">4 </w:t>
      </w:r>
      <w:r w:rsidRPr="00EC0E7E">
        <w:rPr>
          <w:rFonts w:eastAsia="Arial" w:cs="Arial"/>
          <w:lang w:eastAsia="it-CH"/>
        </w:rPr>
        <w:t xml:space="preserve">Nella valutazione degli ospedali occorre in particolare tener conto dello sfruttamento di sinergie, del </w:t>
      </w:r>
      <w:r w:rsidRPr="00EC0E7E">
        <w:rPr>
          <w:rFonts w:eastAsia="Arial" w:cs="Arial"/>
          <w:bCs/>
          <w:lang w:eastAsia="it-CH"/>
        </w:rPr>
        <w:t>numero minimo di casi e del potenziale di concentrazione di prestazioni al fine di rafforzare l’economicità e la qualità delle cure</w:t>
      </w:r>
      <w:r w:rsidRPr="00EC0E7E">
        <w:rPr>
          <w:rFonts w:eastAsia="Arial" w:cs="Arial"/>
          <w:lang w:eastAsia="it-CH"/>
        </w:rPr>
        <w:t>.</w:t>
      </w:r>
    </w:p>
    <w:p w:rsidR="00EC0E7E" w:rsidRPr="00EC0E7E" w:rsidRDefault="00EC0E7E" w:rsidP="00EC0E7E">
      <w:pPr>
        <w:shd w:val="clear" w:color="auto" w:fill="FFFFFF"/>
        <w:spacing w:after="165"/>
        <w:jc w:val="left"/>
        <w:rPr>
          <w:rFonts w:eastAsia="Arial" w:cs="Arial"/>
          <w:lang w:eastAsia="it-CH"/>
        </w:rPr>
      </w:pPr>
      <w:r w:rsidRPr="00EC0E7E">
        <w:rPr>
          <w:rFonts w:eastAsia="Arial" w:cs="Arial"/>
          <w:vertAlign w:val="superscript"/>
          <w:lang w:eastAsia="it-CH"/>
        </w:rPr>
        <w:t xml:space="preserve">5 </w:t>
      </w:r>
      <w:r w:rsidRPr="00EC0E7E">
        <w:rPr>
          <w:rFonts w:eastAsia="Arial" w:cs="Arial"/>
          <w:lang w:eastAsia="it-CH"/>
        </w:rPr>
        <w:t>La valutazione dell’economicità e della qualità può basarsi su valutazioni recenti di altri Cantoni.</w:t>
      </w:r>
    </w:p>
    <w:p w:rsidR="00EC0E7E" w:rsidRPr="00EC0E7E" w:rsidRDefault="00EC0E7E" w:rsidP="00EC0E7E">
      <w:pPr>
        <w:shd w:val="clear" w:color="auto" w:fill="FFFFFF"/>
        <w:ind w:right="187"/>
        <w:rPr>
          <w:rFonts w:eastAsia="Arial" w:cs="Arial"/>
          <w:b/>
          <w:bCs/>
          <w:color w:val="000000"/>
          <w:lang w:eastAsia="it-CH"/>
        </w:rPr>
      </w:pP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 xml:space="preserve">I criteri di pianificazione sono poi tradotti nella LCAMAL a livello cantonale e nello specifico: </w:t>
      </w:r>
    </w:p>
    <w:p w:rsidR="00EC0E7E" w:rsidRPr="00EC0E7E" w:rsidRDefault="00EC0E7E" w:rsidP="00EC0E7E">
      <w:pPr>
        <w:shd w:val="clear" w:color="auto" w:fill="FFFFFF"/>
        <w:ind w:right="187"/>
        <w:rPr>
          <w:rFonts w:eastAsia="Arial" w:cs="Arial"/>
          <w:b/>
          <w:bCs/>
          <w:color w:val="000000"/>
          <w:lang w:eastAsia="it-CH"/>
        </w:rPr>
      </w:pPr>
    </w:p>
    <w:p w:rsidR="00EC0E7E" w:rsidRPr="00EC0E7E" w:rsidRDefault="00EC0E7E" w:rsidP="00EC0E7E">
      <w:pPr>
        <w:shd w:val="clear" w:color="auto" w:fill="FFFFFF"/>
        <w:ind w:right="187"/>
        <w:rPr>
          <w:rFonts w:eastAsia="Arial" w:cs="Arial"/>
          <w:b/>
          <w:bCs/>
          <w:color w:val="000000"/>
          <w:lang w:eastAsia="it-CH"/>
        </w:rPr>
      </w:pPr>
      <w:r w:rsidRPr="00EC0E7E">
        <w:rPr>
          <w:rFonts w:eastAsia="Arial" w:cs="Arial"/>
          <w:b/>
          <w:bCs/>
          <w:color w:val="000000"/>
          <w:lang w:eastAsia="it-CH"/>
        </w:rPr>
        <w:t>E. Criteri di pianificazione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b/>
          <w:bCs/>
          <w:color w:val="000000"/>
          <w:lang w:eastAsia="it-CH"/>
        </w:rPr>
        <w:t>Art. 63d</w:t>
      </w:r>
      <w:bookmarkStart w:id="6" w:name="_ftnref116"/>
      <w:bookmarkEnd w:id="6"/>
      <w:r w:rsidRPr="00EC0E7E">
        <w:rPr>
          <w:rFonts w:eastAsia="Arial" w:cs="Arial"/>
          <w:b/>
          <w:color w:val="000000"/>
          <w:lang w:eastAsia="it-CH"/>
        </w:rPr>
        <w:fldChar w:fldCharType="begin"/>
      </w:r>
      <w:r w:rsidRPr="00EC0E7E">
        <w:rPr>
          <w:rFonts w:eastAsia="Arial" w:cs="Arial"/>
          <w:b/>
          <w:color w:val="000000"/>
          <w:lang w:eastAsia="it-CH"/>
        </w:rPr>
        <w:instrText xml:space="preserve"> HYPERLINK "https://m3.ti.ch/CAN/RLeggi/public/raccolta-leggi/legge/num/370" \l "_ftn116" </w:instrText>
      </w:r>
      <w:r w:rsidRPr="00EC0E7E">
        <w:rPr>
          <w:rFonts w:eastAsia="Arial" w:cs="Arial"/>
          <w:b/>
          <w:color w:val="000000"/>
          <w:lang w:eastAsia="it-CH"/>
        </w:rPr>
        <w:fldChar w:fldCharType="separate"/>
      </w:r>
      <w:r w:rsidRPr="00EC0E7E">
        <w:rPr>
          <w:rFonts w:eastAsia="Arial" w:cs="Arial"/>
          <w:b/>
          <w:color w:val="000000"/>
          <w:u w:val="single"/>
          <w:vertAlign w:val="superscript"/>
          <w:lang w:eastAsia="it-CH"/>
        </w:rPr>
        <w:t>[116]</w:t>
      </w:r>
      <w:r w:rsidRPr="00EC0E7E">
        <w:rPr>
          <w:rFonts w:eastAsia="Arial" w:cs="Arial"/>
          <w:b/>
          <w:color w:val="000000"/>
          <w:lang w:eastAsia="it-CH"/>
        </w:rPr>
        <w:fldChar w:fldCharType="end"/>
      </w:r>
      <w:r w:rsidRPr="00EC0E7E">
        <w:rPr>
          <w:rFonts w:eastAsia="Arial" w:cs="Arial"/>
          <w:b/>
          <w:color w:val="000000"/>
          <w:position w:val="4"/>
          <w:lang w:eastAsia="it-CH"/>
        </w:rPr>
        <w:t>1</w:t>
      </w:r>
      <w:r w:rsidRPr="00EC0E7E">
        <w:rPr>
          <w:rFonts w:eastAsia="Arial" w:cs="Arial"/>
          <w:color w:val="000000"/>
          <w:position w:val="4"/>
          <w:lang w:eastAsia="it-CH"/>
        </w:rPr>
        <w:t xml:space="preserve"> </w:t>
      </w:r>
      <w:r w:rsidRPr="00EC0E7E">
        <w:rPr>
          <w:rFonts w:eastAsia="Arial" w:cs="Arial"/>
          <w:color w:val="000000"/>
          <w:lang w:eastAsia="it-CH"/>
        </w:rPr>
        <w:t>Nella valutazione e nella scelta degli istituti figuranti nell’elenco, il Cantone considera in particolare: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a) il rispetto di criteri strutturali e gestionali, definiti in un apposito regolamento dal Consiglio di Stato;</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 xml:space="preserve">b) la </w:t>
      </w:r>
      <w:r w:rsidRPr="00EC0E7E">
        <w:rPr>
          <w:rFonts w:eastAsia="Arial" w:cs="Arial"/>
          <w:bCs/>
          <w:color w:val="000000"/>
          <w:lang w:eastAsia="it-CH"/>
        </w:rPr>
        <w:t>qualità</w:t>
      </w:r>
      <w:r w:rsidRPr="00EC0E7E">
        <w:rPr>
          <w:rFonts w:eastAsia="Arial" w:cs="Arial"/>
          <w:color w:val="000000"/>
          <w:lang w:eastAsia="it-CH"/>
        </w:rPr>
        <w:t xml:space="preserve">, l’appropriatezza e </w:t>
      </w:r>
      <w:r w:rsidRPr="00EC0E7E">
        <w:rPr>
          <w:rFonts w:eastAsia="Arial" w:cs="Arial"/>
          <w:bCs/>
          <w:color w:val="000000"/>
          <w:lang w:eastAsia="it-CH"/>
        </w:rPr>
        <w:t>l’economicità</w:t>
      </w:r>
      <w:r w:rsidRPr="00EC0E7E">
        <w:rPr>
          <w:rFonts w:eastAsia="Arial" w:cs="Arial"/>
          <w:color w:val="000000"/>
          <w:lang w:eastAsia="it-CH"/>
        </w:rPr>
        <w:t xml:space="preserve"> delle prestazioni erogate;</w:t>
      </w:r>
      <w:bookmarkStart w:id="7" w:name="_ftnref117"/>
      <w:bookmarkEnd w:id="7"/>
      <w:r w:rsidRPr="00EC0E7E">
        <w:rPr>
          <w:rFonts w:eastAsia="Arial" w:cs="Arial"/>
          <w:color w:val="000000"/>
          <w:lang w:eastAsia="it-CH"/>
        </w:rPr>
        <w:fldChar w:fldCharType="begin"/>
      </w:r>
      <w:r w:rsidRPr="00EC0E7E">
        <w:rPr>
          <w:rFonts w:eastAsia="Arial" w:cs="Arial"/>
          <w:color w:val="000000"/>
          <w:lang w:eastAsia="it-CH"/>
        </w:rPr>
        <w:instrText xml:space="preserve"> HYPERLINK "https://m3.ti.ch/CAN/RLeggi/public/raccolta-leggi/legge/num/370" \l "_ftn117" </w:instrText>
      </w:r>
      <w:r w:rsidRPr="00EC0E7E">
        <w:rPr>
          <w:rFonts w:eastAsia="Arial" w:cs="Arial"/>
          <w:color w:val="000000"/>
          <w:lang w:eastAsia="it-CH"/>
        </w:rPr>
        <w:fldChar w:fldCharType="separate"/>
      </w:r>
      <w:r w:rsidRPr="00EC0E7E">
        <w:rPr>
          <w:rFonts w:eastAsia="Arial" w:cs="Arial"/>
          <w:color w:val="000000"/>
          <w:u w:val="single"/>
          <w:vertAlign w:val="superscript"/>
          <w:lang w:eastAsia="it-CH"/>
        </w:rPr>
        <w:t>[117]</w:t>
      </w:r>
      <w:r w:rsidRPr="00EC0E7E">
        <w:rPr>
          <w:rFonts w:eastAsia="Arial" w:cs="Arial"/>
          <w:color w:val="000000"/>
          <w:lang w:eastAsia="it-CH"/>
        </w:rPr>
        <w:fldChar w:fldCharType="end"/>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c) l’accessibilità alle cure entro un termine utile;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d) la disponibilità e la capacità dell’istituto ad adempiere al mandato di prestazioni;</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e) la disponibilità di strumenti e procedure che garantiscano la sicurezza dei pazienti trattati negli istituti che figurano sull’elenco ai sensi dell’art. 39 cpv. 1 lett.</w:t>
      </w:r>
      <w:r w:rsidRPr="00EC0E7E">
        <w:rPr>
          <w:rFonts w:eastAsia="Arial" w:cs="Arial"/>
          <w:i/>
          <w:iCs/>
          <w:color w:val="000000"/>
          <w:lang w:eastAsia="it-CH"/>
        </w:rPr>
        <w:t xml:space="preserve">e </w:t>
      </w:r>
      <w:r w:rsidRPr="00EC0E7E">
        <w:rPr>
          <w:rFonts w:eastAsia="Arial" w:cs="Arial"/>
          <w:color w:val="000000"/>
          <w:lang w:eastAsia="it-CH"/>
        </w:rPr>
        <w:t>e cpv. 3 LAMal.</w:t>
      </w:r>
      <w:bookmarkStart w:id="8" w:name="_ftnref118"/>
      <w:bookmarkEnd w:id="8"/>
      <w:r w:rsidRPr="00EC0E7E">
        <w:rPr>
          <w:rFonts w:eastAsia="Arial" w:cs="Arial"/>
          <w:color w:val="000000"/>
          <w:lang w:eastAsia="it-CH"/>
        </w:rPr>
        <w:fldChar w:fldCharType="begin"/>
      </w:r>
      <w:r w:rsidRPr="00EC0E7E">
        <w:rPr>
          <w:rFonts w:eastAsia="Arial" w:cs="Arial"/>
          <w:color w:val="000000"/>
          <w:lang w:eastAsia="it-CH"/>
        </w:rPr>
        <w:instrText xml:space="preserve"> HYPERLINK "https://m3.ti.ch/CAN/RLeggi/public/raccolta-leggi/legge/num/370" \l "_ftn118" </w:instrText>
      </w:r>
      <w:r w:rsidRPr="00EC0E7E">
        <w:rPr>
          <w:rFonts w:eastAsia="Arial" w:cs="Arial"/>
          <w:color w:val="000000"/>
          <w:lang w:eastAsia="it-CH"/>
        </w:rPr>
        <w:fldChar w:fldCharType="separate"/>
      </w:r>
      <w:r w:rsidRPr="00EC0E7E">
        <w:rPr>
          <w:rFonts w:eastAsia="Arial" w:cs="Arial"/>
          <w:color w:val="000000"/>
          <w:u w:val="single"/>
          <w:vertAlign w:val="superscript"/>
          <w:lang w:eastAsia="it-CH"/>
        </w:rPr>
        <w:t>[118]</w:t>
      </w:r>
      <w:r w:rsidRPr="00EC0E7E">
        <w:rPr>
          <w:rFonts w:eastAsia="Arial" w:cs="Arial"/>
          <w:color w:val="000000"/>
          <w:lang w:eastAsia="it-CH"/>
        </w:rPr>
        <w:fldChar w:fldCharType="end"/>
      </w:r>
    </w:p>
    <w:p w:rsidR="00EC0E7E" w:rsidRPr="00EC0E7E" w:rsidRDefault="00EC0E7E" w:rsidP="00EC0E7E">
      <w:pPr>
        <w:shd w:val="clear" w:color="auto" w:fill="FFFFFF"/>
        <w:ind w:right="187"/>
        <w:rPr>
          <w:rFonts w:eastAsia="Arial" w:cs="Arial"/>
          <w:color w:val="000000"/>
          <w:position w:val="4"/>
          <w:lang w:eastAsia="it-CH"/>
        </w:rPr>
      </w:pP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position w:val="4"/>
          <w:vertAlign w:val="superscript"/>
          <w:lang w:eastAsia="it-CH"/>
        </w:rPr>
        <w:t>2</w:t>
      </w:r>
      <w:r w:rsidRPr="00EC0E7E">
        <w:rPr>
          <w:rFonts w:eastAsia="Arial" w:cs="Arial"/>
          <w:color w:val="000000"/>
          <w:position w:val="4"/>
          <w:lang w:eastAsia="it-CH"/>
        </w:rPr>
        <w:t xml:space="preserve"> </w:t>
      </w:r>
      <w:r w:rsidRPr="00EC0E7E">
        <w:rPr>
          <w:rFonts w:eastAsia="Arial" w:cs="Arial"/>
          <w:color w:val="000000"/>
          <w:lang w:eastAsia="it-CH"/>
        </w:rPr>
        <w:t xml:space="preserve">Nel valutare </w:t>
      </w:r>
      <w:r w:rsidRPr="00EC0E7E">
        <w:rPr>
          <w:rFonts w:eastAsia="Arial" w:cs="Arial"/>
          <w:bCs/>
          <w:color w:val="000000"/>
          <w:lang w:eastAsia="it-CH"/>
        </w:rPr>
        <w:t>l’economicità e la qualità</w:t>
      </w:r>
      <w:r w:rsidRPr="00EC0E7E">
        <w:rPr>
          <w:rFonts w:eastAsia="Arial" w:cs="Arial"/>
          <w:color w:val="000000"/>
          <w:lang w:eastAsia="it-CH"/>
        </w:rPr>
        <w:t>, il Cantone considera in particolare: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lastRenderedPageBreak/>
        <w:t>a) l’efficienza della fornitura di prestazioni;</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b) la prova della qualità necessaria;</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c) nel settore ospedaliero, il numero minimo di casi e lo sfruttamento di sinergie.</w:t>
      </w:r>
    </w:p>
    <w:p w:rsidR="00EC0E7E" w:rsidRPr="00EC0E7E" w:rsidRDefault="00EC0E7E" w:rsidP="00EC0E7E">
      <w:pPr>
        <w:shd w:val="clear" w:color="auto" w:fill="FFFFFF"/>
        <w:ind w:right="187"/>
        <w:rPr>
          <w:rFonts w:eastAsia="Arial" w:cs="Arial"/>
          <w:color w:val="000000"/>
          <w:lang w:eastAsia="it-CH"/>
        </w:rPr>
      </w:pP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position w:val="4"/>
          <w:vertAlign w:val="superscript"/>
          <w:lang w:eastAsia="it-CH"/>
        </w:rPr>
        <w:t>3</w:t>
      </w:r>
      <w:r w:rsidRPr="00EC0E7E">
        <w:rPr>
          <w:rFonts w:eastAsia="Arial" w:cs="Arial"/>
          <w:color w:val="000000"/>
          <w:position w:val="4"/>
          <w:lang w:eastAsia="it-CH"/>
        </w:rPr>
        <w:t xml:space="preserve"> </w:t>
      </w:r>
      <w:r w:rsidRPr="00EC0E7E">
        <w:rPr>
          <w:rFonts w:eastAsia="Arial" w:cs="Arial"/>
          <w:color w:val="000000"/>
          <w:lang w:eastAsia="it-CH"/>
        </w:rPr>
        <w:t xml:space="preserve">Il Cantone tiene pure conto della </w:t>
      </w:r>
      <w:r w:rsidRPr="00EC0E7E">
        <w:rPr>
          <w:rFonts w:eastAsia="Arial" w:cs="Arial"/>
          <w:bCs/>
          <w:color w:val="000000"/>
          <w:lang w:eastAsia="it-CH"/>
        </w:rPr>
        <w:t>libertà di scelta dell’assicurato</w:t>
      </w:r>
      <w:r w:rsidRPr="00EC0E7E">
        <w:rPr>
          <w:rFonts w:eastAsia="Arial" w:cs="Arial"/>
          <w:color w:val="000000"/>
          <w:lang w:eastAsia="it-CH"/>
        </w:rPr>
        <w:t xml:space="preserve"> e dell’obbligo di ammissione degli istituti.</w:t>
      </w: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H. Competenze del Gran Consiglio</w:t>
      </w: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I. In generale</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Art. 65</w:t>
      </w:r>
      <w:bookmarkStart w:id="9" w:name="_ftnref121"/>
      <w:bookmarkEnd w:id="9"/>
      <w:r w:rsidRPr="00EC0E7E">
        <w:rPr>
          <w:rFonts w:eastAsia="Arial" w:cs="Arial"/>
          <w:color w:val="000000"/>
          <w:lang w:eastAsia="it-CH"/>
        </w:rPr>
        <w:fldChar w:fldCharType="begin"/>
      </w:r>
      <w:r w:rsidRPr="00EC0E7E">
        <w:rPr>
          <w:rFonts w:eastAsia="Arial" w:cs="Arial"/>
          <w:color w:val="000000"/>
          <w:lang w:eastAsia="it-CH"/>
        </w:rPr>
        <w:instrText xml:space="preserve"> HYPERLINK "https://m3.ti.ch/CAN/RLeggi/public/raccolta-leggi/legge/num/370" \l "_ftn121" </w:instrText>
      </w:r>
      <w:r w:rsidRPr="00EC0E7E">
        <w:rPr>
          <w:rFonts w:eastAsia="Arial" w:cs="Arial"/>
          <w:color w:val="000000"/>
          <w:lang w:eastAsia="it-CH"/>
        </w:rPr>
        <w:fldChar w:fldCharType="separate"/>
      </w:r>
      <w:r w:rsidRPr="00EC0E7E">
        <w:rPr>
          <w:rFonts w:eastAsia="Arial" w:cs="Arial"/>
          <w:color w:val="000000"/>
          <w:u w:val="single"/>
          <w:vertAlign w:val="superscript"/>
          <w:lang w:eastAsia="it-CH"/>
        </w:rPr>
        <w:t>[121]</w:t>
      </w:r>
      <w:r w:rsidRPr="00EC0E7E">
        <w:rPr>
          <w:rFonts w:eastAsia="Arial" w:cs="Arial"/>
          <w:color w:val="000000"/>
          <w:lang w:eastAsia="it-CH"/>
        </w:rPr>
        <w:fldChar w:fldCharType="end"/>
      </w:r>
      <w:r w:rsidRPr="00EC0E7E">
        <w:rPr>
          <w:rFonts w:eastAsia="Arial" w:cs="Arial"/>
          <w:color w:val="000000"/>
          <w:lang w:eastAsia="it-CH"/>
        </w:rPr>
        <w:t>Il Gran Consiglio sulla base di un messaggio trasmesso dal Consiglio di Stato:</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a. determina l’impostazione strategica della pianificazione ospedaliera cantonale tenendo conto del calcolo del fabbisogno;</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b. prende conoscenza del modulo di sollecitazione d’offerta, della suddivisione nei gruppi di prestazione e dei requisiti ad essi associati;</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c. decide l’eventuale aumento della quota parte minima a carico del Cantone nella remunerazione delle prestazioni ospedaliere ai sensi dell’art. 49a cpv. 2 ter LAMal;</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d. determina la partecipazione del Cantone ai costi delle prestazioni economicamente di interesse generale ai sensi dell’art. 49 cpv. 3 LAMal;</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lang w:eastAsia="it-CH"/>
        </w:rPr>
        <w:t>e. approva il finanziamento di programmi sanitari specifici.</w:t>
      </w: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Fornitori di prestazioni con sede nel Cantone</w:t>
      </w: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A. Principio</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Art. 66c</w:t>
      </w:r>
      <w:bookmarkStart w:id="10" w:name="_ftnref130"/>
      <w:bookmarkEnd w:id="10"/>
      <w:r w:rsidRPr="00EC0E7E">
        <w:rPr>
          <w:rFonts w:eastAsia="Arial" w:cs="Arial"/>
          <w:color w:val="000000"/>
          <w:lang w:eastAsia="it-CH"/>
        </w:rPr>
        <w:fldChar w:fldCharType="begin"/>
      </w:r>
      <w:r w:rsidRPr="00EC0E7E">
        <w:rPr>
          <w:rFonts w:eastAsia="Arial" w:cs="Arial"/>
          <w:color w:val="000000"/>
          <w:lang w:eastAsia="it-CH"/>
        </w:rPr>
        <w:instrText xml:space="preserve"> HYPERLINK "https://m3.ti.ch/CAN/RLeggi/public/raccolta-leggi/legge/num/370" \l "_ftn130" </w:instrText>
      </w:r>
      <w:r w:rsidRPr="00EC0E7E">
        <w:rPr>
          <w:rFonts w:eastAsia="Arial" w:cs="Arial"/>
          <w:color w:val="000000"/>
          <w:lang w:eastAsia="it-CH"/>
        </w:rPr>
        <w:fldChar w:fldCharType="separate"/>
      </w:r>
      <w:r w:rsidRPr="00EC0E7E">
        <w:rPr>
          <w:rFonts w:eastAsia="Arial" w:cs="Arial"/>
          <w:color w:val="000000"/>
          <w:u w:val="single"/>
          <w:vertAlign w:val="superscript"/>
          <w:lang w:eastAsia="it-CH"/>
        </w:rPr>
        <w:t>[130]</w:t>
      </w:r>
      <w:r w:rsidRPr="00EC0E7E">
        <w:rPr>
          <w:rFonts w:eastAsia="Arial" w:cs="Arial"/>
          <w:color w:val="000000"/>
          <w:lang w:eastAsia="it-CH"/>
        </w:rPr>
        <w:fldChar w:fldCharType="end"/>
      </w:r>
      <w:r w:rsidRPr="00EC0E7E">
        <w:rPr>
          <w:rFonts w:eastAsia="Arial" w:cs="Arial"/>
          <w:color w:val="000000"/>
          <w:position w:val="4"/>
          <w:lang w:eastAsia="it-CH"/>
        </w:rPr>
        <w:t>1</w:t>
      </w:r>
      <w:r w:rsidRPr="00EC0E7E">
        <w:rPr>
          <w:rFonts w:eastAsia="Arial" w:cs="Arial"/>
          <w:color w:val="000000"/>
          <w:lang w:eastAsia="it-CH"/>
        </w:rPr>
        <w:t>Il finanziamento delle prestazioni erogate dai fornitori di prestazioni con sede nel Cantone indicati all’art. 66a è assunto dal Cantone tramite un contributo globale, dagli assicuratori LAMal e, per i reparti acuti di minore intensità, anche dai pazienti.</w:t>
      </w:r>
    </w:p>
    <w:p w:rsidR="00EC0E7E" w:rsidRPr="00EC0E7E" w:rsidRDefault="00EC0E7E" w:rsidP="00EC0E7E">
      <w:pPr>
        <w:shd w:val="clear" w:color="auto" w:fill="FFFFFF"/>
        <w:ind w:right="187"/>
        <w:rPr>
          <w:rFonts w:eastAsia="Arial" w:cs="Arial"/>
          <w:color w:val="000000"/>
          <w:position w:val="4"/>
          <w:lang w:eastAsia="it-CH"/>
        </w:rPr>
      </w:pPr>
    </w:p>
    <w:p w:rsidR="00EC0E7E" w:rsidRPr="00EC0E7E" w:rsidRDefault="00EC0E7E" w:rsidP="00EC0E7E">
      <w:pPr>
        <w:shd w:val="clear" w:color="auto" w:fill="FFFFFF"/>
        <w:ind w:right="187"/>
        <w:rPr>
          <w:rFonts w:eastAsia="Arial" w:cs="Arial"/>
          <w:color w:val="000000"/>
          <w:lang w:eastAsia="it-CH"/>
        </w:rPr>
      </w:pPr>
      <w:r w:rsidRPr="00EC0E7E">
        <w:rPr>
          <w:rFonts w:eastAsia="Arial" w:cs="Arial"/>
          <w:color w:val="000000"/>
          <w:position w:val="4"/>
          <w:vertAlign w:val="superscript"/>
          <w:lang w:eastAsia="it-CH"/>
        </w:rPr>
        <w:t>2</w:t>
      </w:r>
      <w:r w:rsidRPr="00EC0E7E">
        <w:rPr>
          <w:rFonts w:eastAsia="Arial" w:cs="Arial"/>
          <w:color w:val="000000"/>
          <w:position w:val="4"/>
          <w:lang w:eastAsia="it-CH"/>
        </w:rPr>
        <w:t xml:space="preserve"> </w:t>
      </w:r>
      <w:r w:rsidRPr="00EC0E7E">
        <w:rPr>
          <w:rFonts w:eastAsia="Arial" w:cs="Arial"/>
          <w:color w:val="000000"/>
          <w:lang w:eastAsia="it-CH"/>
        </w:rPr>
        <w:t>Il Cantone può finanziare i costi riconosciuti delle prestazioni economicamente di interesse generale ai sensi dell’art. 49 cpv. 3 LAMal.</w:t>
      </w: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Art. 66f</w:t>
      </w:r>
      <w:hyperlink r:id="rId15" w:anchor="_ftn134" w:history="1">
        <w:r w:rsidRPr="00EC0E7E">
          <w:rPr>
            <w:rFonts w:eastAsia="Arial" w:cs="Arial"/>
            <w:color w:val="000000"/>
            <w:u w:val="single"/>
            <w:vertAlign w:val="superscript"/>
            <w:lang w:eastAsia="it-CH"/>
          </w:rPr>
          <w:t>[134]</w:t>
        </w:r>
      </w:hyperlink>
      <w:r w:rsidRPr="00EC0E7E">
        <w:rPr>
          <w:rFonts w:eastAsia="Arial" w:cs="Arial"/>
          <w:color w:val="000000"/>
          <w:lang w:eastAsia="it-CH"/>
        </w:rPr>
        <w:t>Il Cantone può determinare l’ammontare del contributo relativo ai costi riconosciuti delle prestazioni economicamente di interesse generale ai sensi dell’art. 49 cpv. 3 LAMal tenendo conto in particolare delle disposizioni federali e di altre norme applicabili.</w:t>
      </w: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D. Contratto di prestazione</w:t>
      </w:r>
    </w:p>
    <w:p w:rsidR="00EC0E7E" w:rsidRPr="00EC0E7E" w:rsidRDefault="00EC0E7E" w:rsidP="00EC0E7E">
      <w:pPr>
        <w:shd w:val="clear" w:color="auto" w:fill="FFFFFF"/>
        <w:ind w:right="187"/>
        <w:rPr>
          <w:rFonts w:eastAsia="Arial" w:cs="Arial"/>
          <w:b/>
          <w:color w:val="000000"/>
          <w:lang w:eastAsia="it-CH"/>
        </w:rPr>
      </w:pPr>
      <w:r w:rsidRPr="00EC0E7E">
        <w:rPr>
          <w:rFonts w:eastAsia="Arial" w:cs="Arial"/>
          <w:b/>
          <w:bCs/>
          <w:color w:val="000000"/>
          <w:lang w:eastAsia="it-CH"/>
        </w:rPr>
        <w:t>I. Principio</w:t>
      </w:r>
    </w:p>
    <w:p w:rsidR="00EC0E7E" w:rsidRPr="00EC0E7E" w:rsidRDefault="00EC0E7E" w:rsidP="00EC0E7E">
      <w:pPr>
        <w:shd w:val="clear" w:color="auto" w:fill="FFFFFF"/>
        <w:ind w:right="187"/>
        <w:rPr>
          <w:rFonts w:eastAsia="Arial" w:cs="Arial"/>
          <w:color w:val="000000"/>
          <w:lang w:eastAsia="it-CH"/>
        </w:rPr>
      </w:pPr>
      <w:r w:rsidRPr="00EC0E7E">
        <w:rPr>
          <w:rFonts w:eastAsia="Arial" w:cs="Arial"/>
          <w:bCs/>
          <w:color w:val="000000"/>
          <w:lang w:eastAsia="it-CH"/>
        </w:rPr>
        <w:t>Art. 66g</w:t>
      </w:r>
      <w:bookmarkStart w:id="11" w:name="_ftnref135"/>
      <w:bookmarkEnd w:id="11"/>
      <w:r w:rsidRPr="00EC0E7E">
        <w:rPr>
          <w:rFonts w:eastAsia="Arial" w:cs="Arial"/>
          <w:color w:val="000000"/>
          <w:u w:val="single"/>
          <w:vertAlign w:val="superscript"/>
          <w:lang w:eastAsia="it-CH"/>
        </w:rPr>
        <w:t>[135]</w:t>
      </w:r>
      <w:r w:rsidRPr="00EC0E7E">
        <w:rPr>
          <w:rFonts w:eastAsia="Arial" w:cs="Arial"/>
          <w:color w:val="000000"/>
          <w:position w:val="4"/>
          <w:lang w:eastAsia="it-CH"/>
        </w:rPr>
        <w:t xml:space="preserve">1 </w:t>
      </w:r>
      <w:r w:rsidRPr="00EC0E7E">
        <w:rPr>
          <w:rFonts w:eastAsia="Arial" w:cs="Arial"/>
          <w:color w:val="000000"/>
          <w:lang w:eastAsia="it-CH"/>
        </w:rPr>
        <w:t>Il Consiglio di Stato stipula con i fornitori di prestazioni dei contratti quadro e dei contratti di prestazione annuali.</w:t>
      </w:r>
    </w:p>
    <w:p w:rsidR="00EC0E7E" w:rsidRPr="00EC0E7E" w:rsidRDefault="00EC0E7E" w:rsidP="00EC0E7E">
      <w:pPr>
        <w:shd w:val="clear" w:color="auto" w:fill="FFFFFF"/>
        <w:ind w:right="187"/>
        <w:rPr>
          <w:rFonts w:eastAsia="Arial" w:cs="Arial"/>
          <w:bCs/>
          <w:color w:val="000000"/>
          <w:lang w:eastAsia="it-CH"/>
        </w:rPr>
      </w:pPr>
      <w:r w:rsidRPr="00EC0E7E">
        <w:rPr>
          <w:rFonts w:eastAsia="Arial" w:cs="Arial"/>
          <w:bCs/>
          <w:color w:val="000000"/>
          <w:lang w:eastAsia="it-CH"/>
        </w:rPr>
        <w:t>….</w:t>
      </w: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shd w:val="clear" w:color="auto" w:fill="FFFFFF"/>
        <w:ind w:right="187"/>
        <w:rPr>
          <w:rFonts w:eastAsia="Arial" w:cs="Arial"/>
          <w:bCs/>
          <w:color w:val="000000"/>
          <w:lang w:eastAsia="it-CH"/>
        </w:rPr>
      </w:pPr>
    </w:p>
    <w:p w:rsidR="00EC0E7E" w:rsidRPr="00EC0E7E" w:rsidRDefault="00EC0E7E" w:rsidP="00EC0E7E">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12" w:name="_Toc183013493"/>
      <w:r w:rsidRPr="00EC0E7E">
        <w:rPr>
          <w:rFonts w:eastAsia="Calibri" w:cs="Times New Roman"/>
          <w:sz w:val="24"/>
          <w:lang w:val="it-IT" w:eastAsia="it-IT"/>
        </w:rPr>
        <w:t>Sentenza Tribunale amministrativo federale (TAF)</w:t>
      </w:r>
      <w:bookmarkEnd w:id="12"/>
    </w:p>
    <w:p w:rsidR="00EC0E7E" w:rsidRPr="00EC0E7E" w:rsidRDefault="00EC0E7E" w:rsidP="00EC0E7E">
      <w:pPr>
        <w:spacing w:before="120"/>
        <w:contextualSpacing/>
        <w:rPr>
          <w:rFonts w:eastAsia="Arial" w:cs="Arial"/>
          <w:sz w:val="24"/>
          <w:szCs w:val="24"/>
        </w:rPr>
      </w:pPr>
      <w:r w:rsidRPr="00EC0E7E">
        <w:rPr>
          <w:rFonts w:eastAsia="Arial" w:cs="Arial"/>
          <w:sz w:val="24"/>
          <w:szCs w:val="24"/>
        </w:rPr>
        <w:t>Per una corretta applicazione della LAMAL, e subordinatamente della LCMal, nell’esercizio concreto di una pianificazione ospedaliera è sicuramente molto istruttiva una lettura attenta della sentenza del TAF del 25 febbraio 2019 in merito al ricorso della clinica Moncucco contro la decisione del GC relativa alla pianificazione ospedaliera approvata dal Gran Consiglio il 15 dicembre 2015.</w:t>
      </w:r>
    </w:p>
    <w:p w:rsidR="00EC0E7E" w:rsidRPr="00EC0E7E" w:rsidRDefault="00EC0E7E" w:rsidP="00EC0E7E">
      <w:pPr>
        <w:contextualSpacing/>
        <w:rPr>
          <w:rFonts w:eastAsia="Arial" w:cs="Arial"/>
          <w:sz w:val="24"/>
          <w:szCs w:val="24"/>
        </w:rPr>
      </w:pPr>
    </w:p>
    <w:p w:rsidR="00EC0E7E" w:rsidRPr="00EC0E7E" w:rsidRDefault="00EC0E7E" w:rsidP="00EC0E7E">
      <w:pPr>
        <w:contextualSpacing/>
        <w:rPr>
          <w:rFonts w:eastAsia="Arial" w:cs="Arial"/>
          <w:bCs/>
          <w:sz w:val="24"/>
          <w:szCs w:val="24"/>
        </w:rPr>
      </w:pPr>
      <w:r w:rsidRPr="00EC0E7E">
        <w:rPr>
          <w:rFonts w:eastAsia="Arial" w:cs="Arial"/>
          <w:bCs/>
          <w:sz w:val="24"/>
          <w:szCs w:val="24"/>
        </w:rPr>
        <w:lastRenderedPageBreak/>
        <w:t>2019 V/6 Estratto della decisione della Corte III nella causa Clinica Luganese Moncucco contro Gran Consiglio della Repubblica e Cantone Ticino C–2229/2016 del 25 febbraio 2019</w:t>
      </w:r>
    </w:p>
    <w:p w:rsidR="00EC0E7E" w:rsidRPr="00EC0E7E" w:rsidRDefault="00EC0E7E" w:rsidP="00EC0E7E">
      <w:pPr>
        <w:contextualSpacing/>
        <w:rPr>
          <w:rFonts w:eastAsia="Arial" w:cs="Arial"/>
          <w:sz w:val="24"/>
          <w:szCs w:val="24"/>
        </w:rPr>
      </w:pPr>
    </w:p>
    <w:p w:rsidR="00EC0E7E" w:rsidRPr="00EC0E7E" w:rsidRDefault="00EC0E7E" w:rsidP="00EC0E7E">
      <w:pPr>
        <w:contextualSpacing/>
        <w:rPr>
          <w:rFonts w:eastAsia="Arial" w:cs="Arial"/>
          <w:sz w:val="24"/>
          <w:szCs w:val="24"/>
        </w:rPr>
      </w:pPr>
      <w:r w:rsidRPr="00EC0E7E">
        <w:rPr>
          <w:rFonts w:eastAsia="Arial" w:cs="Arial"/>
          <w:sz w:val="24"/>
          <w:szCs w:val="24"/>
        </w:rPr>
        <w:t xml:space="preserve">Ci limitiamo a presentare alcuni estratti che ci sembrano significativi. </w:t>
      </w:r>
    </w:p>
    <w:p w:rsidR="00EC0E7E" w:rsidRPr="00EC0E7E" w:rsidRDefault="00EC0E7E" w:rsidP="00EC0E7E">
      <w:pPr>
        <w:autoSpaceDE w:val="0"/>
        <w:autoSpaceDN w:val="0"/>
        <w:adjustRightInd w:val="0"/>
        <w:jc w:val="left"/>
        <w:rPr>
          <w:rFonts w:eastAsia="Arial" w:cs="Arial"/>
          <w:i/>
          <w:iCs/>
          <w:color w:val="000000"/>
          <w:sz w:val="24"/>
          <w:szCs w:val="24"/>
        </w:rPr>
      </w:pPr>
    </w:p>
    <w:p w:rsidR="00EC0E7E" w:rsidRPr="00EC0E7E" w:rsidRDefault="00EC0E7E" w:rsidP="00EC0E7E">
      <w:pPr>
        <w:autoSpaceDE w:val="0"/>
        <w:autoSpaceDN w:val="0"/>
        <w:adjustRightInd w:val="0"/>
        <w:rPr>
          <w:rFonts w:eastAsia="Arial" w:cs="Arial"/>
          <w:i/>
          <w:iCs/>
          <w:color w:val="000000"/>
        </w:rPr>
      </w:pPr>
      <w:r w:rsidRPr="00EC0E7E">
        <w:rPr>
          <w:rFonts w:eastAsia="Arial" w:cs="Arial"/>
          <w:i/>
          <w:iCs/>
          <w:color w:val="000000"/>
        </w:rPr>
        <w:t xml:space="preserve">Nell'elaborazione della pianificazione ospedaliera e dell'elenco degli ospedali, il cantone dispone di un ampio potere di apprezzamento. </w:t>
      </w:r>
    </w:p>
    <w:p w:rsidR="00EC0E7E" w:rsidRPr="00EC0E7E" w:rsidRDefault="00EC0E7E" w:rsidP="00EC0E7E">
      <w:pPr>
        <w:autoSpaceDE w:val="0"/>
        <w:autoSpaceDN w:val="0"/>
        <w:adjustRightInd w:val="0"/>
        <w:rPr>
          <w:rFonts w:eastAsia="Arial" w:cs="Arial"/>
          <w:i/>
          <w:iCs/>
          <w:color w:val="000000"/>
        </w:rPr>
      </w:pPr>
      <w:r w:rsidRPr="00EC0E7E">
        <w:rPr>
          <w:rFonts w:eastAsia="Arial" w:cs="Arial"/>
          <w:i/>
          <w:iCs/>
          <w:color w:val="000000"/>
        </w:rPr>
        <w:t>…</w:t>
      </w:r>
    </w:p>
    <w:p w:rsidR="00EC0E7E" w:rsidRPr="00EC0E7E" w:rsidRDefault="00EC0E7E" w:rsidP="00EC0E7E">
      <w:pPr>
        <w:autoSpaceDE w:val="0"/>
        <w:autoSpaceDN w:val="0"/>
        <w:adjustRightInd w:val="0"/>
        <w:rPr>
          <w:rFonts w:eastAsia="Arial" w:cs="Arial"/>
          <w:bCs/>
          <w:i/>
          <w:iCs/>
          <w:color w:val="000000"/>
        </w:rPr>
      </w:pPr>
      <w:r w:rsidRPr="00EC0E7E">
        <w:rPr>
          <w:rFonts w:eastAsia="Arial" w:cs="Arial"/>
          <w:i/>
          <w:iCs/>
          <w:color w:val="000000"/>
        </w:rPr>
        <w:t xml:space="preserve">L'art. 39 cpv. 1 LAMal prevede che gli </w:t>
      </w:r>
      <w:r w:rsidRPr="00EC0E7E">
        <w:rPr>
          <w:rFonts w:eastAsia="Arial" w:cs="Arial"/>
          <w:bCs/>
          <w:i/>
          <w:iCs/>
          <w:color w:val="000000"/>
        </w:rPr>
        <w:t>stabilimenti e i rispettivi reparti adibiti alla cura ospedaliera di malattie acute o all'attuazione ospedaliera di provvedimenti medici di riabilitazione (ospedali) sono autorizzati</w:t>
      </w:r>
      <w:r w:rsidRPr="00EC0E7E">
        <w:rPr>
          <w:rFonts w:eastAsia="Arial" w:cs="Arial"/>
          <w:i/>
          <w:iCs/>
          <w:color w:val="000000"/>
        </w:rPr>
        <w:t xml:space="preserve"> (a esercitare a carico dell'assicurazione obbligatoria delle cure medico-sanitarie) </w:t>
      </w:r>
      <w:r w:rsidRPr="00EC0E7E">
        <w:rPr>
          <w:rFonts w:eastAsia="Arial" w:cs="Arial"/>
          <w:bCs/>
          <w:i/>
          <w:iCs/>
          <w:color w:val="000000"/>
        </w:rPr>
        <w:t>se</w:t>
      </w:r>
      <w:r w:rsidRPr="00EC0E7E">
        <w:rPr>
          <w:rFonts w:eastAsia="Arial" w:cs="Arial"/>
          <w:i/>
          <w:iCs/>
          <w:color w:val="000000"/>
        </w:rPr>
        <w:t xml:space="preserve"> </w:t>
      </w:r>
    </w:p>
    <w:p w:rsidR="00EC0E7E" w:rsidRPr="00EC0E7E" w:rsidRDefault="00EC0E7E" w:rsidP="00EC0E7E">
      <w:pPr>
        <w:numPr>
          <w:ilvl w:val="0"/>
          <w:numId w:val="22"/>
        </w:numPr>
        <w:autoSpaceDE w:val="0"/>
        <w:autoSpaceDN w:val="0"/>
        <w:adjustRightInd w:val="0"/>
        <w:ind w:left="284" w:hanging="284"/>
        <w:contextualSpacing/>
        <w:rPr>
          <w:rFonts w:eastAsia="Arial" w:cs="Arial"/>
          <w:i/>
          <w:iCs/>
          <w:color w:val="000000"/>
        </w:rPr>
      </w:pPr>
      <w:r w:rsidRPr="00EC0E7E">
        <w:rPr>
          <w:rFonts w:eastAsia="Arial" w:cs="Arial"/>
          <w:bCs/>
          <w:i/>
          <w:iCs/>
          <w:color w:val="000000"/>
        </w:rPr>
        <w:t>garantiscono una sufficiente assistenza medica</w:t>
      </w:r>
      <w:r w:rsidRPr="00EC0E7E">
        <w:rPr>
          <w:rFonts w:eastAsia="Arial" w:cs="Arial"/>
          <w:i/>
          <w:iCs/>
          <w:color w:val="000000"/>
        </w:rPr>
        <w:t xml:space="preserve"> (lett. a), dispongono del necessario </w:t>
      </w:r>
      <w:r w:rsidRPr="00EC0E7E">
        <w:rPr>
          <w:rFonts w:eastAsia="Arial" w:cs="Arial"/>
          <w:bCs/>
          <w:i/>
          <w:iCs/>
          <w:color w:val="000000"/>
        </w:rPr>
        <w:t>personale specializzato</w:t>
      </w:r>
      <w:r w:rsidRPr="00EC0E7E">
        <w:rPr>
          <w:rFonts w:eastAsia="Arial" w:cs="Arial"/>
          <w:i/>
          <w:iCs/>
          <w:color w:val="000000"/>
        </w:rPr>
        <w:t xml:space="preserve"> (lett. b), </w:t>
      </w:r>
    </w:p>
    <w:p w:rsidR="00EC0E7E" w:rsidRPr="00EC0E7E" w:rsidRDefault="00EC0E7E" w:rsidP="00EC0E7E">
      <w:pPr>
        <w:numPr>
          <w:ilvl w:val="0"/>
          <w:numId w:val="22"/>
        </w:numPr>
        <w:autoSpaceDE w:val="0"/>
        <w:autoSpaceDN w:val="0"/>
        <w:adjustRightInd w:val="0"/>
        <w:ind w:left="284" w:hanging="284"/>
        <w:contextualSpacing/>
        <w:rPr>
          <w:rFonts w:eastAsia="Arial" w:cs="Arial"/>
          <w:i/>
          <w:iCs/>
          <w:color w:val="000000"/>
        </w:rPr>
      </w:pPr>
      <w:r w:rsidRPr="00EC0E7E">
        <w:rPr>
          <w:rFonts w:eastAsia="Arial" w:cs="Arial"/>
          <w:i/>
          <w:iCs/>
          <w:color w:val="000000"/>
        </w:rPr>
        <w:t xml:space="preserve">dispongono di </w:t>
      </w:r>
      <w:r w:rsidRPr="00EC0E7E">
        <w:rPr>
          <w:rFonts w:eastAsia="Arial" w:cs="Arial"/>
          <w:bCs/>
          <w:i/>
          <w:iCs/>
          <w:color w:val="000000"/>
        </w:rPr>
        <w:t>appropriate installazioni mediche e garantiscono una fornitura adeguata di medicamenti</w:t>
      </w:r>
      <w:r w:rsidRPr="00EC0E7E">
        <w:rPr>
          <w:rFonts w:eastAsia="Arial" w:cs="Arial"/>
          <w:i/>
          <w:iCs/>
          <w:color w:val="000000"/>
        </w:rPr>
        <w:t xml:space="preserve"> (lett. c), </w:t>
      </w:r>
    </w:p>
    <w:p w:rsidR="00EC0E7E" w:rsidRPr="00EC0E7E" w:rsidRDefault="00EC0E7E" w:rsidP="00EC0E7E">
      <w:pPr>
        <w:numPr>
          <w:ilvl w:val="0"/>
          <w:numId w:val="22"/>
        </w:numPr>
        <w:autoSpaceDE w:val="0"/>
        <w:autoSpaceDN w:val="0"/>
        <w:adjustRightInd w:val="0"/>
        <w:ind w:left="284" w:hanging="284"/>
        <w:contextualSpacing/>
        <w:rPr>
          <w:rFonts w:eastAsia="Arial" w:cs="Arial"/>
          <w:i/>
          <w:iCs/>
          <w:color w:val="000000"/>
        </w:rPr>
      </w:pPr>
      <w:r w:rsidRPr="00EC0E7E">
        <w:rPr>
          <w:rFonts w:eastAsia="Arial" w:cs="Arial"/>
          <w:i/>
          <w:iCs/>
          <w:color w:val="000000"/>
        </w:rPr>
        <w:t xml:space="preserve">corrispondono alla pianificazione intesa </w:t>
      </w:r>
      <w:r w:rsidRPr="00EC0E7E">
        <w:rPr>
          <w:rFonts w:eastAsia="Arial" w:cs="Arial"/>
          <w:bCs/>
          <w:i/>
          <w:iCs/>
          <w:color w:val="000000"/>
        </w:rPr>
        <w:t>a coprire il fabbisogno ospedaliero</w:t>
      </w:r>
      <w:r w:rsidRPr="00EC0E7E">
        <w:rPr>
          <w:rFonts w:eastAsia="Arial" w:cs="Arial"/>
          <w:i/>
          <w:iCs/>
          <w:color w:val="000000"/>
        </w:rPr>
        <w:t xml:space="preserve">, approntata da uno o più Cantoni, dopo aver preso in considerazione adeguatamente gli enti privati (lett. d) e </w:t>
      </w:r>
    </w:p>
    <w:p w:rsidR="00EC0E7E" w:rsidRPr="00EC0E7E" w:rsidRDefault="00EC0E7E" w:rsidP="00EC0E7E">
      <w:pPr>
        <w:numPr>
          <w:ilvl w:val="0"/>
          <w:numId w:val="22"/>
        </w:numPr>
        <w:autoSpaceDE w:val="0"/>
        <w:autoSpaceDN w:val="0"/>
        <w:adjustRightInd w:val="0"/>
        <w:ind w:left="284" w:hanging="284"/>
        <w:contextualSpacing/>
        <w:rPr>
          <w:rFonts w:eastAsia="Arial" w:cs="Arial"/>
          <w:i/>
          <w:iCs/>
          <w:color w:val="000000"/>
        </w:rPr>
      </w:pPr>
      <w:r w:rsidRPr="00EC0E7E">
        <w:rPr>
          <w:rFonts w:eastAsia="Arial" w:cs="Arial"/>
          <w:i/>
          <w:iCs/>
          <w:color w:val="000000"/>
        </w:rPr>
        <w:t xml:space="preserve">figurano </w:t>
      </w:r>
      <w:r w:rsidRPr="00EC0E7E">
        <w:rPr>
          <w:rFonts w:eastAsia="Arial" w:cs="Arial"/>
          <w:bCs/>
          <w:i/>
          <w:iCs/>
          <w:color w:val="000000"/>
        </w:rPr>
        <w:t>nell'elenco, compilato dal Cantone</w:t>
      </w:r>
      <w:r w:rsidRPr="00EC0E7E">
        <w:rPr>
          <w:rFonts w:eastAsia="Arial" w:cs="Arial"/>
          <w:i/>
          <w:iCs/>
          <w:color w:val="000000"/>
        </w:rPr>
        <w:t xml:space="preserve"> e classificante le diverse categorie di stabilimenti secondo i rispettivi mandati (lett. e).</w:t>
      </w:r>
    </w:p>
    <w:p w:rsidR="00EC0E7E" w:rsidRPr="00EC0E7E" w:rsidRDefault="00EC0E7E" w:rsidP="00EC0E7E">
      <w:pPr>
        <w:autoSpaceDE w:val="0"/>
        <w:autoSpaceDN w:val="0"/>
        <w:adjustRightInd w:val="0"/>
        <w:ind w:left="284" w:hanging="284"/>
        <w:jc w:val="left"/>
        <w:rPr>
          <w:rFonts w:eastAsia="Arial" w:cs="Arial"/>
          <w:i/>
          <w:iCs/>
          <w:color w:val="000000"/>
        </w:rPr>
      </w:pPr>
      <w:r w:rsidRPr="00EC0E7E">
        <w:rPr>
          <w:rFonts w:eastAsia="Arial" w:cs="Arial"/>
          <w:i/>
          <w:iCs/>
          <w:color w:val="000000"/>
        </w:rPr>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Nell'eseguire la valutazione e la scelta dell'offerta da assicurare che figura nell'elenco, i Cantoni considerano in particolare </w:t>
      </w:r>
      <w:r w:rsidRPr="00EC0E7E">
        <w:rPr>
          <w:rFonts w:eastAsia="Arial" w:cs="Arial"/>
          <w:bCs/>
          <w:i/>
          <w:iCs/>
        </w:rPr>
        <w:t>l'economicità e la qualità della fornitura di prestazioni</w:t>
      </w:r>
      <w:r w:rsidRPr="00EC0E7E">
        <w:rPr>
          <w:rFonts w:eastAsia="Arial" w:cs="Arial"/>
          <w:i/>
          <w:iCs/>
        </w:rPr>
        <w:t xml:space="preserve"> (lett. a), </w:t>
      </w:r>
      <w:r w:rsidRPr="00EC0E7E">
        <w:rPr>
          <w:rFonts w:eastAsia="Arial" w:cs="Arial"/>
          <w:bCs/>
          <w:i/>
          <w:iCs/>
        </w:rPr>
        <w:t>l'accesso</w:t>
      </w:r>
      <w:r w:rsidRPr="00EC0E7E">
        <w:rPr>
          <w:rFonts w:eastAsia="Arial" w:cs="Arial"/>
          <w:i/>
          <w:iCs/>
        </w:rPr>
        <w:t xml:space="preserve"> dei pazienti alle cure </w:t>
      </w:r>
      <w:r w:rsidRPr="00EC0E7E">
        <w:rPr>
          <w:rFonts w:eastAsia="Arial" w:cs="Arial"/>
          <w:bCs/>
          <w:i/>
          <w:iCs/>
        </w:rPr>
        <w:t>entro un termine utile</w:t>
      </w:r>
      <w:r w:rsidRPr="00EC0E7E">
        <w:rPr>
          <w:rFonts w:eastAsia="Arial" w:cs="Arial"/>
          <w:i/>
          <w:iCs/>
        </w:rPr>
        <w:t xml:space="preserve"> (lett. b) e la </w:t>
      </w:r>
      <w:r w:rsidRPr="00EC0E7E">
        <w:rPr>
          <w:rFonts w:eastAsia="Arial" w:cs="Arial"/>
          <w:bCs/>
          <w:i/>
          <w:iCs/>
        </w:rPr>
        <w:t>disponibilità e la capacità dell'istituto ad adempiere il mandato di prestazioni.</w:t>
      </w:r>
    </w:p>
    <w:p w:rsidR="00EC0E7E" w:rsidRPr="00EC0E7E" w:rsidRDefault="00EC0E7E" w:rsidP="00EC0E7E">
      <w:pPr>
        <w:contextualSpacing/>
        <w:rPr>
          <w:rFonts w:eastAsia="Arial" w:cs="Arial"/>
          <w:i/>
          <w:iCs/>
        </w:rPr>
      </w:pPr>
      <w:r w:rsidRPr="00EC0E7E">
        <w:rPr>
          <w:rFonts w:eastAsia="Arial" w:cs="Arial"/>
          <w:i/>
          <w:iCs/>
        </w:rPr>
        <w:t>…</w:t>
      </w:r>
    </w:p>
    <w:p w:rsidR="00EC0E7E" w:rsidRPr="00EC0E7E" w:rsidRDefault="00EC0E7E" w:rsidP="00EC0E7E">
      <w:pPr>
        <w:contextualSpacing/>
        <w:rPr>
          <w:rFonts w:eastAsia="Arial" w:cs="Arial"/>
          <w:i/>
          <w:iCs/>
        </w:rPr>
      </w:pPr>
      <w:r w:rsidRPr="00EC0E7E">
        <w:rPr>
          <w:rFonts w:eastAsia="Arial" w:cs="Arial"/>
          <w:i/>
          <w:iCs/>
        </w:rPr>
        <w:t xml:space="preserve">La pianificazione deve creare le condizioni sufficienti per </w:t>
      </w:r>
      <w:r w:rsidRPr="00EC0E7E">
        <w:rPr>
          <w:rFonts w:eastAsia="Arial" w:cs="Arial"/>
          <w:bCs/>
          <w:i/>
          <w:iCs/>
        </w:rPr>
        <w:t>promuovere l'economicità</w:t>
      </w:r>
      <w:r w:rsidRPr="00EC0E7E">
        <w:rPr>
          <w:rFonts w:eastAsia="Arial" w:cs="Arial"/>
          <w:i/>
          <w:iCs/>
        </w:rPr>
        <w:t xml:space="preserve"> della fornitura delle prestazioni e la </w:t>
      </w:r>
      <w:r w:rsidRPr="00EC0E7E">
        <w:rPr>
          <w:rFonts w:eastAsia="Arial" w:cs="Arial"/>
          <w:bCs/>
          <w:i/>
          <w:iCs/>
        </w:rPr>
        <w:t>concorrenza a livello di qualità.</w:t>
      </w:r>
    </w:p>
    <w:p w:rsidR="00EC0E7E" w:rsidRPr="00EC0E7E" w:rsidRDefault="00EC0E7E" w:rsidP="00EC0E7E">
      <w:pPr>
        <w:contextualSpacing/>
        <w:rPr>
          <w:rFonts w:eastAsia="Arial" w:cs="Arial"/>
          <w:i/>
          <w:iCs/>
        </w:rPr>
      </w:pPr>
      <w:r w:rsidRPr="00EC0E7E">
        <w:rPr>
          <w:rFonts w:eastAsia="Arial" w:cs="Arial"/>
          <w:i/>
          <w:iCs/>
        </w:rPr>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La quota-parte cantonale non finanzia più gli stabilimenti in quanto tali, ma le prestazioni, e la stessa è versata a seconda delle prestazioni fornite dall'ospedale (art. 49a cpv. 3 LAMal). La libertà economica non conferisce alcun diritto ad un finanziamento delle prestazioni quantitativamente illimitato da parte dello Stato e </w:t>
      </w:r>
      <w:r w:rsidRPr="00EC0E7E">
        <w:rPr>
          <w:rFonts w:eastAsia="Arial" w:cs="Arial"/>
          <w:bCs/>
          <w:i/>
          <w:iCs/>
        </w:rPr>
        <w:t>non esclude, per conseguenza, una limitazione delle prestazioni (co)finanziate dallo Stato</w:t>
      </w:r>
      <w:r w:rsidRPr="00EC0E7E">
        <w:rPr>
          <w:rFonts w:eastAsia="Arial" w:cs="Arial"/>
          <w:i/>
          <w:iCs/>
        </w:rPr>
        <w:t xml:space="preserve">. </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I diritti scaturenti dalla libertà economica si esauriscono per conseguenza nel diritto ad una </w:t>
      </w:r>
      <w:r w:rsidRPr="00EC0E7E">
        <w:rPr>
          <w:rFonts w:eastAsia="Arial" w:cs="Arial"/>
          <w:bCs/>
          <w:i/>
          <w:iCs/>
        </w:rPr>
        <w:t>pianificazione obiettivamente sostenibile</w:t>
      </w:r>
      <w:r w:rsidRPr="00EC0E7E">
        <w:rPr>
          <w:rFonts w:eastAsia="Arial" w:cs="Arial"/>
          <w:i/>
          <w:iCs/>
        </w:rPr>
        <w:t xml:space="preserve"> (DTF 138 II 398 consid. 3.9.3 e 3.9.4). </w:t>
      </w:r>
    </w:p>
    <w:p w:rsidR="00EC0E7E" w:rsidRPr="00EC0E7E" w:rsidRDefault="00EC0E7E" w:rsidP="00EC0E7E">
      <w:pPr>
        <w:contextualSpacing/>
        <w:rPr>
          <w:rFonts w:eastAsia="Arial" w:cs="Arial"/>
          <w:i/>
          <w:iCs/>
          <w:color w:val="244061"/>
        </w:rPr>
      </w:pPr>
      <w:r w:rsidRPr="00EC0E7E">
        <w:rPr>
          <w:rFonts w:eastAsia="Arial" w:cs="Arial"/>
          <w:i/>
          <w:iCs/>
          <w:color w:val="244061"/>
        </w:rPr>
        <w:t>…</w:t>
      </w:r>
    </w:p>
    <w:p w:rsidR="00EC0E7E" w:rsidRPr="00EC0E7E" w:rsidRDefault="00EC0E7E" w:rsidP="00EC0E7E">
      <w:pPr>
        <w:autoSpaceDE w:val="0"/>
        <w:autoSpaceDN w:val="0"/>
        <w:adjustRightInd w:val="0"/>
        <w:rPr>
          <w:rFonts w:eastAsia="Arial" w:cs="Arial"/>
          <w:i/>
          <w:iCs/>
          <w:color w:val="000000"/>
        </w:rPr>
      </w:pPr>
      <w:r w:rsidRPr="00EC0E7E">
        <w:rPr>
          <w:rFonts w:eastAsia="Arial" w:cs="Arial"/>
          <w:i/>
          <w:iCs/>
          <w:color w:val="000000"/>
        </w:rPr>
        <w:t xml:space="preserve">Nel valutare </w:t>
      </w:r>
      <w:r w:rsidRPr="00EC0E7E">
        <w:rPr>
          <w:rFonts w:eastAsia="Arial" w:cs="Arial"/>
          <w:bCs/>
          <w:i/>
          <w:iCs/>
          <w:color w:val="000000"/>
        </w:rPr>
        <w:t>l'economicità</w:t>
      </w:r>
      <w:r w:rsidRPr="00EC0E7E">
        <w:rPr>
          <w:rFonts w:eastAsia="Arial" w:cs="Arial"/>
          <w:i/>
          <w:iCs/>
          <w:color w:val="000000"/>
        </w:rPr>
        <w:t xml:space="preserve"> e la </w:t>
      </w:r>
      <w:r w:rsidRPr="00EC0E7E">
        <w:rPr>
          <w:rFonts w:eastAsia="Arial" w:cs="Arial"/>
          <w:bCs/>
          <w:i/>
          <w:iCs/>
          <w:color w:val="000000"/>
        </w:rPr>
        <w:t>qualità</w:t>
      </w:r>
      <w:r w:rsidRPr="00EC0E7E">
        <w:rPr>
          <w:rFonts w:eastAsia="Arial" w:cs="Arial"/>
          <w:i/>
          <w:iCs/>
          <w:color w:val="000000"/>
        </w:rPr>
        <w:t xml:space="preserve"> (della fornitura delle prestazioni), i Cantoni considerano in particolare </w:t>
      </w:r>
      <w:r w:rsidRPr="00EC0E7E">
        <w:rPr>
          <w:rFonts w:eastAsia="Arial" w:cs="Arial"/>
          <w:bCs/>
          <w:i/>
          <w:iCs/>
          <w:color w:val="000000"/>
        </w:rPr>
        <w:t>l'efficienza</w:t>
      </w:r>
      <w:r w:rsidRPr="00EC0E7E">
        <w:rPr>
          <w:rFonts w:eastAsia="Arial" w:cs="Arial"/>
          <w:i/>
          <w:iCs/>
          <w:color w:val="000000"/>
        </w:rPr>
        <w:t xml:space="preserve"> della fornitura di prestazioni (lett. a), la </w:t>
      </w:r>
      <w:r w:rsidRPr="00EC0E7E">
        <w:rPr>
          <w:rFonts w:eastAsia="Arial" w:cs="Arial"/>
          <w:bCs/>
          <w:i/>
          <w:iCs/>
          <w:color w:val="000000"/>
        </w:rPr>
        <w:t>prova della qualità</w:t>
      </w:r>
      <w:r w:rsidRPr="00EC0E7E">
        <w:rPr>
          <w:rFonts w:eastAsia="Arial" w:cs="Arial"/>
          <w:i/>
          <w:iCs/>
          <w:color w:val="000000"/>
        </w:rPr>
        <w:t xml:space="preserve"> necessaria (lett. b) e, nel settore ospedaliero, il </w:t>
      </w:r>
      <w:r w:rsidRPr="00EC0E7E">
        <w:rPr>
          <w:rFonts w:eastAsia="Arial" w:cs="Arial"/>
          <w:bCs/>
          <w:i/>
          <w:iCs/>
          <w:color w:val="000000"/>
        </w:rPr>
        <w:t>numero minimo di casi</w:t>
      </w:r>
      <w:r w:rsidRPr="00EC0E7E">
        <w:rPr>
          <w:rFonts w:eastAsia="Arial" w:cs="Arial"/>
          <w:i/>
          <w:iCs/>
          <w:color w:val="000000"/>
        </w:rPr>
        <w:t xml:space="preserve"> e lo sfruttamento di </w:t>
      </w:r>
      <w:r w:rsidRPr="00EC0E7E">
        <w:rPr>
          <w:rFonts w:eastAsia="Arial" w:cs="Arial"/>
          <w:bCs/>
          <w:i/>
          <w:iCs/>
          <w:color w:val="000000"/>
        </w:rPr>
        <w:t>sinergie</w:t>
      </w:r>
      <w:r w:rsidRPr="00EC0E7E">
        <w:rPr>
          <w:rFonts w:eastAsia="Arial" w:cs="Arial"/>
          <w:i/>
          <w:iCs/>
          <w:color w:val="000000"/>
        </w:rPr>
        <w:t xml:space="preserve">. </w:t>
      </w:r>
    </w:p>
    <w:p w:rsidR="00EC0E7E" w:rsidRPr="00EC0E7E" w:rsidRDefault="00EC0E7E" w:rsidP="00EC0E7E">
      <w:pPr>
        <w:contextualSpacing/>
        <w:rPr>
          <w:rFonts w:eastAsia="Arial" w:cs="Arial"/>
          <w:i/>
          <w:iCs/>
          <w:color w:val="244061"/>
        </w:rPr>
      </w:pPr>
      <w:r w:rsidRPr="00EC0E7E">
        <w:rPr>
          <w:rFonts w:eastAsia="Arial" w:cs="Arial"/>
          <w:i/>
          <w:iCs/>
          <w:color w:val="244061"/>
        </w:rPr>
        <w:t>…</w:t>
      </w:r>
    </w:p>
    <w:p w:rsidR="00EC0E7E" w:rsidRPr="00EC0E7E" w:rsidRDefault="00EC0E7E" w:rsidP="00EC0E7E">
      <w:pPr>
        <w:autoSpaceDE w:val="0"/>
        <w:autoSpaceDN w:val="0"/>
        <w:adjustRightInd w:val="0"/>
        <w:rPr>
          <w:rFonts w:eastAsia="Arial" w:cs="Arial"/>
          <w:i/>
          <w:iCs/>
          <w:color w:val="000000"/>
        </w:rPr>
      </w:pPr>
      <w:r w:rsidRPr="00EC0E7E">
        <w:rPr>
          <w:rFonts w:eastAsia="Arial" w:cs="Arial"/>
          <w:i/>
          <w:iCs/>
          <w:color w:val="000000"/>
        </w:rPr>
        <w:t xml:space="preserve">Anche se con la revisione della LAMal sul finanziamento ospedaliero, il legislatore ha voluto promuovere la concorrenza tra fornitori di prestazioni, la concorrenza non sostituisce la pianificazione ospedaliera intesa a coprire il fabbisogno di cure. Di principio, la pianificazione del fabbisogno è adeguata al fabbisogno di cure </w:t>
      </w:r>
      <w:r w:rsidRPr="00EC0E7E">
        <w:rPr>
          <w:rFonts w:eastAsia="Arial" w:cs="Arial"/>
          <w:bCs/>
          <w:i/>
          <w:iCs/>
          <w:color w:val="000000"/>
        </w:rPr>
        <w:t>quando copre questo fabbisogno, ma non più del fabbisogno</w:t>
      </w:r>
      <w:r w:rsidRPr="00EC0E7E">
        <w:rPr>
          <w:rFonts w:eastAsia="Arial" w:cs="Arial"/>
          <w:i/>
          <w:iCs/>
          <w:color w:val="000000"/>
        </w:rPr>
        <w:t xml:space="preserve">. </w:t>
      </w:r>
      <w:r w:rsidRPr="00EC0E7E">
        <w:rPr>
          <w:rFonts w:eastAsia="Arial" w:cs="Arial"/>
          <w:bCs/>
          <w:i/>
          <w:iCs/>
          <w:color w:val="000000"/>
        </w:rPr>
        <w:t>Solo il numero di ospedali necessari per coprire il fabbisogno di cure dovrebbe essere ammesso</w:t>
      </w:r>
      <w:r w:rsidRPr="00EC0E7E">
        <w:rPr>
          <w:rFonts w:eastAsia="Arial" w:cs="Arial"/>
          <w:i/>
          <w:iCs/>
          <w:color w:val="000000"/>
        </w:rPr>
        <w:t xml:space="preserve"> ad esercitare prestazioni a carico dell'assicurazione obbligatoria delle cure medico-sanitarie</w:t>
      </w:r>
    </w:p>
    <w:p w:rsidR="00EC0E7E" w:rsidRPr="00EC0E7E" w:rsidRDefault="00EC0E7E" w:rsidP="00EC0E7E">
      <w:pPr>
        <w:contextualSpacing/>
        <w:rPr>
          <w:rFonts w:eastAsia="Arial" w:cs="Arial"/>
          <w:i/>
          <w:iCs/>
        </w:rPr>
      </w:pPr>
      <w:r w:rsidRPr="00EC0E7E">
        <w:rPr>
          <w:rFonts w:eastAsia="Arial" w:cs="Arial"/>
          <w:i/>
          <w:iCs/>
        </w:rPr>
        <w:t>…</w:t>
      </w:r>
    </w:p>
    <w:p w:rsidR="00EC0E7E" w:rsidRPr="00EC0E7E" w:rsidRDefault="00EC0E7E" w:rsidP="00EC0E7E">
      <w:pPr>
        <w:contextualSpacing/>
        <w:rPr>
          <w:rFonts w:eastAsia="Arial" w:cs="Arial"/>
          <w:i/>
          <w:iCs/>
        </w:rPr>
      </w:pPr>
      <w:r w:rsidRPr="00EC0E7E">
        <w:rPr>
          <w:rFonts w:eastAsia="Arial" w:cs="Arial"/>
          <w:i/>
          <w:iCs/>
        </w:rPr>
        <w:t xml:space="preserve">La LAMal in particolare stabilisce che gli istituti che forniscono cure stazionarie devono adempiere a </w:t>
      </w:r>
      <w:r w:rsidRPr="00EC0E7E">
        <w:rPr>
          <w:rFonts w:eastAsia="Arial" w:cs="Arial"/>
          <w:bCs/>
          <w:i/>
          <w:iCs/>
        </w:rPr>
        <w:t>requisiti di qualità</w:t>
      </w:r>
      <w:r w:rsidRPr="00EC0E7E">
        <w:rPr>
          <w:rFonts w:eastAsia="Arial" w:cs="Arial"/>
          <w:i/>
          <w:iCs/>
        </w:rPr>
        <w:t xml:space="preserve"> delle prestazioni erogate e di </w:t>
      </w:r>
      <w:r w:rsidRPr="00EC0E7E">
        <w:rPr>
          <w:rFonts w:eastAsia="Arial" w:cs="Arial"/>
          <w:bCs/>
          <w:i/>
          <w:iCs/>
        </w:rPr>
        <w:t>economicità</w:t>
      </w:r>
      <w:r w:rsidRPr="00EC0E7E">
        <w:rPr>
          <w:rFonts w:eastAsia="Arial" w:cs="Arial"/>
          <w:i/>
          <w:iCs/>
        </w:rPr>
        <w:t xml:space="preserve"> ai fini sia del finanziamento delle prestazioni di cura sia del riconoscimento degli istituti nelle pianificazioni ospedaliere cantonali.</w:t>
      </w:r>
    </w:p>
    <w:p w:rsidR="00EC0E7E" w:rsidRPr="00EC0E7E" w:rsidRDefault="00EC0E7E" w:rsidP="00EC0E7E">
      <w:pPr>
        <w:contextualSpacing/>
        <w:rPr>
          <w:rFonts w:eastAsia="Arial" w:cs="Arial"/>
          <w:i/>
          <w:iCs/>
        </w:rPr>
      </w:pPr>
      <w:r w:rsidRPr="00EC0E7E">
        <w:rPr>
          <w:rFonts w:eastAsia="Arial" w:cs="Arial"/>
          <w:i/>
          <w:iCs/>
        </w:rPr>
        <w:lastRenderedPageBreak/>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Oltre ai requisiti di qualità e di economicità, sono requisiti generali anche </w:t>
      </w:r>
      <w:r w:rsidRPr="00EC0E7E">
        <w:rPr>
          <w:rFonts w:eastAsia="Arial" w:cs="Arial"/>
          <w:bCs/>
          <w:i/>
          <w:iCs/>
        </w:rPr>
        <w:t xml:space="preserve">l'obbligo di ammissione di tutti i pazienti, </w:t>
      </w:r>
      <w:r w:rsidRPr="00EC0E7E">
        <w:rPr>
          <w:rFonts w:eastAsia="Arial" w:cs="Arial"/>
          <w:i/>
          <w:iCs/>
        </w:rPr>
        <w:t xml:space="preserve">indipendentemente dal tipo di copertura assicurativa, e la garanzia di </w:t>
      </w:r>
      <w:r w:rsidRPr="00EC0E7E">
        <w:rPr>
          <w:rFonts w:eastAsia="Arial" w:cs="Arial"/>
          <w:bCs/>
          <w:i/>
          <w:iCs/>
        </w:rPr>
        <w:t>accessibilità alle cure entro un termine utile</w:t>
      </w:r>
      <w:r w:rsidRPr="00EC0E7E">
        <w:rPr>
          <w:rFonts w:eastAsia="Arial" w:cs="Arial"/>
          <w:i/>
          <w:iCs/>
        </w:rPr>
        <w:t xml:space="preserve"> (art. 41a LAMal).</w:t>
      </w:r>
    </w:p>
    <w:p w:rsidR="00EC0E7E" w:rsidRPr="00EC0E7E" w:rsidRDefault="00EC0E7E" w:rsidP="00EC0E7E">
      <w:pPr>
        <w:autoSpaceDE w:val="0"/>
        <w:autoSpaceDN w:val="0"/>
        <w:adjustRightInd w:val="0"/>
        <w:rPr>
          <w:rFonts w:eastAsia="Arial" w:cs="Arial"/>
          <w:i/>
          <w:iCs/>
        </w:rPr>
      </w:pPr>
      <w:r w:rsidRPr="00EC0E7E">
        <w:rPr>
          <w:rFonts w:eastAsia="Arial" w:cs="Arial"/>
          <w:i/>
          <w:iCs/>
        </w:rPr>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Un concetto per la garanzia della qualità, l'esistenza di un </w:t>
      </w:r>
      <w:r w:rsidRPr="00EC0E7E">
        <w:rPr>
          <w:rFonts w:eastAsia="Arial" w:cs="Arial"/>
          <w:bCs/>
          <w:i/>
          <w:iCs/>
        </w:rPr>
        <w:t>Critical Incident Reporting System</w:t>
      </w:r>
      <w:r w:rsidRPr="00EC0E7E">
        <w:rPr>
          <w:rFonts w:eastAsia="Arial" w:cs="Arial"/>
          <w:i/>
          <w:iCs/>
        </w:rPr>
        <w:t xml:space="preserve"> (CIRS), la partecipazione regolare alle misurazioni degli indicatori di qualità definite </w:t>
      </w:r>
      <w:r w:rsidRPr="00EC0E7E">
        <w:rPr>
          <w:rFonts w:eastAsia="Arial" w:cs="Arial"/>
          <w:bCs/>
          <w:i/>
          <w:iCs/>
        </w:rPr>
        <w:t>dall'Associazione nazionale per lo sviluppo della qualità in ospedali e cliniche (ANQ)</w:t>
      </w:r>
      <w:r w:rsidRPr="00EC0E7E">
        <w:rPr>
          <w:rFonts w:eastAsia="Arial" w:cs="Arial"/>
          <w:i/>
          <w:iCs/>
        </w:rPr>
        <w:t xml:space="preserve">, i sondaggi regolari sul </w:t>
      </w:r>
      <w:r w:rsidRPr="00EC0E7E">
        <w:rPr>
          <w:rFonts w:eastAsia="Arial" w:cs="Arial"/>
          <w:bCs/>
          <w:i/>
          <w:iCs/>
        </w:rPr>
        <w:t>grado di soddisfazione dei pazienti</w:t>
      </w:r>
      <w:r w:rsidRPr="00EC0E7E">
        <w:rPr>
          <w:rFonts w:eastAsia="Arial" w:cs="Arial"/>
          <w:i/>
          <w:iCs/>
        </w:rPr>
        <w:t xml:space="preserve">. </w:t>
      </w:r>
    </w:p>
    <w:p w:rsidR="00EC0E7E" w:rsidRPr="00EC0E7E" w:rsidRDefault="00EC0E7E" w:rsidP="00EC0E7E">
      <w:pPr>
        <w:autoSpaceDE w:val="0"/>
        <w:autoSpaceDN w:val="0"/>
        <w:adjustRightInd w:val="0"/>
        <w:rPr>
          <w:rFonts w:eastAsia="Arial" w:cs="Arial"/>
          <w:i/>
          <w:iCs/>
        </w:rPr>
      </w:pPr>
      <w:r w:rsidRPr="00EC0E7E">
        <w:rPr>
          <w:rFonts w:eastAsia="Arial" w:cs="Arial"/>
          <w:i/>
          <w:iCs/>
        </w:rPr>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Permettere la concorrenza a livello di qualità, la pianificazione deve creare </w:t>
      </w:r>
      <w:r w:rsidRPr="00EC0E7E">
        <w:rPr>
          <w:rFonts w:eastAsia="Arial" w:cs="Arial"/>
          <w:bCs/>
          <w:i/>
          <w:iCs/>
        </w:rPr>
        <w:t>le condizioni sufficienti per promuovere l'economicità della fornitura delle prestazioni e la concorrenza a livello di qualità</w:t>
      </w:r>
      <w:r w:rsidRPr="00EC0E7E">
        <w:rPr>
          <w:rFonts w:eastAsia="Arial" w:cs="Arial"/>
          <w:i/>
          <w:iCs/>
        </w:rPr>
        <w:t xml:space="preserve">. Nel nuovo sistema, che determina i criteri pianificatori, dovrebbe crearsi l'incentivo per la fornitura di </w:t>
      </w:r>
      <w:r w:rsidRPr="00EC0E7E">
        <w:rPr>
          <w:rFonts w:eastAsia="Arial" w:cs="Arial"/>
          <w:bCs/>
          <w:i/>
          <w:iCs/>
        </w:rPr>
        <w:t>prestazioni più economiche e di migliore qualità</w:t>
      </w:r>
      <w:r w:rsidRPr="00EC0E7E">
        <w:rPr>
          <w:rFonts w:eastAsia="Arial" w:cs="Arial"/>
          <w:i/>
          <w:iCs/>
        </w:rPr>
        <w:t xml:space="preserve">. In questo senso, dovrebbe essere data la possibilità ai fornitori di prestazioni di migliore qualità di guadagnare quote di mercato a scapito dei fornitori di qualità inferiore. </w:t>
      </w:r>
    </w:p>
    <w:p w:rsidR="00EC0E7E" w:rsidRPr="00EC0E7E" w:rsidRDefault="00EC0E7E" w:rsidP="00EC0E7E">
      <w:pPr>
        <w:contextualSpacing/>
        <w:rPr>
          <w:rFonts w:eastAsia="Arial" w:cs="Arial"/>
          <w:i/>
          <w:iCs/>
        </w:rPr>
      </w:pPr>
      <w:r w:rsidRPr="00EC0E7E">
        <w:rPr>
          <w:rFonts w:eastAsia="Arial" w:cs="Arial"/>
          <w:i/>
          <w:iCs/>
        </w:rPr>
        <w:t>…</w:t>
      </w:r>
    </w:p>
    <w:p w:rsidR="00EC0E7E" w:rsidRPr="00EC0E7E" w:rsidRDefault="00EC0E7E" w:rsidP="00EC0E7E">
      <w:pPr>
        <w:autoSpaceDE w:val="0"/>
        <w:autoSpaceDN w:val="0"/>
        <w:adjustRightInd w:val="0"/>
        <w:rPr>
          <w:rFonts w:eastAsia="Arial" w:cs="Arial"/>
          <w:i/>
          <w:iCs/>
        </w:rPr>
      </w:pPr>
      <w:r w:rsidRPr="00EC0E7E">
        <w:rPr>
          <w:rFonts w:eastAsia="Arial" w:cs="Arial"/>
          <w:i/>
          <w:iCs/>
        </w:rPr>
        <w:t xml:space="preserve">Più in generale, </w:t>
      </w:r>
      <w:r w:rsidRPr="00EC0E7E">
        <w:rPr>
          <w:rFonts w:eastAsia="Arial" w:cs="Arial"/>
          <w:bCs/>
          <w:i/>
          <w:iCs/>
        </w:rPr>
        <w:t>il sistema di finanziamento tratta gli ospedali pubblici e privati</w:t>
      </w:r>
      <w:r w:rsidRPr="00EC0E7E">
        <w:rPr>
          <w:rFonts w:eastAsia="Arial" w:cs="Arial"/>
          <w:i/>
          <w:iCs/>
        </w:rPr>
        <w:t xml:space="preserve"> (autorizzati ad esercitare a carico dell'assicurazione obbligatoria delle cure medico-sanitarie) </w:t>
      </w:r>
      <w:r w:rsidRPr="00EC0E7E">
        <w:rPr>
          <w:rFonts w:eastAsia="Arial" w:cs="Arial"/>
          <w:bCs/>
          <w:i/>
          <w:iCs/>
        </w:rPr>
        <w:t>allo stesso modo</w:t>
      </w:r>
      <w:r w:rsidRPr="00EC0E7E">
        <w:rPr>
          <w:rFonts w:eastAsia="Arial" w:cs="Arial"/>
          <w:i/>
          <w:iCs/>
        </w:rPr>
        <w:t xml:space="preserve"> per quanto concerne il loro finanziamento. La preesistente differenza di trattamento, voluta dal legislatore, tra gli ospedali pubblici e quelli privati è stata quindi soppressa e vi è ora </w:t>
      </w:r>
      <w:r w:rsidRPr="00EC0E7E">
        <w:rPr>
          <w:rFonts w:eastAsia="Arial" w:cs="Arial"/>
          <w:bCs/>
          <w:i/>
          <w:iCs/>
        </w:rPr>
        <w:t>di principio un diritto alla parità di trattamento</w:t>
      </w:r>
      <w:r w:rsidRPr="00EC0E7E">
        <w:rPr>
          <w:rFonts w:eastAsia="Arial" w:cs="Arial"/>
          <w:i/>
          <w:iCs/>
        </w:rPr>
        <w:t xml:space="preserve"> anche in tale contesto, dato che ora gli ospedali pubblici sono in concorrenza diretta con quelli privati. </w:t>
      </w:r>
    </w:p>
    <w:p w:rsidR="00EC0E7E" w:rsidRPr="00EC0E7E" w:rsidRDefault="00EC0E7E" w:rsidP="00EC0E7E">
      <w:pPr>
        <w:contextualSpacing/>
        <w:rPr>
          <w:rFonts w:eastAsia="Arial" w:cs="Arial"/>
          <w:i/>
          <w:iCs/>
        </w:rPr>
      </w:pPr>
    </w:p>
    <w:p w:rsidR="00EC0E7E" w:rsidRPr="00EC0E7E" w:rsidRDefault="00EC0E7E" w:rsidP="00EC0E7E">
      <w:pPr>
        <w:autoSpaceDE w:val="0"/>
        <w:autoSpaceDN w:val="0"/>
        <w:adjustRightInd w:val="0"/>
        <w:rPr>
          <w:rFonts w:eastAsia="Arial" w:cs="Arial"/>
          <w:i/>
          <w:iCs/>
        </w:rPr>
      </w:pPr>
      <w:r w:rsidRPr="00EC0E7E">
        <w:rPr>
          <w:rFonts w:eastAsia="Arial" w:cs="Arial"/>
          <w:i/>
          <w:iCs/>
        </w:rPr>
        <w:t>Giova pure rammentare che anche nell'ambito della pianificazione ospedaliera, secondo la legislazione federale in vigore</w:t>
      </w:r>
      <w:r w:rsidRPr="00EC0E7E">
        <w:rPr>
          <w:rFonts w:eastAsia="Arial" w:cs="Arial"/>
          <w:bCs/>
          <w:i/>
          <w:iCs/>
        </w:rPr>
        <w:t>, non è esclusa una concentrazione dell'offerta verso quei fornitori di prestazione che possono vantare un numero di casi più elevato</w:t>
      </w:r>
      <w:r w:rsidRPr="00EC0E7E">
        <w:rPr>
          <w:rFonts w:eastAsia="Arial" w:cs="Arial"/>
          <w:i/>
          <w:iCs/>
        </w:rPr>
        <w:t xml:space="preserve">. Tuttavia, ciò presuppone comunque l'effettuazione di una pianificazione ospedaliera conforme al diritto federale (segnatamente dal profilo della </w:t>
      </w:r>
      <w:r w:rsidRPr="00EC0E7E">
        <w:rPr>
          <w:rFonts w:eastAsia="Arial" w:cs="Arial"/>
          <w:bCs/>
          <w:i/>
          <w:iCs/>
        </w:rPr>
        <w:t>determinazione del fabbisogno e dell'esame dell'economicità e della qualità</w:t>
      </w:r>
      <w:r w:rsidRPr="00EC0E7E">
        <w:rPr>
          <w:rFonts w:eastAsia="Arial" w:cs="Arial"/>
          <w:i/>
          <w:iCs/>
        </w:rPr>
        <w:t>) e una scelta di concentrazione che non incorra in un eccesso od un abuso del potere di apprezzamento.</w:t>
      </w:r>
    </w:p>
    <w:p w:rsidR="00EC0E7E" w:rsidRPr="00EC0E7E" w:rsidRDefault="00EC0E7E" w:rsidP="00EC0E7E">
      <w:pPr>
        <w:contextualSpacing/>
        <w:rPr>
          <w:rFonts w:eastAsia="Arial" w:cs="Arial"/>
          <w:szCs w:val="24"/>
        </w:rPr>
      </w:pPr>
    </w:p>
    <w:p w:rsidR="00EC0E7E" w:rsidRPr="00EC0E7E" w:rsidRDefault="00EC0E7E" w:rsidP="00EC0E7E">
      <w:pPr>
        <w:contextualSpacing/>
        <w:rPr>
          <w:rFonts w:eastAsia="Arial" w:cs="Arial"/>
          <w:szCs w:val="24"/>
        </w:rPr>
      </w:pPr>
      <w:r w:rsidRPr="00EC0E7E">
        <w:rPr>
          <w:rFonts w:eastAsia="Arial" w:cs="Arial"/>
          <w:szCs w:val="24"/>
        </w:rPr>
        <w:t xml:space="preserve">Senza voler semplificare eccessivamente un tema sicuramente molto complesso ma volendo sottolineare gli aspetti essenziali da considerare, la sentenza citata precisa che la pianificazione ospedaliera cantonale deve: </w:t>
      </w:r>
    </w:p>
    <w:p w:rsidR="00EC0E7E" w:rsidRPr="00EC0E7E" w:rsidRDefault="00EC0E7E" w:rsidP="00EC0E7E">
      <w:pPr>
        <w:numPr>
          <w:ilvl w:val="0"/>
          <w:numId w:val="22"/>
        </w:numPr>
        <w:ind w:left="284" w:hanging="284"/>
        <w:contextualSpacing/>
        <w:rPr>
          <w:rFonts w:eastAsia="Arial" w:cs="Arial"/>
          <w:szCs w:val="24"/>
        </w:rPr>
      </w:pPr>
      <w:r w:rsidRPr="00EC0E7E">
        <w:rPr>
          <w:rFonts w:eastAsia="Arial" w:cs="Arial"/>
          <w:szCs w:val="24"/>
        </w:rPr>
        <w:t xml:space="preserve">basarsi su una solida </w:t>
      </w:r>
      <w:r w:rsidRPr="00EC0E7E">
        <w:rPr>
          <w:rFonts w:eastAsia="Arial" w:cs="Arial"/>
          <w:bCs/>
          <w:szCs w:val="24"/>
        </w:rPr>
        <w:t>analisi del bisogno</w:t>
      </w:r>
      <w:r w:rsidRPr="00EC0E7E">
        <w:rPr>
          <w:rFonts w:eastAsia="Arial" w:cs="Arial"/>
          <w:szCs w:val="24"/>
        </w:rPr>
        <w:t>;</w:t>
      </w:r>
    </w:p>
    <w:p w:rsidR="00EC0E7E" w:rsidRPr="00EC0E7E" w:rsidRDefault="00EC0E7E" w:rsidP="00EC0E7E">
      <w:pPr>
        <w:numPr>
          <w:ilvl w:val="0"/>
          <w:numId w:val="22"/>
        </w:numPr>
        <w:ind w:left="284" w:hanging="284"/>
        <w:contextualSpacing/>
        <w:rPr>
          <w:rFonts w:eastAsia="Arial" w:cs="Arial"/>
          <w:szCs w:val="24"/>
        </w:rPr>
      </w:pPr>
      <w:r w:rsidRPr="00EC0E7E">
        <w:rPr>
          <w:rFonts w:eastAsia="Arial" w:cs="Arial"/>
          <w:szCs w:val="24"/>
        </w:rPr>
        <w:t xml:space="preserve">presentare una valutazione chiara e trasparente relativa ai </w:t>
      </w:r>
      <w:r w:rsidRPr="00EC0E7E">
        <w:rPr>
          <w:rFonts w:eastAsia="Arial" w:cs="Arial"/>
          <w:b/>
          <w:bCs/>
          <w:szCs w:val="24"/>
        </w:rPr>
        <w:t>criteri di economicità e qualità</w:t>
      </w:r>
      <w:r w:rsidRPr="00EC0E7E">
        <w:rPr>
          <w:rFonts w:eastAsia="Arial" w:cs="Arial"/>
          <w:szCs w:val="24"/>
        </w:rPr>
        <w:t xml:space="preserve"> delle prestazioni erogate dagli istituti considerati;</w:t>
      </w:r>
    </w:p>
    <w:p w:rsidR="00EC0E7E" w:rsidRPr="00EC0E7E" w:rsidRDefault="00EC0E7E" w:rsidP="00EC0E7E">
      <w:pPr>
        <w:numPr>
          <w:ilvl w:val="0"/>
          <w:numId w:val="22"/>
        </w:numPr>
        <w:ind w:left="284" w:hanging="284"/>
        <w:contextualSpacing/>
        <w:rPr>
          <w:rFonts w:eastAsia="Arial" w:cs="Arial"/>
          <w:szCs w:val="24"/>
        </w:rPr>
      </w:pPr>
      <w:r w:rsidRPr="00EC0E7E">
        <w:rPr>
          <w:rFonts w:eastAsia="Arial" w:cs="Arial"/>
          <w:bCs/>
          <w:szCs w:val="24"/>
        </w:rPr>
        <w:t>trattare allo stesso modo gli istituti pubblici e quelli privati</w:t>
      </w:r>
      <w:r w:rsidRPr="00EC0E7E">
        <w:rPr>
          <w:rFonts w:eastAsia="Arial" w:cs="Arial"/>
          <w:szCs w:val="24"/>
        </w:rPr>
        <w:t>.</w:t>
      </w:r>
    </w:p>
    <w:p w:rsidR="00EC0E7E" w:rsidRPr="00EC0E7E" w:rsidRDefault="00EC0E7E" w:rsidP="00EC0E7E">
      <w:pPr>
        <w:contextualSpacing/>
        <w:rPr>
          <w:rFonts w:eastAsia="Arial" w:cs="Arial"/>
          <w:szCs w:val="24"/>
        </w:rPr>
      </w:pPr>
      <w:r w:rsidRPr="00EC0E7E">
        <w:rPr>
          <w:rFonts w:eastAsia="Arial" w:cs="Arial"/>
          <w:szCs w:val="24"/>
        </w:rPr>
        <w:t>Rispettati questi principi, il Cantone ha le competenze per impostare una pianificazione ospedaliera che tenga conto delle necessità della propria popolazione, delle caratteristiche del proprio territorio e degli attori esistenti.</w:t>
      </w:r>
    </w:p>
    <w:p w:rsidR="00EC0E7E" w:rsidRPr="00EC0E7E" w:rsidRDefault="00EC0E7E" w:rsidP="00EC0E7E">
      <w:pPr>
        <w:contextualSpacing/>
        <w:rPr>
          <w:rFonts w:eastAsia="Arial" w:cs="Arial"/>
          <w:szCs w:val="24"/>
        </w:rPr>
      </w:pPr>
    </w:p>
    <w:p w:rsidR="00EC0E7E" w:rsidRDefault="00EC0E7E" w:rsidP="00EC0E7E">
      <w:pPr>
        <w:contextualSpacing/>
        <w:rPr>
          <w:rFonts w:eastAsia="Arial" w:cs="Arial"/>
          <w:szCs w:val="24"/>
        </w:rPr>
      </w:pPr>
    </w:p>
    <w:p w:rsidR="002C065C" w:rsidRDefault="002C065C">
      <w:pPr>
        <w:rPr>
          <w:rFonts w:eastAsia="Arial" w:cs="Arial"/>
          <w:szCs w:val="24"/>
        </w:rPr>
      </w:pPr>
      <w:r>
        <w:rPr>
          <w:rFonts w:eastAsia="Arial" w:cs="Arial"/>
          <w:szCs w:val="24"/>
        </w:rPr>
        <w:br w:type="page"/>
      </w:r>
    </w:p>
    <w:p w:rsidR="00EC0E7E" w:rsidRPr="00EC0E7E" w:rsidRDefault="00EC0E7E" w:rsidP="00EC0E7E">
      <w:pPr>
        <w:pStyle w:val="Titolo1"/>
        <w:numPr>
          <w:ilvl w:val="0"/>
          <w:numId w:val="24"/>
        </w:numPr>
        <w:tabs>
          <w:tab w:val="left" w:pos="567"/>
        </w:tabs>
        <w:spacing w:before="0"/>
        <w:ind w:left="567" w:hanging="567"/>
        <w:jc w:val="both"/>
        <w:rPr>
          <w:rFonts w:eastAsia="Calibri" w:cs="Times New Roman"/>
          <w:caps/>
          <w:sz w:val="24"/>
          <w:szCs w:val="24"/>
          <w:lang w:val="it-IT" w:eastAsia="it-IT"/>
        </w:rPr>
      </w:pPr>
      <w:bookmarkStart w:id="13" w:name="_Toc183013494"/>
      <w:r w:rsidRPr="00EC0E7E">
        <w:rPr>
          <w:rFonts w:eastAsia="Calibri" w:cs="Times New Roman"/>
          <w:caps/>
          <w:sz w:val="24"/>
          <w:szCs w:val="24"/>
          <w:lang w:val="it-IT" w:eastAsia="it-IT"/>
        </w:rPr>
        <w:lastRenderedPageBreak/>
        <w:t>Il quadro ospedaliero in svizzera</w:t>
      </w:r>
      <w:bookmarkEnd w:id="13"/>
    </w:p>
    <w:p w:rsidR="00EC0E7E" w:rsidRPr="00EC0E7E" w:rsidRDefault="00EC0E7E" w:rsidP="00EC0E7E">
      <w:pPr>
        <w:spacing w:before="120"/>
        <w:contextualSpacing/>
        <w:rPr>
          <w:rFonts w:eastAsia="Arial" w:cs="Arial"/>
          <w:sz w:val="24"/>
          <w:szCs w:val="24"/>
        </w:rPr>
      </w:pPr>
      <w:r w:rsidRPr="00EC0E7E">
        <w:rPr>
          <w:rFonts w:eastAsia="Arial" w:cs="Arial"/>
          <w:sz w:val="24"/>
          <w:szCs w:val="24"/>
        </w:rPr>
        <w:t>La cronaca recente di oltre Gottardo ha riportato in modo ripetuto e frequente di difficili situazioni finanziarie di molte strutture ospedaliere.</w:t>
      </w:r>
    </w:p>
    <w:p w:rsidR="00EC0E7E" w:rsidRPr="00EC0E7E" w:rsidRDefault="00EC0E7E" w:rsidP="00EC0E7E">
      <w:pPr>
        <w:spacing w:before="120"/>
        <w:contextualSpacing/>
        <w:rPr>
          <w:rFonts w:eastAsia="Arial" w:cs="Arial"/>
          <w:sz w:val="24"/>
          <w:szCs w:val="24"/>
        </w:rPr>
      </w:pPr>
      <w:r w:rsidRPr="00EC0E7E">
        <w:rPr>
          <w:rFonts w:eastAsia="Arial" w:cs="Arial"/>
          <w:sz w:val="24"/>
          <w:szCs w:val="24"/>
        </w:rPr>
        <w:t>Alcuni dati riferiti al rispettivo consuntivo 2023:</w:t>
      </w:r>
    </w:p>
    <w:p w:rsidR="00EC0E7E" w:rsidRPr="00EC0E7E" w:rsidRDefault="00EC0E7E" w:rsidP="00EC0E7E">
      <w:pPr>
        <w:tabs>
          <w:tab w:val="left" w:pos="284"/>
          <w:tab w:val="left" w:pos="2835"/>
          <w:tab w:val="left" w:pos="4536"/>
        </w:tabs>
        <w:spacing w:before="120"/>
        <w:contextualSpacing/>
        <w:rPr>
          <w:rFonts w:eastAsia="Arial" w:cs="Arial"/>
          <w:sz w:val="24"/>
          <w:szCs w:val="24"/>
        </w:rPr>
      </w:pPr>
    </w:p>
    <w:p w:rsidR="00EC0E7E" w:rsidRPr="00EC0E7E" w:rsidRDefault="00EC0E7E" w:rsidP="00EC0E7E">
      <w:pPr>
        <w:tabs>
          <w:tab w:val="left" w:pos="284"/>
          <w:tab w:val="left" w:pos="2835"/>
          <w:tab w:val="left" w:pos="5529"/>
        </w:tabs>
        <w:spacing w:before="120"/>
        <w:contextualSpacing/>
        <w:rPr>
          <w:rFonts w:eastAsia="Arial" w:cs="Arial"/>
          <w:b/>
          <w:bCs/>
          <w:sz w:val="24"/>
          <w:szCs w:val="24"/>
        </w:rPr>
      </w:pPr>
      <w:r w:rsidRPr="00EC0E7E">
        <w:rPr>
          <w:rFonts w:eastAsia="Arial" w:cs="Arial"/>
          <w:b/>
          <w:bCs/>
          <w:sz w:val="24"/>
          <w:szCs w:val="24"/>
        </w:rPr>
        <w:t>Ospedale</w:t>
      </w:r>
      <w:r w:rsidRPr="00EC0E7E">
        <w:rPr>
          <w:rFonts w:eastAsia="Arial" w:cs="Arial"/>
          <w:b/>
          <w:bCs/>
          <w:sz w:val="24"/>
          <w:szCs w:val="24"/>
        </w:rPr>
        <w:tab/>
        <w:t xml:space="preserve">Costi d’esercizio </w:t>
      </w:r>
      <w:r w:rsidRPr="00EC0E7E">
        <w:rPr>
          <w:rFonts w:eastAsia="Arial" w:cs="Arial"/>
          <w:b/>
          <w:bCs/>
          <w:sz w:val="24"/>
          <w:szCs w:val="24"/>
        </w:rPr>
        <w:tab/>
        <w:t>Risultato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rPr>
      </w:pPr>
      <w:r w:rsidRPr="00EC0E7E">
        <w:rPr>
          <w:rFonts w:eastAsia="Arial" w:cs="Arial"/>
          <w:sz w:val="24"/>
          <w:szCs w:val="24"/>
        </w:rPr>
        <w:t xml:space="preserve">Gruppo Insel </w:t>
      </w:r>
      <w:r w:rsidRPr="00EC0E7E">
        <w:rPr>
          <w:rFonts w:eastAsia="Arial" w:cs="Arial"/>
          <w:sz w:val="24"/>
          <w:szCs w:val="24"/>
        </w:rPr>
        <w:tab/>
        <w:t>1'844 mio</w:t>
      </w:r>
      <w:r w:rsidRPr="00EC0E7E">
        <w:rPr>
          <w:rFonts w:eastAsia="Arial" w:cs="Arial"/>
          <w:sz w:val="24"/>
          <w:szCs w:val="24"/>
        </w:rPr>
        <w:tab/>
        <w:t>- 112 mio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rPr>
      </w:pPr>
      <w:r w:rsidRPr="00EC0E7E">
        <w:rPr>
          <w:rFonts w:eastAsia="Arial" w:cs="Arial"/>
          <w:sz w:val="24"/>
          <w:szCs w:val="24"/>
        </w:rPr>
        <w:t xml:space="preserve">Universspital Zürich </w:t>
      </w:r>
      <w:r w:rsidRPr="00EC0E7E">
        <w:rPr>
          <w:rFonts w:eastAsia="Arial" w:cs="Arial"/>
          <w:sz w:val="24"/>
          <w:szCs w:val="24"/>
        </w:rPr>
        <w:tab/>
        <w:t>1'578 mio</w:t>
      </w:r>
      <w:r w:rsidRPr="00EC0E7E">
        <w:rPr>
          <w:rFonts w:eastAsia="Arial" w:cs="Arial"/>
          <w:sz w:val="24"/>
          <w:szCs w:val="24"/>
        </w:rPr>
        <w:tab/>
        <w:t>- 49 mio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rPr>
      </w:pPr>
      <w:r w:rsidRPr="00EC0E7E">
        <w:rPr>
          <w:rFonts w:eastAsia="Arial" w:cs="Arial"/>
          <w:sz w:val="24"/>
          <w:szCs w:val="24"/>
        </w:rPr>
        <w:t>Spital Uster</w:t>
      </w:r>
      <w:r w:rsidRPr="00EC0E7E">
        <w:rPr>
          <w:rFonts w:eastAsia="Arial" w:cs="Arial"/>
          <w:sz w:val="24"/>
          <w:szCs w:val="24"/>
        </w:rPr>
        <w:tab/>
        <w:t xml:space="preserve">  160 mio</w:t>
      </w:r>
      <w:r w:rsidRPr="00EC0E7E">
        <w:rPr>
          <w:rFonts w:eastAsia="Arial" w:cs="Arial"/>
          <w:sz w:val="24"/>
          <w:szCs w:val="24"/>
        </w:rPr>
        <w:tab/>
        <w:t xml:space="preserve">    0.3 mio (nel 2022 - 5 mio)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lang w:val="de-CH"/>
        </w:rPr>
      </w:pPr>
      <w:r w:rsidRPr="00EC0E7E">
        <w:rPr>
          <w:rFonts w:eastAsia="Arial" w:cs="Arial"/>
          <w:sz w:val="24"/>
          <w:szCs w:val="24"/>
          <w:lang w:val="de-CH"/>
        </w:rPr>
        <w:t xml:space="preserve">Spital Chur </w:t>
      </w:r>
      <w:r w:rsidRPr="00EC0E7E">
        <w:rPr>
          <w:rFonts w:eastAsia="Arial" w:cs="Arial"/>
          <w:sz w:val="24"/>
          <w:szCs w:val="24"/>
          <w:lang w:val="de-CH"/>
        </w:rPr>
        <w:tab/>
        <w:t xml:space="preserve">  487 mio</w:t>
      </w:r>
      <w:r w:rsidRPr="00EC0E7E">
        <w:rPr>
          <w:rFonts w:eastAsia="Arial" w:cs="Arial"/>
          <w:sz w:val="24"/>
          <w:szCs w:val="24"/>
          <w:lang w:val="de-CH"/>
        </w:rPr>
        <w:tab/>
        <w:t xml:space="preserve">    2.5 mio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lang w:val="de-CH"/>
        </w:rPr>
      </w:pPr>
      <w:r w:rsidRPr="00EC0E7E">
        <w:rPr>
          <w:rFonts w:eastAsia="Arial" w:cs="Arial"/>
          <w:sz w:val="24"/>
          <w:szCs w:val="24"/>
          <w:lang w:val="de-CH"/>
        </w:rPr>
        <w:t>Spital Wetzikon</w:t>
      </w:r>
      <w:r w:rsidRPr="00EC0E7E">
        <w:rPr>
          <w:rFonts w:eastAsia="Arial" w:cs="Arial"/>
          <w:sz w:val="24"/>
          <w:szCs w:val="24"/>
          <w:lang w:val="de-CH"/>
        </w:rPr>
        <w:tab/>
        <w:t xml:space="preserve">  152 mio</w:t>
      </w:r>
      <w:r w:rsidRPr="00EC0E7E">
        <w:rPr>
          <w:rFonts w:eastAsia="Arial" w:cs="Arial"/>
          <w:sz w:val="24"/>
          <w:szCs w:val="24"/>
          <w:lang w:val="de-CH"/>
        </w:rPr>
        <w:tab/>
        <w:t>- 11 mio</w:t>
      </w:r>
    </w:p>
    <w:p w:rsidR="00EC0E7E" w:rsidRPr="00EC0E7E" w:rsidRDefault="00EC0E7E" w:rsidP="00EC0E7E">
      <w:pPr>
        <w:tabs>
          <w:tab w:val="left" w:pos="284"/>
          <w:tab w:val="left" w:pos="2835"/>
          <w:tab w:val="left" w:pos="5529"/>
        </w:tabs>
        <w:spacing w:before="120"/>
        <w:contextualSpacing/>
        <w:rPr>
          <w:rFonts w:eastAsia="Arial" w:cs="Arial"/>
          <w:sz w:val="24"/>
          <w:szCs w:val="24"/>
          <w:lang w:val="de-CH"/>
        </w:rPr>
      </w:pP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lang w:val="de-CH"/>
        </w:rPr>
      </w:pPr>
      <w:r w:rsidRPr="00EC0E7E">
        <w:rPr>
          <w:rFonts w:eastAsia="Arial" w:cs="Arial"/>
          <w:sz w:val="24"/>
          <w:szCs w:val="24"/>
          <w:lang w:val="de-CH"/>
        </w:rPr>
        <w:t xml:space="preserve">EOC </w:t>
      </w:r>
      <w:r w:rsidRPr="00EC0E7E">
        <w:rPr>
          <w:rFonts w:eastAsia="Arial" w:cs="Arial"/>
          <w:sz w:val="24"/>
          <w:szCs w:val="24"/>
          <w:lang w:val="de-CH"/>
        </w:rPr>
        <w:tab/>
        <w:t xml:space="preserve">  908 mio</w:t>
      </w:r>
      <w:r w:rsidRPr="00EC0E7E">
        <w:rPr>
          <w:rFonts w:eastAsia="Arial" w:cs="Arial"/>
          <w:sz w:val="24"/>
          <w:szCs w:val="24"/>
          <w:lang w:val="de-CH"/>
        </w:rPr>
        <w:tab/>
        <w:t xml:space="preserve">    3 mio</w:t>
      </w:r>
    </w:p>
    <w:p w:rsidR="00EC0E7E" w:rsidRPr="00EC0E7E" w:rsidRDefault="00EC0E7E" w:rsidP="00EC0E7E">
      <w:pPr>
        <w:numPr>
          <w:ilvl w:val="0"/>
          <w:numId w:val="22"/>
        </w:numPr>
        <w:tabs>
          <w:tab w:val="left" w:pos="284"/>
          <w:tab w:val="left" w:pos="2835"/>
          <w:tab w:val="left" w:pos="5529"/>
        </w:tabs>
        <w:spacing w:before="120"/>
        <w:ind w:left="0" w:firstLine="0"/>
        <w:contextualSpacing/>
        <w:rPr>
          <w:rFonts w:eastAsia="Arial" w:cs="Arial"/>
          <w:sz w:val="24"/>
          <w:szCs w:val="24"/>
          <w:lang w:val="de-CH"/>
        </w:rPr>
      </w:pPr>
      <w:r w:rsidRPr="00EC0E7E">
        <w:rPr>
          <w:rFonts w:eastAsia="Arial" w:cs="Arial"/>
          <w:sz w:val="24"/>
          <w:szCs w:val="24"/>
          <w:lang w:val="de-CH"/>
        </w:rPr>
        <w:t>Clinica Moncucco</w:t>
      </w:r>
      <w:r w:rsidRPr="00EC0E7E">
        <w:rPr>
          <w:rFonts w:eastAsia="Arial" w:cs="Arial"/>
          <w:sz w:val="24"/>
          <w:szCs w:val="24"/>
          <w:lang w:val="de-CH"/>
        </w:rPr>
        <w:tab/>
        <w:t xml:space="preserve">  155 mio</w:t>
      </w:r>
      <w:r w:rsidRPr="00EC0E7E">
        <w:rPr>
          <w:rFonts w:eastAsia="Arial" w:cs="Arial"/>
          <w:sz w:val="24"/>
          <w:szCs w:val="24"/>
          <w:lang w:val="de-CH"/>
        </w:rPr>
        <w:tab/>
        <w:t xml:space="preserve">  </w:t>
      </w:r>
      <w:r w:rsidRPr="00EC0E7E">
        <w:rPr>
          <w:rFonts w:eastAsia="Arial" w:cs="Arial"/>
          <w:sz w:val="24"/>
          <w:szCs w:val="24"/>
          <w:lang w:val="de-CH"/>
        </w:rPr>
        <w:tab/>
        <w:t xml:space="preserve">  0.1 mio</w:t>
      </w:r>
    </w:p>
    <w:p w:rsidR="00EC0E7E" w:rsidRPr="00EC0E7E" w:rsidRDefault="00EC0E7E" w:rsidP="00EC0E7E">
      <w:pPr>
        <w:contextualSpacing/>
        <w:rPr>
          <w:rFonts w:eastAsia="Arial" w:cs="Times New Roman"/>
          <w:sz w:val="24"/>
          <w:szCs w:val="24"/>
          <w:lang w:val="de-CH"/>
        </w:rPr>
      </w:pPr>
    </w:p>
    <w:p w:rsidR="00EC0E7E" w:rsidRPr="00EC0E7E" w:rsidRDefault="00EC0E7E" w:rsidP="00EC0E7E">
      <w:pPr>
        <w:contextualSpacing/>
        <w:rPr>
          <w:rFonts w:eastAsia="Arial" w:cs="Times New Roman"/>
          <w:sz w:val="24"/>
          <w:szCs w:val="24"/>
        </w:rPr>
      </w:pPr>
      <w:r w:rsidRPr="00EC0E7E">
        <w:rPr>
          <w:rFonts w:eastAsia="Arial" w:cs="Times New Roman"/>
          <w:sz w:val="24"/>
          <w:szCs w:val="24"/>
        </w:rPr>
        <w:t>Oltre Gottardo parecchi ospedali hanno chiuso con deficit importanti e lamentano una situazione finanziaria precaria. L’Inselspital ha annunciato un piano di ristrutturazione, mentre l’ospedale di Wetzikon lotta per la propria sopravvivenza.</w:t>
      </w:r>
    </w:p>
    <w:p w:rsidR="00EC0E7E" w:rsidRPr="00EC0E7E" w:rsidRDefault="00EC0E7E" w:rsidP="00EC0E7E">
      <w:pPr>
        <w:contextualSpacing/>
        <w:rPr>
          <w:rFonts w:eastAsia="Arial" w:cs="Times New Roman"/>
          <w:sz w:val="24"/>
          <w:szCs w:val="24"/>
        </w:rPr>
      </w:pPr>
      <w:r w:rsidRPr="00EC0E7E">
        <w:rPr>
          <w:rFonts w:eastAsia="Arial" w:cs="Times New Roman"/>
          <w:sz w:val="24"/>
          <w:szCs w:val="24"/>
        </w:rPr>
        <w:t xml:space="preserve">In generale si riporta una situazione di generale fragilità finanziaria che mette le strutture ospedaliere sotto una forte pressione. Non è diversa la situazione in Ticino in cui è bene evidente che, a fronte delle necessità di continuo rinnovo infrastrutturale e tecnico, i margini finanziari sono piuttosto limitati e richiedono grande attenzione. </w:t>
      </w:r>
    </w:p>
    <w:p w:rsidR="00EC0E7E" w:rsidRPr="00EC0E7E" w:rsidRDefault="00EC0E7E" w:rsidP="00EC0E7E">
      <w:pPr>
        <w:contextualSpacing/>
        <w:rPr>
          <w:rFonts w:eastAsia="Arial" w:cs="Times New Roman"/>
          <w:sz w:val="24"/>
          <w:szCs w:val="24"/>
        </w:rPr>
      </w:pPr>
    </w:p>
    <w:p w:rsidR="00EC0E7E" w:rsidRPr="00EC0E7E" w:rsidRDefault="00EC0E7E" w:rsidP="00EC0E7E">
      <w:pPr>
        <w:contextualSpacing/>
        <w:rPr>
          <w:rFonts w:eastAsia="Arial" w:cs="Times New Roman"/>
          <w:sz w:val="24"/>
          <w:szCs w:val="24"/>
        </w:rPr>
      </w:pPr>
      <w:r w:rsidRPr="00EC0E7E">
        <w:rPr>
          <w:rFonts w:eastAsia="Arial" w:cs="Times New Roman"/>
          <w:sz w:val="24"/>
          <w:szCs w:val="24"/>
        </w:rPr>
        <w:t xml:space="preserve">Esula dalle possibilità di questo rapporto un’analisi approfondita e strutturata del criterio dell’economicità confrontando le singole strutture ospedaliere presenti su suolo ticinese, anche perché molto diverse tra loro. </w:t>
      </w:r>
    </w:p>
    <w:p w:rsidR="00EC0E7E" w:rsidRPr="00EC0E7E" w:rsidRDefault="00EC0E7E" w:rsidP="00EC0E7E">
      <w:pPr>
        <w:contextualSpacing/>
        <w:rPr>
          <w:rFonts w:eastAsia="Arial" w:cs="Times New Roman"/>
          <w:sz w:val="24"/>
          <w:szCs w:val="24"/>
        </w:rPr>
      </w:pPr>
      <w:r w:rsidRPr="00EC0E7E">
        <w:rPr>
          <w:rFonts w:eastAsia="Arial" w:cs="Times New Roman"/>
          <w:sz w:val="24"/>
          <w:szCs w:val="24"/>
        </w:rPr>
        <w:t xml:space="preserve">Sul piano nazionale i diversi ospedali vengono suddivisi in categorie. </w:t>
      </w:r>
    </w:p>
    <w:p w:rsidR="00EC0E7E" w:rsidRPr="00EC0E7E" w:rsidRDefault="00EC0E7E" w:rsidP="00EC0E7E">
      <w:pPr>
        <w:contextualSpacing/>
        <w:rPr>
          <w:rFonts w:eastAsia="Arial" w:cs="Times New Roman"/>
          <w:sz w:val="24"/>
          <w:szCs w:val="24"/>
        </w:rPr>
      </w:pPr>
    </w:p>
    <w:p w:rsidR="00EC0E7E" w:rsidRPr="00EC0E7E" w:rsidRDefault="00EC0E7E" w:rsidP="00EC0E7E">
      <w:pPr>
        <w:contextualSpacing/>
        <w:rPr>
          <w:rFonts w:eastAsia="Arial" w:cs="Arial"/>
          <w:sz w:val="24"/>
          <w:szCs w:val="24"/>
        </w:rPr>
      </w:pPr>
      <w:r w:rsidRPr="00EC0E7E">
        <w:rPr>
          <w:rFonts w:eastAsia="Arial" w:cs="Arial"/>
          <w:sz w:val="24"/>
          <w:szCs w:val="24"/>
        </w:rPr>
        <w:t>Ci sembra utile precisare che l’EOC, nel confronto con altre strutture ospedaliere della stessa categoria in Svizzera, presenta costi del tutto in linea, rispettivamente nell’ultimo quartile pur essendo una struttura multisito con tutto quanto questo comporta.</w:t>
      </w:r>
    </w:p>
    <w:p w:rsidR="00EC0E7E" w:rsidRPr="00EC0E7E" w:rsidRDefault="00EC0E7E" w:rsidP="00EC0E7E">
      <w:pPr>
        <w:contextualSpacing/>
        <w:rPr>
          <w:rFonts w:eastAsia="Arial" w:cs="Arial"/>
          <w:sz w:val="24"/>
          <w:szCs w:val="24"/>
        </w:rPr>
      </w:pPr>
    </w:p>
    <w:p w:rsidR="00EC0E7E" w:rsidRPr="00EC0E7E" w:rsidRDefault="00EC0E7E" w:rsidP="00EC0E7E">
      <w:pPr>
        <w:contextualSpacing/>
        <w:rPr>
          <w:rFonts w:eastAsia="Arial" w:cs="Arial"/>
          <w:szCs w:val="24"/>
        </w:rPr>
      </w:pPr>
    </w:p>
    <w:p w:rsidR="00EC0E7E" w:rsidRPr="00EC0E7E" w:rsidRDefault="00EC0E7E" w:rsidP="00EC0E7E">
      <w:pPr>
        <w:contextualSpacing/>
        <w:rPr>
          <w:rFonts w:eastAsia="Arial" w:cs="Arial"/>
          <w:szCs w:val="24"/>
        </w:rPr>
      </w:pPr>
      <w:r w:rsidRPr="00EC0E7E">
        <w:rPr>
          <w:rFonts w:eastAsia="Arial" w:cs="Times New Roman"/>
          <w:noProof/>
          <w:lang w:eastAsia="it-CH"/>
        </w:rPr>
        <w:lastRenderedPageBreak/>
        <w:drawing>
          <wp:inline distT="0" distB="0" distL="0" distR="0" wp14:anchorId="68B286F9" wp14:editId="23F0E603">
            <wp:extent cx="6038850" cy="4387850"/>
            <wp:effectExtent l="0" t="0" r="0" b="0"/>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0E7E" w:rsidRPr="00EC0E7E" w:rsidRDefault="00EC0E7E" w:rsidP="00EC0E7E">
      <w:pPr>
        <w:contextualSpacing/>
        <w:rPr>
          <w:rFonts w:eastAsia="Arial" w:cs="Arial"/>
          <w:szCs w:val="24"/>
        </w:rPr>
      </w:pPr>
    </w:p>
    <w:p w:rsidR="00EC0E7E" w:rsidRPr="00EC0E7E" w:rsidRDefault="00EC0E7E" w:rsidP="00EC0E7E">
      <w:pPr>
        <w:contextualSpacing/>
        <w:rPr>
          <w:rFonts w:eastAsia="Arial" w:cs="Arial"/>
          <w:szCs w:val="24"/>
        </w:rPr>
      </w:pPr>
      <w:r w:rsidRPr="00EC0E7E">
        <w:rPr>
          <w:rFonts w:eastAsia="Arial" w:cs="Arial"/>
          <w:szCs w:val="24"/>
        </w:rPr>
        <w:t>Fonte “</w:t>
      </w:r>
      <w:r w:rsidRPr="00EC0E7E">
        <w:rPr>
          <w:rFonts w:eastAsia="Arial" w:cs="Times New Roman"/>
        </w:rPr>
        <w:t xml:space="preserve">SpitalBenchmark” </w:t>
      </w:r>
    </w:p>
    <w:p w:rsidR="00EC0E7E" w:rsidRDefault="00EC0E7E" w:rsidP="00EC0E7E">
      <w:pPr>
        <w:contextualSpacing/>
        <w:rPr>
          <w:rFonts w:eastAsia="Arial" w:cs="Arial"/>
          <w:szCs w:val="24"/>
        </w:rPr>
      </w:pPr>
    </w:p>
    <w:p w:rsidR="002C065C" w:rsidRPr="00EC0E7E" w:rsidRDefault="002C065C" w:rsidP="00EC0E7E">
      <w:pPr>
        <w:contextualSpacing/>
        <w:rPr>
          <w:rFonts w:eastAsia="Arial" w:cs="Arial"/>
          <w:szCs w:val="24"/>
        </w:rPr>
      </w:pPr>
    </w:p>
    <w:p w:rsidR="00EC0E7E" w:rsidRPr="00EC0E7E" w:rsidRDefault="00EC0E7E" w:rsidP="00EC0E7E">
      <w:pPr>
        <w:contextualSpacing/>
        <w:rPr>
          <w:rFonts w:eastAsia="Arial" w:cs="Times New Roman"/>
        </w:rPr>
      </w:pPr>
    </w:p>
    <w:p w:rsidR="00EC0E7E" w:rsidRPr="00EC0E7E" w:rsidRDefault="00EC0E7E" w:rsidP="00EC0E7E">
      <w:pPr>
        <w:pStyle w:val="Titolo1"/>
        <w:numPr>
          <w:ilvl w:val="0"/>
          <w:numId w:val="24"/>
        </w:numPr>
        <w:tabs>
          <w:tab w:val="left" w:pos="567"/>
        </w:tabs>
        <w:spacing w:before="0"/>
        <w:ind w:left="567" w:hanging="567"/>
        <w:jc w:val="both"/>
        <w:rPr>
          <w:rFonts w:eastAsia="Calibri" w:cs="Times New Roman"/>
          <w:caps/>
          <w:sz w:val="24"/>
          <w:szCs w:val="24"/>
          <w:lang w:val="it-IT" w:eastAsia="it-IT"/>
        </w:rPr>
      </w:pPr>
      <w:bookmarkStart w:id="14" w:name="_Toc183013495"/>
      <w:r w:rsidRPr="00EC0E7E">
        <w:rPr>
          <w:rFonts w:eastAsia="Calibri" w:cs="Times New Roman"/>
          <w:caps/>
          <w:sz w:val="24"/>
          <w:szCs w:val="24"/>
          <w:lang w:val="it-IT" w:eastAsia="it-IT"/>
        </w:rPr>
        <w:t>Considerazioni CGF</w:t>
      </w:r>
      <w:bookmarkEnd w:id="14"/>
    </w:p>
    <w:p w:rsidR="00EC0E7E" w:rsidRDefault="00EC0E7E" w:rsidP="00EC0E7E">
      <w:pPr>
        <w:contextualSpacing/>
        <w:rPr>
          <w:rFonts w:eastAsia="Arial" w:cs="Arial"/>
          <w:sz w:val="24"/>
          <w:szCs w:val="24"/>
        </w:rPr>
      </w:pPr>
      <w:r w:rsidRPr="00EC0E7E">
        <w:rPr>
          <w:rFonts w:eastAsia="Arial" w:cs="Arial"/>
          <w:sz w:val="24"/>
          <w:szCs w:val="24"/>
        </w:rPr>
        <w:t>La Commissione della gestione e delle finanze deve focalizzare le proprie osservazioni, coerentemente con il suo ruolo, sugli aspetti finanziari e quindi è chiamata a riflettere sugli elementi essenziali che determinano la spesa pubblica di questo importante compito dello Stato.</w:t>
      </w:r>
    </w:p>
    <w:p w:rsidR="002C065C" w:rsidRDefault="002C065C" w:rsidP="00EC0E7E">
      <w:pPr>
        <w:contextualSpacing/>
        <w:rPr>
          <w:rFonts w:eastAsia="Arial" w:cs="Arial"/>
          <w:sz w:val="24"/>
          <w:szCs w:val="24"/>
        </w:rPr>
      </w:pPr>
    </w:p>
    <w:p w:rsidR="002C065C" w:rsidRPr="00EC0E7E" w:rsidRDefault="002C065C" w:rsidP="00EC0E7E">
      <w:pPr>
        <w:contextualSpacing/>
        <w:rPr>
          <w:rFonts w:eastAsia="Arial" w:cs="Arial"/>
          <w:sz w:val="24"/>
          <w:szCs w:val="24"/>
        </w:rPr>
      </w:pPr>
    </w:p>
    <w:p w:rsidR="00EC0E7E" w:rsidRPr="00EC0E7E" w:rsidRDefault="00EC0E7E" w:rsidP="00EC0E7E">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15" w:name="_Toc183013496"/>
      <w:r w:rsidRPr="00EC0E7E">
        <w:rPr>
          <w:rFonts w:eastAsia="Calibri" w:cs="Times New Roman"/>
          <w:sz w:val="24"/>
          <w:lang w:val="it-IT" w:eastAsia="it-IT"/>
        </w:rPr>
        <w:t>Impostazione generale</w:t>
      </w:r>
      <w:bookmarkEnd w:id="15"/>
    </w:p>
    <w:p w:rsidR="00EC0E7E" w:rsidRPr="00EC0E7E" w:rsidRDefault="00EC0E7E" w:rsidP="00EC0E7E">
      <w:pPr>
        <w:rPr>
          <w:rFonts w:eastAsia="Arial" w:cs="Arial"/>
          <w:sz w:val="24"/>
          <w:szCs w:val="24"/>
        </w:rPr>
      </w:pPr>
      <w:r w:rsidRPr="00EC0E7E">
        <w:rPr>
          <w:rFonts w:eastAsia="Arial" w:cs="Arial"/>
          <w:sz w:val="24"/>
          <w:szCs w:val="24"/>
        </w:rPr>
        <w:t>La POC proposta cerca di trovare un comun denominatore che permetta a tutti gli attori di condividere una base di partenza non conflittuale per appunto evitare i già citati ricorsi il cui esito non è mai scontato.</w:t>
      </w:r>
    </w:p>
    <w:p w:rsidR="00EC0E7E" w:rsidRPr="00EC0E7E" w:rsidRDefault="00EC0E7E" w:rsidP="00EC0E7E">
      <w:pPr>
        <w:rPr>
          <w:rFonts w:eastAsia="Arial" w:cs="Arial"/>
          <w:sz w:val="24"/>
          <w:szCs w:val="24"/>
        </w:rPr>
      </w:pPr>
      <w:r w:rsidRPr="00EC0E7E">
        <w:rPr>
          <w:rFonts w:eastAsia="Arial" w:cs="Arial"/>
          <w:sz w:val="24"/>
          <w:szCs w:val="24"/>
        </w:rPr>
        <w:t>Tuttavia è altrettanto evidente che il Cantone ha la facoltà e il dovere di definire, pur all’interno di un quadro giuridico molto denso, un’impostazione della POC che sia pertinente tenendo conto dei fabbisogni della popolazione, dell’economicità delle prestazioni offerte, assicurando l’attesa qualità e limiti finanziari dello Stato che non possono essere infiniti.</w:t>
      </w:r>
    </w:p>
    <w:p w:rsidR="00EC0E7E" w:rsidRPr="00EC0E7E" w:rsidRDefault="00EC0E7E" w:rsidP="00EC0E7E">
      <w:pPr>
        <w:rPr>
          <w:rFonts w:eastAsia="Arial" w:cs="Arial"/>
          <w:sz w:val="24"/>
          <w:szCs w:val="24"/>
        </w:rPr>
      </w:pPr>
      <w:r w:rsidRPr="00EC0E7E">
        <w:rPr>
          <w:rFonts w:eastAsia="Arial" w:cs="Arial"/>
          <w:sz w:val="24"/>
          <w:szCs w:val="24"/>
        </w:rPr>
        <w:t>Il Cantone assume un ruolo di regolatore cruciale nel coordinare le offerte dei diversi attori, definendo ex ante delle regole chiare con indicatori espliciti e verificandoli costantemente.</w:t>
      </w:r>
    </w:p>
    <w:p w:rsidR="00EC0E7E" w:rsidRPr="00EC0E7E" w:rsidRDefault="00EC0E7E" w:rsidP="00EC0E7E">
      <w:pPr>
        <w:rPr>
          <w:rFonts w:eastAsia="Arial" w:cs="Arial"/>
          <w:sz w:val="24"/>
          <w:szCs w:val="24"/>
        </w:rPr>
      </w:pPr>
    </w:p>
    <w:p w:rsidR="00EC0E7E" w:rsidRPr="00EC0E7E" w:rsidRDefault="00EC0E7E" w:rsidP="00EC0E7E">
      <w:pPr>
        <w:rPr>
          <w:rFonts w:eastAsia="Arial" w:cs="Arial"/>
          <w:sz w:val="24"/>
          <w:szCs w:val="24"/>
        </w:rPr>
      </w:pPr>
      <w:r w:rsidRPr="00EC0E7E">
        <w:rPr>
          <w:rFonts w:eastAsia="Arial" w:cs="Arial"/>
          <w:sz w:val="24"/>
          <w:szCs w:val="24"/>
        </w:rPr>
        <w:lastRenderedPageBreak/>
        <w:t>In questo senso sarebbe auspicabile tenere conto di alcuni aspetti rilevanti in particolare per le conseguenze che possono avere nella gestione dei costi del settore:</w:t>
      </w:r>
    </w:p>
    <w:p w:rsidR="00EC0E7E" w:rsidRPr="00EC0E7E" w:rsidRDefault="00EC0E7E" w:rsidP="00EC0E7E">
      <w:pPr>
        <w:numPr>
          <w:ilvl w:val="0"/>
          <w:numId w:val="28"/>
        </w:numPr>
        <w:spacing w:before="120"/>
        <w:rPr>
          <w:rFonts w:eastAsia="Arial" w:cs="Arial"/>
          <w:sz w:val="24"/>
          <w:szCs w:val="24"/>
        </w:rPr>
      </w:pPr>
      <w:r w:rsidRPr="00EC0E7E">
        <w:rPr>
          <w:rFonts w:eastAsia="Arial" w:cs="Arial"/>
          <w:sz w:val="24"/>
          <w:szCs w:val="24"/>
        </w:rPr>
        <w:t>coordinazione delle diverse pianificazioni e del progressivo passaggio di prestazioni dallo stazionario verso il settore ambulatoriale: si tratta di una trasformazione che deve essere seguita con attenzione anche in relazione all’esito della votazione EFAS e alla regolamentazione sull’entrata in vigore di numeri massimi di medici nel settore ambulatoriale.</w:t>
      </w:r>
    </w:p>
    <w:p w:rsidR="00EC0E7E" w:rsidRPr="00EC0E7E" w:rsidRDefault="00EC0E7E" w:rsidP="00EC0E7E">
      <w:pPr>
        <w:numPr>
          <w:ilvl w:val="0"/>
          <w:numId w:val="28"/>
        </w:numPr>
        <w:spacing w:before="120" w:after="100" w:afterAutospacing="1"/>
        <w:rPr>
          <w:rFonts w:eastAsia="Arial" w:cs="Arial"/>
          <w:sz w:val="24"/>
          <w:szCs w:val="24"/>
        </w:rPr>
      </w:pPr>
      <w:r w:rsidRPr="00EC0E7E">
        <w:rPr>
          <w:rFonts w:eastAsia="Arial" w:cs="Arial"/>
          <w:sz w:val="24"/>
          <w:szCs w:val="24"/>
        </w:rPr>
        <w:t xml:space="preserve">La gestione dei percorsi diagnostici terapeutici assistenziali (PDTA) richiede probabilmente un’ulteriore precisazione per garantirne l’attesa efficacia.  </w:t>
      </w:r>
    </w:p>
    <w:p w:rsidR="00EC0E7E" w:rsidRPr="00EC0E7E" w:rsidRDefault="00EC0E7E" w:rsidP="00EC0E7E">
      <w:pPr>
        <w:numPr>
          <w:ilvl w:val="0"/>
          <w:numId w:val="28"/>
        </w:numPr>
        <w:spacing w:before="120" w:after="120"/>
        <w:rPr>
          <w:rFonts w:eastAsia="Arial" w:cs="Arial"/>
          <w:sz w:val="24"/>
          <w:szCs w:val="24"/>
        </w:rPr>
      </w:pPr>
      <w:r w:rsidRPr="00EC0E7E">
        <w:rPr>
          <w:rFonts w:eastAsia="Arial" w:cs="Arial"/>
          <w:sz w:val="24"/>
          <w:szCs w:val="24"/>
        </w:rPr>
        <w:t>Alla base dell’attribuzione dei mandati vi dovrebbero essere indicatori di qualità e economicità univoci e trasparenti che sarebbe auspicabile illustrare in modo esplicito prima della procedura.  Lo stesso ragionamento si pone per il criterio “quote di mercato”.</w:t>
      </w:r>
    </w:p>
    <w:p w:rsidR="00EC0E7E" w:rsidRPr="00EC0E7E" w:rsidRDefault="00EC0E7E" w:rsidP="00EC0E7E">
      <w:pPr>
        <w:numPr>
          <w:ilvl w:val="0"/>
          <w:numId w:val="28"/>
        </w:numPr>
        <w:spacing w:before="120" w:after="120"/>
        <w:rPr>
          <w:rFonts w:eastAsia="Arial" w:cs="Arial"/>
          <w:sz w:val="24"/>
          <w:szCs w:val="24"/>
        </w:rPr>
      </w:pPr>
      <w:r w:rsidRPr="00EC0E7E">
        <w:rPr>
          <w:rFonts w:eastAsia="Arial" w:cs="Arial"/>
          <w:sz w:val="24"/>
          <w:szCs w:val="24"/>
        </w:rPr>
        <w:t>Le modalità del monitoraggio del sistema e quindi delle regole poste è compito del DSS. In considerazione dei rapidi cambiamenti esistenti, ad esempio per quanto attiene lo spostamento di specialisti da una struttura all’altra, è auspicabile che il controllo sia annuale. Solo così si dà un senso al concetto di “rollende Planung”.</w:t>
      </w:r>
    </w:p>
    <w:p w:rsidR="00EC0E7E" w:rsidRPr="00EC0E7E" w:rsidRDefault="00EC0E7E" w:rsidP="00EC0E7E">
      <w:pPr>
        <w:numPr>
          <w:ilvl w:val="0"/>
          <w:numId w:val="28"/>
        </w:numPr>
        <w:contextualSpacing/>
        <w:rPr>
          <w:rFonts w:eastAsia="Arial" w:cs="Arial"/>
          <w:sz w:val="24"/>
          <w:szCs w:val="24"/>
        </w:rPr>
      </w:pPr>
      <w:r w:rsidRPr="00EC0E7E">
        <w:rPr>
          <w:rFonts w:eastAsia="Arial" w:cs="Arial"/>
          <w:sz w:val="24"/>
          <w:szCs w:val="24"/>
        </w:rPr>
        <w:t>Richiamando il modello di Zurigo in relazione alla fissazione dei numeri minimi, nell’abito della futura pianificazione ospedaliera sarebbe da valutare un approfondimento della possibile attribuzione dei mandati all’operatore piuttosto che alla struttura. È ben evidente che è diverso dire che una struttura ospedaliera in cui operano 4 specialisti ha effettuato 100 casi in una determinata specialità piuttosto che dire che lo stesso numero di casi sia stato trattato da un singolo medico specialista. Infatti a Zurigo il Governo si riserva un aggiornamento dei mandati ogni sei mesi proprio per poter seguire eventuali spostamenti del medico specialista e verificare la capacità della struttura di rimpiazzarlo garantendo le stesse competenze.</w:t>
      </w:r>
    </w:p>
    <w:p w:rsidR="00EC0E7E" w:rsidRPr="00EC0E7E" w:rsidRDefault="00EC0E7E" w:rsidP="00EC0E7E">
      <w:pPr>
        <w:numPr>
          <w:ilvl w:val="0"/>
          <w:numId w:val="28"/>
        </w:numPr>
        <w:spacing w:before="120" w:after="100" w:afterAutospacing="1"/>
        <w:rPr>
          <w:rFonts w:eastAsia="Arial" w:cs="Arial"/>
          <w:sz w:val="24"/>
          <w:szCs w:val="24"/>
        </w:rPr>
      </w:pPr>
      <w:r w:rsidRPr="00EC0E7E">
        <w:rPr>
          <w:rFonts w:eastAsia="Arial" w:cs="Arial"/>
          <w:sz w:val="24"/>
          <w:szCs w:val="24"/>
        </w:rPr>
        <w:t>Pur considerando il principio ribadito dalla citata sentenza del TAF che strutture pubbliche e quelle private siano da trattare allo stesso modo, è pur vero che in Ticino vi sono alcune specificità attribuite all’EOC che è opportuno menzionare considerandone l’incidenza sui costi di gestione:</w:t>
      </w:r>
    </w:p>
    <w:p w:rsidR="00EC0E7E" w:rsidRPr="00EC0E7E" w:rsidRDefault="00EC0E7E" w:rsidP="007B3D51">
      <w:pPr>
        <w:numPr>
          <w:ilvl w:val="1"/>
          <w:numId w:val="28"/>
        </w:numPr>
        <w:spacing w:before="80"/>
        <w:ind w:left="709" w:hanging="284"/>
        <w:rPr>
          <w:rFonts w:eastAsia="Arial" w:cs="Arial"/>
          <w:sz w:val="24"/>
          <w:szCs w:val="24"/>
        </w:rPr>
      </w:pPr>
      <w:r w:rsidRPr="00EC0E7E">
        <w:rPr>
          <w:rFonts w:eastAsia="Arial" w:cs="Arial"/>
          <w:sz w:val="24"/>
          <w:szCs w:val="24"/>
        </w:rPr>
        <w:t>le prestazioni di interesse generale;</w:t>
      </w:r>
    </w:p>
    <w:p w:rsidR="00EC0E7E" w:rsidRPr="00EC0E7E" w:rsidRDefault="00EC0E7E" w:rsidP="007B3D51">
      <w:pPr>
        <w:numPr>
          <w:ilvl w:val="1"/>
          <w:numId w:val="28"/>
        </w:numPr>
        <w:spacing w:before="80"/>
        <w:ind w:left="709" w:hanging="284"/>
        <w:rPr>
          <w:rFonts w:eastAsia="Arial" w:cs="Arial"/>
          <w:sz w:val="24"/>
          <w:szCs w:val="24"/>
        </w:rPr>
      </w:pPr>
      <w:r w:rsidRPr="00EC0E7E">
        <w:rPr>
          <w:rFonts w:eastAsia="Arial" w:cs="Arial"/>
          <w:sz w:val="24"/>
          <w:szCs w:val="24"/>
        </w:rPr>
        <w:t>è detentore unico delle MAS;</w:t>
      </w:r>
    </w:p>
    <w:p w:rsidR="00EC0E7E" w:rsidRPr="00EC0E7E" w:rsidRDefault="00EC0E7E" w:rsidP="007B3D51">
      <w:pPr>
        <w:numPr>
          <w:ilvl w:val="1"/>
          <w:numId w:val="28"/>
        </w:numPr>
        <w:spacing w:before="80"/>
        <w:ind w:left="709" w:hanging="284"/>
        <w:rPr>
          <w:rFonts w:eastAsia="Arial" w:cs="Arial"/>
          <w:sz w:val="24"/>
          <w:szCs w:val="24"/>
        </w:rPr>
      </w:pPr>
      <w:r w:rsidRPr="00EC0E7E">
        <w:rPr>
          <w:rFonts w:eastAsia="Arial" w:cs="Arial"/>
          <w:sz w:val="24"/>
          <w:szCs w:val="24"/>
        </w:rPr>
        <w:t>assicura la stragrande maggioranza dei posti di formazione per studenti di medicina e per medici assistenti;</w:t>
      </w:r>
    </w:p>
    <w:p w:rsidR="00EC0E7E" w:rsidRPr="00EC0E7E" w:rsidRDefault="00EC0E7E" w:rsidP="007B3D51">
      <w:pPr>
        <w:numPr>
          <w:ilvl w:val="1"/>
          <w:numId w:val="28"/>
        </w:numPr>
        <w:spacing w:before="80"/>
        <w:ind w:left="709" w:hanging="284"/>
        <w:rPr>
          <w:rFonts w:eastAsia="Arial" w:cs="Arial"/>
          <w:sz w:val="24"/>
          <w:szCs w:val="24"/>
        </w:rPr>
      </w:pPr>
      <w:r w:rsidRPr="00EC0E7E">
        <w:rPr>
          <w:rFonts w:eastAsia="Arial" w:cs="Arial"/>
          <w:sz w:val="24"/>
          <w:szCs w:val="24"/>
        </w:rPr>
        <w:t>è unico attore nelle urgenze complesse.</w:t>
      </w:r>
    </w:p>
    <w:p w:rsidR="00EC0E7E" w:rsidRPr="00EC0E7E" w:rsidRDefault="00EC0E7E" w:rsidP="00EC0E7E">
      <w:pPr>
        <w:rPr>
          <w:rFonts w:eastAsia="Arial" w:cs="Arial"/>
          <w:b/>
          <w:bCs/>
          <w:szCs w:val="24"/>
        </w:rPr>
      </w:pPr>
    </w:p>
    <w:p w:rsidR="00EC0E7E" w:rsidRPr="00EC0E7E" w:rsidRDefault="00EC0E7E" w:rsidP="00EC0E7E">
      <w:pPr>
        <w:rPr>
          <w:rFonts w:eastAsia="Arial" w:cs="Arial"/>
          <w:b/>
          <w:bCs/>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16" w:name="_Toc183013497"/>
      <w:r w:rsidRPr="007B3D51">
        <w:rPr>
          <w:rFonts w:eastAsia="Calibri" w:cs="Times New Roman"/>
          <w:sz w:val="24"/>
          <w:lang w:val="it-IT" w:eastAsia="it-IT"/>
        </w:rPr>
        <w:t>Quadro giuridico</w:t>
      </w:r>
      <w:bookmarkEnd w:id="16"/>
      <w:r w:rsidRPr="007B3D51">
        <w:rPr>
          <w:rFonts w:eastAsia="Calibri" w:cs="Times New Roman"/>
          <w:sz w:val="24"/>
          <w:lang w:val="it-IT" w:eastAsia="it-IT"/>
        </w:rPr>
        <w:t xml:space="preserve"> </w:t>
      </w:r>
    </w:p>
    <w:p w:rsidR="00EC0E7E" w:rsidRPr="007B3D51" w:rsidRDefault="00EC0E7E" w:rsidP="00EC0E7E">
      <w:pPr>
        <w:contextualSpacing/>
        <w:rPr>
          <w:rFonts w:eastAsia="Arial" w:cs="Arial"/>
          <w:sz w:val="24"/>
          <w:szCs w:val="24"/>
        </w:rPr>
      </w:pPr>
      <w:r w:rsidRPr="007B3D51">
        <w:rPr>
          <w:rFonts w:eastAsia="Arial" w:cs="Arial"/>
          <w:sz w:val="24"/>
          <w:szCs w:val="24"/>
        </w:rPr>
        <w:t>Il rapporto della CSSS ben riassume il quadro giuridico da considerare.</w:t>
      </w:r>
    </w:p>
    <w:p w:rsidR="00EC0E7E" w:rsidRPr="00EC0E7E" w:rsidRDefault="00EC0E7E" w:rsidP="00EC0E7E">
      <w:pPr>
        <w:contextualSpacing/>
        <w:rPr>
          <w:rFonts w:eastAsia="Arial" w:cs="Times New Roman"/>
          <w:i/>
          <w:iCs/>
        </w:rPr>
      </w:pPr>
    </w:p>
    <w:p w:rsidR="00EC0E7E" w:rsidRPr="00EC0E7E" w:rsidRDefault="00EC0E7E" w:rsidP="00EC0E7E">
      <w:pPr>
        <w:contextualSpacing/>
        <w:rPr>
          <w:rFonts w:eastAsia="Arial" w:cs="Times New Roman"/>
          <w:i/>
          <w:iCs/>
        </w:rPr>
      </w:pPr>
      <w:r w:rsidRPr="00EC0E7E">
        <w:rPr>
          <w:rFonts w:eastAsia="Arial" w:cs="Times New Roman"/>
          <w:i/>
          <w:iCs/>
        </w:rPr>
        <w:t>La basi giuridiche federali come LAMal e relativa ordinanza OAMal in cui si definiscono i criteri fondamentali di economicità, qualità, accessibilità alle cure in tempi utili, disponibilità e capacità dell'istituto ad adempiere al mandato di prestazioni.</w:t>
      </w:r>
    </w:p>
    <w:p w:rsidR="00EC0E7E" w:rsidRDefault="00EC0E7E" w:rsidP="00EC0E7E">
      <w:pPr>
        <w:contextualSpacing/>
        <w:rPr>
          <w:rFonts w:eastAsia="Arial" w:cs="Times New Roman"/>
          <w:i/>
          <w:iCs/>
        </w:rPr>
      </w:pPr>
      <w:r w:rsidRPr="00EC0E7E">
        <w:rPr>
          <w:rFonts w:eastAsia="Arial" w:cs="Times New Roman"/>
          <w:i/>
          <w:iCs/>
        </w:rPr>
        <w:t xml:space="preserve">La Legge cantonale LCAMal presuppone l'adempimento anche di una serie di criteri di struttura e di gestione definiti in un apposito regolamento del Consiglio di Stato (art. 63 cpv. 1 lett. a LCAMal). Il rinvio è al nuovo Regolamento sulla qualità e la sicurezza delle strutture ospedaliere, che è stato </w:t>
      </w:r>
      <w:r w:rsidRPr="00EC0E7E">
        <w:rPr>
          <w:rFonts w:eastAsia="Arial" w:cs="Times New Roman"/>
          <w:i/>
          <w:iCs/>
        </w:rPr>
        <w:lastRenderedPageBreak/>
        <w:t>approvato il 18 gennaio 2023 e che precisa le condizioni per il rilascio dell'autorizzazione d'esercizio agli ospedali. Assieme alla menzionata disposizione della LCAMal, esso risponde alle richieste formulate con l'iniziativa popolare legislativa elaborata "Per la qualità e sicurezza delle cure ospedaliere", presentata nel 2017.</w:t>
      </w:r>
    </w:p>
    <w:p w:rsidR="007B3D51" w:rsidRDefault="007B3D51" w:rsidP="00EC0E7E">
      <w:pPr>
        <w:contextualSpacing/>
        <w:rPr>
          <w:rFonts w:eastAsia="Arial" w:cs="Times New Roman"/>
          <w:i/>
          <w:iCs/>
        </w:rPr>
      </w:pPr>
    </w:p>
    <w:p w:rsidR="007B3D51" w:rsidRPr="00EC0E7E" w:rsidRDefault="007B3D51" w:rsidP="007B3D51">
      <w:pPr>
        <w:tabs>
          <w:tab w:val="left" w:pos="567"/>
        </w:tabs>
        <w:contextualSpacing/>
        <w:rPr>
          <w:rFonts w:eastAsia="Arial" w:cs="Arial"/>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17" w:name="_Toc183013498"/>
      <w:r w:rsidRPr="007B3D51">
        <w:rPr>
          <w:rFonts w:eastAsia="Calibri" w:cs="Times New Roman"/>
          <w:sz w:val="24"/>
          <w:lang w:val="it-IT" w:eastAsia="it-IT"/>
        </w:rPr>
        <w:t>Fabbisogno</w:t>
      </w:r>
      <w:bookmarkEnd w:id="17"/>
    </w:p>
    <w:p w:rsidR="00EC0E7E" w:rsidRPr="007B3D51" w:rsidRDefault="00EC0E7E" w:rsidP="007B3D51">
      <w:pPr>
        <w:contextualSpacing/>
        <w:rPr>
          <w:rFonts w:eastAsia="Arial" w:cs="Arial"/>
          <w:sz w:val="24"/>
          <w:szCs w:val="24"/>
        </w:rPr>
      </w:pPr>
      <w:r w:rsidRPr="007B3D51">
        <w:rPr>
          <w:rFonts w:eastAsia="Arial" w:cs="Arial"/>
          <w:sz w:val="24"/>
          <w:szCs w:val="24"/>
        </w:rPr>
        <w:t>Il primo fattore che deve essere considerato è certamente la valutazione del bisogno di cure sanitarie della popolazione ticinese.</w:t>
      </w:r>
    </w:p>
    <w:p w:rsidR="00EC0E7E" w:rsidRPr="007B3D51" w:rsidRDefault="00EC0E7E" w:rsidP="007B3D51">
      <w:pPr>
        <w:contextualSpacing/>
        <w:rPr>
          <w:rFonts w:eastAsia="Arial" w:cs="Arial"/>
          <w:sz w:val="24"/>
          <w:szCs w:val="24"/>
        </w:rPr>
      </w:pPr>
      <w:r w:rsidRPr="007B3D51">
        <w:rPr>
          <w:rFonts w:eastAsia="Arial" w:cs="Arial"/>
          <w:sz w:val="24"/>
          <w:szCs w:val="24"/>
        </w:rPr>
        <w:t>Il Consiglio di Stato, forse per maggior garanzia di oggettività tenendo conto delle criticità sollevate dalla sentenza del TAF citata, ha opportunamente chiesto alla “Gesundheitsdirektion” di Zurigo la verifica del fabbisogno del Ticino orizzonte 2032.</w:t>
      </w:r>
    </w:p>
    <w:p w:rsidR="00EC0E7E" w:rsidRPr="007B3D51" w:rsidRDefault="00EC0E7E" w:rsidP="007B3D51">
      <w:pPr>
        <w:contextualSpacing/>
        <w:rPr>
          <w:rFonts w:eastAsia="Arial" w:cs="Arial"/>
          <w:sz w:val="24"/>
          <w:szCs w:val="24"/>
        </w:rPr>
      </w:pPr>
      <w:r w:rsidRPr="007B3D51">
        <w:rPr>
          <w:rFonts w:eastAsia="Arial" w:cs="Arial"/>
          <w:sz w:val="24"/>
          <w:szCs w:val="24"/>
        </w:rPr>
        <w:t>Il rapporto riprende e conferma i risultati sul fabbisogno definiti secondo la metodologia della GD-ZH anche in considerazione che già in passato si era dimostrata attendibile.</w:t>
      </w:r>
    </w:p>
    <w:p w:rsidR="00EC0E7E" w:rsidRPr="007B3D51" w:rsidRDefault="00EC0E7E" w:rsidP="00EC0E7E">
      <w:pPr>
        <w:contextualSpacing/>
        <w:rPr>
          <w:rFonts w:eastAsia="Arial" w:cs="Arial"/>
          <w:sz w:val="24"/>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 xml:space="preserve">Le prospettive del settore ospedaliero indicate dal rapporto commissionale poggiano sul Rapporto SUPSI che ha integrato l’analisi del fabbisogno secondo la metodologia GD-ZH in una valutazione più ampia della situazione esistente. </w:t>
      </w:r>
    </w:p>
    <w:p w:rsidR="00EC0E7E" w:rsidRPr="007B3D51" w:rsidRDefault="00EC0E7E" w:rsidP="00EC0E7E">
      <w:pPr>
        <w:contextualSpacing/>
        <w:rPr>
          <w:rFonts w:eastAsia="Arial" w:cs="Arial"/>
          <w:sz w:val="24"/>
          <w:szCs w:val="24"/>
        </w:rPr>
      </w:pPr>
      <w:r w:rsidRPr="007B3D51">
        <w:rPr>
          <w:rFonts w:eastAsia="Arial" w:cs="Arial"/>
          <w:sz w:val="24"/>
          <w:szCs w:val="24"/>
        </w:rPr>
        <w:t xml:space="preserve">La CSSS considera equilibrato il rapporto SUPSI tenendo conto dei diversi interessi in gioco. </w:t>
      </w:r>
    </w:p>
    <w:p w:rsidR="00EC0E7E" w:rsidRPr="00EC0E7E" w:rsidRDefault="00EC0E7E" w:rsidP="00EC0E7E">
      <w:pPr>
        <w:contextualSpacing/>
        <w:rPr>
          <w:rFonts w:eastAsia="Arial" w:cs="Arial"/>
          <w:szCs w:val="24"/>
        </w:rPr>
      </w:pPr>
    </w:p>
    <w:p w:rsidR="00EC0E7E" w:rsidRPr="00EC0E7E" w:rsidRDefault="00EC0E7E" w:rsidP="00EC0E7E">
      <w:pPr>
        <w:contextualSpacing/>
        <w:rPr>
          <w:rFonts w:eastAsia="Arial" w:cs="Arial"/>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Arial" w:cs="Arial"/>
          <w:bCs/>
          <w:szCs w:val="24"/>
        </w:rPr>
      </w:pPr>
      <w:bookmarkStart w:id="18" w:name="_Toc183013499"/>
      <w:r w:rsidRPr="007B3D51">
        <w:rPr>
          <w:rFonts w:eastAsia="Calibri" w:cs="Times New Roman"/>
          <w:sz w:val="24"/>
          <w:lang w:val="it-IT" w:eastAsia="it-IT"/>
        </w:rPr>
        <w:t>Qualità</w:t>
      </w:r>
      <w:bookmarkEnd w:id="18"/>
    </w:p>
    <w:p w:rsidR="00EC0E7E" w:rsidRPr="007B3D51" w:rsidRDefault="00EC0E7E" w:rsidP="007B3D51">
      <w:pPr>
        <w:jc w:val="left"/>
        <w:rPr>
          <w:rFonts w:eastAsia="Arial" w:cs="Arial"/>
          <w:sz w:val="24"/>
          <w:szCs w:val="24"/>
        </w:rPr>
      </w:pPr>
      <w:r w:rsidRPr="007B3D51">
        <w:rPr>
          <w:rFonts w:eastAsia="Arial" w:cs="Arial"/>
          <w:sz w:val="24"/>
          <w:szCs w:val="24"/>
        </w:rPr>
        <w:t xml:space="preserve">Un secondo aspetto essenziale è riflettere sulle modalità che permettono di migliorare la qualità delle cure offerte in Ticino. Dal 2012 tutti gli istituti ospedalieri ticinesi hanno firmato il contratto nazionale di qualità con l’ANQ (Nationaler Verein für Qualitätsentwicklung in Spitälern und Kliniken – </w:t>
      </w:r>
      <w:r w:rsidRPr="007B3D51">
        <w:rPr>
          <w:rFonts w:eastAsia="Arial" w:cs="Times New Roman"/>
          <w:sz w:val="24"/>
          <w:szCs w:val="24"/>
        </w:rPr>
        <w:t>www.anq.ch/it/risultati-delle-misurazioni).</w:t>
      </w:r>
    </w:p>
    <w:p w:rsidR="00EC0E7E" w:rsidRPr="007B3D51" w:rsidRDefault="00EC0E7E" w:rsidP="007B3D51">
      <w:pPr>
        <w:jc w:val="left"/>
        <w:rPr>
          <w:rFonts w:eastAsia="Arial" w:cs="Arial"/>
          <w:color w:val="244061"/>
          <w:sz w:val="24"/>
          <w:szCs w:val="24"/>
        </w:rPr>
      </w:pPr>
      <w:r w:rsidRPr="007B3D51">
        <w:rPr>
          <w:rFonts w:eastAsia="Arial" w:cs="Arial"/>
          <w:sz w:val="24"/>
          <w:szCs w:val="24"/>
        </w:rPr>
        <w:t>Gli indicatori di qualità degli ospedali per cure acute svizzeri 2022 sono ripresi anche dal sito dell’Ufficio federale della sanità (</w:t>
      </w:r>
      <w:r w:rsidRPr="007B3D51">
        <w:rPr>
          <w:rFonts w:eastAsia="Arial" w:cs="Arial"/>
          <w:b/>
          <w:bCs/>
          <w:sz w:val="24"/>
          <w:szCs w:val="24"/>
        </w:rPr>
        <w:t xml:space="preserve"> </w:t>
      </w:r>
      <w:hyperlink r:id="rId17" w:history="1">
        <w:r w:rsidRPr="007B3D51">
          <w:rPr>
            <w:rFonts w:eastAsia="Arial" w:cs="Arial"/>
            <w:color w:val="000080"/>
            <w:sz w:val="24"/>
            <w:szCs w:val="24"/>
            <w:u w:val="single"/>
          </w:rPr>
          <w:t>www.bag.admin.ch/bag/it/home/zahlen-und-statistiken/zahlen-fakten-zu-spitaelern/qualitaetsindikatoren-der-schweizer-akutspitaeler.html</w:t>
        </w:r>
      </w:hyperlink>
      <w:r w:rsidRPr="007B3D51">
        <w:rPr>
          <w:rFonts w:eastAsia="Arial" w:cs="Arial"/>
          <w:color w:val="244061"/>
          <w:sz w:val="24"/>
          <w:szCs w:val="24"/>
        </w:rPr>
        <w:t>).</w:t>
      </w:r>
    </w:p>
    <w:p w:rsidR="00EC0E7E" w:rsidRPr="007B3D51" w:rsidRDefault="00EC0E7E" w:rsidP="007B3D51">
      <w:pPr>
        <w:rPr>
          <w:rFonts w:eastAsia="Arial" w:cs="Arial"/>
          <w:sz w:val="24"/>
          <w:szCs w:val="24"/>
        </w:rPr>
      </w:pPr>
    </w:p>
    <w:p w:rsidR="00EC0E7E" w:rsidRPr="007B3D51" w:rsidRDefault="00EC0E7E" w:rsidP="007B3D51">
      <w:pPr>
        <w:rPr>
          <w:rFonts w:eastAsia="Arial" w:cs="Times New Roman"/>
          <w:i/>
          <w:iCs/>
          <w:sz w:val="24"/>
          <w:szCs w:val="24"/>
        </w:rPr>
      </w:pPr>
      <w:r w:rsidRPr="007B3D51">
        <w:rPr>
          <w:rFonts w:eastAsia="Arial" w:cs="Arial"/>
          <w:sz w:val="24"/>
          <w:szCs w:val="24"/>
        </w:rPr>
        <w:t xml:space="preserve">Al proposito ci sembra importante sottolineare quanto detto nell’audizione del 31 agosto 2024 da parte dei vertici dell’EOC: </w:t>
      </w:r>
      <w:r w:rsidRPr="007B3D51">
        <w:rPr>
          <w:rFonts w:eastAsia="Arial" w:cs="Arial"/>
          <w:i/>
          <w:iCs/>
          <w:sz w:val="24"/>
          <w:szCs w:val="24"/>
        </w:rPr>
        <w:t>“</w:t>
      </w:r>
      <w:r w:rsidRPr="007B3D51">
        <w:rPr>
          <w:rFonts w:eastAsia="Arial" w:cs="Times New Roman"/>
          <w:i/>
          <w:iCs/>
          <w:sz w:val="24"/>
          <w:szCs w:val="24"/>
        </w:rPr>
        <w:t>Non centralizzare significherebbe mettere in pericolo la qualità delle cure”.</w:t>
      </w:r>
    </w:p>
    <w:p w:rsidR="00EC0E7E" w:rsidRPr="007B3D51" w:rsidRDefault="00EC0E7E" w:rsidP="007B3D51">
      <w:pPr>
        <w:rPr>
          <w:rFonts w:eastAsia="Arial" w:cs="Arial"/>
          <w:sz w:val="24"/>
          <w:szCs w:val="24"/>
        </w:rPr>
      </w:pPr>
      <w:r w:rsidRPr="007B3D51">
        <w:rPr>
          <w:rFonts w:eastAsia="Arial" w:cs="Arial"/>
          <w:sz w:val="24"/>
          <w:szCs w:val="24"/>
        </w:rPr>
        <w:t>Considerando che in Ticino in alcune specialità non si raggiungono i numeri minimi attesi, i medici specialisti privilegeranno altre destinazioni ciò che a medio e lungo termine indebolirà la qualità dell’offerta ospedaliera in Ticino a favore dei centri di oltre Gottardo. Ricordiamo che oggi Zurigo dista in treno soli 90 minuti da Bellinzona.</w:t>
      </w:r>
    </w:p>
    <w:p w:rsidR="00EC0E7E" w:rsidRPr="007B3D51" w:rsidRDefault="00EC0E7E" w:rsidP="007B3D51">
      <w:pPr>
        <w:rPr>
          <w:rFonts w:eastAsia="Arial" w:cs="Arial"/>
          <w:sz w:val="24"/>
          <w:szCs w:val="24"/>
        </w:rPr>
      </w:pPr>
    </w:p>
    <w:p w:rsidR="00EC0E7E" w:rsidRPr="007B3D51" w:rsidRDefault="00EC0E7E" w:rsidP="007B3D51">
      <w:pPr>
        <w:rPr>
          <w:rFonts w:eastAsia="Arial" w:cs="Arial"/>
          <w:sz w:val="24"/>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19" w:name="_Toc183013500"/>
      <w:r w:rsidRPr="007B3D51">
        <w:rPr>
          <w:rFonts w:eastAsia="Calibri" w:cs="Times New Roman"/>
          <w:sz w:val="24"/>
          <w:lang w:val="it-IT" w:eastAsia="it-IT"/>
        </w:rPr>
        <w:t>Procedure</w:t>
      </w:r>
      <w:bookmarkEnd w:id="19"/>
    </w:p>
    <w:p w:rsidR="00EC0E7E" w:rsidRPr="007B3D51" w:rsidRDefault="00EC0E7E" w:rsidP="00EC0E7E">
      <w:pPr>
        <w:ind w:right="-1"/>
        <w:rPr>
          <w:rFonts w:eastAsia="Arial" w:cs="Arial"/>
          <w:sz w:val="24"/>
          <w:szCs w:val="24"/>
        </w:rPr>
      </w:pPr>
      <w:r w:rsidRPr="007B3D51">
        <w:rPr>
          <w:rFonts w:eastAsia="Arial" w:cs="Arial"/>
          <w:sz w:val="24"/>
          <w:szCs w:val="24"/>
        </w:rPr>
        <w:t xml:space="preserve">La procedura per l’attribuzione dei mandati deve essere rigorosa tenendo conto degli elementi contestati nella decisione del TF del 2019. </w:t>
      </w:r>
    </w:p>
    <w:p w:rsidR="00EC0E7E" w:rsidRPr="007B3D51" w:rsidRDefault="00EC0E7E" w:rsidP="00EC0E7E">
      <w:pPr>
        <w:ind w:right="-1"/>
        <w:rPr>
          <w:rFonts w:eastAsia="Arial" w:cs="Arial"/>
          <w:sz w:val="24"/>
          <w:szCs w:val="24"/>
        </w:rPr>
      </w:pPr>
      <w:r w:rsidRPr="007B3D51">
        <w:rPr>
          <w:rFonts w:eastAsia="Arial" w:cs="Arial"/>
          <w:sz w:val="24"/>
          <w:szCs w:val="24"/>
        </w:rPr>
        <w:t>In particolare si condividono gli elementi elencati dalla CSSS per quanto attiene l’impostazione dei moduli d’offerta che dovranno contenere:</w:t>
      </w:r>
    </w:p>
    <w:p w:rsidR="00EC0E7E" w:rsidRPr="007B3D51" w:rsidRDefault="00EC0E7E" w:rsidP="007B3D51">
      <w:pPr>
        <w:numPr>
          <w:ilvl w:val="0"/>
          <w:numId w:val="25"/>
        </w:numPr>
        <w:spacing w:before="120"/>
        <w:ind w:left="357" w:hanging="357"/>
        <w:rPr>
          <w:rFonts w:eastAsia="Arial" w:cs="Arial"/>
          <w:sz w:val="24"/>
          <w:szCs w:val="24"/>
        </w:rPr>
      </w:pPr>
      <w:r w:rsidRPr="007B3D51">
        <w:rPr>
          <w:rFonts w:eastAsia="Arial" w:cs="Arial"/>
          <w:sz w:val="24"/>
          <w:szCs w:val="24"/>
        </w:rPr>
        <w:t>le quote minime e il numero di casi minimi (5% e minimo 10 casi per tipo, considerando oltre alla struttura anche l’operatore che ha eseguito l’intervento);</w:t>
      </w:r>
    </w:p>
    <w:p w:rsidR="00EC0E7E" w:rsidRPr="007B3D51" w:rsidRDefault="00EC0E7E" w:rsidP="007B3D51">
      <w:pPr>
        <w:numPr>
          <w:ilvl w:val="0"/>
          <w:numId w:val="25"/>
        </w:numPr>
        <w:spacing w:before="120"/>
        <w:ind w:left="357" w:hanging="357"/>
        <w:rPr>
          <w:rFonts w:eastAsia="Arial" w:cs="Arial"/>
          <w:sz w:val="24"/>
          <w:szCs w:val="24"/>
        </w:rPr>
      </w:pPr>
      <w:r w:rsidRPr="007B3D51">
        <w:rPr>
          <w:rFonts w:eastAsia="Arial" w:cs="Arial"/>
          <w:sz w:val="24"/>
          <w:szCs w:val="24"/>
        </w:rPr>
        <w:lastRenderedPageBreak/>
        <w:t>l'esatto periodo in cui questi requisiti dovevano o entro cui debbono essere assolti e le conseguenze in caso di mancato assolvimento (principio della “rollende Planung”);</w:t>
      </w:r>
    </w:p>
    <w:p w:rsidR="00EC0E7E" w:rsidRDefault="00EC0E7E" w:rsidP="007B3D51">
      <w:pPr>
        <w:numPr>
          <w:ilvl w:val="0"/>
          <w:numId w:val="25"/>
        </w:numPr>
        <w:spacing w:before="120"/>
        <w:ind w:left="357" w:hanging="357"/>
        <w:rPr>
          <w:rFonts w:eastAsia="Arial" w:cs="Arial"/>
          <w:sz w:val="24"/>
          <w:szCs w:val="24"/>
        </w:rPr>
      </w:pPr>
      <w:r w:rsidRPr="007B3D51">
        <w:rPr>
          <w:rFonts w:eastAsia="Arial" w:cs="Arial"/>
          <w:sz w:val="24"/>
          <w:szCs w:val="24"/>
        </w:rPr>
        <w:t>per i mandati relativi alla medicina multidisciplinari e complesse (MDC) bisogna applicare criteri chiari di cosa categorizza una prestazione come tale (necessità di presenza in house di altre specialità, medicina intensiva di livello superiore, numeri minimi).</w:t>
      </w:r>
    </w:p>
    <w:p w:rsidR="007B3D51" w:rsidRPr="007B3D51" w:rsidRDefault="007B3D51" w:rsidP="007B3D51">
      <w:pPr>
        <w:ind w:left="357"/>
        <w:rPr>
          <w:rFonts w:eastAsia="Arial" w:cs="Arial"/>
          <w:sz w:val="24"/>
          <w:szCs w:val="24"/>
        </w:rPr>
      </w:pPr>
    </w:p>
    <w:p w:rsidR="00EC0E7E" w:rsidRPr="007B3D51" w:rsidRDefault="00EC0E7E" w:rsidP="00EC0E7E">
      <w:pPr>
        <w:rPr>
          <w:rFonts w:eastAsia="Arial" w:cs="Arial"/>
          <w:sz w:val="24"/>
          <w:szCs w:val="24"/>
        </w:rPr>
      </w:pPr>
      <w:r w:rsidRPr="007B3D51">
        <w:rPr>
          <w:rFonts w:eastAsia="Arial" w:cs="Arial"/>
          <w:sz w:val="24"/>
          <w:szCs w:val="24"/>
        </w:rPr>
        <w:t>Altrettanto importante è la richiesta alla struttura di indicazioni esplicite sulla qualità delle prestazioni e sull’economicità delle stesse.</w:t>
      </w:r>
    </w:p>
    <w:p w:rsidR="00EC0E7E" w:rsidRPr="00EC0E7E" w:rsidRDefault="00EC0E7E" w:rsidP="00EC0E7E">
      <w:pPr>
        <w:rPr>
          <w:rFonts w:eastAsia="Arial" w:cs="Arial"/>
          <w:szCs w:val="24"/>
        </w:rPr>
      </w:pPr>
    </w:p>
    <w:p w:rsidR="00EC0E7E" w:rsidRPr="00EC0E7E" w:rsidRDefault="00EC0E7E" w:rsidP="00EC0E7E">
      <w:pPr>
        <w:rPr>
          <w:rFonts w:eastAsia="Arial" w:cs="Arial"/>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20" w:name="_Toc183013501"/>
      <w:r w:rsidRPr="007B3D51">
        <w:rPr>
          <w:rFonts w:eastAsia="Calibri" w:cs="Times New Roman"/>
          <w:sz w:val="24"/>
          <w:lang w:val="it-IT" w:eastAsia="it-IT"/>
        </w:rPr>
        <w:t>Letti RAMI</w:t>
      </w:r>
      <w:bookmarkEnd w:id="20"/>
    </w:p>
    <w:p w:rsidR="00EC0E7E" w:rsidRPr="007B3D51" w:rsidRDefault="00EC0E7E" w:rsidP="00EC0E7E">
      <w:pPr>
        <w:contextualSpacing/>
        <w:rPr>
          <w:rFonts w:eastAsia="Arial" w:cs="Arial"/>
          <w:sz w:val="24"/>
          <w:szCs w:val="24"/>
        </w:rPr>
      </w:pPr>
      <w:r w:rsidRPr="007B3D51">
        <w:rPr>
          <w:rFonts w:eastAsia="Arial" w:cs="Arial"/>
          <w:sz w:val="24"/>
          <w:szCs w:val="24"/>
        </w:rPr>
        <w:t xml:space="preserve">La CPO sottolinea la bontà di quest’offerta sanitaria molto apprezzata da pazienti e dalle stesse strutture sanitarie. </w:t>
      </w:r>
    </w:p>
    <w:p w:rsidR="00EC0E7E" w:rsidRPr="007B3D51" w:rsidRDefault="00EC0E7E" w:rsidP="00EC0E7E">
      <w:pPr>
        <w:spacing w:after="60"/>
        <w:rPr>
          <w:rFonts w:eastAsia="Arial" w:cs="Arial"/>
          <w:sz w:val="24"/>
          <w:szCs w:val="24"/>
        </w:rPr>
      </w:pPr>
      <w:r w:rsidRPr="007B3D51">
        <w:rPr>
          <w:rFonts w:eastAsia="Arial" w:cs="Arial"/>
          <w:sz w:val="24"/>
          <w:szCs w:val="24"/>
        </w:rPr>
        <w:t>Il messaggio governativo propone di sopprimere, all’articolo 66e</w:t>
      </w:r>
      <w:r w:rsidRPr="007B3D51">
        <w:rPr>
          <w:rFonts w:eastAsia="Arial" w:cs="Arial"/>
          <w:sz w:val="24"/>
          <w:szCs w:val="24"/>
          <w:vertAlign w:val="superscript"/>
        </w:rPr>
        <w:t>bis</w:t>
      </w:r>
      <w:r w:rsidRPr="007B3D51">
        <w:rPr>
          <w:rFonts w:eastAsia="Arial" w:cs="Arial"/>
          <w:sz w:val="24"/>
          <w:szCs w:val="24"/>
        </w:rPr>
        <w:t xml:space="preserve"> lett. a LCAMal l’espressione costi d’investimento e di aggiungere una norma specifica sul finanziamento dei costi d’investimento che rimanda alla LAnz.</w:t>
      </w:r>
    </w:p>
    <w:p w:rsidR="00EC0E7E" w:rsidRPr="007B3D51" w:rsidRDefault="00EC0E7E" w:rsidP="00EC0E7E">
      <w:pPr>
        <w:spacing w:after="60"/>
        <w:rPr>
          <w:rFonts w:eastAsia="Arial" w:cs="Arial"/>
        </w:rPr>
      </w:pPr>
    </w:p>
    <w:p w:rsidR="00EC0E7E" w:rsidRPr="007B3D51" w:rsidRDefault="00EC0E7E" w:rsidP="00EC0E7E">
      <w:pPr>
        <w:ind w:right="413"/>
        <w:rPr>
          <w:rFonts w:eastAsia="Arial" w:cs="Arial"/>
        </w:rPr>
      </w:pPr>
      <w:r w:rsidRPr="007B3D51">
        <w:rPr>
          <w:rFonts w:eastAsia="Arial" w:cs="Arial"/>
          <w:bCs/>
          <w:color w:val="000000"/>
          <w:shd w:val="clear" w:color="auto" w:fill="FFFFFF"/>
        </w:rPr>
        <w:t>III. Finanziamento per l’acquisto di terreni, la costruzione, la ristrutturazione e l’ampliamento delle case di cure che gestiscono reparti acuti di minore intensità (RAMI)</w:t>
      </w:r>
    </w:p>
    <w:p w:rsidR="00EC0E7E" w:rsidRPr="007B3D51" w:rsidRDefault="00EC0E7E" w:rsidP="00EC0E7E">
      <w:pPr>
        <w:ind w:right="413"/>
        <w:rPr>
          <w:rFonts w:eastAsia="Arial" w:cs="Arial"/>
        </w:rPr>
      </w:pPr>
    </w:p>
    <w:p w:rsidR="00EC0E7E" w:rsidRPr="007B3D51" w:rsidRDefault="00EC0E7E" w:rsidP="00EC0E7E">
      <w:pPr>
        <w:ind w:right="413"/>
        <w:rPr>
          <w:rFonts w:eastAsia="Arial" w:cs="Arial"/>
          <w:b/>
        </w:rPr>
      </w:pPr>
      <w:r w:rsidRPr="007B3D51">
        <w:rPr>
          <w:rFonts w:eastAsia="Arial" w:cs="Arial"/>
          <w:b/>
        </w:rPr>
        <w:t>Art. 66e</w:t>
      </w:r>
      <w:r w:rsidRPr="007B3D51">
        <w:rPr>
          <w:rFonts w:eastAsia="Arial" w:cs="Arial"/>
          <w:b/>
          <w:vertAlign w:val="superscript"/>
        </w:rPr>
        <w:t>ter</w:t>
      </w:r>
    </w:p>
    <w:p w:rsidR="00EC0E7E" w:rsidRPr="007B3D51" w:rsidRDefault="00EC0E7E" w:rsidP="00EC0E7E">
      <w:pPr>
        <w:shd w:val="clear" w:color="auto" w:fill="FFFFFF"/>
        <w:ind w:left="851" w:right="413"/>
        <w:rPr>
          <w:rFonts w:eastAsia="Times New Roman" w:cs="Arial"/>
          <w:bCs/>
          <w:color w:val="000000"/>
          <w:lang w:eastAsia="it-CH"/>
        </w:rPr>
      </w:pPr>
      <w:r w:rsidRPr="007B3D51">
        <w:rPr>
          <w:rFonts w:eastAsia="Times New Roman" w:cs="Arial"/>
          <w:color w:val="000000"/>
          <w:shd w:val="clear" w:color="auto" w:fill="FFFFFF"/>
          <w:lang w:eastAsia="it-CH"/>
        </w:rPr>
        <w:t xml:space="preserve">Per l’acquisto di terreni o edifici destinati alla realizzazione di case di cura che gestiscono reparti acuti di minore intensità (RAMI), la costruzione, la ristrutturazione nonché l’ampliamento delle stesse si applica per analogia l’art. 7 della </w:t>
      </w:r>
      <w:r w:rsidRPr="007B3D51">
        <w:rPr>
          <w:rFonts w:eastAsia="Times New Roman" w:cs="Arial"/>
          <w:bCs/>
          <w:color w:val="000000"/>
          <w:lang w:eastAsia="it-CH"/>
        </w:rPr>
        <w:t>Legge concernente il promovimento, il coordinamento e il finanziamento delle attività a favore delle persone anziane (LAnz), del 30 novembre 2010.</w:t>
      </w:r>
    </w:p>
    <w:p w:rsidR="00EC0E7E" w:rsidRPr="007B3D51" w:rsidRDefault="00EC0E7E" w:rsidP="00EC0E7E">
      <w:pPr>
        <w:rPr>
          <w:rFonts w:eastAsia="Arial" w:cs="Arial"/>
        </w:rPr>
      </w:pPr>
    </w:p>
    <w:p w:rsidR="00EC0E7E" w:rsidRPr="007B3D51" w:rsidRDefault="00EC0E7E" w:rsidP="00EC0E7E">
      <w:pPr>
        <w:rPr>
          <w:rFonts w:eastAsia="Arial" w:cs="Arial"/>
        </w:rPr>
      </w:pPr>
      <w:r w:rsidRPr="007B3D51">
        <w:rPr>
          <w:rFonts w:eastAsia="Arial" w:cs="Arial"/>
        </w:rPr>
        <w:t>Questa modifica di legge permetterebbe di risparmiare sulla dotazione di 135 letti RAMI 1.7 milioni di franchi all’anno (fr. 38.8*135letti*365gg*90% di occupazione), mentre sul Cantone ricadrebbe poi l’onere di sussidio degli investimenti nel caso di nuove costruzioni o ristrutturazione di edifici esistenti ai sensi della LAnz.</w:t>
      </w:r>
    </w:p>
    <w:p w:rsidR="00EC0E7E" w:rsidRPr="007B3D51" w:rsidRDefault="00EC0E7E" w:rsidP="00EC0E7E">
      <w:pPr>
        <w:contextualSpacing/>
        <w:rPr>
          <w:rFonts w:eastAsia="Arial" w:cs="Arial"/>
        </w:rPr>
      </w:pPr>
    </w:p>
    <w:p w:rsidR="00EC0E7E" w:rsidRPr="00EC0E7E" w:rsidRDefault="00EC0E7E" w:rsidP="00EC0E7E">
      <w:pPr>
        <w:contextualSpacing/>
        <w:rPr>
          <w:rFonts w:eastAsia="Arial" w:cs="Arial"/>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Arial" w:cs="Arial"/>
          <w:bCs/>
          <w:szCs w:val="24"/>
        </w:rPr>
      </w:pPr>
      <w:bookmarkStart w:id="21" w:name="_Toc183013502"/>
      <w:r w:rsidRPr="007B3D51">
        <w:rPr>
          <w:rFonts w:eastAsia="Calibri" w:cs="Times New Roman"/>
          <w:sz w:val="24"/>
          <w:lang w:val="it-IT" w:eastAsia="it-IT"/>
        </w:rPr>
        <w:t>Finanze</w:t>
      </w:r>
      <w:bookmarkEnd w:id="21"/>
    </w:p>
    <w:p w:rsidR="00EC0E7E" w:rsidRPr="007B3D51" w:rsidRDefault="00EC0E7E" w:rsidP="00EC0E7E">
      <w:pPr>
        <w:contextualSpacing/>
        <w:rPr>
          <w:rFonts w:eastAsia="Arial" w:cs="Arial"/>
          <w:sz w:val="24"/>
          <w:szCs w:val="24"/>
        </w:rPr>
      </w:pPr>
      <w:r w:rsidRPr="007B3D51">
        <w:rPr>
          <w:rFonts w:eastAsia="Arial" w:cs="Arial"/>
          <w:sz w:val="24"/>
          <w:szCs w:val="24"/>
        </w:rPr>
        <w:t xml:space="preserve">Il rapporto della CSSS non analizza le conseguenze finanziarie complessive della POC per le finanze del Cantone limitandosi ad esporre l’impatto economico di singole tematiche. </w:t>
      </w:r>
    </w:p>
    <w:p w:rsidR="00EC0E7E" w:rsidRPr="007B3D51" w:rsidRDefault="00EC0E7E" w:rsidP="00EC0E7E">
      <w:pPr>
        <w:contextualSpacing/>
        <w:rPr>
          <w:rFonts w:eastAsia="Arial" w:cs="Arial"/>
          <w:sz w:val="24"/>
          <w:szCs w:val="24"/>
        </w:rPr>
      </w:pPr>
    </w:p>
    <w:p w:rsidR="00EC0E7E" w:rsidRDefault="00EC0E7E" w:rsidP="00EC0E7E">
      <w:pPr>
        <w:contextualSpacing/>
        <w:rPr>
          <w:rFonts w:eastAsia="Arial" w:cs="Arial"/>
          <w:sz w:val="24"/>
          <w:szCs w:val="24"/>
        </w:rPr>
      </w:pPr>
      <w:r w:rsidRPr="007B3D51">
        <w:rPr>
          <w:rFonts w:eastAsia="Arial" w:cs="Arial"/>
          <w:sz w:val="24"/>
          <w:szCs w:val="24"/>
        </w:rPr>
        <w:t>Si parta dalla constatazione che la spesa ospedaliera cantonale è un elemento significativo del budget annuale dello Stato.</w:t>
      </w:r>
    </w:p>
    <w:p w:rsidR="007B3D51" w:rsidRPr="007B3D51" w:rsidRDefault="007B3D51" w:rsidP="00EC0E7E">
      <w:pPr>
        <w:contextualSpacing/>
        <w:rPr>
          <w:rFonts w:eastAsia="Arial" w:cs="Arial"/>
          <w:sz w:val="24"/>
          <w:szCs w:val="24"/>
        </w:rPr>
      </w:pPr>
    </w:p>
    <w:p w:rsidR="00EC0E7E" w:rsidRPr="00EC0E7E" w:rsidRDefault="00EC0E7E" w:rsidP="00EC0E7E">
      <w:pPr>
        <w:ind w:left="567"/>
        <w:contextualSpacing/>
        <w:rPr>
          <w:rFonts w:eastAsia="Arial" w:cs="Arial"/>
          <w:i/>
          <w:iCs/>
          <w:szCs w:val="24"/>
        </w:rPr>
      </w:pPr>
      <w:r w:rsidRPr="00EC0E7E">
        <w:rPr>
          <w:rFonts w:eastAsia="Arial" w:cs="Arial"/>
          <w:i/>
          <w:iCs/>
          <w:szCs w:val="24"/>
        </w:rPr>
        <w:t>Dati del preventivo 2025 (Mess 8484 P2025, pag 148)</w:t>
      </w:r>
    </w:p>
    <w:p w:rsidR="00EC0E7E" w:rsidRPr="00EC0E7E" w:rsidRDefault="00EC0E7E" w:rsidP="00EC0E7E">
      <w:pPr>
        <w:ind w:left="567"/>
        <w:contextualSpacing/>
        <w:rPr>
          <w:rFonts w:eastAsia="Arial" w:cs="Arial"/>
          <w:i/>
          <w:iCs/>
          <w:szCs w:val="24"/>
        </w:rPr>
      </w:pPr>
      <w:r w:rsidRPr="00EC0E7E">
        <w:rPr>
          <w:rFonts w:eastAsia="Arial" w:cs="Arial"/>
          <w:i/>
          <w:iCs/>
          <w:szCs w:val="24"/>
        </w:rPr>
        <w:t>363</w:t>
      </w:r>
      <w:r w:rsidRPr="00EC0E7E">
        <w:rPr>
          <w:rFonts w:eastAsia="Arial" w:cs="Arial"/>
          <w:i/>
          <w:iCs/>
          <w:szCs w:val="24"/>
        </w:rPr>
        <w:tab/>
      </w:r>
      <w:r w:rsidRPr="00EC0E7E">
        <w:rPr>
          <w:rFonts w:eastAsia="Arial" w:cs="Arial"/>
          <w:bCs/>
          <w:i/>
          <w:iCs/>
          <w:szCs w:val="24"/>
        </w:rPr>
        <w:t>419.23 mio</w:t>
      </w:r>
      <w:r w:rsidRPr="00EC0E7E">
        <w:rPr>
          <w:rFonts w:eastAsia="Arial" w:cs="Arial"/>
          <w:i/>
          <w:iCs/>
          <w:szCs w:val="24"/>
        </w:rPr>
        <w:tab/>
        <w:t>10% delle spese operative tot. 4'237.7 mio</w:t>
      </w:r>
    </w:p>
    <w:p w:rsidR="00EC0E7E" w:rsidRPr="00EC0E7E" w:rsidRDefault="00EC0E7E" w:rsidP="00EC0E7E">
      <w:pPr>
        <w:ind w:left="567"/>
        <w:contextualSpacing/>
        <w:rPr>
          <w:rFonts w:eastAsia="Arial" w:cs="Arial"/>
          <w:i/>
          <w:iCs/>
          <w:szCs w:val="24"/>
        </w:rPr>
      </w:pPr>
      <w:r w:rsidRPr="00EC0E7E">
        <w:rPr>
          <w:rFonts w:eastAsia="Arial" w:cs="Arial"/>
          <w:i/>
          <w:iCs/>
          <w:szCs w:val="24"/>
        </w:rPr>
        <w:t>Corrisponde al 18% del totale delle spese di trasferimento del cantone (Totale 2'343.2 mio)</w:t>
      </w:r>
    </w:p>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Il costo delle cure ospedaliere in Ticino rappresenta quindi il 10% del budget dello Stato, spesa sicuramente importante e che richiede opportune riflessioni e continue verifiche a prescindere dal fatto che negli ultimi anni vi sia stato un aumento contenuto della sua crescita.</w:t>
      </w:r>
    </w:p>
    <w:p w:rsidR="00EC0E7E" w:rsidRPr="007B3D51" w:rsidRDefault="00EC0E7E" w:rsidP="00EC0E7E">
      <w:pPr>
        <w:contextualSpacing/>
        <w:rPr>
          <w:rFonts w:eastAsia="Arial" w:cs="Arial"/>
          <w:sz w:val="24"/>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 xml:space="preserve">Ma le difficoltà finanziarie del Cantone portano alla necessità di controllare e contenere questa voce di spesa come confermato dal </w:t>
      </w:r>
      <w:r w:rsidRPr="007B3D51">
        <w:rPr>
          <w:rFonts w:eastAsia="Arial" w:cs="Arial"/>
          <w:bCs/>
          <w:sz w:val="24"/>
          <w:szCs w:val="24"/>
        </w:rPr>
        <w:t xml:space="preserve">Messaggio 8484 </w:t>
      </w:r>
      <w:r w:rsidRPr="007B3D51">
        <w:rPr>
          <w:rFonts w:eastAsia="Arial" w:cs="Arial"/>
          <w:sz w:val="24"/>
          <w:szCs w:val="24"/>
        </w:rPr>
        <w:t>inerente il preventivo 2025</w:t>
      </w:r>
      <w:r w:rsidRPr="007B3D51">
        <w:rPr>
          <w:rFonts w:eastAsia="Arial" w:cs="Arial"/>
          <w:bCs/>
          <w:sz w:val="24"/>
          <w:szCs w:val="24"/>
        </w:rPr>
        <w:t xml:space="preserve"> </w:t>
      </w:r>
      <w:r w:rsidRPr="007B3D51">
        <w:rPr>
          <w:rFonts w:eastAsia="Arial" w:cs="Arial"/>
          <w:sz w:val="24"/>
          <w:szCs w:val="24"/>
        </w:rPr>
        <w:t>(pag 34):</w:t>
      </w:r>
    </w:p>
    <w:p w:rsidR="00EC0E7E" w:rsidRPr="00EC0E7E" w:rsidRDefault="00EC0E7E" w:rsidP="00EC0E7E">
      <w:pPr>
        <w:contextualSpacing/>
        <w:rPr>
          <w:rFonts w:eastAsia="Arial" w:cs="Arial"/>
          <w:szCs w:val="24"/>
        </w:rPr>
      </w:pPr>
    </w:p>
    <w:p w:rsidR="00EC0E7E" w:rsidRPr="007B3D51" w:rsidRDefault="00EC0E7E" w:rsidP="00EC0E7E">
      <w:pPr>
        <w:autoSpaceDE w:val="0"/>
        <w:autoSpaceDN w:val="0"/>
        <w:adjustRightInd w:val="0"/>
        <w:rPr>
          <w:rFonts w:eastAsia="Arial" w:cs="Arial"/>
          <w:i/>
          <w:iCs/>
        </w:rPr>
      </w:pPr>
      <w:r w:rsidRPr="007B3D51">
        <w:rPr>
          <w:rFonts w:eastAsia="Arial" w:cs="Arial"/>
          <w:bCs/>
          <w:i/>
          <w:iCs/>
        </w:rPr>
        <w:t xml:space="preserve">Prelievo straordinario da riserve EOC. </w:t>
      </w:r>
      <w:r w:rsidRPr="007B3D51">
        <w:rPr>
          <w:rFonts w:eastAsia="Arial" w:cs="Arial"/>
          <w:i/>
          <w:iCs/>
        </w:rPr>
        <w:t xml:space="preserve">L'Ente ospedaliero cantonale partecipa allo sforzo di risanamento delle finanze cantonali con un contributo di 2 milioni di franchi. Per il settore ospedaliero è confermata la </w:t>
      </w:r>
      <w:r w:rsidRPr="007B3D51">
        <w:rPr>
          <w:rFonts w:eastAsia="Arial" w:cs="Arial"/>
          <w:bCs/>
          <w:i/>
          <w:iCs/>
        </w:rPr>
        <w:t>misura di contenimento già decisa per il Preventivo 2024 applicando un contributo dell'1.5%</w:t>
      </w:r>
      <w:r w:rsidRPr="007B3D51">
        <w:rPr>
          <w:rFonts w:eastAsia="Arial" w:cs="Arial"/>
          <w:i/>
          <w:iCs/>
        </w:rPr>
        <w:t xml:space="preserve"> del contributo globale. Tale misura è stata contestata da più istituti ospedalieri e ha portato il Consiglio di Stato a stabilire tramite una decisione il contributo globale per questi istituti.</w:t>
      </w:r>
    </w:p>
    <w:p w:rsidR="00EC0E7E" w:rsidRPr="00EC0E7E" w:rsidRDefault="00EC0E7E" w:rsidP="00EC0E7E">
      <w:pPr>
        <w:autoSpaceDE w:val="0"/>
        <w:autoSpaceDN w:val="0"/>
        <w:adjustRightInd w:val="0"/>
        <w:jc w:val="left"/>
        <w:rPr>
          <w:rFonts w:eastAsia="Arial" w:cs="Arial"/>
          <w:szCs w:val="24"/>
        </w:rPr>
      </w:pPr>
    </w:p>
    <w:p w:rsidR="00EC0E7E" w:rsidRPr="007B3D51" w:rsidRDefault="00EC0E7E" w:rsidP="00EC0E7E">
      <w:pPr>
        <w:autoSpaceDE w:val="0"/>
        <w:autoSpaceDN w:val="0"/>
        <w:adjustRightInd w:val="0"/>
        <w:jc w:val="left"/>
        <w:rPr>
          <w:rFonts w:eastAsia="Arial" w:cs="Arial"/>
          <w:sz w:val="24"/>
          <w:szCs w:val="24"/>
        </w:rPr>
      </w:pPr>
      <w:r w:rsidRPr="007B3D51">
        <w:rPr>
          <w:rFonts w:eastAsia="Arial" w:cs="Arial"/>
          <w:sz w:val="24"/>
          <w:szCs w:val="24"/>
        </w:rPr>
        <w:t xml:space="preserve">Sempre nel contesto del messaggio sul P2025 (a pag 148) per la voce 363 si specifica: </w:t>
      </w:r>
    </w:p>
    <w:p w:rsidR="00EC0E7E" w:rsidRPr="007B3D51" w:rsidRDefault="00EC0E7E" w:rsidP="00EC0E7E">
      <w:pPr>
        <w:autoSpaceDE w:val="0"/>
        <w:autoSpaceDN w:val="0"/>
        <w:adjustRightInd w:val="0"/>
        <w:rPr>
          <w:rFonts w:eastAsia="Arial" w:cs="Arial"/>
          <w:i/>
          <w:iCs/>
        </w:rPr>
      </w:pPr>
      <w:r w:rsidRPr="007B3D51">
        <w:rPr>
          <w:rFonts w:eastAsia="Arial" w:cs="Arial"/>
          <w:bCs/>
          <w:i/>
          <w:iCs/>
        </w:rPr>
        <w:t xml:space="preserve">Contributi a enti pubblici e a terzi: </w:t>
      </w:r>
      <w:r w:rsidRPr="007B3D51">
        <w:rPr>
          <w:rFonts w:eastAsia="Arial" w:cs="Arial"/>
          <w:i/>
          <w:iCs/>
        </w:rPr>
        <w:t xml:space="preserve">i contributi per le ospedalizzazioni nel Cantone riflettono l'aumento delle tariffe stabilito dalle convenzioni tariffali o previsto, insieme a un leggero incremento del volume delle prestazioni ospedaliere stazionarie. Nell'ambito delle misure di riequilibrio delle finanze cantonali, è stata </w:t>
      </w:r>
      <w:r w:rsidRPr="007B3D51">
        <w:rPr>
          <w:rFonts w:eastAsia="Arial" w:cs="Arial"/>
          <w:bCs/>
          <w:i/>
          <w:iCs/>
        </w:rPr>
        <w:t>confermata la riduzione dei contributi globali agli ospedali ticinesi per un totale di 5,5 milioni di franchi. Inoltre, è stato ridotto il contributo all'Ente ospedaliero cantonale di 2 milioni di franchi, grazie allo scioglimento delle riserve dell'Ente</w:t>
      </w:r>
      <w:r w:rsidRPr="007B3D51">
        <w:rPr>
          <w:rFonts w:eastAsia="Arial" w:cs="Arial"/>
          <w:i/>
          <w:iCs/>
        </w:rPr>
        <w:t>.</w:t>
      </w:r>
    </w:p>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 xml:space="preserve">Tenuto conto della situazione finanziaria del Canton occorre riflettere su quali siano le priorità per continuare a sostenere in modo adeguato l’offerta ospedaliera cantonale soprattutto considerando la necessità di assicurare una certa capacità finanziaria per investimenti e ricerca se si vorrà offrire alla cittadinanza la qualità attesa. Beninteso, e lo si specifica a scanso di equivoci, è una considerazione che riguarda sia l’ambito pubblico che quello privato visto che la LAMAL chiede il trattamento uguale per entrambe le tipologie di attori. </w:t>
      </w:r>
    </w:p>
    <w:p w:rsidR="00EC0E7E" w:rsidRPr="00EC0E7E" w:rsidRDefault="00EC0E7E" w:rsidP="00EC0E7E">
      <w:pPr>
        <w:contextualSpacing/>
        <w:rPr>
          <w:rFonts w:eastAsia="Arial" w:cs="Arial"/>
          <w:szCs w:val="24"/>
        </w:rPr>
      </w:pPr>
    </w:p>
    <w:p w:rsidR="00EC0E7E" w:rsidRPr="00EC0E7E" w:rsidRDefault="00EC0E7E" w:rsidP="00EC0E7E">
      <w:pPr>
        <w:contextualSpacing/>
        <w:rPr>
          <w:rFonts w:eastAsia="Arial" w:cs="Arial"/>
          <w:szCs w:val="24"/>
        </w:rPr>
      </w:pPr>
    </w:p>
    <w:p w:rsidR="00EC0E7E" w:rsidRPr="007B3D51" w:rsidRDefault="00EC0E7E" w:rsidP="007B3D51">
      <w:pPr>
        <w:pStyle w:val="Titolo2"/>
        <w:numPr>
          <w:ilvl w:val="1"/>
          <w:numId w:val="24"/>
        </w:numPr>
        <w:tabs>
          <w:tab w:val="left" w:pos="567"/>
        </w:tabs>
        <w:spacing w:before="0" w:after="120"/>
        <w:ind w:left="0" w:firstLine="0"/>
        <w:jc w:val="both"/>
        <w:rPr>
          <w:rFonts w:eastAsia="Calibri" w:cs="Times New Roman"/>
          <w:sz w:val="24"/>
          <w:lang w:val="it-IT" w:eastAsia="it-IT"/>
        </w:rPr>
      </w:pPr>
      <w:bookmarkStart w:id="22" w:name="_Toc183013503"/>
      <w:r w:rsidRPr="007B3D51">
        <w:rPr>
          <w:rFonts w:eastAsia="Calibri" w:cs="Times New Roman"/>
          <w:sz w:val="24"/>
          <w:lang w:val="it-IT" w:eastAsia="it-IT"/>
        </w:rPr>
        <w:t>Prospettive</w:t>
      </w:r>
      <w:bookmarkEnd w:id="22"/>
    </w:p>
    <w:p w:rsidR="00EC0E7E" w:rsidRPr="007B3D51" w:rsidRDefault="00EC0E7E" w:rsidP="00EC0E7E">
      <w:pPr>
        <w:contextualSpacing/>
        <w:rPr>
          <w:rFonts w:eastAsia="Arial" w:cs="Arial"/>
          <w:sz w:val="24"/>
          <w:szCs w:val="24"/>
        </w:rPr>
      </w:pPr>
      <w:bookmarkStart w:id="23" w:name="_Hlk180936799"/>
      <w:r w:rsidRPr="007B3D51">
        <w:rPr>
          <w:rFonts w:eastAsia="Arial" w:cs="Arial"/>
          <w:sz w:val="24"/>
          <w:szCs w:val="24"/>
        </w:rPr>
        <w:t xml:space="preserve">Le prospettive del settore indicate dal rapporto commissionale CSSS poggiano sul Rapporto SUPSI del prof Carlo De Pietro del settembre 2022 che viene considerato equilibrato tenendo conto dei diversi interessi in gioco. </w:t>
      </w:r>
    </w:p>
    <w:bookmarkEnd w:id="23"/>
    <w:p w:rsidR="00EC0E7E" w:rsidRPr="007B3D51" w:rsidRDefault="00EC0E7E" w:rsidP="00EC0E7E">
      <w:pPr>
        <w:contextualSpacing/>
        <w:rPr>
          <w:rFonts w:eastAsia="Arial" w:cs="Arial"/>
          <w:sz w:val="24"/>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 xml:space="preserve">In particolare risulta interessante riprendere le considerazioni al capitolo </w:t>
      </w:r>
      <w:r w:rsidRPr="007B3D51">
        <w:rPr>
          <w:rFonts w:eastAsia="Arial" w:cs="Arial"/>
          <w:bCs/>
          <w:sz w:val="24"/>
          <w:szCs w:val="24"/>
        </w:rPr>
        <w:t>“3.5. Efficienza e sostenibilità economica”</w:t>
      </w:r>
      <w:r w:rsidRPr="007B3D51">
        <w:rPr>
          <w:rFonts w:eastAsia="Arial" w:cs="Arial"/>
          <w:sz w:val="24"/>
          <w:szCs w:val="24"/>
        </w:rPr>
        <w:t xml:space="preserve"> nel quale l’autore specifica: </w:t>
      </w:r>
    </w:p>
    <w:p w:rsidR="00EC0E7E" w:rsidRPr="00EC0E7E" w:rsidRDefault="00EC0E7E" w:rsidP="00EC0E7E">
      <w:pPr>
        <w:contextualSpacing/>
        <w:rPr>
          <w:rFonts w:eastAsia="Arial" w:cs="Arial"/>
          <w:i/>
          <w:iCs/>
        </w:rPr>
      </w:pPr>
      <w:r w:rsidRPr="00EC0E7E">
        <w:rPr>
          <w:rFonts w:eastAsia="Arial" w:cs="Times New Roman"/>
          <w:i/>
          <w:iCs/>
        </w:rPr>
        <w:t xml:space="preserve">“Per dare concretezza al </w:t>
      </w:r>
      <w:r w:rsidRPr="00EC0E7E">
        <w:rPr>
          <w:rFonts w:eastAsia="Arial" w:cs="Times New Roman"/>
          <w:bCs/>
          <w:i/>
          <w:iCs/>
        </w:rPr>
        <w:t>concetto di economicità</w:t>
      </w:r>
      <w:r w:rsidRPr="00EC0E7E">
        <w:rPr>
          <w:rFonts w:eastAsia="Arial" w:cs="Times New Roman"/>
          <w:i/>
          <w:iCs/>
        </w:rPr>
        <w:t xml:space="preserve">, l’OAMal prevede che «La valutazione dell’economicità degli ospedali (…) è effettuata segnatamente mediante confronti dei costi corretti per il grado di gravità» (art. 58d, capoverso 1) e che «Nella valutazione degli ospedali occorre in particolare tener conto dello </w:t>
      </w:r>
      <w:r w:rsidRPr="00EC0E7E">
        <w:rPr>
          <w:rFonts w:eastAsia="Arial" w:cs="Times New Roman"/>
          <w:i/>
          <w:iCs/>
          <w:u w:val="single"/>
        </w:rPr>
        <w:t>sfruttamento di sinergie, del numero minimo di casi e del potenziale di concentrazione di prestazioni al fine di rafforzare l’economicità e la qualità delle cure</w:t>
      </w:r>
      <w:r w:rsidRPr="00EC0E7E">
        <w:rPr>
          <w:rFonts w:eastAsia="Arial" w:cs="Times New Roman"/>
          <w:i/>
          <w:iCs/>
        </w:rPr>
        <w:t>» (capoverso 4). La presenza di entrambi questi due elementi nei due capoversi è rilevante.”</w:t>
      </w:r>
    </w:p>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E più oltre:</w:t>
      </w:r>
    </w:p>
    <w:p w:rsidR="00EC0E7E" w:rsidRPr="007B3D51" w:rsidRDefault="00EC0E7E" w:rsidP="00EC0E7E">
      <w:pPr>
        <w:contextualSpacing/>
        <w:rPr>
          <w:rFonts w:eastAsia="Arial" w:cs="Arial"/>
        </w:rPr>
      </w:pPr>
      <w:r w:rsidRPr="007B3D51">
        <w:rPr>
          <w:rFonts w:eastAsia="Arial" w:cs="Arial"/>
        </w:rPr>
        <w:t>…</w:t>
      </w:r>
    </w:p>
    <w:p w:rsidR="00EC0E7E" w:rsidRPr="007B3D51" w:rsidRDefault="00EC0E7E" w:rsidP="00EC0E7E">
      <w:pPr>
        <w:contextualSpacing/>
        <w:rPr>
          <w:rFonts w:eastAsia="Arial" w:cs="Times New Roman"/>
          <w:i/>
          <w:iCs/>
        </w:rPr>
      </w:pPr>
      <w:r w:rsidRPr="007B3D51">
        <w:rPr>
          <w:rFonts w:eastAsia="Arial" w:cs="Times New Roman"/>
          <w:i/>
          <w:iCs/>
        </w:rPr>
        <w:t xml:space="preserve">“Per concludere, sembra utile ricordare cinque elementi chiave </w:t>
      </w:r>
      <w:r w:rsidRPr="007B3D51">
        <w:rPr>
          <w:rFonts w:eastAsia="Arial" w:cs="Times New Roman"/>
          <w:bCs/>
          <w:i/>
          <w:iCs/>
        </w:rPr>
        <w:t>che favoriscono l’efficienza e dunque la sostenibilità economica complessiva del settore ospedaliero stazionario</w:t>
      </w:r>
      <w:r w:rsidRPr="007B3D51">
        <w:rPr>
          <w:rFonts w:eastAsia="Arial" w:cs="Times New Roman"/>
          <w:i/>
          <w:iCs/>
        </w:rPr>
        <w:t xml:space="preserve">. </w:t>
      </w:r>
    </w:p>
    <w:p w:rsidR="00EC0E7E" w:rsidRPr="007B3D51" w:rsidRDefault="00EC0E7E" w:rsidP="00EC0E7E">
      <w:pPr>
        <w:contextualSpacing/>
        <w:rPr>
          <w:rFonts w:eastAsia="Arial" w:cs="Times New Roman"/>
          <w:i/>
          <w:iCs/>
        </w:rPr>
      </w:pPr>
      <w:r w:rsidRPr="007B3D51">
        <w:rPr>
          <w:rFonts w:eastAsia="Arial" w:cs="Times New Roman"/>
          <w:i/>
          <w:iCs/>
        </w:rPr>
        <w:t>Il primo – generalmente soddisfatto – è quello dell’</w:t>
      </w:r>
      <w:r w:rsidRPr="007B3D51">
        <w:rPr>
          <w:rFonts w:eastAsia="Arial" w:cs="Times New Roman"/>
          <w:bCs/>
          <w:i/>
          <w:iCs/>
        </w:rPr>
        <w:t>appropriatezza clinica</w:t>
      </w:r>
      <w:r w:rsidRPr="007B3D51">
        <w:rPr>
          <w:rFonts w:eastAsia="Arial" w:cs="Times New Roman"/>
          <w:i/>
          <w:iCs/>
        </w:rPr>
        <w:t xml:space="preserve">, che significa erogare soltanto cure che apportino un’utilità rilevante al paziente (quindi efficaci e adeguate, ai sensi dell’articolo 32 della LAMal). </w:t>
      </w:r>
    </w:p>
    <w:p w:rsidR="00EC0E7E" w:rsidRPr="007B3D51" w:rsidRDefault="00EC0E7E" w:rsidP="00EC0E7E">
      <w:pPr>
        <w:contextualSpacing/>
        <w:rPr>
          <w:rFonts w:eastAsia="Arial" w:cs="Times New Roman"/>
          <w:i/>
          <w:iCs/>
        </w:rPr>
      </w:pPr>
      <w:r w:rsidRPr="007B3D51">
        <w:rPr>
          <w:rFonts w:eastAsia="Arial" w:cs="Times New Roman"/>
          <w:i/>
          <w:iCs/>
        </w:rPr>
        <w:lastRenderedPageBreak/>
        <w:t>Il secondo elemento è quello dell’</w:t>
      </w:r>
      <w:r w:rsidRPr="007B3D51">
        <w:rPr>
          <w:rFonts w:eastAsia="Arial" w:cs="Times New Roman"/>
          <w:bCs/>
          <w:i/>
          <w:iCs/>
        </w:rPr>
        <w:t>appropriatezza organizzativa</w:t>
      </w:r>
      <w:r w:rsidRPr="007B3D51">
        <w:rPr>
          <w:rFonts w:eastAsia="Arial" w:cs="Times New Roman"/>
          <w:i/>
          <w:iCs/>
        </w:rPr>
        <w:t xml:space="preserve">, che significa ricorrere al ricovero ordinario soltanto quando gli stessi risultati di salute non sono ottenibili con setting organizzativi meno onerosi (casa per anziani, cure a domicilio, day hospital, CAT/STT, letti RAMI, ecc.). </w:t>
      </w:r>
    </w:p>
    <w:p w:rsidR="00EC0E7E" w:rsidRPr="007B3D51" w:rsidRDefault="00EC0E7E" w:rsidP="00EC0E7E">
      <w:pPr>
        <w:contextualSpacing/>
        <w:rPr>
          <w:rFonts w:eastAsia="Arial" w:cs="Times New Roman"/>
          <w:i/>
          <w:iCs/>
        </w:rPr>
      </w:pPr>
      <w:r w:rsidRPr="007B3D51">
        <w:rPr>
          <w:rFonts w:eastAsia="Arial" w:cs="Times New Roman"/>
          <w:i/>
          <w:iCs/>
        </w:rPr>
        <w:t>Il terzo elemento è quello dell’</w:t>
      </w:r>
      <w:r w:rsidRPr="007B3D51">
        <w:rPr>
          <w:rFonts w:eastAsia="Arial" w:cs="Times New Roman"/>
          <w:bCs/>
          <w:i/>
          <w:iCs/>
        </w:rPr>
        <w:t>efficienza tecnica</w:t>
      </w:r>
      <w:r w:rsidRPr="007B3D51">
        <w:rPr>
          <w:rFonts w:eastAsia="Arial" w:cs="Times New Roman"/>
          <w:i/>
          <w:iCs/>
        </w:rPr>
        <w:t xml:space="preserve">, che significa utilizzare le risorse disponibili in modo da massimizzare l’output e/o minimizzare gli input (un esempio è offerto dalla significativa riduzione della durata media dei ricoveri, lì dove spiegata dalla migliore organizzazione dei processi assistenziali in ospedale). </w:t>
      </w:r>
    </w:p>
    <w:p w:rsidR="00EC0E7E" w:rsidRPr="007B3D51" w:rsidRDefault="00EC0E7E" w:rsidP="00EC0E7E">
      <w:pPr>
        <w:contextualSpacing/>
        <w:rPr>
          <w:rFonts w:eastAsia="Arial" w:cs="Times New Roman"/>
        </w:rPr>
      </w:pPr>
      <w:r w:rsidRPr="007B3D51">
        <w:rPr>
          <w:rFonts w:eastAsia="Arial" w:cs="Times New Roman"/>
          <w:i/>
          <w:iCs/>
        </w:rPr>
        <w:t xml:space="preserve">Il quarto elemento è il </w:t>
      </w:r>
      <w:r w:rsidRPr="007B3D51">
        <w:rPr>
          <w:rFonts w:eastAsia="Arial" w:cs="Times New Roman"/>
          <w:bCs/>
          <w:i/>
          <w:iCs/>
        </w:rPr>
        <w:t xml:space="preserve">contenimento dei prezzi unitari </w:t>
      </w:r>
      <w:r w:rsidRPr="007B3D51">
        <w:rPr>
          <w:rFonts w:eastAsia="Arial" w:cs="Times New Roman"/>
          <w:i/>
          <w:iCs/>
        </w:rPr>
        <w:t>dei fattori produttivi (esempi riguardano la sostituzione dei farmaci originali con quelli generici, la capacità negoziale – spesso attraverso acquisti di gruppo – per ottenere sconti dai fornitori, i tetti alle remunerazioni molto</w:t>
      </w:r>
      <w:r w:rsidRPr="007B3D51">
        <w:rPr>
          <w:rFonts w:eastAsia="Arial" w:cs="Times New Roman"/>
        </w:rPr>
        <w:t xml:space="preserve">elevate di alcuni professionisti). </w:t>
      </w:r>
    </w:p>
    <w:p w:rsidR="00EC0E7E" w:rsidRPr="007B3D51" w:rsidRDefault="00EC0E7E" w:rsidP="00EC0E7E">
      <w:pPr>
        <w:contextualSpacing/>
        <w:rPr>
          <w:rFonts w:eastAsia="Arial" w:cs="Arial"/>
          <w:i/>
          <w:iCs/>
        </w:rPr>
      </w:pPr>
      <w:r w:rsidRPr="007B3D51">
        <w:rPr>
          <w:rFonts w:eastAsia="Arial" w:cs="Times New Roman"/>
          <w:i/>
          <w:iCs/>
        </w:rPr>
        <w:t xml:space="preserve">Il quinto e ultimo elemento è rappresentato dalle </w:t>
      </w:r>
      <w:r w:rsidRPr="007B3D51">
        <w:rPr>
          <w:rFonts w:eastAsia="Arial" w:cs="Times New Roman"/>
          <w:bCs/>
          <w:i/>
          <w:iCs/>
        </w:rPr>
        <w:t>economie di scala</w:t>
      </w:r>
      <w:r w:rsidRPr="007B3D51">
        <w:rPr>
          <w:rFonts w:eastAsia="Arial" w:cs="Times New Roman"/>
          <w:i/>
          <w:iCs/>
        </w:rPr>
        <w:t>, possibili quando le dimensioni e i volumi di prestazioni delle strutture ospedaliere sono sufficientemente ampi.”</w:t>
      </w:r>
    </w:p>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Infine:</w:t>
      </w:r>
    </w:p>
    <w:p w:rsidR="00EC0E7E" w:rsidRPr="00EC0E7E" w:rsidRDefault="00EC0E7E" w:rsidP="00EC0E7E">
      <w:pPr>
        <w:contextualSpacing/>
        <w:rPr>
          <w:rFonts w:eastAsia="Arial" w:cs="Arial"/>
          <w:szCs w:val="24"/>
        </w:rPr>
      </w:pPr>
    </w:p>
    <w:p w:rsidR="00EC0E7E" w:rsidRPr="007B3D51" w:rsidRDefault="00EC0E7E" w:rsidP="00EC0E7E">
      <w:pPr>
        <w:autoSpaceDE w:val="0"/>
        <w:autoSpaceDN w:val="0"/>
        <w:adjustRightInd w:val="0"/>
        <w:rPr>
          <w:rFonts w:eastAsia="Arial" w:cs="Times New Roman"/>
          <w:i/>
          <w:iCs/>
        </w:rPr>
      </w:pPr>
      <w:r w:rsidRPr="007B3D51">
        <w:rPr>
          <w:rFonts w:eastAsia="Arial" w:cs="Times New Roman"/>
          <w:i/>
          <w:iCs/>
        </w:rPr>
        <w:t xml:space="preserve">“… Gli ospedali sono strutture con alti costi fissi. Ciò, in linea di principio, fa presumere la presenza di economie di scala (dunque a dimensioni maggiori, dovrebbero corrispondere costi medi minori). </w:t>
      </w:r>
      <w:bookmarkStart w:id="24" w:name="_Hlk181622237"/>
      <w:r w:rsidRPr="007B3D51">
        <w:rPr>
          <w:rFonts w:eastAsia="Arial" w:cs="Times New Roman"/>
          <w:i/>
          <w:iCs/>
        </w:rPr>
        <w:t xml:space="preserve">Il tema delle economie di scala e della dimensione ottimale degli ospedali da un punto di vista economico è stato molto studiato in letteratura, senza giungere a risultati definitivi. Ciò detto, in generale i risultati sembrano confermare l’esistenza di economie di scala, fino al raggiungimento di una </w:t>
      </w:r>
      <w:r w:rsidRPr="007B3D51">
        <w:rPr>
          <w:rFonts w:eastAsia="Arial" w:cs="Times New Roman"/>
          <w:bCs/>
          <w:i/>
          <w:iCs/>
        </w:rPr>
        <w:t>“dimensione ottimale” che, pur con differenze anche sensibili tra i diversi contesti analizzati, è in genere situata tra i 200 e i 300 posti letto</w:t>
      </w:r>
      <w:r w:rsidRPr="007B3D51">
        <w:rPr>
          <w:rFonts w:eastAsia="Arial" w:cs="Times New Roman"/>
          <w:i/>
          <w:iCs/>
        </w:rPr>
        <w:t xml:space="preserve"> (Giancotti et al. 2017). </w:t>
      </w:r>
      <w:bookmarkEnd w:id="24"/>
      <w:r w:rsidRPr="007B3D51">
        <w:rPr>
          <w:rFonts w:eastAsia="Arial" w:cs="Times New Roman"/>
          <w:i/>
          <w:iCs/>
        </w:rPr>
        <w:t>Sempre la letteratura internazionale conferma anche il rischio che, oltre una certa dimensione (in genere stimata attorno ai 600 letti) si possano sviluppare diseconomie di scala, con i costi medi che cioè tendono a rialzarsi (ibidem). Per la Svizzera, uno studio pubblicato nel 2008 su dati 1998-2003 confermava la presenza di importanti economie di scala non sfruttate, a causa delle piccole dimensioni medie degli ospedali svizzeri (Farsi e Filippini, 2007).”</w:t>
      </w:r>
    </w:p>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Questa la dimensione degli ospedali in Ticino:</w:t>
      </w:r>
    </w:p>
    <w:p w:rsidR="00EC0E7E" w:rsidRPr="007B3D51" w:rsidRDefault="00EC0E7E" w:rsidP="00EC0E7E">
      <w:pPr>
        <w:contextualSpacing/>
        <w:rPr>
          <w:rFonts w:asciiTheme="minorHAnsi" w:eastAsia="Arial" w:hAnsiTheme="minorHAnsi" w:cstheme="minorHAnsi"/>
          <w:bCs/>
          <w:color w:val="000000"/>
          <w:sz w:val="24"/>
          <w:szCs w:val="24"/>
          <w:lang w:eastAsia="it-CH"/>
        </w:rPr>
      </w:pPr>
    </w:p>
    <w:p w:rsidR="00EC0E7E" w:rsidRPr="007B3D51" w:rsidRDefault="00EC0E7E" w:rsidP="00EC0E7E">
      <w:pPr>
        <w:contextualSpacing/>
        <w:rPr>
          <w:rFonts w:asciiTheme="minorHAnsi" w:eastAsia="Arial" w:hAnsiTheme="minorHAnsi" w:cstheme="minorHAnsi"/>
          <w:sz w:val="24"/>
          <w:szCs w:val="24"/>
        </w:rPr>
      </w:pPr>
      <w:r w:rsidRPr="007B3D51">
        <w:rPr>
          <w:rFonts w:asciiTheme="minorHAnsi" w:eastAsia="Arial" w:hAnsiTheme="minorHAnsi" w:cstheme="minorHAnsi"/>
          <w:bCs/>
          <w:color w:val="000000"/>
          <w:sz w:val="24"/>
          <w:szCs w:val="24"/>
          <w:lang w:eastAsia="it-CH"/>
        </w:rPr>
        <w:t>Letti in esercizio, per istituto, 2023</w:t>
      </w:r>
    </w:p>
    <w:tbl>
      <w:tblPr>
        <w:tblW w:w="5913" w:type="dxa"/>
        <w:tblCellMar>
          <w:left w:w="70" w:type="dxa"/>
          <w:right w:w="70" w:type="dxa"/>
        </w:tblCellMar>
        <w:tblLook w:val="00A0" w:firstRow="1" w:lastRow="0" w:firstColumn="1" w:lastColumn="0" w:noHBand="0" w:noVBand="0"/>
      </w:tblPr>
      <w:tblGrid>
        <w:gridCol w:w="207"/>
        <w:gridCol w:w="1955"/>
        <w:gridCol w:w="1884"/>
        <w:gridCol w:w="1867"/>
      </w:tblGrid>
      <w:tr w:rsidR="00EC0E7E" w:rsidRPr="007B3D51" w:rsidTr="00EC0E7E">
        <w:trPr>
          <w:trHeight w:val="420"/>
        </w:trPr>
        <w:tc>
          <w:tcPr>
            <w:tcW w:w="190" w:type="dxa"/>
            <w:tcBorders>
              <w:top w:val="single" w:sz="4" w:space="0" w:color="auto"/>
              <w:left w:val="nil"/>
              <w:bottom w:val="single" w:sz="4" w:space="0" w:color="auto"/>
              <w:right w:val="nil"/>
            </w:tcBorders>
            <w:noWrap/>
          </w:tcPr>
          <w:p w:rsidR="00EC0E7E" w:rsidRPr="007B3D51" w:rsidRDefault="00EC0E7E" w:rsidP="00EC0E7E">
            <w:pPr>
              <w:jc w:val="left"/>
              <w:rPr>
                <w:rFonts w:asciiTheme="minorHAnsi" w:eastAsia="Arial" w:hAnsiTheme="minorHAnsi" w:cstheme="minorHAnsi"/>
                <w:bCs/>
                <w:color w:val="000000"/>
                <w:sz w:val="24"/>
                <w:szCs w:val="24"/>
                <w:lang w:eastAsia="it-CH"/>
              </w:rPr>
            </w:pPr>
          </w:p>
        </w:tc>
        <w:tc>
          <w:tcPr>
            <w:tcW w:w="1955" w:type="dxa"/>
            <w:tcBorders>
              <w:top w:val="single" w:sz="4" w:space="0" w:color="auto"/>
              <w:left w:val="nil"/>
              <w:bottom w:val="single" w:sz="4" w:space="0" w:color="auto"/>
              <w:right w:val="nil"/>
            </w:tcBorders>
            <w:noWrap/>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 </w:t>
            </w:r>
          </w:p>
        </w:tc>
        <w:tc>
          <w:tcPr>
            <w:tcW w:w="1884" w:type="dxa"/>
            <w:tcBorders>
              <w:top w:val="single" w:sz="4" w:space="0" w:color="auto"/>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Letti in esercizio</w:t>
            </w:r>
          </w:p>
        </w:tc>
        <w:tc>
          <w:tcPr>
            <w:tcW w:w="1884" w:type="dxa"/>
            <w:tcBorders>
              <w:top w:val="single" w:sz="4" w:space="0" w:color="auto"/>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190" w:type="dxa"/>
            <w:tcBorders>
              <w:top w:val="nil"/>
              <w:left w:val="nil"/>
              <w:bottom w:val="nil"/>
              <w:right w:val="nil"/>
            </w:tcBorders>
            <w:noWrap/>
            <w:vAlign w:val="bottom"/>
          </w:tcPr>
          <w:p w:rsidR="00EC0E7E" w:rsidRPr="007B3D51" w:rsidRDefault="00EC0E7E" w:rsidP="00EC0E7E">
            <w:pPr>
              <w:jc w:val="right"/>
              <w:rPr>
                <w:rFonts w:asciiTheme="minorHAnsi" w:eastAsia="Arial" w:hAnsiTheme="minorHAnsi" w:cstheme="minorHAnsi"/>
                <w:bCs/>
                <w:color w:val="000000"/>
                <w:sz w:val="24"/>
                <w:szCs w:val="24"/>
                <w:lang w:eastAsia="it-CH"/>
              </w:rPr>
            </w:pPr>
          </w:p>
        </w:tc>
        <w:tc>
          <w:tcPr>
            <w:tcW w:w="1955" w:type="dxa"/>
            <w:tcBorders>
              <w:top w:val="nil"/>
              <w:left w:val="nil"/>
              <w:bottom w:val="nil"/>
              <w:right w:val="nil"/>
            </w:tcBorders>
            <w:noWrap/>
            <w:vAlign w:val="bottom"/>
          </w:tcPr>
          <w:p w:rsidR="00EC0E7E" w:rsidRPr="007B3D51" w:rsidRDefault="00EC0E7E" w:rsidP="00EC0E7E">
            <w:pPr>
              <w:jc w:val="left"/>
              <w:rPr>
                <w:rFonts w:asciiTheme="minorHAnsi" w:eastAsia="Arial" w:hAnsiTheme="minorHAnsi" w:cstheme="minorHAnsi"/>
                <w:sz w:val="24"/>
                <w:szCs w:val="24"/>
                <w:lang w:eastAsia="it-CH"/>
              </w:rPr>
            </w:pPr>
          </w:p>
        </w:tc>
        <w:tc>
          <w:tcPr>
            <w:tcW w:w="1884" w:type="dxa"/>
            <w:tcBorders>
              <w:top w:val="nil"/>
              <w:left w:val="nil"/>
              <w:bottom w:val="nil"/>
              <w:right w:val="nil"/>
            </w:tcBorders>
            <w:noWrap/>
            <w:vAlign w:val="bottom"/>
          </w:tcPr>
          <w:p w:rsidR="00EC0E7E" w:rsidRPr="007B3D51" w:rsidRDefault="00EC0E7E" w:rsidP="00EC0E7E">
            <w:pPr>
              <w:jc w:val="left"/>
              <w:rPr>
                <w:rFonts w:asciiTheme="minorHAnsi" w:eastAsia="Arial" w:hAnsiTheme="minorHAnsi" w:cstheme="minorHAnsi"/>
                <w:sz w:val="24"/>
                <w:szCs w:val="24"/>
                <w:lang w:eastAsia="it-CH"/>
              </w:rPr>
            </w:pPr>
          </w:p>
        </w:tc>
        <w:tc>
          <w:tcPr>
            <w:tcW w:w="1884" w:type="dxa"/>
            <w:tcBorders>
              <w:top w:val="nil"/>
              <w:left w:val="nil"/>
              <w:bottom w:val="nil"/>
              <w:right w:val="nil"/>
            </w:tcBorders>
          </w:tcPr>
          <w:p w:rsidR="00EC0E7E" w:rsidRPr="007B3D51" w:rsidRDefault="00EC0E7E" w:rsidP="00EC0E7E">
            <w:pPr>
              <w:jc w:val="left"/>
              <w:rPr>
                <w:rFonts w:asciiTheme="minorHAnsi" w:eastAsia="Arial" w:hAnsiTheme="minorHAnsi" w:cstheme="minorHAnsi"/>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SETTORE ACUTO</w:t>
            </w:r>
          </w:p>
        </w:tc>
        <w:tc>
          <w:tcPr>
            <w:tcW w:w="1884" w:type="dxa"/>
            <w:tcBorders>
              <w:top w:val="single" w:sz="4" w:space="0" w:color="auto"/>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1’296</w:t>
            </w:r>
          </w:p>
        </w:tc>
        <w:tc>
          <w:tcPr>
            <w:tcW w:w="1884" w:type="dxa"/>
            <w:tcBorders>
              <w:top w:val="single" w:sz="4" w:space="0" w:color="auto"/>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bottom"/>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EOC</w:t>
            </w:r>
          </w:p>
        </w:tc>
        <w:tc>
          <w:tcPr>
            <w:tcW w:w="1884" w:type="dxa"/>
            <w:tcBorders>
              <w:top w:val="nil"/>
              <w:left w:val="nil"/>
              <w:bottom w:val="single" w:sz="4" w:space="0" w:color="auto"/>
              <w:right w:val="nil"/>
            </w:tcBorders>
            <w:noWrap/>
            <w:vAlign w:val="bottom"/>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858</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bottom"/>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 xml:space="preserve">  Ospedali specializzati</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828</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ORL</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282</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OSG</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sz w:val="24"/>
                <w:szCs w:val="24"/>
                <w:lang w:eastAsia="it-CH"/>
              </w:rPr>
            </w:pPr>
            <w:r w:rsidRPr="007B3D51">
              <w:rPr>
                <w:rFonts w:asciiTheme="minorHAnsi" w:eastAsia="Arial" w:hAnsiTheme="minorHAnsi" w:cstheme="minorHAnsi"/>
                <w:sz w:val="24"/>
                <w:szCs w:val="24"/>
                <w:lang w:eastAsia="it-CH"/>
              </w:rPr>
              <w:t>215</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OBV</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140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ODL</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155</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CCT</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36</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 xml:space="preserve">  Medicina di base</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30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FAI</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15</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ACQ</w:t>
            </w:r>
          </w:p>
        </w:tc>
        <w:tc>
          <w:tcPr>
            <w:tcW w:w="1884" w:type="dxa"/>
            <w:tcBorders>
              <w:top w:val="nil"/>
              <w:left w:val="nil"/>
              <w:bottom w:val="nil"/>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15</w:t>
            </w:r>
          </w:p>
        </w:tc>
        <w:tc>
          <w:tcPr>
            <w:tcW w:w="1884" w:type="dxa"/>
            <w:tcBorders>
              <w:top w:val="nil"/>
              <w:left w:val="nil"/>
              <w:bottom w:val="nil"/>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bottom"/>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Cliniche private</w:t>
            </w:r>
          </w:p>
        </w:tc>
        <w:tc>
          <w:tcPr>
            <w:tcW w:w="1884" w:type="dxa"/>
            <w:tcBorders>
              <w:top w:val="single" w:sz="4" w:space="0" w:color="auto"/>
              <w:left w:val="nil"/>
              <w:bottom w:val="single" w:sz="4" w:space="0" w:color="auto"/>
              <w:right w:val="nil"/>
            </w:tcBorders>
            <w:noWrap/>
            <w:vAlign w:val="bottom"/>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438</w:t>
            </w:r>
          </w:p>
        </w:tc>
        <w:tc>
          <w:tcPr>
            <w:tcW w:w="1884" w:type="dxa"/>
            <w:tcBorders>
              <w:top w:val="single" w:sz="4" w:space="0" w:color="auto"/>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bottom"/>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 xml:space="preserve">  Specializzate</w:t>
            </w:r>
          </w:p>
        </w:tc>
        <w:tc>
          <w:tcPr>
            <w:tcW w:w="1884" w:type="dxa"/>
            <w:tcBorders>
              <w:top w:val="nil"/>
              <w:left w:val="nil"/>
              <w:bottom w:val="single" w:sz="4" w:space="0" w:color="auto"/>
              <w:right w:val="nil"/>
            </w:tcBorders>
            <w:noWrap/>
            <w:vAlign w:val="bottom"/>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413</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S. Chiara</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100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lastRenderedPageBreak/>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Luganese</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183</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Ars Medica</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60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S. Anna</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70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2145" w:type="dxa"/>
            <w:gridSpan w:val="2"/>
            <w:tcBorders>
              <w:top w:val="single" w:sz="4" w:space="0" w:color="auto"/>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 xml:space="preserve">  Medicina di base</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bCs/>
                <w:color w:val="000000"/>
                <w:sz w:val="24"/>
                <w:szCs w:val="24"/>
                <w:lang w:eastAsia="it-CH"/>
              </w:rPr>
            </w:pPr>
            <w:r w:rsidRPr="007B3D51">
              <w:rPr>
                <w:rFonts w:asciiTheme="minorHAnsi" w:eastAsia="Arial" w:hAnsiTheme="minorHAnsi" w:cstheme="minorHAnsi"/>
                <w:bCs/>
                <w:color w:val="000000"/>
                <w:sz w:val="24"/>
                <w:szCs w:val="24"/>
                <w:lang w:eastAsia="it-CH"/>
              </w:rPr>
              <w:t>25</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bCs/>
                <w:color w:val="000000"/>
                <w:sz w:val="24"/>
                <w:szCs w:val="24"/>
                <w:lang w:eastAsia="it-CH"/>
              </w:rPr>
            </w:pPr>
          </w:p>
        </w:tc>
      </w:tr>
      <w:tr w:rsidR="00EC0E7E" w:rsidRPr="007B3D51" w:rsidTr="00EC0E7E">
        <w:trPr>
          <w:trHeight w:val="290"/>
        </w:trPr>
        <w:tc>
          <w:tcPr>
            <w:tcW w:w="190"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single" w:sz="4" w:space="0" w:color="auto"/>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Varini</w:t>
            </w:r>
          </w:p>
        </w:tc>
        <w:tc>
          <w:tcPr>
            <w:tcW w:w="1884" w:type="dxa"/>
            <w:tcBorders>
              <w:top w:val="nil"/>
              <w:left w:val="nil"/>
              <w:bottom w:val="single" w:sz="4" w:space="0" w:color="auto"/>
              <w:right w:val="nil"/>
            </w:tcBorders>
            <w:noWrap/>
            <w:vAlign w:val="center"/>
          </w:tcPr>
          <w:p w:rsidR="00EC0E7E" w:rsidRPr="007B3D51" w:rsidRDefault="00EC0E7E" w:rsidP="00EC0E7E">
            <w:pPr>
              <w:jc w:val="right"/>
              <w:rPr>
                <w:rFonts w:asciiTheme="minorHAnsi" w:eastAsia="Arial" w:hAnsiTheme="minorHAnsi" w:cstheme="minorHAnsi"/>
                <w:sz w:val="24"/>
                <w:szCs w:val="24"/>
                <w:lang w:eastAsia="it-CH"/>
              </w:rPr>
            </w:pPr>
            <w:r w:rsidRPr="007B3D51">
              <w:rPr>
                <w:rFonts w:asciiTheme="minorHAnsi" w:eastAsia="Arial" w:hAnsiTheme="minorHAnsi" w:cstheme="minorHAnsi"/>
                <w:sz w:val="24"/>
                <w:szCs w:val="24"/>
                <w:lang w:eastAsia="it-CH"/>
              </w:rPr>
              <w:t>10</w:t>
            </w:r>
          </w:p>
        </w:tc>
        <w:tc>
          <w:tcPr>
            <w:tcW w:w="1884" w:type="dxa"/>
            <w:tcBorders>
              <w:top w:val="nil"/>
              <w:left w:val="nil"/>
              <w:bottom w:val="single" w:sz="4" w:space="0" w:color="auto"/>
              <w:right w:val="nil"/>
            </w:tcBorders>
          </w:tcPr>
          <w:p w:rsidR="00EC0E7E" w:rsidRPr="007B3D51" w:rsidRDefault="00EC0E7E" w:rsidP="00EC0E7E">
            <w:pPr>
              <w:jc w:val="right"/>
              <w:rPr>
                <w:rFonts w:asciiTheme="minorHAnsi" w:eastAsia="Arial" w:hAnsiTheme="minorHAnsi" w:cstheme="minorHAnsi"/>
                <w:sz w:val="24"/>
                <w:szCs w:val="24"/>
                <w:lang w:eastAsia="it-CH"/>
              </w:rPr>
            </w:pPr>
          </w:p>
        </w:tc>
      </w:tr>
      <w:tr w:rsidR="00EC0E7E" w:rsidRPr="007B3D51" w:rsidTr="00EC0E7E">
        <w:trPr>
          <w:trHeight w:val="290"/>
        </w:trPr>
        <w:tc>
          <w:tcPr>
            <w:tcW w:w="190"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 </w:t>
            </w:r>
          </w:p>
        </w:tc>
        <w:tc>
          <w:tcPr>
            <w:tcW w:w="1955"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Spinedi</w:t>
            </w:r>
          </w:p>
        </w:tc>
        <w:tc>
          <w:tcPr>
            <w:tcW w:w="1884" w:type="dxa"/>
            <w:tcBorders>
              <w:top w:val="nil"/>
              <w:left w:val="nil"/>
              <w:bottom w:val="nil"/>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r w:rsidRPr="007B3D51">
              <w:rPr>
                <w:rFonts w:asciiTheme="minorHAnsi" w:eastAsia="Arial" w:hAnsiTheme="minorHAnsi" w:cstheme="minorHAnsi"/>
                <w:color w:val="000000"/>
                <w:sz w:val="24"/>
                <w:szCs w:val="24"/>
                <w:lang w:eastAsia="it-CH"/>
              </w:rPr>
              <w:t>15</w:t>
            </w:r>
          </w:p>
        </w:tc>
        <w:tc>
          <w:tcPr>
            <w:tcW w:w="1884" w:type="dxa"/>
            <w:tcBorders>
              <w:top w:val="nil"/>
              <w:left w:val="nil"/>
              <w:bottom w:val="nil"/>
              <w:right w:val="nil"/>
            </w:tcBorders>
          </w:tcPr>
          <w:p w:rsidR="00EC0E7E" w:rsidRPr="007B3D51" w:rsidRDefault="00EC0E7E" w:rsidP="00EC0E7E">
            <w:pPr>
              <w:jc w:val="right"/>
              <w:rPr>
                <w:rFonts w:asciiTheme="minorHAnsi" w:eastAsia="Arial" w:hAnsiTheme="minorHAnsi" w:cstheme="minorHAnsi"/>
                <w:color w:val="000000"/>
                <w:sz w:val="24"/>
                <w:szCs w:val="24"/>
                <w:lang w:eastAsia="it-CH"/>
              </w:rPr>
            </w:pPr>
          </w:p>
        </w:tc>
      </w:tr>
      <w:tr w:rsidR="00EC0E7E" w:rsidRPr="007B3D51" w:rsidTr="00EC0E7E">
        <w:trPr>
          <w:trHeight w:val="290"/>
        </w:trPr>
        <w:tc>
          <w:tcPr>
            <w:tcW w:w="190" w:type="dxa"/>
            <w:tcBorders>
              <w:top w:val="nil"/>
              <w:left w:val="nil"/>
              <w:bottom w:val="nil"/>
              <w:right w:val="nil"/>
            </w:tcBorders>
            <w:noWrap/>
            <w:vAlign w:val="center"/>
          </w:tcPr>
          <w:p w:rsidR="00EC0E7E" w:rsidRPr="007B3D51" w:rsidRDefault="00EC0E7E" w:rsidP="00EC0E7E">
            <w:pPr>
              <w:jc w:val="right"/>
              <w:rPr>
                <w:rFonts w:asciiTheme="minorHAnsi" w:eastAsia="Arial" w:hAnsiTheme="minorHAnsi" w:cstheme="minorHAnsi"/>
                <w:color w:val="000000"/>
                <w:sz w:val="24"/>
                <w:szCs w:val="24"/>
                <w:lang w:eastAsia="it-CH"/>
              </w:rPr>
            </w:pPr>
          </w:p>
        </w:tc>
        <w:tc>
          <w:tcPr>
            <w:tcW w:w="1955"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sz w:val="24"/>
                <w:szCs w:val="24"/>
                <w:lang w:eastAsia="it-CH"/>
              </w:rPr>
            </w:pPr>
          </w:p>
        </w:tc>
        <w:tc>
          <w:tcPr>
            <w:tcW w:w="1884" w:type="dxa"/>
            <w:tcBorders>
              <w:top w:val="nil"/>
              <w:left w:val="nil"/>
              <w:bottom w:val="nil"/>
              <w:right w:val="nil"/>
            </w:tcBorders>
            <w:noWrap/>
            <w:vAlign w:val="center"/>
          </w:tcPr>
          <w:p w:rsidR="00EC0E7E" w:rsidRPr="007B3D51" w:rsidRDefault="00EC0E7E" w:rsidP="00EC0E7E">
            <w:pPr>
              <w:jc w:val="left"/>
              <w:rPr>
                <w:rFonts w:asciiTheme="minorHAnsi" w:eastAsia="Arial" w:hAnsiTheme="minorHAnsi" w:cstheme="minorHAnsi"/>
                <w:sz w:val="24"/>
                <w:szCs w:val="24"/>
                <w:lang w:eastAsia="it-CH"/>
              </w:rPr>
            </w:pPr>
          </w:p>
        </w:tc>
        <w:tc>
          <w:tcPr>
            <w:tcW w:w="1884" w:type="dxa"/>
            <w:tcBorders>
              <w:top w:val="nil"/>
              <w:left w:val="nil"/>
              <w:bottom w:val="nil"/>
              <w:right w:val="nil"/>
            </w:tcBorders>
          </w:tcPr>
          <w:p w:rsidR="00EC0E7E" w:rsidRPr="007B3D51" w:rsidRDefault="00EC0E7E" w:rsidP="00EC0E7E">
            <w:pPr>
              <w:jc w:val="left"/>
              <w:rPr>
                <w:rFonts w:asciiTheme="minorHAnsi" w:eastAsia="Arial" w:hAnsiTheme="minorHAnsi" w:cstheme="minorHAnsi"/>
                <w:sz w:val="24"/>
                <w:szCs w:val="24"/>
                <w:lang w:eastAsia="it-CH"/>
              </w:rPr>
            </w:pPr>
          </w:p>
        </w:tc>
      </w:tr>
    </w:tbl>
    <w:p w:rsidR="00EC0E7E" w:rsidRPr="00EC0E7E" w:rsidRDefault="00EC0E7E" w:rsidP="00EC0E7E">
      <w:pPr>
        <w:contextualSpacing/>
        <w:rPr>
          <w:rFonts w:eastAsia="Arial" w:cs="Arial"/>
          <w:szCs w:val="24"/>
        </w:rPr>
      </w:pPr>
    </w:p>
    <w:p w:rsidR="00EC0E7E" w:rsidRPr="007B3D51" w:rsidRDefault="00EC0E7E" w:rsidP="00EC0E7E">
      <w:pPr>
        <w:contextualSpacing/>
        <w:rPr>
          <w:rFonts w:eastAsia="Arial" w:cs="Arial"/>
          <w:sz w:val="24"/>
          <w:szCs w:val="24"/>
        </w:rPr>
      </w:pPr>
      <w:r w:rsidRPr="007B3D51">
        <w:rPr>
          <w:rFonts w:eastAsia="Arial" w:cs="Arial"/>
          <w:sz w:val="24"/>
          <w:szCs w:val="24"/>
        </w:rPr>
        <w:t>Prendere atto delle dimensioni delle strutture ospedaliere in Ticino, permette di capire come sovente siamo distanti dalle dimensioni auspicate dagli studi internazionali a garanzia di una buona economicità e una buona qualità delle cure. Sembrerebbe quindi non sussistano molti dubbi sul fatto che anche nel nostro Cantone vi siano margini di miglioramento in relazione al criterio di economicità e sostenibilità grazie alla promozione di una migliore economia di scala come indicato dal rapporto SUPSI del prof Carlo De Pietro.</w:t>
      </w:r>
    </w:p>
    <w:p w:rsidR="00EC0E7E" w:rsidRPr="007B3D51" w:rsidRDefault="00EC0E7E" w:rsidP="00EC0E7E">
      <w:pPr>
        <w:contextualSpacing/>
        <w:rPr>
          <w:rFonts w:eastAsia="Arial" w:cs="Arial"/>
          <w:sz w:val="24"/>
          <w:szCs w:val="24"/>
        </w:rPr>
      </w:pPr>
    </w:p>
    <w:p w:rsidR="00EC0E7E" w:rsidRPr="007B3D51" w:rsidRDefault="00EC0E7E" w:rsidP="00EC0E7E">
      <w:pPr>
        <w:ind w:right="-1"/>
        <w:rPr>
          <w:rFonts w:eastAsia="Arial" w:cs="Arial"/>
          <w:sz w:val="24"/>
          <w:szCs w:val="24"/>
        </w:rPr>
      </w:pPr>
      <w:r w:rsidRPr="007B3D51">
        <w:rPr>
          <w:rFonts w:eastAsia="Arial" w:cs="Arial"/>
          <w:sz w:val="24"/>
          <w:szCs w:val="24"/>
        </w:rPr>
        <w:t xml:space="preserve">Sul tema centrale della </w:t>
      </w:r>
      <w:r w:rsidRPr="007B3D51">
        <w:rPr>
          <w:rFonts w:eastAsia="Arial" w:cs="Arial"/>
          <w:bCs/>
          <w:sz w:val="24"/>
          <w:szCs w:val="24"/>
        </w:rPr>
        <w:t>ricerca di equilibrio tra prossimità e concentrazione</w:t>
      </w:r>
      <w:r w:rsidRPr="007B3D51">
        <w:rPr>
          <w:rFonts w:eastAsia="Arial" w:cs="Arial"/>
          <w:sz w:val="24"/>
          <w:szCs w:val="24"/>
        </w:rPr>
        <w:t>, il Governo ha richiamato quanto segue:</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Art. 58b cpv. 4 OAMal</w:t>
      </w:r>
    </w:p>
    <w:p w:rsidR="00EC0E7E" w:rsidRPr="007B3D51" w:rsidRDefault="00EC0E7E" w:rsidP="007B3D51">
      <w:pPr>
        <w:spacing w:before="80"/>
        <w:ind w:left="360"/>
        <w:rPr>
          <w:rFonts w:eastAsia="Arial" w:cs="Arial"/>
          <w:i/>
          <w:sz w:val="24"/>
          <w:szCs w:val="24"/>
        </w:rPr>
      </w:pPr>
      <w:r w:rsidRPr="007B3D51">
        <w:rPr>
          <w:rFonts w:eastAsia="Arial" w:cs="Arial"/>
          <w:sz w:val="24"/>
          <w:szCs w:val="24"/>
        </w:rPr>
        <w:t>«</w:t>
      </w:r>
      <w:r w:rsidRPr="007B3D51">
        <w:rPr>
          <w:rFonts w:eastAsia="Arial" w:cs="Arial"/>
          <w:i/>
          <w:sz w:val="24"/>
          <w:szCs w:val="24"/>
        </w:rPr>
        <w:t>Nel determinare l'offerta da assicurare che figura nell'elenco, i Cantoni considerano in particolare:</w:t>
      </w:r>
    </w:p>
    <w:p w:rsidR="00EC0E7E" w:rsidRPr="007B3D51" w:rsidRDefault="00EC0E7E" w:rsidP="007B3D51">
      <w:pPr>
        <w:numPr>
          <w:ilvl w:val="0"/>
          <w:numId w:val="27"/>
        </w:numPr>
        <w:spacing w:before="80"/>
        <w:rPr>
          <w:rFonts w:eastAsia="Arial" w:cs="Arial"/>
          <w:i/>
          <w:sz w:val="24"/>
          <w:szCs w:val="24"/>
        </w:rPr>
      </w:pPr>
      <w:r w:rsidRPr="007B3D51">
        <w:rPr>
          <w:rFonts w:eastAsia="Arial" w:cs="Arial"/>
          <w:i/>
          <w:sz w:val="24"/>
          <w:szCs w:val="24"/>
        </w:rPr>
        <w:t>l'economicità e la qualità della fornitura di prestazioni;</w:t>
      </w:r>
    </w:p>
    <w:p w:rsidR="00EC0E7E" w:rsidRPr="007B3D51" w:rsidRDefault="00EC0E7E" w:rsidP="007B3D51">
      <w:pPr>
        <w:numPr>
          <w:ilvl w:val="0"/>
          <w:numId w:val="27"/>
        </w:numPr>
        <w:spacing w:before="80"/>
        <w:rPr>
          <w:rFonts w:eastAsia="Arial" w:cs="Arial"/>
          <w:sz w:val="24"/>
          <w:szCs w:val="24"/>
        </w:rPr>
      </w:pPr>
      <w:r w:rsidRPr="007B3D51">
        <w:rPr>
          <w:rFonts w:eastAsia="Arial" w:cs="Arial"/>
          <w:i/>
          <w:sz w:val="24"/>
          <w:szCs w:val="24"/>
        </w:rPr>
        <w:t>l'accesso dei pazienti alle cure entro un termine utile;</w:t>
      </w:r>
      <w:r w:rsidRPr="007B3D51">
        <w:rPr>
          <w:rFonts w:eastAsia="Arial" w:cs="Arial"/>
          <w:sz w:val="24"/>
          <w:szCs w:val="24"/>
        </w:rPr>
        <w:t xml:space="preserve"> […]».</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Concentrazione; consente di migliorare l'economicità e la qualità.</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Prossimità; consente di garantire l’accesso entro un termine utile alle cure.</w:t>
      </w:r>
    </w:p>
    <w:p w:rsidR="00EC0E7E" w:rsidRPr="007B3D51" w:rsidRDefault="00EC0E7E" w:rsidP="007B3D51">
      <w:pPr>
        <w:spacing w:before="80"/>
        <w:ind w:left="360"/>
        <w:rPr>
          <w:rFonts w:eastAsia="Arial" w:cs="Arial"/>
          <w:sz w:val="24"/>
          <w:szCs w:val="24"/>
        </w:rPr>
      </w:pPr>
      <w:r w:rsidRPr="007B3D51">
        <w:rPr>
          <w:rFonts w:eastAsia="Arial" w:cs="Arial"/>
          <w:sz w:val="24"/>
          <w:szCs w:val="24"/>
        </w:rPr>
        <w:t>Necessità di trovare il giusto equilibrio tra le due dimensioni.</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Cure ambulatoriali; diffusione capillare a garanzia delle cure necessarie, senza degenza ospedaliera.</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Cure di base; importanza della prossimità, in quanto non sono richieste strutture o specialisti particolari.</w:t>
      </w:r>
    </w:p>
    <w:p w:rsidR="00EC0E7E" w:rsidRPr="007B3D51" w:rsidRDefault="00EC0E7E" w:rsidP="007B3D51">
      <w:pPr>
        <w:numPr>
          <w:ilvl w:val="0"/>
          <w:numId w:val="26"/>
        </w:numPr>
        <w:spacing w:before="80"/>
        <w:rPr>
          <w:rFonts w:eastAsia="Arial" w:cs="Arial"/>
          <w:sz w:val="24"/>
          <w:szCs w:val="24"/>
        </w:rPr>
      </w:pPr>
      <w:r w:rsidRPr="007B3D51">
        <w:rPr>
          <w:rFonts w:eastAsia="Arial" w:cs="Arial"/>
          <w:sz w:val="24"/>
          <w:szCs w:val="24"/>
        </w:rPr>
        <w:t>Concentrazione "graduale" delle prestazioni specialistiche e multidisciplinari e complesse; quanto più esigenti per complessità e infrastrutture necessarie, tanto maggiore è l'importanza di concentrare l'offerta.</w:t>
      </w:r>
    </w:p>
    <w:p w:rsidR="00EC0E7E" w:rsidRPr="007B3D51" w:rsidRDefault="00EC0E7E" w:rsidP="007B3D51">
      <w:pPr>
        <w:spacing w:before="80"/>
        <w:ind w:left="360"/>
        <w:rPr>
          <w:rFonts w:eastAsia="Arial" w:cs="Arial"/>
          <w:sz w:val="24"/>
          <w:szCs w:val="24"/>
        </w:rPr>
      </w:pPr>
      <w:r w:rsidRPr="007B3D51">
        <w:rPr>
          <w:rFonts w:eastAsia="Arial" w:cs="Arial"/>
          <w:sz w:val="24"/>
          <w:szCs w:val="24"/>
        </w:rPr>
        <w:t>Strumento: quote di mercato.</w:t>
      </w:r>
    </w:p>
    <w:p w:rsidR="00EC0E7E" w:rsidRPr="007B3D51" w:rsidRDefault="00EC0E7E" w:rsidP="00EC0E7E">
      <w:pPr>
        <w:rPr>
          <w:rFonts w:eastAsia="Arial" w:cs="Arial"/>
          <w:sz w:val="24"/>
          <w:szCs w:val="24"/>
        </w:rPr>
      </w:pPr>
    </w:p>
    <w:p w:rsidR="00EC0E7E" w:rsidRDefault="00EC0E7E" w:rsidP="00EC0E7E">
      <w:pPr>
        <w:rPr>
          <w:rFonts w:eastAsia="Arial" w:cs="Times New Roman"/>
          <w:bCs/>
          <w:sz w:val="24"/>
          <w:szCs w:val="24"/>
        </w:rPr>
      </w:pPr>
      <w:r w:rsidRPr="007B3D51">
        <w:rPr>
          <w:rFonts w:eastAsia="Arial" w:cs="Arial"/>
          <w:sz w:val="24"/>
          <w:szCs w:val="24"/>
        </w:rPr>
        <w:t>Le considerazioni appena espresse sono da incrociare con la constatazione che d</w:t>
      </w:r>
      <w:r w:rsidRPr="007B3D51">
        <w:rPr>
          <w:rFonts w:eastAsia="Arial" w:cs="Times New Roman"/>
          <w:bCs/>
          <w:sz w:val="24"/>
          <w:szCs w:val="24"/>
        </w:rPr>
        <w:t>opo Basilea Città e Ginevra, il Ticino ha il più elevato costo annuo pro capite dell'assicurazione malattia di base. Questo costo elevato della sanità è correlato al fatto che il nostro Cantone si distingue a livello svizzero per consumi elevati di prestazioni sanitarie così come per una densità importante di letti somatico-acuti, sul tasso di ospedalizzazione elevato ogni 1'000 abitanti e sulla durata media della degenza.</w:t>
      </w:r>
    </w:p>
    <w:p w:rsidR="007B3D51" w:rsidRPr="007B3D51" w:rsidRDefault="007B3D51" w:rsidP="00EC0E7E">
      <w:pPr>
        <w:rPr>
          <w:rFonts w:eastAsia="Arial" w:cs="Times New Roman"/>
          <w:bCs/>
          <w:sz w:val="24"/>
          <w:szCs w:val="24"/>
        </w:rPr>
      </w:pPr>
    </w:p>
    <w:p w:rsidR="00EC0E7E" w:rsidRPr="007B3D51" w:rsidRDefault="00EC0E7E" w:rsidP="00EC0E7E">
      <w:pPr>
        <w:rPr>
          <w:rFonts w:eastAsia="Arial" w:cs="Times New Roman"/>
          <w:bCs/>
          <w:sz w:val="24"/>
          <w:szCs w:val="24"/>
        </w:rPr>
      </w:pPr>
      <w:r w:rsidRPr="007B3D51">
        <w:rPr>
          <w:rFonts w:eastAsia="Arial" w:cs="Times New Roman"/>
          <w:bCs/>
          <w:sz w:val="24"/>
          <w:szCs w:val="24"/>
        </w:rPr>
        <w:t xml:space="preserve">Al capitolo prospettive non possiamo infine di tralasciare di considerare la prossima votazione sul referendum contro la riforma del finanziamento uniforme delle prestazioni in base alla quale tutte le prestazioni dell’assicurazione obbligatoria delle cure medico-sanitarie (AOMS) – a prescindere che siano dispensate in regime ambulatoriale, </w:t>
      </w:r>
      <w:r w:rsidRPr="007B3D51">
        <w:rPr>
          <w:rFonts w:eastAsia="Arial" w:cs="Times New Roman"/>
          <w:bCs/>
          <w:sz w:val="24"/>
          <w:szCs w:val="24"/>
        </w:rPr>
        <w:lastRenderedPageBreak/>
        <w:t>stazionario o nelle case di cura – saranno finanziate secondo la stessa chiave di ripartizione. Nuovo sistema fi finanziamento noto con l’acronimo EFAS.</w:t>
      </w:r>
    </w:p>
    <w:p w:rsidR="00EC0E7E" w:rsidRPr="007B3D51" w:rsidRDefault="00EC0E7E" w:rsidP="00EC0E7E">
      <w:pPr>
        <w:rPr>
          <w:rFonts w:eastAsia="Arial" w:cs="Times New Roman"/>
          <w:bCs/>
          <w:sz w:val="24"/>
          <w:szCs w:val="24"/>
        </w:rPr>
      </w:pPr>
      <w:r w:rsidRPr="007B3D51">
        <w:rPr>
          <w:rFonts w:eastAsia="Arial" w:cs="Times New Roman"/>
          <w:bCs/>
          <w:sz w:val="24"/>
          <w:szCs w:val="24"/>
        </w:rPr>
        <w:t>Se l’esito del voto del 24 novembre dovesse confermare l’orientamento di parlamento e Consiglio federale, per le finanze del Cantone è stato stimato un aggravio annuo a tendere che potrebbe essere oltre gli 80 milioni di franchi.</w:t>
      </w:r>
    </w:p>
    <w:p w:rsidR="00EC0E7E" w:rsidRDefault="00EC0E7E" w:rsidP="00EC0E7E">
      <w:pPr>
        <w:rPr>
          <w:rFonts w:eastAsia="Arial" w:cs="Times New Roman"/>
          <w:bCs/>
          <w:szCs w:val="20"/>
        </w:rPr>
      </w:pPr>
    </w:p>
    <w:p w:rsidR="007B3D51" w:rsidRPr="00EC0E7E" w:rsidRDefault="007B3D51" w:rsidP="00EC0E7E">
      <w:pPr>
        <w:rPr>
          <w:rFonts w:eastAsia="Arial" w:cs="Times New Roman"/>
          <w:bCs/>
          <w:szCs w:val="20"/>
        </w:rPr>
      </w:pPr>
    </w:p>
    <w:p w:rsidR="00EC0E7E" w:rsidRPr="00EC0E7E" w:rsidRDefault="00EC0E7E" w:rsidP="00EC0E7E">
      <w:pPr>
        <w:rPr>
          <w:rFonts w:eastAsia="Arial" w:cs="Times New Roman"/>
          <w:bCs/>
          <w:szCs w:val="20"/>
        </w:rPr>
      </w:pPr>
    </w:p>
    <w:p w:rsidR="00EC0E7E" w:rsidRPr="007B3D51" w:rsidRDefault="00EC0E7E" w:rsidP="00EC0E7E">
      <w:pPr>
        <w:pStyle w:val="Titolo1"/>
        <w:numPr>
          <w:ilvl w:val="0"/>
          <w:numId w:val="24"/>
        </w:numPr>
        <w:tabs>
          <w:tab w:val="left" w:pos="567"/>
        </w:tabs>
        <w:spacing w:before="0"/>
        <w:ind w:left="567" w:hanging="567"/>
        <w:jc w:val="both"/>
        <w:rPr>
          <w:rFonts w:eastAsia="Arial" w:cs="Arial"/>
          <w:bCs/>
          <w:szCs w:val="24"/>
        </w:rPr>
      </w:pPr>
      <w:bookmarkStart w:id="25" w:name="_Toc183013504"/>
      <w:r w:rsidRPr="007B3D51">
        <w:rPr>
          <w:rFonts w:eastAsia="Calibri" w:cs="Times New Roman"/>
          <w:caps/>
          <w:sz w:val="24"/>
          <w:szCs w:val="24"/>
          <w:lang w:val="it-IT" w:eastAsia="it-IT"/>
        </w:rPr>
        <w:t>Conclusioni</w:t>
      </w:r>
      <w:bookmarkEnd w:id="25"/>
    </w:p>
    <w:p w:rsidR="00EC0E7E" w:rsidRDefault="00EC0E7E" w:rsidP="00EC0E7E">
      <w:pPr>
        <w:rPr>
          <w:rFonts w:eastAsia="Arial" w:cs="Arial"/>
          <w:sz w:val="24"/>
          <w:szCs w:val="24"/>
        </w:rPr>
      </w:pPr>
      <w:r w:rsidRPr="007B3D51">
        <w:rPr>
          <w:rFonts w:eastAsia="Arial" w:cs="Arial"/>
          <w:sz w:val="24"/>
          <w:szCs w:val="24"/>
        </w:rPr>
        <w:t xml:space="preserve">La POC è uno strumento strategico significativo per un tema importante che finanziariamente rappresenta ben il 10% del budget dello Stato. Come qualsiasi altra spesa significativa dello stato si tratta di un settore che richiede grande attenzione, una riflessione critica, tempi di adattamento piuttosto importanti e i cambiamenti non possono essere imposti a breve termine. </w:t>
      </w:r>
    </w:p>
    <w:p w:rsidR="007B3D51" w:rsidRPr="007B3D51" w:rsidRDefault="007B3D51" w:rsidP="00EC0E7E">
      <w:pPr>
        <w:rPr>
          <w:rFonts w:eastAsia="Arial" w:cs="Arial"/>
          <w:sz w:val="24"/>
          <w:szCs w:val="24"/>
        </w:rPr>
      </w:pPr>
    </w:p>
    <w:p w:rsidR="00EC0E7E" w:rsidRDefault="00EC0E7E" w:rsidP="00EC0E7E">
      <w:pPr>
        <w:rPr>
          <w:rFonts w:eastAsia="Arial" w:cs="Arial"/>
          <w:sz w:val="24"/>
          <w:szCs w:val="24"/>
        </w:rPr>
      </w:pPr>
      <w:r w:rsidRPr="007B3D51">
        <w:rPr>
          <w:rFonts w:eastAsia="Arial" w:cs="Arial"/>
          <w:sz w:val="24"/>
          <w:szCs w:val="24"/>
        </w:rPr>
        <w:t>In prospettiva per il Cantone sarà decisivo utilizzare i margini di manovra disponibili, consapevoli che la sfida principale rimane l’equilibrio tra la qualità delle cure e costi sostenibili.</w:t>
      </w:r>
    </w:p>
    <w:p w:rsidR="007B3D51" w:rsidRPr="007B3D51" w:rsidRDefault="007B3D51" w:rsidP="00EC0E7E">
      <w:pPr>
        <w:rPr>
          <w:rFonts w:eastAsia="Arial" w:cs="Arial"/>
          <w:sz w:val="24"/>
          <w:szCs w:val="24"/>
        </w:rPr>
      </w:pPr>
    </w:p>
    <w:p w:rsidR="00EC0E7E" w:rsidRPr="007B3D51" w:rsidRDefault="00EC0E7E" w:rsidP="00EC0E7E">
      <w:pPr>
        <w:rPr>
          <w:rFonts w:eastAsia="Arial" w:cs="Arial"/>
          <w:sz w:val="24"/>
          <w:szCs w:val="24"/>
        </w:rPr>
      </w:pPr>
      <w:r w:rsidRPr="007B3D51">
        <w:rPr>
          <w:rFonts w:eastAsia="Arial" w:cs="Arial"/>
          <w:sz w:val="24"/>
          <w:szCs w:val="24"/>
        </w:rPr>
        <w:t>In conclusione la Commissione condivide lo sforzo della CSSS di voler trovare un comun denominatore condensato in un unico rapporto per approvare una POC che permetta un’impostazione della pianificazione ospedaliera cantonale in una situazione di eguaglianza di tutti gli attori dopo la sentenza del TAF del 2019. Per questo motivo la Commissione appoggia il relativo rapporto ma non può esimersi dal rendere attenti Consiglio di Stato e Parlamento sulle sfide, anche finanziarie, che rimangono da affrontare sul medio e lungo termine per lo sviluppo di un’offerta ospedaliera di qualità nel nostro Cantone.</w:t>
      </w:r>
    </w:p>
    <w:p w:rsidR="00EC0E7E" w:rsidRDefault="00EC0E7E" w:rsidP="00EC0E7E">
      <w:pPr>
        <w:rPr>
          <w:rFonts w:eastAsia="Arial" w:cs="Arial"/>
          <w:sz w:val="24"/>
          <w:szCs w:val="24"/>
        </w:rPr>
      </w:pPr>
    </w:p>
    <w:p w:rsidR="007B3D51" w:rsidRPr="007B3D51" w:rsidRDefault="007B3D51" w:rsidP="00EC0E7E">
      <w:pPr>
        <w:rPr>
          <w:rFonts w:eastAsia="Arial" w:cs="Arial"/>
          <w:sz w:val="24"/>
          <w:szCs w:val="24"/>
        </w:rPr>
      </w:pPr>
    </w:p>
    <w:p w:rsidR="00EC0E7E" w:rsidRPr="007B3D51" w:rsidRDefault="007B3D51" w:rsidP="007B3D51">
      <w:pPr>
        <w:spacing w:after="120"/>
        <w:rPr>
          <w:rFonts w:eastAsia="Arial" w:cs="Arial"/>
          <w:sz w:val="24"/>
          <w:szCs w:val="24"/>
        </w:rPr>
      </w:pPr>
      <w:r>
        <w:rPr>
          <w:rFonts w:eastAsia="Arial" w:cs="Arial"/>
          <w:sz w:val="24"/>
          <w:szCs w:val="24"/>
        </w:rPr>
        <w:t>Per la Com</w:t>
      </w:r>
      <w:bookmarkStart w:id="26" w:name="_GoBack"/>
      <w:bookmarkEnd w:id="26"/>
      <w:r>
        <w:rPr>
          <w:rFonts w:eastAsia="Arial" w:cs="Arial"/>
          <w:sz w:val="24"/>
          <w:szCs w:val="24"/>
        </w:rPr>
        <w:t xml:space="preserve">missione </w:t>
      </w:r>
      <w:r w:rsidR="00EC0E7E" w:rsidRPr="007B3D51">
        <w:rPr>
          <w:rFonts w:eastAsia="Arial" w:cs="Arial"/>
          <w:sz w:val="24"/>
          <w:szCs w:val="24"/>
        </w:rPr>
        <w:t>gestione e finanze</w:t>
      </w:r>
      <w:r>
        <w:rPr>
          <w:rFonts w:eastAsia="Arial" w:cs="Arial"/>
          <w:sz w:val="24"/>
          <w:szCs w:val="24"/>
        </w:rPr>
        <w:t>:</w:t>
      </w:r>
    </w:p>
    <w:p w:rsidR="00EC0E7E" w:rsidRDefault="00EC0E7E" w:rsidP="00EC0E7E">
      <w:pPr>
        <w:rPr>
          <w:rFonts w:eastAsia="Arial" w:cs="Arial"/>
          <w:sz w:val="24"/>
          <w:szCs w:val="24"/>
        </w:rPr>
      </w:pPr>
      <w:r w:rsidRPr="007B3D51">
        <w:rPr>
          <w:rFonts w:eastAsia="Arial" w:cs="Arial"/>
          <w:sz w:val="24"/>
          <w:szCs w:val="24"/>
        </w:rPr>
        <w:t>Bixio Caprara, relatore</w:t>
      </w:r>
    </w:p>
    <w:p w:rsidR="007B3D51" w:rsidRDefault="007B3D51" w:rsidP="00EC0E7E">
      <w:pPr>
        <w:rPr>
          <w:rFonts w:eastAsia="Arial" w:cs="Arial"/>
          <w:sz w:val="24"/>
          <w:szCs w:val="24"/>
        </w:rPr>
      </w:pPr>
      <w:r>
        <w:rPr>
          <w:rFonts w:eastAsia="Arial" w:cs="Arial"/>
          <w:sz w:val="24"/>
          <w:szCs w:val="24"/>
        </w:rPr>
        <w:t xml:space="preserve">Agustoni </w:t>
      </w:r>
      <w:r w:rsidR="00C92BF5">
        <w:rPr>
          <w:rFonts w:eastAsia="Arial" w:cs="Arial"/>
          <w:sz w:val="24"/>
          <w:szCs w:val="24"/>
        </w:rPr>
        <w:t>-</w:t>
      </w:r>
      <w:r>
        <w:rPr>
          <w:rFonts w:eastAsia="Arial" w:cs="Arial"/>
          <w:sz w:val="24"/>
          <w:szCs w:val="24"/>
        </w:rPr>
        <w:t xml:space="preserve"> Balli </w:t>
      </w:r>
      <w:r w:rsidR="00C92BF5">
        <w:rPr>
          <w:rFonts w:eastAsia="Arial" w:cs="Arial"/>
          <w:sz w:val="24"/>
          <w:szCs w:val="24"/>
        </w:rPr>
        <w:t>-</w:t>
      </w:r>
      <w:r>
        <w:rPr>
          <w:rFonts w:eastAsia="Arial" w:cs="Arial"/>
          <w:sz w:val="24"/>
          <w:szCs w:val="24"/>
        </w:rPr>
        <w:t xml:space="preserve"> Bignasca </w:t>
      </w:r>
      <w:r w:rsidR="00C92BF5">
        <w:rPr>
          <w:rFonts w:eastAsia="Arial" w:cs="Arial"/>
          <w:sz w:val="24"/>
          <w:szCs w:val="24"/>
        </w:rPr>
        <w:t>-</w:t>
      </w:r>
      <w:r>
        <w:rPr>
          <w:rFonts w:eastAsia="Arial" w:cs="Arial"/>
          <w:sz w:val="24"/>
          <w:szCs w:val="24"/>
        </w:rPr>
        <w:t xml:space="preserve"> Dadò </w:t>
      </w:r>
      <w:r w:rsidR="00C92BF5">
        <w:rPr>
          <w:rFonts w:eastAsia="Arial" w:cs="Arial"/>
          <w:sz w:val="24"/>
          <w:szCs w:val="24"/>
        </w:rPr>
        <w:t>-</w:t>
      </w:r>
      <w:r>
        <w:rPr>
          <w:rFonts w:eastAsia="Arial" w:cs="Arial"/>
          <w:sz w:val="24"/>
          <w:szCs w:val="24"/>
        </w:rPr>
        <w:t xml:space="preserve"> </w:t>
      </w:r>
    </w:p>
    <w:p w:rsidR="007B3D51" w:rsidRDefault="007B3D51" w:rsidP="00EC0E7E">
      <w:pPr>
        <w:rPr>
          <w:rFonts w:eastAsia="Arial" w:cs="Arial"/>
          <w:sz w:val="24"/>
          <w:szCs w:val="24"/>
        </w:rPr>
      </w:pPr>
      <w:r>
        <w:rPr>
          <w:rFonts w:eastAsia="Arial" w:cs="Arial"/>
          <w:sz w:val="24"/>
          <w:szCs w:val="24"/>
        </w:rPr>
        <w:t xml:space="preserve">Durisch </w:t>
      </w:r>
      <w:r w:rsidR="00C92BF5">
        <w:rPr>
          <w:rFonts w:eastAsia="Arial" w:cs="Arial"/>
          <w:sz w:val="24"/>
          <w:szCs w:val="24"/>
        </w:rPr>
        <w:t>-</w:t>
      </w:r>
      <w:r>
        <w:rPr>
          <w:rFonts w:eastAsia="Arial" w:cs="Arial"/>
          <w:sz w:val="24"/>
          <w:szCs w:val="24"/>
        </w:rPr>
        <w:t xml:space="preserve"> Ferrara </w:t>
      </w:r>
      <w:r w:rsidR="00C92BF5">
        <w:rPr>
          <w:rFonts w:eastAsia="Arial" w:cs="Arial"/>
          <w:sz w:val="24"/>
          <w:szCs w:val="24"/>
        </w:rPr>
        <w:t>-</w:t>
      </w:r>
      <w:r>
        <w:rPr>
          <w:rFonts w:eastAsia="Arial" w:cs="Arial"/>
          <w:sz w:val="24"/>
          <w:szCs w:val="24"/>
        </w:rPr>
        <w:t xml:space="preserve"> Galeazzi (con riserva) </w:t>
      </w:r>
      <w:r w:rsidR="00C92BF5">
        <w:rPr>
          <w:rFonts w:eastAsia="Arial" w:cs="Arial"/>
          <w:sz w:val="24"/>
          <w:szCs w:val="24"/>
        </w:rPr>
        <w:t>-</w:t>
      </w:r>
      <w:r>
        <w:rPr>
          <w:rFonts w:eastAsia="Arial" w:cs="Arial"/>
          <w:sz w:val="24"/>
          <w:szCs w:val="24"/>
        </w:rPr>
        <w:t xml:space="preserve"> </w:t>
      </w:r>
    </w:p>
    <w:p w:rsidR="00C92BF5" w:rsidRDefault="007B3D51" w:rsidP="00EC0E7E">
      <w:pPr>
        <w:rPr>
          <w:rFonts w:eastAsia="Arial" w:cs="Arial"/>
          <w:sz w:val="24"/>
          <w:szCs w:val="24"/>
        </w:rPr>
      </w:pPr>
      <w:r>
        <w:rPr>
          <w:rFonts w:eastAsia="Arial" w:cs="Arial"/>
          <w:sz w:val="24"/>
          <w:szCs w:val="24"/>
        </w:rPr>
        <w:t xml:space="preserve">Gianella Alessandra </w:t>
      </w:r>
      <w:r w:rsidR="00C92BF5">
        <w:rPr>
          <w:rFonts w:eastAsia="Arial" w:cs="Arial"/>
          <w:sz w:val="24"/>
          <w:szCs w:val="24"/>
        </w:rPr>
        <w:t>-</w:t>
      </w:r>
      <w:r>
        <w:rPr>
          <w:rFonts w:eastAsia="Arial" w:cs="Arial"/>
          <w:sz w:val="24"/>
          <w:szCs w:val="24"/>
        </w:rPr>
        <w:t xml:space="preserve"> Gendotti </w:t>
      </w:r>
      <w:r w:rsidR="00C92BF5">
        <w:rPr>
          <w:rFonts w:eastAsia="Arial" w:cs="Arial"/>
          <w:sz w:val="24"/>
          <w:szCs w:val="24"/>
        </w:rPr>
        <w:t>-</w:t>
      </w:r>
      <w:r>
        <w:rPr>
          <w:rFonts w:eastAsia="Arial" w:cs="Arial"/>
          <w:sz w:val="24"/>
          <w:szCs w:val="24"/>
        </w:rPr>
        <w:t xml:space="preserve"> Quadranti </w:t>
      </w:r>
      <w:r w:rsidR="00C92BF5">
        <w:rPr>
          <w:rFonts w:eastAsia="Arial" w:cs="Arial"/>
          <w:sz w:val="24"/>
          <w:szCs w:val="24"/>
        </w:rPr>
        <w:t>-</w:t>
      </w:r>
    </w:p>
    <w:p w:rsidR="007B3D51" w:rsidRPr="007B3D51" w:rsidRDefault="007B3D51" w:rsidP="00EC0E7E">
      <w:pPr>
        <w:rPr>
          <w:rFonts w:eastAsia="Arial" w:cs="Arial"/>
          <w:sz w:val="24"/>
          <w:szCs w:val="24"/>
        </w:rPr>
      </w:pPr>
      <w:r>
        <w:rPr>
          <w:rFonts w:eastAsia="Arial" w:cs="Arial"/>
          <w:sz w:val="24"/>
          <w:szCs w:val="24"/>
        </w:rPr>
        <w:t xml:space="preserve">Sirica </w:t>
      </w:r>
      <w:r w:rsidR="00C92BF5">
        <w:rPr>
          <w:rFonts w:eastAsia="Arial" w:cs="Arial"/>
          <w:sz w:val="24"/>
          <w:szCs w:val="24"/>
        </w:rPr>
        <w:t xml:space="preserve">- </w:t>
      </w:r>
      <w:r>
        <w:rPr>
          <w:rFonts w:eastAsia="Arial" w:cs="Arial"/>
          <w:sz w:val="24"/>
          <w:szCs w:val="24"/>
        </w:rPr>
        <w:t xml:space="preserve">Speziali - </w:t>
      </w:r>
      <w:r w:rsidR="00C92BF5">
        <w:rPr>
          <w:rFonts w:eastAsia="Arial" w:cs="Arial"/>
          <w:sz w:val="24"/>
          <w:szCs w:val="24"/>
        </w:rPr>
        <w:t>S</w:t>
      </w:r>
      <w:r>
        <w:rPr>
          <w:rFonts w:eastAsia="Arial" w:cs="Arial"/>
          <w:sz w:val="24"/>
          <w:szCs w:val="24"/>
        </w:rPr>
        <w:t>oldati</w:t>
      </w:r>
    </w:p>
    <w:p w:rsidR="00D57D49" w:rsidRPr="007B3D51" w:rsidRDefault="00D57D49" w:rsidP="00D33940">
      <w:pPr>
        <w:pStyle w:val="StandardRisoluzionedelConsigliodiStato"/>
        <w:ind w:right="-1"/>
        <w:rPr>
          <w:szCs w:val="24"/>
        </w:rPr>
      </w:pPr>
    </w:p>
    <w:p w:rsidR="00D649A8" w:rsidRPr="007B3D51" w:rsidRDefault="00D649A8" w:rsidP="00D33940">
      <w:pPr>
        <w:pStyle w:val="StandardRisoluzionedelConsigliodiStato"/>
        <w:ind w:right="-1"/>
        <w:rPr>
          <w:szCs w:val="24"/>
        </w:rPr>
      </w:pPr>
    </w:p>
    <w:p w:rsidR="00D649A8" w:rsidRPr="00D57D49" w:rsidRDefault="00D649A8" w:rsidP="00D33940">
      <w:pPr>
        <w:pStyle w:val="StandardRisoluzionedelConsigliodiStato"/>
        <w:ind w:right="-1"/>
      </w:pPr>
    </w:p>
    <w:sectPr w:rsidR="00D649A8" w:rsidRPr="00D57D49" w:rsidSect="00EC0E7E">
      <w:headerReference w:type="default" r:id="rId18"/>
      <w:footerReference w:type="default" r:id="rId19"/>
      <w:headerReference w:type="first" r:id="rId20"/>
      <w:footerReference w:type="first" r:id="rId21"/>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7E" w:rsidRDefault="00EC0E7E" w:rsidP="00F657BF">
      <w:r>
        <w:separator/>
      </w:r>
    </w:p>
  </w:endnote>
  <w:endnote w:type="continuationSeparator" w:id="0">
    <w:p w:rsidR="00EC0E7E" w:rsidRDefault="00EC0E7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 Light">
    <w:panose1 w:val="020B0303030000000003"/>
    <w:charset w:val="00"/>
    <w:family w:val="swiss"/>
    <w:pitch w:val="variable"/>
    <w:sig w:usb0="A00002EF" w:usb1="5000205B" w:usb2="0000000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EC0E7E" w:rsidRPr="003D1008" w:rsidTr="00EC0E7E">
      <w:trPr>
        <w:trHeight w:hRule="exact" w:val="737"/>
      </w:trPr>
      <w:tc>
        <w:tcPr>
          <w:tcW w:w="4695" w:type="dxa"/>
        </w:tcPr>
        <w:p w:rsidR="00EC0E7E" w:rsidRPr="003D1008" w:rsidRDefault="00EC0E7E" w:rsidP="00EC0E7E">
          <w:pPr>
            <w:tabs>
              <w:tab w:val="center" w:pos="2382"/>
            </w:tabs>
          </w:pPr>
        </w:p>
      </w:tc>
      <w:tc>
        <w:tcPr>
          <w:tcW w:w="721" w:type="dxa"/>
        </w:tcPr>
        <w:p w:rsidR="00EC0E7E" w:rsidRPr="003D1008" w:rsidRDefault="00EC0E7E" w:rsidP="00EC0E7E">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EC0E7E" w:rsidRPr="003D1008" w:rsidRDefault="00EC0E7E" w:rsidP="00EC0E7E">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EC0E7E" w:rsidRPr="003D1008" w:rsidRDefault="00EC0E7E" w:rsidP="00EC0E7E"/>
      </w:tc>
    </w:tr>
  </w:tbl>
  <w:p w:rsidR="00EC0E7E" w:rsidRDefault="00EC0E7E" w:rsidP="00EC0E7E">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7E" w:rsidRDefault="00EC0E7E">
    <w:pPr>
      <w:pStyle w:val="Pidipagina"/>
      <w:jc w:val="center"/>
    </w:pPr>
  </w:p>
  <w:p w:rsidR="00EC0E7E" w:rsidRPr="008C6C46" w:rsidRDefault="00EC0E7E" w:rsidP="00EC0E7E">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7E" w:rsidRDefault="00EC0E7E" w:rsidP="00F657BF">
      <w:r>
        <w:separator/>
      </w:r>
    </w:p>
  </w:footnote>
  <w:footnote w:type="continuationSeparator" w:id="0">
    <w:p w:rsidR="00EC0E7E" w:rsidRDefault="00EC0E7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EC0E7E" w:rsidRPr="002747E7" w:rsidTr="00EC0E7E">
      <w:trPr>
        <w:trHeight w:val="562"/>
      </w:trPr>
      <w:tc>
        <w:tcPr>
          <w:tcW w:w="8383" w:type="dxa"/>
          <w:tcBorders>
            <w:left w:val="single" w:sz="4" w:space="0" w:color="auto"/>
            <w:bottom w:val="single" w:sz="4" w:space="0" w:color="auto"/>
          </w:tcBorders>
          <w:tcMar>
            <w:left w:w="142" w:type="dxa"/>
          </w:tcMar>
          <w:vAlign w:val="bottom"/>
        </w:tcPr>
        <w:p w:rsidR="00EC0E7E" w:rsidRDefault="00DC4A3C" w:rsidP="00EC0E7E">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4621F694-CAB7-4594-A122-ECAD1711A4E4}"/>
              <w:text w:multiLine="1"/>
            </w:sdtPr>
            <w:sdtEndPr/>
            <w:sdtContent>
              <w:r w:rsidR="00EC0E7E">
                <w:rPr>
                  <w:rFonts w:ascii="Gill Alt One MT Light" w:hAnsi="Gill Alt One MT Light"/>
                  <w:sz w:val="16"/>
                  <w:szCs w:val="16"/>
                </w:rPr>
                <w:t>Repubblica e Cantone Ticino</w:t>
              </w:r>
            </w:sdtContent>
          </w:sdt>
        </w:p>
        <w:p w:rsidR="00EC0E7E" w:rsidRPr="00E8185F" w:rsidRDefault="00DC4A3C" w:rsidP="00EC0E7E">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4621F694-CAB7-4594-A122-ECAD1711A4E4}"/>
              <w:text w:multiLine="1"/>
            </w:sdtPr>
            <w:sdtEndPr/>
            <w:sdtContent>
              <w:r w:rsidR="00EC0E7E">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EC0E7E" w:rsidRPr="004204CB" w:rsidRDefault="00EC0E7E" w:rsidP="00EC0E7E">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C4A3C">
            <w:rPr>
              <w:noProof/>
              <w:sz w:val="24"/>
            </w:rPr>
            <w:t>15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C4A3C">
            <w:rPr>
              <w:noProof/>
              <w:sz w:val="24"/>
            </w:rPr>
            <w:t>15</w:t>
          </w:r>
          <w:r w:rsidRPr="004204CB">
            <w:rPr>
              <w:noProof/>
              <w:sz w:val="24"/>
            </w:rPr>
            <w:fldChar w:fldCharType="end"/>
          </w:r>
        </w:p>
      </w:tc>
    </w:tr>
    <w:tr w:rsidR="00EC0E7E" w:rsidRPr="009E444B" w:rsidTr="00EC0E7E">
      <w:trPr>
        <w:trHeight w:val="334"/>
      </w:trPr>
      <w:sdt>
        <w:sdtPr>
          <w:rPr>
            <w:rFonts w:ascii="Gill Sans Display MT Pro BdCn" w:hAnsi="Gill Sans Display MT Pro BdCn"/>
            <w:sz w:val="18"/>
            <w:szCs w:val="18"/>
          </w:rPr>
          <w:alias w:val="CustomElements.Fields.Titolo2"/>
          <w:id w:val="48588533"/>
          <w:dataBinding w:xpath="//Text[@id='CustomElements.Fields.Titolo2']" w:storeItemID="{4621F694-CAB7-4594-A122-ECAD1711A4E4}"/>
          <w:text w:multiLine="1"/>
        </w:sdtPr>
        <w:sdtEndPr/>
        <w:sdtContent>
          <w:tc>
            <w:tcPr>
              <w:tcW w:w="8383" w:type="dxa"/>
              <w:tcBorders>
                <w:left w:val="single" w:sz="4" w:space="0" w:color="auto"/>
              </w:tcBorders>
              <w:tcMar>
                <w:top w:w="0" w:type="dxa"/>
                <w:left w:w="142" w:type="dxa"/>
              </w:tcMar>
            </w:tcPr>
            <w:p w:rsidR="00EC0E7E" w:rsidRPr="00D57D49" w:rsidRDefault="00EC0E7E" w:rsidP="00EC0E7E">
              <w:pPr>
                <w:pStyle w:val="Information"/>
                <w:rPr>
                  <w:rFonts w:ascii="Gill Sans Display MT Pro BdCn" w:hAnsi="Gill Sans Display MT Pro BdCn"/>
                  <w:sz w:val="18"/>
                  <w:szCs w:val="18"/>
                </w:rPr>
              </w:pPr>
              <w:r>
                <w:rPr>
                  <w:rFonts w:ascii="Gill Sans Display MT Pro BdCn" w:hAnsi="Gill Sans Display MT Pro BdCn"/>
                  <w:sz w:val="18"/>
                  <w:szCs w:val="18"/>
                </w:rPr>
                <w:t>Preavviso n. 8250 R del 20 novembre 2024</w:t>
              </w:r>
            </w:p>
          </w:tc>
        </w:sdtContent>
      </w:sdt>
      <w:tc>
        <w:tcPr>
          <w:tcW w:w="1710" w:type="dxa"/>
          <w:tcBorders>
            <w:top w:val="single" w:sz="4" w:space="0" w:color="auto"/>
          </w:tcBorders>
        </w:tcPr>
        <w:p w:rsidR="00EC0E7E" w:rsidRPr="00D57D49" w:rsidRDefault="00EC0E7E" w:rsidP="00EC0E7E">
          <w:pPr>
            <w:pStyle w:val="InvisibleLine"/>
            <w:rPr>
              <w:lang w:val="it-CH"/>
            </w:rPr>
          </w:pPr>
        </w:p>
      </w:tc>
    </w:tr>
  </w:tbl>
  <w:p w:rsidR="00EC0E7E" w:rsidRPr="00980362" w:rsidRDefault="00EC0E7E" w:rsidP="00EC0E7E">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621F694-CAB7-4594-A122-ECAD1711A4E4}"/>
                            <w:text w:multiLine="1"/>
                          </w:sdtPr>
                          <w:sdtEndPr/>
                          <w:sdtContent>
                            <w:p w:rsidR="00EC0E7E" w:rsidRPr="00411371" w:rsidRDefault="00EC0E7E" w:rsidP="00EC0E7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12EAD76-5122-4FC9-B68D-549600BF2447}"/>
                      <w:text w:multiLine="1"/>
                    </w:sdtPr>
                    <w:sdtContent>
                      <w:p w:rsidR="00EC0E7E" w:rsidRPr="00411371" w:rsidRDefault="00EC0E7E" w:rsidP="00EC0E7E">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EC0E7E" w:rsidRPr="0004624C" w:rsidTr="00EC0E7E">
      <w:trPr>
        <w:trHeight w:hRule="exact" w:val="584"/>
      </w:trPr>
      <w:tc>
        <w:tcPr>
          <w:tcW w:w="2440" w:type="pct"/>
          <w:gridSpan w:val="3"/>
          <w:tcBorders>
            <w:top w:val="nil"/>
            <w:left w:val="nil"/>
            <w:bottom w:val="single" w:sz="4" w:space="0" w:color="auto"/>
          </w:tcBorders>
        </w:tcPr>
        <w:p w:rsidR="00EC0E7E" w:rsidRDefault="00EC0E7E" w:rsidP="00EC0E7E">
          <w:pPr>
            <w:pStyle w:val="InvisibleLine"/>
            <w:spacing w:line="240" w:lineRule="auto"/>
            <w:ind w:left="15"/>
            <w:rPr>
              <w:rFonts w:ascii="Gill Alt One MT Light" w:hAnsi="Gill Alt One MT Light"/>
              <w:sz w:val="16"/>
              <w:lang w:val="it-CH"/>
            </w:rPr>
          </w:pPr>
        </w:p>
        <w:p w:rsidR="00EC0E7E" w:rsidRDefault="00EC0E7E" w:rsidP="00EC0E7E">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EC0E7E" w:rsidRPr="008966E7" w:rsidRDefault="00EC0E7E" w:rsidP="00EC0E7E">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EC0E7E" w:rsidRPr="003108C0" w:rsidRDefault="00EC0E7E" w:rsidP="00EC0E7E">
          <w:pPr>
            <w:pStyle w:val="Level"/>
            <w:ind w:left="150"/>
            <w:rPr>
              <w:sz w:val="16"/>
            </w:rPr>
          </w:pPr>
        </w:p>
      </w:tc>
      <w:tc>
        <w:tcPr>
          <w:tcW w:w="209" w:type="pct"/>
          <w:tcBorders>
            <w:top w:val="nil"/>
            <w:bottom w:val="single" w:sz="4" w:space="0" w:color="auto"/>
          </w:tcBorders>
        </w:tcPr>
        <w:p w:rsidR="00EC0E7E" w:rsidRDefault="00EC0E7E" w:rsidP="00EC0E7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4675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EC0E7E" w:rsidRPr="004204CB" w:rsidRDefault="00EC0E7E" w:rsidP="00EC0E7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C4A3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C4A3C">
            <w:rPr>
              <w:rFonts w:asciiTheme="minorHAnsi" w:hAnsiTheme="minorHAnsi" w:cstheme="minorHAnsi"/>
              <w:noProof/>
              <w:sz w:val="24"/>
            </w:rPr>
            <w:t>15</w:t>
          </w:r>
          <w:r w:rsidRPr="004204CB">
            <w:rPr>
              <w:rFonts w:asciiTheme="minorHAnsi" w:hAnsiTheme="minorHAnsi" w:cstheme="minorHAnsi"/>
              <w:noProof/>
              <w:sz w:val="24"/>
            </w:rPr>
            <w:fldChar w:fldCharType="end"/>
          </w:r>
        </w:p>
      </w:tc>
    </w:tr>
    <w:tr w:rsidR="00EC0E7E" w:rsidRPr="0004624C" w:rsidTr="00EC0E7E">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621F694-CAB7-4594-A122-ECAD1711A4E4}"/>
          <w:text w:multiLine="1"/>
        </w:sdtPr>
        <w:sdtEndPr/>
        <w:sdtContent>
          <w:tc>
            <w:tcPr>
              <w:tcW w:w="5000" w:type="pct"/>
              <w:gridSpan w:val="6"/>
              <w:tcBorders>
                <w:left w:val="nil"/>
                <w:right w:val="nil"/>
              </w:tcBorders>
              <w:noWrap/>
              <w:tcMar>
                <w:top w:w="0" w:type="dxa"/>
              </w:tcMar>
              <w:vAlign w:val="bottom"/>
            </w:tcPr>
            <w:p w:rsidR="00EC0E7E" w:rsidRPr="008C03B5" w:rsidRDefault="00EC0E7E" w:rsidP="00EC0E7E">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 xml:space="preserve"> Preavviso</w:t>
              </w:r>
            </w:p>
          </w:tc>
        </w:sdtContent>
      </w:sdt>
    </w:tr>
    <w:tr w:rsidR="00EC0E7E" w:rsidRPr="0004624C" w:rsidTr="00EC0E7E">
      <w:trPr>
        <w:trHeight w:hRule="exact" w:val="306"/>
      </w:trPr>
      <w:tc>
        <w:tcPr>
          <w:tcW w:w="670" w:type="pct"/>
          <w:tcBorders>
            <w:left w:val="nil"/>
            <w:bottom w:val="nil"/>
          </w:tcBorders>
          <w:noWrap/>
          <w:tcMar>
            <w:top w:w="57" w:type="dxa"/>
            <w:left w:w="142" w:type="dxa"/>
          </w:tcMar>
        </w:tcPr>
        <w:p w:rsidR="00EC0E7E" w:rsidRPr="00C7320A" w:rsidRDefault="00EC0E7E" w:rsidP="00EC0E7E">
          <w:pPr>
            <w:pStyle w:val="Level"/>
            <w:spacing w:before="60"/>
            <w:rPr>
              <w:rFonts w:ascii="Gill Alt One MT Light" w:hAnsi="Gill Alt One MT Light"/>
              <w:sz w:val="16"/>
            </w:rPr>
          </w:pPr>
          <w:r w:rsidRPr="00C7320A">
            <w:rPr>
              <w:rFonts w:ascii="Gill Alt One MT Light" w:hAnsi="Gill Alt One MT Light"/>
              <w:sz w:val="16"/>
            </w:rPr>
            <w:t>numero</w:t>
          </w:r>
        </w:p>
        <w:p w:rsidR="00EC0E7E" w:rsidRPr="00C7320A" w:rsidRDefault="00EC0E7E" w:rsidP="00EC0E7E">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EC0E7E" w:rsidRPr="00C7320A" w:rsidRDefault="00EC0E7E" w:rsidP="00EC0E7E">
          <w:pPr>
            <w:pStyle w:val="Level"/>
            <w:spacing w:before="60"/>
            <w:rPr>
              <w:rFonts w:ascii="Gill Alt One MT Light" w:hAnsi="Gill Alt One MT Light"/>
              <w:sz w:val="16"/>
            </w:rPr>
          </w:pPr>
          <w:r w:rsidRPr="00C7320A">
            <w:rPr>
              <w:rFonts w:ascii="Gill Alt One MT Light" w:hAnsi="Gill Alt One MT Light"/>
              <w:sz w:val="16"/>
            </w:rPr>
            <w:t>data</w:t>
          </w:r>
        </w:p>
        <w:p w:rsidR="00EC0E7E" w:rsidRPr="00C7320A" w:rsidRDefault="00EC0E7E" w:rsidP="00EC0E7E">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EC0E7E" w:rsidRPr="00C7320A" w:rsidRDefault="00EC0E7E" w:rsidP="00EC0E7E">
          <w:pPr>
            <w:pStyle w:val="Level"/>
            <w:spacing w:before="60"/>
            <w:rPr>
              <w:rFonts w:ascii="Gill Alt One MT Light" w:hAnsi="Gill Alt One MT Light"/>
              <w:sz w:val="16"/>
            </w:rPr>
          </w:pPr>
          <w:r>
            <w:rPr>
              <w:rFonts w:ascii="Gill Alt One MT Light" w:hAnsi="Gill Alt One MT Light"/>
              <w:sz w:val="16"/>
            </w:rPr>
            <w:t>competenza</w:t>
          </w:r>
        </w:p>
        <w:p w:rsidR="00EC0E7E" w:rsidRPr="008C03B5" w:rsidRDefault="00EC0E7E" w:rsidP="00EC0E7E">
          <w:pPr>
            <w:pStyle w:val="Level"/>
            <w:spacing w:before="60" w:line="240" w:lineRule="auto"/>
            <w:rPr>
              <w:rFonts w:ascii="Gill Alt One MT Light" w:hAnsi="Gill Alt One MT Light"/>
              <w:sz w:val="16"/>
            </w:rPr>
          </w:pPr>
        </w:p>
      </w:tc>
    </w:tr>
    <w:tr w:rsidR="00EC0E7E" w:rsidRPr="0004624C" w:rsidTr="00EC0E7E">
      <w:trPr>
        <w:trHeight w:hRule="exact" w:val="699"/>
      </w:trPr>
      <w:tc>
        <w:tcPr>
          <w:tcW w:w="670" w:type="pct"/>
          <w:tcBorders>
            <w:top w:val="nil"/>
            <w:left w:val="nil"/>
            <w:bottom w:val="single" w:sz="4" w:space="0" w:color="auto"/>
            <w:right w:val="nil"/>
          </w:tcBorders>
          <w:noWrap/>
          <w:tcMar>
            <w:top w:w="0" w:type="dxa"/>
          </w:tcMar>
        </w:tcPr>
        <w:p w:rsidR="00EC0E7E" w:rsidRPr="00BE22A2" w:rsidRDefault="00DC4A3C" w:rsidP="00EC0E7E">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621F694-CAB7-4594-A122-ECAD1711A4E4}"/>
              <w:text w:multiLine="1"/>
            </w:sdtPr>
            <w:sdtEndPr/>
            <w:sdtContent>
              <w:r w:rsidR="00EC0E7E">
                <w:rPr>
                  <w:rFonts w:cstheme="minorHAnsi"/>
                  <w:b/>
                  <w:sz w:val="24"/>
                  <w:szCs w:val="24"/>
                </w:rPr>
                <w:t>8250 R</w:t>
              </w:r>
            </w:sdtContent>
          </w:sdt>
        </w:p>
      </w:tc>
      <w:sdt>
        <w:sdtPr>
          <w:rPr>
            <w:sz w:val="24"/>
          </w:rPr>
          <w:alias w:val="DocParam.Date"/>
          <w:id w:val="-464426178"/>
          <w:dataBinding w:xpath="//DateTime[@id='DocParam.Date']" w:storeItemID="{4621F694-CAB7-4594-A122-ECAD1711A4E4}"/>
          <w:date w:fullDate="2024-11-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EC0E7E" w:rsidRPr="002A0371" w:rsidRDefault="00EC0E7E" w:rsidP="00EC0E7E">
              <w:pPr>
                <w:pStyle w:val="Data"/>
              </w:pPr>
              <w:r>
                <w:rPr>
                  <w:sz w:val="24"/>
                </w:rPr>
                <w:t>20 novembre 2024</w:t>
              </w:r>
            </w:p>
          </w:tc>
        </w:sdtContent>
      </w:sdt>
      <w:tc>
        <w:tcPr>
          <w:tcW w:w="3218" w:type="pct"/>
          <w:gridSpan w:val="4"/>
          <w:tcBorders>
            <w:top w:val="nil"/>
            <w:left w:val="nil"/>
            <w:bottom w:val="nil"/>
            <w:right w:val="nil"/>
          </w:tcBorders>
        </w:tcPr>
        <w:p w:rsidR="00EC0E7E" w:rsidRPr="00BE22A2" w:rsidRDefault="00DC4A3C" w:rsidP="00EC0E7E">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621F694-CAB7-4594-A122-ECAD1711A4E4}"/>
              <w:text w:multiLine="1"/>
            </w:sdtPr>
            <w:sdtEndPr/>
            <w:sdtContent>
              <w:r w:rsidR="00EC0E7E">
                <w:rPr>
                  <w:smallCaps/>
                  <w:sz w:val="23"/>
                  <w:szCs w:val="23"/>
                </w:rPr>
                <w:t>Dipartimento della sanità e della socialità</w:t>
              </w:r>
            </w:sdtContent>
          </w:sdt>
        </w:p>
      </w:tc>
    </w:tr>
    <w:tr w:rsidR="00EC0E7E" w:rsidRPr="00C63927" w:rsidTr="00EC0E7E">
      <w:trPr>
        <w:trHeight w:hRule="exact" w:val="198"/>
      </w:trPr>
      <w:tc>
        <w:tcPr>
          <w:tcW w:w="5000" w:type="pct"/>
          <w:gridSpan w:val="6"/>
          <w:tcBorders>
            <w:left w:val="nil"/>
            <w:bottom w:val="nil"/>
            <w:right w:val="nil"/>
          </w:tcBorders>
          <w:noWrap/>
          <w:tcMar>
            <w:top w:w="57" w:type="dxa"/>
            <w:left w:w="85" w:type="dxa"/>
            <w:bottom w:w="170" w:type="dxa"/>
          </w:tcMar>
        </w:tcPr>
        <w:p w:rsidR="00EC0E7E" w:rsidRPr="00C7320A" w:rsidRDefault="00EC0E7E" w:rsidP="00EC0E7E">
          <w:pPr>
            <w:pStyle w:val="Level"/>
            <w:ind w:left="150"/>
            <w:rPr>
              <w:rFonts w:ascii="Gill Alt One MT Light" w:hAnsi="Gill Alt One MT Light"/>
              <w:sz w:val="16"/>
              <w:szCs w:val="16"/>
            </w:rPr>
          </w:pPr>
        </w:p>
      </w:tc>
    </w:tr>
  </w:tbl>
  <w:p w:rsidR="00EC0E7E" w:rsidRPr="00DA2879" w:rsidRDefault="00EC0E7E" w:rsidP="00EC0E7E">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9246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621F694-CAB7-4594-A122-ECAD1711A4E4}"/>
                            <w:text w:multiLine="1"/>
                          </w:sdtPr>
                          <w:sdtEndPr/>
                          <w:sdtContent>
                            <w:p w:rsidR="00EC0E7E" w:rsidRPr="00411371" w:rsidRDefault="00EC0E7E" w:rsidP="00EC0E7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12EAD76-5122-4FC9-B68D-549600BF2447}"/>
                      <w:text w:multiLine="1"/>
                    </w:sdtPr>
                    <w:sdtContent>
                      <w:p w:rsidR="00EC0E7E" w:rsidRPr="00411371" w:rsidRDefault="00EC0E7E" w:rsidP="00EC0E7E">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70BA0"/>
    <w:multiLevelType w:val="multilevel"/>
    <w:tmpl w:val="08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2310620"/>
    <w:multiLevelType w:val="hybridMultilevel"/>
    <w:tmpl w:val="75D272E0"/>
    <w:lvl w:ilvl="0" w:tplc="CB0870F8">
      <w:start w:val="1"/>
      <w:numFmt w:val="bullet"/>
      <w:lvlText w:val="-"/>
      <w:lvlJc w:val="left"/>
      <w:pPr>
        <w:ind w:left="360" w:hanging="360"/>
      </w:pPr>
      <w:rPr>
        <w:rFonts w:ascii="72 Light" w:hAnsi="72 Light" w:hint="default"/>
      </w:rPr>
    </w:lvl>
    <w:lvl w:ilvl="1" w:tplc="08100003">
      <w:start w:val="1"/>
      <w:numFmt w:val="bullet"/>
      <w:lvlText w:val="o"/>
      <w:lvlJc w:val="left"/>
      <w:pPr>
        <w:ind w:left="1080" w:hanging="360"/>
      </w:pPr>
      <w:rPr>
        <w:rFonts w:ascii="Courier New" w:hAnsi="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3" w15:restartNumberingAfterBreak="0">
    <w:nsid w:val="1BCD2E5A"/>
    <w:multiLevelType w:val="hybridMultilevel"/>
    <w:tmpl w:val="D24C3580"/>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246759C"/>
    <w:multiLevelType w:val="hybridMultilevel"/>
    <w:tmpl w:val="F56A6CAE"/>
    <w:lvl w:ilvl="0" w:tplc="4F0E3B1C">
      <w:numFmt w:val="bullet"/>
      <w:lvlText w:val="-"/>
      <w:lvlJc w:val="left"/>
      <w:pPr>
        <w:ind w:left="720" w:hanging="360"/>
      </w:pPr>
      <w:rPr>
        <w:rFonts w:ascii="Arial" w:eastAsia="Times New Roman" w:hAnsi="Arial" w:hint="default"/>
      </w:rPr>
    </w:lvl>
    <w:lvl w:ilvl="1" w:tplc="08100003">
      <w:start w:val="1"/>
      <w:numFmt w:val="bullet"/>
      <w:lvlText w:val="o"/>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DD718BD"/>
    <w:multiLevelType w:val="hybridMultilevel"/>
    <w:tmpl w:val="64FED81E"/>
    <w:lvl w:ilvl="0" w:tplc="08100019">
      <w:start w:val="1"/>
      <w:numFmt w:val="lowerLetter"/>
      <w:lvlText w:val="%1."/>
      <w:lvlJc w:val="left"/>
      <w:pPr>
        <w:ind w:left="720" w:hanging="360"/>
      </w:pPr>
      <w:rPr>
        <w:rFonts w:cs="Times New Roman"/>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20" w15:restartNumberingAfterBreak="0">
    <w:nsid w:val="475E1F51"/>
    <w:multiLevelType w:val="hybridMultilevel"/>
    <w:tmpl w:val="C5D6590E"/>
    <w:lvl w:ilvl="0" w:tplc="08100017">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50B214F1"/>
    <w:multiLevelType w:val="hybridMultilevel"/>
    <w:tmpl w:val="327054E0"/>
    <w:lvl w:ilvl="0" w:tplc="CB0870F8">
      <w:start w:val="1"/>
      <w:numFmt w:val="bullet"/>
      <w:lvlText w:val="-"/>
      <w:lvlJc w:val="left"/>
      <w:pPr>
        <w:ind w:left="360" w:hanging="360"/>
      </w:pPr>
      <w:rPr>
        <w:rFonts w:ascii="72 Light" w:hAnsi="72 Light" w:hint="default"/>
        <w:b w:val="0"/>
        <w:i w:val="0"/>
        <w:color w:val="auto"/>
        <w:spacing w:val="0"/>
        <w:w w:val="100"/>
        <w:sz w:val="24"/>
      </w:rPr>
    </w:lvl>
    <w:lvl w:ilvl="1" w:tplc="CB0870F8">
      <w:start w:val="1"/>
      <w:numFmt w:val="bullet"/>
      <w:lvlText w:val="-"/>
      <w:lvlJc w:val="left"/>
      <w:pPr>
        <w:ind w:left="1080" w:hanging="360"/>
      </w:pPr>
      <w:rPr>
        <w:rFonts w:ascii="72 Light" w:hAnsi="72 Light" w:hint="default"/>
        <w:b w:val="0"/>
        <w:i w:val="0"/>
        <w:color w:val="auto"/>
        <w:spacing w:val="0"/>
        <w:w w:val="100"/>
        <w:sz w:val="24"/>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4" w15:restartNumberingAfterBreak="0">
    <w:nsid w:val="58115102"/>
    <w:multiLevelType w:val="hybridMultilevel"/>
    <w:tmpl w:val="EDB257B0"/>
    <w:lvl w:ilvl="0" w:tplc="08100005">
      <w:start w:val="1"/>
      <w:numFmt w:val="bullet"/>
      <w:lvlText w:val=""/>
      <w:lvlJc w:val="left"/>
      <w:pPr>
        <w:ind w:left="899" w:hanging="360"/>
      </w:pPr>
      <w:rPr>
        <w:rFonts w:ascii="Wingdings" w:hAnsi="Wingdings" w:hint="default"/>
      </w:rPr>
    </w:lvl>
    <w:lvl w:ilvl="1" w:tplc="66A2F240">
      <w:numFmt w:val="bullet"/>
      <w:lvlText w:val=""/>
      <w:lvlJc w:val="left"/>
      <w:pPr>
        <w:ind w:left="1619" w:hanging="360"/>
      </w:pPr>
      <w:rPr>
        <w:rFonts w:ascii="Symbol" w:eastAsiaTheme="minorHAnsi" w:hAnsi="Symbol" w:cstheme="minorBidi" w:hint="default"/>
        <w:b w:val="0"/>
      </w:rPr>
    </w:lvl>
    <w:lvl w:ilvl="2" w:tplc="08100005" w:tentative="1">
      <w:start w:val="1"/>
      <w:numFmt w:val="bullet"/>
      <w:lvlText w:val=""/>
      <w:lvlJc w:val="left"/>
      <w:pPr>
        <w:ind w:left="2339" w:hanging="360"/>
      </w:pPr>
      <w:rPr>
        <w:rFonts w:ascii="Wingdings" w:hAnsi="Wingdings" w:hint="default"/>
      </w:rPr>
    </w:lvl>
    <w:lvl w:ilvl="3" w:tplc="08100001" w:tentative="1">
      <w:start w:val="1"/>
      <w:numFmt w:val="bullet"/>
      <w:lvlText w:val=""/>
      <w:lvlJc w:val="left"/>
      <w:pPr>
        <w:ind w:left="3059" w:hanging="360"/>
      </w:pPr>
      <w:rPr>
        <w:rFonts w:ascii="Symbol" w:hAnsi="Symbol" w:hint="default"/>
      </w:rPr>
    </w:lvl>
    <w:lvl w:ilvl="4" w:tplc="08100003" w:tentative="1">
      <w:start w:val="1"/>
      <w:numFmt w:val="bullet"/>
      <w:lvlText w:val="o"/>
      <w:lvlJc w:val="left"/>
      <w:pPr>
        <w:ind w:left="3779" w:hanging="360"/>
      </w:pPr>
      <w:rPr>
        <w:rFonts w:ascii="Courier New" w:hAnsi="Courier New" w:cs="Courier New" w:hint="default"/>
      </w:rPr>
    </w:lvl>
    <w:lvl w:ilvl="5" w:tplc="08100005" w:tentative="1">
      <w:start w:val="1"/>
      <w:numFmt w:val="bullet"/>
      <w:lvlText w:val=""/>
      <w:lvlJc w:val="left"/>
      <w:pPr>
        <w:ind w:left="4499" w:hanging="360"/>
      </w:pPr>
      <w:rPr>
        <w:rFonts w:ascii="Wingdings" w:hAnsi="Wingdings" w:hint="default"/>
      </w:rPr>
    </w:lvl>
    <w:lvl w:ilvl="6" w:tplc="08100001" w:tentative="1">
      <w:start w:val="1"/>
      <w:numFmt w:val="bullet"/>
      <w:lvlText w:val=""/>
      <w:lvlJc w:val="left"/>
      <w:pPr>
        <w:ind w:left="5219" w:hanging="360"/>
      </w:pPr>
      <w:rPr>
        <w:rFonts w:ascii="Symbol" w:hAnsi="Symbol" w:hint="default"/>
      </w:rPr>
    </w:lvl>
    <w:lvl w:ilvl="7" w:tplc="08100003" w:tentative="1">
      <w:start w:val="1"/>
      <w:numFmt w:val="bullet"/>
      <w:lvlText w:val="o"/>
      <w:lvlJc w:val="left"/>
      <w:pPr>
        <w:ind w:left="5939" w:hanging="360"/>
      </w:pPr>
      <w:rPr>
        <w:rFonts w:ascii="Courier New" w:hAnsi="Courier New" w:cs="Courier New" w:hint="default"/>
      </w:rPr>
    </w:lvl>
    <w:lvl w:ilvl="8" w:tplc="08100005" w:tentative="1">
      <w:start w:val="1"/>
      <w:numFmt w:val="bullet"/>
      <w:lvlText w:val=""/>
      <w:lvlJc w:val="left"/>
      <w:pPr>
        <w:ind w:left="6659" w:hanging="360"/>
      </w:pPr>
      <w:rPr>
        <w:rFonts w:ascii="Wingdings" w:hAnsi="Wingdings" w:hint="default"/>
      </w:rPr>
    </w:lvl>
  </w:abstractNum>
  <w:abstractNum w:abstractNumId="25" w15:restartNumberingAfterBreak="0">
    <w:nsid w:val="66603C64"/>
    <w:multiLevelType w:val="hybridMultilevel"/>
    <w:tmpl w:val="2D240830"/>
    <w:lvl w:ilvl="0" w:tplc="2D0C8EFA">
      <w:start w:val="1"/>
      <w:numFmt w:val="bullet"/>
      <w:lvlText w:val="-"/>
      <w:lvlJc w:val="left"/>
      <w:pPr>
        <w:ind w:left="1183" w:hanging="360"/>
      </w:pPr>
      <w:rPr>
        <w:rFonts w:ascii="Arial" w:hAnsi="Arial" w:hint="default"/>
      </w:rPr>
    </w:lvl>
    <w:lvl w:ilvl="1" w:tplc="08100003" w:tentative="1">
      <w:start w:val="1"/>
      <w:numFmt w:val="bullet"/>
      <w:lvlText w:val="o"/>
      <w:lvlJc w:val="left"/>
      <w:pPr>
        <w:ind w:left="1903" w:hanging="360"/>
      </w:pPr>
      <w:rPr>
        <w:rFonts w:ascii="Courier New" w:hAnsi="Courier New" w:cs="Courier New" w:hint="default"/>
      </w:rPr>
    </w:lvl>
    <w:lvl w:ilvl="2" w:tplc="08100005" w:tentative="1">
      <w:start w:val="1"/>
      <w:numFmt w:val="bullet"/>
      <w:lvlText w:val=""/>
      <w:lvlJc w:val="left"/>
      <w:pPr>
        <w:ind w:left="2623" w:hanging="360"/>
      </w:pPr>
      <w:rPr>
        <w:rFonts w:ascii="Wingdings" w:hAnsi="Wingdings" w:hint="default"/>
      </w:rPr>
    </w:lvl>
    <w:lvl w:ilvl="3" w:tplc="08100001" w:tentative="1">
      <w:start w:val="1"/>
      <w:numFmt w:val="bullet"/>
      <w:lvlText w:val=""/>
      <w:lvlJc w:val="left"/>
      <w:pPr>
        <w:ind w:left="3343" w:hanging="360"/>
      </w:pPr>
      <w:rPr>
        <w:rFonts w:ascii="Symbol" w:hAnsi="Symbol" w:hint="default"/>
      </w:rPr>
    </w:lvl>
    <w:lvl w:ilvl="4" w:tplc="08100003" w:tentative="1">
      <w:start w:val="1"/>
      <w:numFmt w:val="bullet"/>
      <w:lvlText w:val="o"/>
      <w:lvlJc w:val="left"/>
      <w:pPr>
        <w:ind w:left="4063" w:hanging="360"/>
      </w:pPr>
      <w:rPr>
        <w:rFonts w:ascii="Courier New" w:hAnsi="Courier New" w:cs="Courier New" w:hint="default"/>
      </w:rPr>
    </w:lvl>
    <w:lvl w:ilvl="5" w:tplc="08100005" w:tentative="1">
      <w:start w:val="1"/>
      <w:numFmt w:val="bullet"/>
      <w:lvlText w:val=""/>
      <w:lvlJc w:val="left"/>
      <w:pPr>
        <w:ind w:left="4783" w:hanging="360"/>
      </w:pPr>
      <w:rPr>
        <w:rFonts w:ascii="Wingdings" w:hAnsi="Wingdings" w:hint="default"/>
      </w:rPr>
    </w:lvl>
    <w:lvl w:ilvl="6" w:tplc="08100001" w:tentative="1">
      <w:start w:val="1"/>
      <w:numFmt w:val="bullet"/>
      <w:lvlText w:val=""/>
      <w:lvlJc w:val="left"/>
      <w:pPr>
        <w:ind w:left="5503" w:hanging="360"/>
      </w:pPr>
      <w:rPr>
        <w:rFonts w:ascii="Symbol" w:hAnsi="Symbol" w:hint="default"/>
      </w:rPr>
    </w:lvl>
    <w:lvl w:ilvl="7" w:tplc="08100003" w:tentative="1">
      <w:start w:val="1"/>
      <w:numFmt w:val="bullet"/>
      <w:lvlText w:val="o"/>
      <w:lvlJc w:val="left"/>
      <w:pPr>
        <w:ind w:left="6223" w:hanging="360"/>
      </w:pPr>
      <w:rPr>
        <w:rFonts w:ascii="Courier New" w:hAnsi="Courier New" w:cs="Courier New" w:hint="default"/>
      </w:rPr>
    </w:lvl>
    <w:lvl w:ilvl="8" w:tplc="08100005" w:tentative="1">
      <w:start w:val="1"/>
      <w:numFmt w:val="bullet"/>
      <w:lvlText w:val=""/>
      <w:lvlJc w:val="left"/>
      <w:pPr>
        <w:ind w:left="6943" w:hanging="360"/>
      </w:pPr>
      <w:rPr>
        <w:rFonts w:ascii="Wingdings" w:hAnsi="Wingdings" w:hint="default"/>
      </w:rPr>
    </w:lvl>
  </w:abstractNum>
  <w:abstractNum w:abstractNumId="26" w15:restartNumberingAfterBreak="0">
    <w:nsid w:val="678D5837"/>
    <w:multiLevelType w:val="hybridMultilevel"/>
    <w:tmpl w:val="F1C0EE7C"/>
    <w:lvl w:ilvl="0" w:tplc="2D0C8EFA">
      <w:start w:val="1"/>
      <w:numFmt w:val="bullet"/>
      <w:lvlText w:val="-"/>
      <w:lvlJc w:val="left"/>
      <w:pPr>
        <w:ind w:left="1004" w:hanging="360"/>
      </w:pPr>
      <w:rPr>
        <w:rFonts w:ascii="Arial" w:hAnsi="Arial" w:hint="default"/>
      </w:rPr>
    </w:lvl>
    <w:lvl w:ilvl="1" w:tplc="2D0C8EFA">
      <w:start w:val="1"/>
      <w:numFmt w:val="bullet"/>
      <w:lvlText w:val="-"/>
      <w:lvlJc w:val="left"/>
      <w:pPr>
        <w:ind w:left="1724" w:hanging="360"/>
      </w:pPr>
      <w:rPr>
        <w:rFonts w:ascii="Arial" w:hAnsi="Arial"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7" w15:restartNumberingAfterBreak="0">
    <w:nsid w:val="79772A2C"/>
    <w:multiLevelType w:val="hybridMultilevel"/>
    <w:tmpl w:val="34FAE916"/>
    <w:lvl w:ilvl="0" w:tplc="08100005">
      <w:start w:val="1"/>
      <w:numFmt w:val="bullet"/>
      <w:lvlText w:val=""/>
      <w:lvlJc w:val="left"/>
      <w:pPr>
        <w:ind w:left="463" w:hanging="284"/>
      </w:pPr>
      <w:rPr>
        <w:rFonts w:ascii="Wingdings" w:hAnsi="Wingdings" w:hint="default"/>
        <w:b w:val="0"/>
        <w:bCs w:val="0"/>
        <w:i w:val="0"/>
        <w:iCs w:val="0"/>
        <w:spacing w:val="0"/>
        <w:w w:val="100"/>
        <w:sz w:val="28"/>
        <w:szCs w:val="28"/>
        <w:lang w:val="it-IT" w:eastAsia="en-US" w:bidi="ar-SA"/>
      </w:rPr>
    </w:lvl>
    <w:lvl w:ilvl="1" w:tplc="7868CBA8">
      <w:numFmt w:val="bullet"/>
      <w:lvlText w:val="•"/>
      <w:lvlJc w:val="left"/>
      <w:pPr>
        <w:ind w:left="1406" w:hanging="284"/>
      </w:pPr>
      <w:rPr>
        <w:rFonts w:hint="default"/>
        <w:lang w:val="it-IT" w:eastAsia="en-US" w:bidi="ar-SA"/>
      </w:rPr>
    </w:lvl>
    <w:lvl w:ilvl="2" w:tplc="6478D078">
      <w:numFmt w:val="bullet"/>
      <w:lvlText w:val="•"/>
      <w:lvlJc w:val="left"/>
      <w:pPr>
        <w:ind w:left="2353" w:hanging="284"/>
      </w:pPr>
      <w:rPr>
        <w:rFonts w:hint="default"/>
        <w:lang w:val="it-IT" w:eastAsia="en-US" w:bidi="ar-SA"/>
      </w:rPr>
    </w:lvl>
    <w:lvl w:ilvl="3" w:tplc="2B8621DC">
      <w:numFmt w:val="bullet"/>
      <w:lvlText w:val="•"/>
      <w:lvlJc w:val="left"/>
      <w:pPr>
        <w:ind w:left="3299" w:hanging="284"/>
      </w:pPr>
      <w:rPr>
        <w:rFonts w:hint="default"/>
        <w:lang w:val="it-IT" w:eastAsia="en-US" w:bidi="ar-SA"/>
      </w:rPr>
    </w:lvl>
    <w:lvl w:ilvl="4" w:tplc="5C688902">
      <w:numFmt w:val="bullet"/>
      <w:lvlText w:val="•"/>
      <w:lvlJc w:val="left"/>
      <w:pPr>
        <w:ind w:left="4246" w:hanging="284"/>
      </w:pPr>
      <w:rPr>
        <w:rFonts w:hint="default"/>
        <w:lang w:val="it-IT" w:eastAsia="en-US" w:bidi="ar-SA"/>
      </w:rPr>
    </w:lvl>
    <w:lvl w:ilvl="5" w:tplc="9FC6105C">
      <w:numFmt w:val="bullet"/>
      <w:lvlText w:val="•"/>
      <w:lvlJc w:val="left"/>
      <w:pPr>
        <w:ind w:left="5193" w:hanging="284"/>
      </w:pPr>
      <w:rPr>
        <w:rFonts w:hint="default"/>
        <w:lang w:val="it-IT" w:eastAsia="en-US" w:bidi="ar-SA"/>
      </w:rPr>
    </w:lvl>
    <w:lvl w:ilvl="6" w:tplc="0C72E27A">
      <w:numFmt w:val="bullet"/>
      <w:lvlText w:val="•"/>
      <w:lvlJc w:val="left"/>
      <w:pPr>
        <w:ind w:left="6139" w:hanging="284"/>
      </w:pPr>
      <w:rPr>
        <w:rFonts w:hint="default"/>
        <w:lang w:val="it-IT" w:eastAsia="en-US" w:bidi="ar-SA"/>
      </w:rPr>
    </w:lvl>
    <w:lvl w:ilvl="7" w:tplc="26584DA8">
      <w:numFmt w:val="bullet"/>
      <w:lvlText w:val="•"/>
      <w:lvlJc w:val="left"/>
      <w:pPr>
        <w:ind w:left="7086" w:hanging="284"/>
      </w:pPr>
      <w:rPr>
        <w:rFonts w:hint="default"/>
        <w:lang w:val="it-IT" w:eastAsia="en-US" w:bidi="ar-SA"/>
      </w:rPr>
    </w:lvl>
    <w:lvl w:ilvl="8" w:tplc="BAA276B2">
      <w:numFmt w:val="bullet"/>
      <w:lvlText w:val="•"/>
      <w:lvlJc w:val="left"/>
      <w:pPr>
        <w:ind w:left="8033" w:hanging="284"/>
      </w:pPr>
      <w:rPr>
        <w:rFonts w:hint="default"/>
        <w:lang w:val="it-IT" w:eastAsia="en-US" w:bidi="ar-SA"/>
      </w:rPr>
    </w:lvl>
  </w:abstractNum>
  <w:abstractNum w:abstractNumId="28" w15:restartNumberingAfterBreak="0">
    <w:nsid w:val="7B984012"/>
    <w:multiLevelType w:val="multilevel"/>
    <w:tmpl w:val="08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1"/>
  </w:num>
  <w:num w:numId="5">
    <w:abstractNumId w:val="18"/>
  </w:num>
  <w:num w:numId="6">
    <w:abstractNumId w:val="15"/>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7"/>
  </w:num>
  <w:num w:numId="19">
    <w:abstractNumId w:val="24"/>
  </w:num>
  <w:num w:numId="20">
    <w:abstractNumId w:val="25"/>
  </w:num>
  <w:num w:numId="21">
    <w:abstractNumId w:val="26"/>
  </w:num>
  <w:num w:numId="22">
    <w:abstractNumId w:val="17"/>
  </w:num>
  <w:num w:numId="23">
    <w:abstractNumId w:val="10"/>
  </w:num>
  <w:num w:numId="24">
    <w:abstractNumId w:val="28"/>
  </w:num>
  <w:num w:numId="25">
    <w:abstractNumId w:val="23"/>
  </w:num>
  <w:num w:numId="26">
    <w:abstractNumId w:val="13"/>
  </w:num>
  <w:num w:numId="27">
    <w:abstractNumId w:val="20"/>
  </w:num>
  <w:num w:numId="28">
    <w:abstractNumId w:val="12"/>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9"/>
    <w:rsid w:val="00235CCD"/>
    <w:rsid w:val="002B5D9F"/>
    <w:rsid w:val="002C065C"/>
    <w:rsid w:val="00321AEE"/>
    <w:rsid w:val="003757F9"/>
    <w:rsid w:val="00390793"/>
    <w:rsid w:val="003B756D"/>
    <w:rsid w:val="00403ADB"/>
    <w:rsid w:val="00572FD3"/>
    <w:rsid w:val="005A2C80"/>
    <w:rsid w:val="007B3D51"/>
    <w:rsid w:val="008720C4"/>
    <w:rsid w:val="008D232C"/>
    <w:rsid w:val="008D382A"/>
    <w:rsid w:val="008F52AF"/>
    <w:rsid w:val="009C5E5A"/>
    <w:rsid w:val="00AF0268"/>
    <w:rsid w:val="00AF2257"/>
    <w:rsid w:val="00BF0A1F"/>
    <w:rsid w:val="00C92BF5"/>
    <w:rsid w:val="00D33940"/>
    <w:rsid w:val="00D57D49"/>
    <w:rsid w:val="00D600FD"/>
    <w:rsid w:val="00D649A8"/>
    <w:rsid w:val="00DC4A3C"/>
    <w:rsid w:val="00E05066"/>
    <w:rsid w:val="00EB088A"/>
    <w:rsid w:val="00EC0E7E"/>
    <w:rsid w:val="00ED1FBF"/>
    <w:rsid w:val="00F542C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BB4DD9-51F9-4FFE-B1F9-49FF0492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7D49"/>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1"/>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C92BF5"/>
    <w:rPr>
      <w:color w:val="0000FF" w:themeColor="hyperlink"/>
      <w:u w:val="single"/>
    </w:rPr>
  </w:style>
  <w:style w:type="paragraph" w:styleId="Testofumetto">
    <w:name w:val="Balloon Text"/>
    <w:basedOn w:val="Normale"/>
    <w:link w:val="TestofumettoCarattere"/>
    <w:uiPriority w:val="99"/>
    <w:semiHidden/>
    <w:unhideWhenUsed/>
    <w:rsid w:val="00235C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5CC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lex.admin.ch/eli/cc/1995/3867_3867_3867/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edlex.admin.ch/eli/cc/1995/3867_3867_3867/it" TargetMode="External"/><Relationship Id="rId17" Type="http://schemas.openxmlformats.org/officeDocument/2006/relationships/hyperlink" Target="http://www.bag.admin.ch/bag/it/home/zahlen-und-statistiken/zahlen-fakten-zu-spitaelern/qualitaetsindikatoren-der-schweizer-akutspitaeler.html"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3.ti.ch/CAN/RLeggi/public/raccolta-leggi/legge/num/37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lex.admin.ch/eli/cc/1995/3867_3867_3867/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e8678de-9d72-45a6-ab75-ddb20b9fd0f8.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1399"/>
              <a:t>SpitalBenchmark-Confronto ospedali K112 acuti 2023-OCPre</a:t>
            </a:r>
          </a:p>
        </c:rich>
      </c:tx>
      <c:layout/>
      <c:overlay val="0"/>
      <c:spPr>
        <a:noFill/>
        <a:ln w="25388">
          <a:noFill/>
        </a:ln>
      </c:spPr>
    </c:title>
    <c:autoTitleDeleted val="0"/>
    <c:plotArea>
      <c:layout>
        <c:manualLayout>
          <c:layoutTarget val="inner"/>
          <c:xMode val="edge"/>
          <c:yMode val="edge"/>
          <c:x val="4.4913335956993893E-2"/>
          <c:y val="7.8894207702503674E-2"/>
          <c:w val="0.94385044781187777"/>
          <c:h val="0.71901633191903336"/>
        </c:manualLayout>
      </c:layout>
      <c:barChart>
        <c:barDir val="col"/>
        <c:grouping val="clustered"/>
        <c:varyColors val="0"/>
        <c:ser>
          <c:idx val="0"/>
          <c:order val="0"/>
          <c:tx>
            <c:strRef>
              <c:f>OCPre!$F$12</c:f>
              <c:strCache>
                <c:ptCount val="1"/>
                <c:pt idx="0">
                  <c:v>Kosten bei Fallgewicht 1.0 inkl. ANK VKL</c:v>
                </c:pt>
              </c:strCache>
            </c:strRef>
          </c:tx>
          <c:spPr>
            <a:solidFill>
              <a:srgbClr val="4472C4"/>
            </a:solidFill>
            <a:ln w="25388">
              <a:noFill/>
            </a:ln>
          </c:spPr>
          <c:invertIfNegative val="0"/>
          <c:dPt>
            <c:idx val="9"/>
            <c:invertIfNegative val="0"/>
            <c:bubble3D val="0"/>
            <c:spPr>
              <a:solidFill>
                <a:srgbClr val="FF0000"/>
              </a:solidFill>
              <a:ln w="25388">
                <a:noFill/>
              </a:ln>
            </c:spPr>
            <c:extLst>
              <c:ext xmlns:c16="http://schemas.microsoft.com/office/drawing/2014/chart" uri="{C3380CC4-5D6E-409C-BE32-E72D297353CC}">
                <c16:uniqueId val="{00000001-F424-4291-A65A-9A22DA3FBA03}"/>
              </c:ext>
            </c:extLst>
          </c:dPt>
          <c:cat>
            <c:strRef>
              <c:f>OCPre!$B$13:$B$49</c:f>
              <c:strCache>
                <c:ptCount val="37"/>
                <c:pt idx="0">
                  <c:v>Spital STS AG</c:v>
                </c:pt>
                <c:pt idx="1">
                  <c:v>Hirslanden Klinik Aarau</c:v>
                </c:pt>
                <c:pt idx="2">
                  <c:v>Spitäler fmi AG</c:v>
                </c:pt>
                <c:pt idx="3">
                  <c:v>Klinik St. Anna</c:v>
                </c:pt>
                <c:pt idx="4">
                  <c:v>Hôpital du Valais</c:v>
                </c:pt>
                <c:pt idx="5">
                  <c:v>Ensemble hospitalier de la Côte</c:v>
                </c:pt>
                <c:pt idx="6">
                  <c:v>Spital Thurgau AG</c:v>
                </c:pt>
                <c:pt idx="7">
                  <c:v>Klinik Hirslanden Zürich</c:v>
                </c:pt>
                <c:pt idx="8">
                  <c:v>Spital Emmental AG</c:v>
                </c:pt>
                <c:pt idx="9">
                  <c:v>Ente ospedaliero Cantonale</c:v>
                </c:pt>
                <c:pt idx="10">
                  <c:v>Kantonsspital Aarau AG</c:v>
                </c:pt>
                <c:pt idx="11">
                  <c:v>Spitalzentrum Biel AG</c:v>
                </c:pt>
                <c:pt idx="12">
                  <c:v>Hirslanden Bern</c:v>
                </c:pt>
                <c:pt idx="13">
                  <c:v>Spital Bülach</c:v>
                </c:pt>
                <c:pt idx="14">
                  <c:v>Zuger Kantonsspital</c:v>
                </c:pt>
                <c:pt idx="15">
                  <c:v>Spitäler Schaffhausen</c:v>
                </c:pt>
                <c:pt idx="16">
                  <c:v>Kantonsspital Baden AG</c:v>
                </c:pt>
                <c:pt idx="17">
                  <c:v>Kantonsspital Graubünden</c:v>
                </c:pt>
                <c:pt idx="18">
                  <c:v>Spital Uster</c:v>
                </c:pt>
                <c:pt idx="19">
                  <c:v>Spital Limmattal</c:v>
                </c:pt>
                <c:pt idx="20">
                  <c:v>Kantonsspital St. Gallen</c:v>
                </c:pt>
                <c:pt idx="21">
                  <c:v>Spitalregion Rheintal Werdenberg Sarganserland</c:v>
                </c:pt>
                <c:pt idx="22">
                  <c:v>Hôpital Riviera-Chablais  Vaud-Valais</c:v>
                </c:pt>
                <c:pt idx="23">
                  <c:v>Lindenhofgruppe</c:v>
                </c:pt>
                <c:pt idx="24">
                  <c:v>See-Spital</c:v>
                </c:pt>
                <c:pt idx="25">
                  <c:v>St. Claraspital</c:v>
                </c:pt>
                <c:pt idx="26">
                  <c:v>Etablissements hospitaliers du Nord vaudois</c:v>
                </c:pt>
                <c:pt idx="27">
                  <c:v>Stadtspital Zürich</c:v>
                </c:pt>
                <c:pt idx="28">
                  <c:v>Spital Zollikerberg</c:v>
                </c:pt>
                <c:pt idx="29">
                  <c:v>Luzerner Kantonsspital</c:v>
                </c:pt>
                <c:pt idx="30">
                  <c:v>Kantonsspital Baselland</c:v>
                </c:pt>
                <c:pt idx="31">
                  <c:v>GZO Spital Wetzikon</c:v>
                </c:pt>
                <c:pt idx="32">
                  <c:v>Solothurner Spitäler AG</c:v>
                </c:pt>
                <c:pt idx="33">
                  <c:v>Hôpital Fribourgeois</c:v>
                </c:pt>
                <c:pt idx="34">
                  <c:v>Réseau hospitalier neuchâtelois</c:v>
                </c:pt>
                <c:pt idx="35">
                  <c:v>Kantonsspital Winterthur</c:v>
                </c:pt>
                <c:pt idx="36">
                  <c:v>Inselspital Gruppe nicht universitär</c:v>
                </c:pt>
              </c:strCache>
            </c:strRef>
          </c:cat>
          <c:val>
            <c:numRef>
              <c:f>OCPre!$F$13:$F$49</c:f>
              <c:numCache>
                <c:formatCode>_ * #,##0_ ;_ * \-#,##0_ ;_ * "-"??_ ;_ @_ </c:formatCode>
                <c:ptCount val="37"/>
                <c:pt idx="0">
                  <c:v>9590.3651578962399</c:v>
                </c:pt>
                <c:pt idx="1">
                  <c:v>9603.5805152572593</c:v>
                </c:pt>
                <c:pt idx="2">
                  <c:v>10020.283521359501</c:v>
                </c:pt>
                <c:pt idx="3">
                  <c:v>10020.701765231501</c:v>
                </c:pt>
                <c:pt idx="4">
                  <c:v>10151.2677527915</c:v>
                </c:pt>
                <c:pt idx="5">
                  <c:v>10169.3793247126</c:v>
                </c:pt>
                <c:pt idx="6">
                  <c:v>10171.8952717802</c:v>
                </c:pt>
                <c:pt idx="7">
                  <c:v>10215.0069201966</c:v>
                </c:pt>
                <c:pt idx="8">
                  <c:v>10280.727145809</c:v>
                </c:pt>
                <c:pt idx="9">
                  <c:v>10282.222049419601</c:v>
                </c:pt>
                <c:pt idx="10">
                  <c:v>10295.832364018301</c:v>
                </c:pt>
                <c:pt idx="11">
                  <c:v>10304.2480664863</c:v>
                </c:pt>
                <c:pt idx="12">
                  <c:v>10339.230167197</c:v>
                </c:pt>
                <c:pt idx="13">
                  <c:v>10385.0036991301</c:v>
                </c:pt>
                <c:pt idx="14">
                  <c:v>10417.7638422987</c:v>
                </c:pt>
                <c:pt idx="15">
                  <c:v>10434.8153342101</c:v>
                </c:pt>
                <c:pt idx="16">
                  <c:v>10470.1851632086</c:v>
                </c:pt>
                <c:pt idx="17">
                  <c:v>10528.4835879904</c:v>
                </c:pt>
                <c:pt idx="18">
                  <c:v>10585.7059644781</c:v>
                </c:pt>
                <c:pt idx="19">
                  <c:v>10643.145480000299</c:v>
                </c:pt>
                <c:pt idx="20">
                  <c:v>10736.3836589449</c:v>
                </c:pt>
                <c:pt idx="21">
                  <c:v>10779.991464718099</c:v>
                </c:pt>
                <c:pt idx="22">
                  <c:v>10796.7980060917</c:v>
                </c:pt>
                <c:pt idx="23">
                  <c:v>10907.496156297901</c:v>
                </c:pt>
                <c:pt idx="24">
                  <c:v>10953.960180100201</c:v>
                </c:pt>
                <c:pt idx="25">
                  <c:v>11010.247224258601</c:v>
                </c:pt>
                <c:pt idx="26">
                  <c:v>11032.6555378337</c:v>
                </c:pt>
                <c:pt idx="27">
                  <c:v>11049.761372155301</c:v>
                </c:pt>
                <c:pt idx="28">
                  <c:v>11205.5871885537</c:v>
                </c:pt>
                <c:pt idx="29">
                  <c:v>11254.8076307099</c:v>
                </c:pt>
                <c:pt idx="30">
                  <c:v>11334.861708418501</c:v>
                </c:pt>
                <c:pt idx="31">
                  <c:v>11348.154429168801</c:v>
                </c:pt>
                <c:pt idx="32">
                  <c:v>11570.191539599</c:v>
                </c:pt>
                <c:pt idx="33">
                  <c:v>11614.652276222199</c:v>
                </c:pt>
                <c:pt idx="34">
                  <c:v>12008.459136641801</c:v>
                </c:pt>
                <c:pt idx="35">
                  <c:v>12274.1106378896</c:v>
                </c:pt>
                <c:pt idx="36">
                  <c:v>13475.210053179</c:v>
                </c:pt>
              </c:numCache>
            </c:numRef>
          </c:val>
          <c:extLst>
            <c:ext xmlns:c16="http://schemas.microsoft.com/office/drawing/2014/chart" uri="{C3380CC4-5D6E-409C-BE32-E72D297353CC}">
              <c16:uniqueId val="{00000002-F424-4291-A65A-9A22DA3FBA03}"/>
            </c:ext>
          </c:extLst>
        </c:ser>
        <c:dLbls>
          <c:showLegendKey val="0"/>
          <c:showVal val="0"/>
          <c:showCatName val="0"/>
          <c:showSerName val="0"/>
          <c:showPercent val="0"/>
          <c:showBubbleSize val="0"/>
        </c:dLbls>
        <c:gapWidth val="182"/>
        <c:axId val="1938341151"/>
        <c:axId val="1"/>
      </c:barChart>
      <c:catAx>
        <c:axId val="1938341151"/>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it-CH"/>
          </a:p>
        </c:txPr>
        <c:crossAx val="1"/>
        <c:crosses val="autoZero"/>
        <c:auto val="1"/>
        <c:lblAlgn val="ctr"/>
        <c:lblOffset val="100"/>
        <c:noMultiLvlLbl val="0"/>
      </c:catAx>
      <c:valAx>
        <c:axId val="1"/>
        <c:scaling>
          <c:orientation val="minMax"/>
          <c:max val="14000"/>
        </c:scaling>
        <c:delete val="0"/>
        <c:axPos val="l"/>
        <c:majorGridlines>
          <c:spPr>
            <a:ln w="9521"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ln w="952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it-CH"/>
          </a:p>
        </c:txPr>
        <c:crossAx val="1938341151"/>
        <c:crosses val="autoZero"/>
        <c:crossBetween val="between"/>
      </c:valAx>
      <c:spPr>
        <a:noFill/>
        <a:ln w="25388">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it-CH"/>
    </a:p>
  </c:txPr>
  <c:externalData r:id="rId2">
    <c:autoUpdate val="0"/>
  </c:externalData>
</c:chartSpac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2146752828</Id>
      <Width>0</Width>
      <Height>0</Height>
      <XPath>//Image[@id='Profile.Org.WappenSW']</XPath>
      <ImageHash>02f1c0cdac6aeac316213b2e7cb733a0</ImageHash>
    </ImageSizeDefinition>
    <ImageSizeDefinition>
      <Id>1092469556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a d 2 b 7 4 d - a 1 7 a - 4 2 2 8 - b e c 2 - d 4 3 c d e a 4 f e 8 e "   t I d = " a 3 6 2 a 5 d 4 - 9 5 8 9 - 4 1 b f - a 4 e 6 - 4 f 8 7 c 4 e 4 1 2 3 9 "   i n t e r n a l T I d = " 9 0 6 4 c c 7 f - 3 1 6 d - 4 6 b 1 - a 4 a c - 7 4 8 6 0 c 3 f 8 a 5 b "   m t I d = " 2 7 5 a f 3 2 e - b c 4 0 - 4 5 c 2 - 8 5 b 7 - a f b 1 c 0 3 8 2 6 5 3 "   r e v i s i o n = " 0 "   c r e a t e d m a j o r v e r s i o n = " 0 "   c r e a t e d m i n o r v e r s i o n = " 0 "   c r e a t e d = " 2 0 2 4 - 1 1 - 2 0 T 1 5 : 2 5 : 5 2 . 3 1 0 5 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 2 0 2 4 - 1 1 - 2 0 T 0 0 : 0 0 : 0 0 Z < / D a t e T i m e >  
                 < T e x t   i d = " D o c P a r a m . N u m b e r " > < ! [ C D A T A [ 8 2 5 0   R ] ] > < / T e x t >  
                 < T e x t   i d = " D o c P a r a m . D o c u m e n t o " > < ! [ C D A T A [   ] ] > < / T e x t >  
                 < T e x t   i d = " D o c P a r a m . A g g i u n t a D o c "   t o o l t i p = " ( e s .   b i s ,   a g g i u n t i v o ,   a g g i u n t i v o   b i s ,   1 ,   2   e c c . ) " > < ! [ C D A T A [ P r e a v v i s o ] ] > < / 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n .   8 2 5 0   R   d e l   2 0   n o v e m b r e 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  P r e a v v i s o ] ] > < / T e x t >  
                 < T e x t   i d = " C u s t o m E l e m e n t s . F i e l d s . T i t o l o 2 "   l a b e l = " C u s t o m E l e m e n t s . F i e l d s . T i t o l o 2 " > < ! [ C D A T A [ P r e a v v i s o   n .   8 2 5 0   R   d e l   2 0   n o v 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FAF46A53-6A2E-4568-B832-E05C3F11831B}">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4621F694-CAB7-4594-A122-ECAD1711A4E4}">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08286FE7-B919-40EF-B192-37B9649D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ee8678de-9d72-45a6-ab75-ddb20b9fd0f8.dotx</Template>
  <TotalTime>24</TotalTime>
  <Pages>15</Pages>
  <Words>5835</Words>
  <Characters>33264</Characters>
  <Application>Microsoft Office Word</Application>
  <DocSecurity>0</DocSecurity>
  <Lines>277</Lines>
  <Paragraphs>78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17</cp:revision>
  <cp:lastPrinted>2024-11-25T14:59:00Z</cp:lastPrinted>
  <dcterms:created xsi:type="dcterms:W3CDTF">2024-11-20T15:26:00Z</dcterms:created>
  <dcterms:modified xsi:type="dcterms:W3CDTF">2024-11-25T15:00:00Z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