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AE" w:rsidRDefault="002C30AE" w:rsidP="00781E0F">
      <w:pPr>
        <w:spacing w:before="1"/>
        <w:rPr>
          <w:b/>
          <w:sz w:val="28"/>
        </w:rPr>
      </w:pPr>
      <w:r>
        <w:rPr>
          <w:noProof/>
          <w:lang w:eastAsia="it-CH"/>
        </w:rPr>
        <mc:AlternateContent>
          <mc:Choice Requires="wps">
            <w:drawing>
              <wp:anchor distT="0" distB="0" distL="0" distR="0" simplePos="0" relativeHeight="251662336" behindDoc="0" locked="0" layoutInCell="1" allowOverlap="1" wp14:anchorId="0224DDFE" wp14:editId="5B6514C4">
                <wp:simplePos x="0" y="0"/>
                <wp:positionH relativeFrom="page">
                  <wp:posOffset>893063</wp:posOffset>
                </wp:positionH>
                <wp:positionV relativeFrom="paragraph">
                  <wp:posOffset>-256286</wp:posOffset>
                </wp:positionV>
                <wp:extent cx="641032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2290559" y="0"/>
                              </a:moveTo>
                              <a:lnTo>
                                <a:pt x="2290559" y="0"/>
                              </a:lnTo>
                              <a:lnTo>
                                <a:pt x="0" y="0"/>
                              </a:lnTo>
                              <a:lnTo>
                                <a:pt x="0" y="6096"/>
                              </a:lnTo>
                              <a:lnTo>
                                <a:pt x="2290559" y="6096"/>
                              </a:lnTo>
                              <a:lnTo>
                                <a:pt x="2290559" y="0"/>
                              </a:lnTo>
                              <a:close/>
                            </a:path>
                            <a:path w="6410325" h="6350">
                              <a:moveTo>
                                <a:pt x="6409944" y="0"/>
                              </a:moveTo>
                              <a:lnTo>
                                <a:pt x="2290572" y="0"/>
                              </a:lnTo>
                              <a:lnTo>
                                <a:pt x="2290572" y="6096"/>
                              </a:lnTo>
                              <a:lnTo>
                                <a:pt x="6409944" y="6096"/>
                              </a:lnTo>
                              <a:lnTo>
                                <a:pt x="6409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B3323A" id="Graphic 12" o:spid="_x0000_s1026" style="position:absolute;margin-left:70.3pt;margin-top:-20.2pt;width:504.7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" path="m2290559,r,l,,,6096r2290559,l2290559,xem6409944,l2290572,r,6096l6409944,6096r,-6096xe" fillcolor="black" stroked="f">
                <v:path arrowok="t"/>
                <w10:wrap anchorx="page"/>
              </v:shape>
            </w:pict>
          </mc:Fallback>
        </mc:AlternateContent>
      </w:r>
      <w:r>
        <w:rPr>
          <w:b/>
          <w:sz w:val="28"/>
        </w:rPr>
        <w:t xml:space="preserve">della Commissione sanità e sicurezza sociale </w:t>
      </w:r>
    </w:p>
    <w:p w:rsidR="002C30AE" w:rsidRDefault="003446C0" w:rsidP="00781E0F">
      <w:pPr>
        <w:spacing w:before="1"/>
        <w:rPr>
          <w:b/>
          <w:sz w:val="28"/>
        </w:rPr>
      </w:pPr>
      <w:r>
        <w:rPr>
          <w:b/>
          <w:sz w:val="28"/>
        </w:rPr>
        <w:t>sul messaggio 22 marzo 2023 concernente la p</w:t>
      </w:r>
      <w:r w:rsidR="002C30AE">
        <w:rPr>
          <w:b/>
          <w:sz w:val="28"/>
        </w:rPr>
        <w:t>ianificazione ospedaliera cantonale:</w:t>
      </w:r>
    </w:p>
    <w:p w:rsidR="002C30AE" w:rsidRDefault="002C30AE" w:rsidP="00781E0F">
      <w:pPr>
        <w:pStyle w:val="Paragrafoelenco"/>
        <w:widowControl w:val="0"/>
        <w:numPr>
          <w:ilvl w:val="0"/>
          <w:numId w:val="73"/>
        </w:numPr>
        <w:tabs>
          <w:tab w:val="left" w:pos="284"/>
        </w:tabs>
        <w:autoSpaceDE w:val="0"/>
        <w:autoSpaceDN w:val="0"/>
        <w:spacing w:before="2" w:line="342" w:lineRule="exact"/>
        <w:ind w:left="0" w:firstLine="0"/>
        <w:contextualSpacing w:val="0"/>
        <w:rPr>
          <w:b/>
          <w:sz w:val="28"/>
        </w:rPr>
      </w:pPr>
      <w:r>
        <w:rPr>
          <w:b/>
          <w:spacing w:val="-2"/>
          <w:sz w:val="28"/>
        </w:rPr>
        <w:t>determinazione</w:t>
      </w:r>
    </w:p>
    <w:p w:rsidR="002C30AE" w:rsidRPr="00781E0F" w:rsidRDefault="002C30AE" w:rsidP="00781E0F">
      <w:pPr>
        <w:pStyle w:val="Paragrafoelenco"/>
        <w:numPr>
          <w:ilvl w:val="0"/>
          <w:numId w:val="75"/>
        </w:numPr>
        <w:spacing w:line="333" w:lineRule="exact"/>
        <w:ind w:left="567" w:hanging="283"/>
        <w:rPr>
          <w:b/>
          <w:sz w:val="28"/>
        </w:rPr>
      </w:pPr>
      <w:r w:rsidRPr="00781E0F">
        <w:rPr>
          <w:b/>
          <w:sz w:val="28"/>
        </w:rPr>
        <w:t>degli</w:t>
      </w:r>
      <w:r w:rsidRPr="00781E0F">
        <w:rPr>
          <w:b/>
          <w:spacing w:val="-12"/>
          <w:sz w:val="28"/>
        </w:rPr>
        <w:t xml:space="preserve"> </w:t>
      </w:r>
      <w:r w:rsidRPr="00781E0F">
        <w:rPr>
          <w:b/>
          <w:sz w:val="28"/>
        </w:rPr>
        <w:t>indirizzi</w:t>
      </w:r>
      <w:r w:rsidRPr="00781E0F">
        <w:rPr>
          <w:b/>
          <w:spacing w:val="-4"/>
          <w:sz w:val="28"/>
        </w:rPr>
        <w:t xml:space="preserve"> </w:t>
      </w:r>
      <w:r w:rsidRPr="00781E0F">
        <w:rPr>
          <w:b/>
          <w:sz w:val="28"/>
        </w:rPr>
        <w:t>strategici</w:t>
      </w:r>
      <w:r w:rsidRPr="00781E0F">
        <w:rPr>
          <w:b/>
          <w:spacing w:val="-5"/>
          <w:sz w:val="28"/>
        </w:rPr>
        <w:t xml:space="preserve"> </w:t>
      </w:r>
      <w:r w:rsidRPr="00781E0F">
        <w:rPr>
          <w:b/>
          <w:sz w:val="28"/>
        </w:rPr>
        <w:t>sulla</w:t>
      </w:r>
      <w:r w:rsidRPr="00781E0F">
        <w:rPr>
          <w:b/>
          <w:spacing w:val="-6"/>
          <w:sz w:val="28"/>
        </w:rPr>
        <w:t xml:space="preserve"> </w:t>
      </w:r>
      <w:r w:rsidRPr="00781E0F">
        <w:rPr>
          <w:b/>
          <w:sz w:val="28"/>
        </w:rPr>
        <w:t>base</w:t>
      </w:r>
      <w:r w:rsidRPr="00781E0F">
        <w:rPr>
          <w:b/>
          <w:spacing w:val="-4"/>
          <w:sz w:val="28"/>
        </w:rPr>
        <w:t xml:space="preserve"> </w:t>
      </w:r>
      <w:r w:rsidRPr="00781E0F">
        <w:rPr>
          <w:b/>
          <w:sz w:val="28"/>
        </w:rPr>
        <w:t>del</w:t>
      </w:r>
      <w:r w:rsidRPr="00781E0F">
        <w:rPr>
          <w:b/>
          <w:spacing w:val="-2"/>
          <w:sz w:val="28"/>
        </w:rPr>
        <w:t xml:space="preserve"> </w:t>
      </w:r>
      <w:r w:rsidRPr="00781E0F">
        <w:rPr>
          <w:b/>
          <w:sz w:val="28"/>
        </w:rPr>
        <w:t>calcolo</w:t>
      </w:r>
      <w:r w:rsidRPr="00781E0F">
        <w:rPr>
          <w:b/>
          <w:spacing w:val="-5"/>
          <w:sz w:val="28"/>
        </w:rPr>
        <w:t xml:space="preserve"> </w:t>
      </w:r>
      <w:r w:rsidRPr="00781E0F">
        <w:rPr>
          <w:b/>
          <w:sz w:val="28"/>
        </w:rPr>
        <w:t>del</w:t>
      </w:r>
      <w:r w:rsidRPr="00781E0F">
        <w:rPr>
          <w:b/>
          <w:spacing w:val="-4"/>
          <w:sz w:val="28"/>
        </w:rPr>
        <w:t xml:space="preserve"> </w:t>
      </w:r>
      <w:r w:rsidRPr="00781E0F">
        <w:rPr>
          <w:b/>
          <w:spacing w:val="-2"/>
          <w:sz w:val="28"/>
        </w:rPr>
        <w:t>fabbisogno</w:t>
      </w:r>
    </w:p>
    <w:p w:rsidR="002C30AE" w:rsidRPr="00781E0F" w:rsidRDefault="002C30AE" w:rsidP="00781E0F">
      <w:pPr>
        <w:pStyle w:val="Paragrafoelenco"/>
        <w:numPr>
          <w:ilvl w:val="0"/>
          <w:numId w:val="75"/>
        </w:numPr>
        <w:spacing w:line="322" w:lineRule="exact"/>
        <w:ind w:left="567" w:hanging="283"/>
        <w:rPr>
          <w:b/>
          <w:sz w:val="28"/>
        </w:rPr>
      </w:pPr>
      <w:r w:rsidRPr="00781E0F">
        <w:rPr>
          <w:b/>
          <w:sz w:val="28"/>
        </w:rPr>
        <w:t>delle</w:t>
      </w:r>
      <w:r w:rsidRPr="00781E0F">
        <w:rPr>
          <w:b/>
          <w:spacing w:val="-19"/>
          <w:sz w:val="28"/>
        </w:rPr>
        <w:t xml:space="preserve"> </w:t>
      </w:r>
      <w:r w:rsidRPr="00781E0F">
        <w:rPr>
          <w:b/>
          <w:sz w:val="28"/>
        </w:rPr>
        <w:t>prestazioni</w:t>
      </w:r>
      <w:r w:rsidRPr="00781E0F">
        <w:rPr>
          <w:b/>
          <w:spacing w:val="-5"/>
          <w:sz w:val="28"/>
        </w:rPr>
        <w:t xml:space="preserve"> </w:t>
      </w:r>
      <w:r w:rsidRPr="00781E0F">
        <w:rPr>
          <w:b/>
          <w:sz w:val="28"/>
        </w:rPr>
        <w:t>economicamente</w:t>
      </w:r>
      <w:r w:rsidRPr="00781E0F">
        <w:rPr>
          <w:b/>
          <w:spacing w:val="-6"/>
          <w:sz w:val="28"/>
        </w:rPr>
        <w:t xml:space="preserve"> </w:t>
      </w:r>
      <w:r w:rsidRPr="00781E0F">
        <w:rPr>
          <w:b/>
          <w:sz w:val="28"/>
        </w:rPr>
        <w:t>d'interesse</w:t>
      </w:r>
      <w:r w:rsidRPr="00781E0F">
        <w:rPr>
          <w:b/>
          <w:spacing w:val="-6"/>
          <w:sz w:val="28"/>
        </w:rPr>
        <w:t xml:space="preserve"> </w:t>
      </w:r>
      <w:r w:rsidRPr="00781E0F">
        <w:rPr>
          <w:b/>
          <w:spacing w:val="-2"/>
          <w:sz w:val="28"/>
        </w:rPr>
        <w:t>generale</w:t>
      </w:r>
    </w:p>
    <w:p w:rsidR="002C30AE" w:rsidRPr="00781E0F" w:rsidRDefault="002C30AE" w:rsidP="00781E0F">
      <w:pPr>
        <w:pStyle w:val="Paragrafoelenco"/>
        <w:numPr>
          <w:ilvl w:val="0"/>
          <w:numId w:val="74"/>
        </w:numPr>
        <w:tabs>
          <w:tab w:val="left" w:pos="284"/>
        </w:tabs>
        <w:spacing w:line="309" w:lineRule="exact"/>
        <w:ind w:left="0" w:firstLine="0"/>
        <w:rPr>
          <w:b/>
          <w:sz w:val="28"/>
        </w:rPr>
      </w:pPr>
      <w:r w:rsidRPr="00781E0F">
        <w:rPr>
          <w:b/>
          <w:sz w:val="28"/>
        </w:rPr>
        <w:t>presa</w:t>
      </w:r>
      <w:r w:rsidRPr="00781E0F">
        <w:rPr>
          <w:b/>
          <w:spacing w:val="-1"/>
          <w:sz w:val="28"/>
        </w:rPr>
        <w:t xml:space="preserve"> </w:t>
      </w:r>
      <w:r w:rsidRPr="00781E0F">
        <w:rPr>
          <w:b/>
          <w:sz w:val="28"/>
        </w:rPr>
        <w:t>di</w:t>
      </w:r>
      <w:r w:rsidRPr="00781E0F">
        <w:rPr>
          <w:b/>
          <w:spacing w:val="1"/>
          <w:sz w:val="28"/>
        </w:rPr>
        <w:t xml:space="preserve"> </w:t>
      </w:r>
      <w:r w:rsidRPr="00781E0F">
        <w:rPr>
          <w:b/>
          <w:spacing w:val="-2"/>
          <w:sz w:val="28"/>
        </w:rPr>
        <w:t>conoscenza</w:t>
      </w:r>
    </w:p>
    <w:p w:rsidR="002C30AE" w:rsidRPr="00781E0F" w:rsidRDefault="002C30AE" w:rsidP="00781E0F">
      <w:pPr>
        <w:pStyle w:val="Paragrafoelenco"/>
        <w:numPr>
          <w:ilvl w:val="1"/>
          <w:numId w:val="78"/>
        </w:numPr>
        <w:spacing w:line="334" w:lineRule="exact"/>
        <w:ind w:left="567" w:hanging="283"/>
        <w:rPr>
          <w:b/>
          <w:sz w:val="28"/>
        </w:rPr>
      </w:pPr>
      <w:r w:rsidRPr="00781E0F">
        <w:rPr>
          <w:b/>
          <w:sz w:val="28"/>
        </w:rPr>
        <w:t>del</w:t>
      </w:r>
      <w:r w:rsidRPr="00781E0F">
        <w:rPr>
          <w:b/>
          <w:spacing w:val="-10"/>
          <w:sz w:val="28"/>
        </w:rPr>
        <w:t xml:space="preserve"> </w:t>
      </w:r>
      <w:r w:rsidRPr="00781E0F">
        <w:rPr>
          <w:b/>
          <w:sz w:val="28"/>
        </w:rPr>
        <w:t>modulo</w:t>
      </w:r>
      <w:r w:rsidRPr="00781E0F">
        <w:rPr>
          <w:b/>
          <w:spacing w:val="-4"/>
          <w:sz w:val="28"/>
        </w:rPr>
        <w:t xml:space="preserve"> </w:t>
      </w:r>
      <w:r w:rsidRPr="00781E0F">
        <w:rPr>
          <w:b/>
          <w:sz w:val="28"/>
        </w:rPr>
        <w:t>di</w:t>
      </w:r>
      <w:r w:rsidRPr="00781E0F">
        <w:rPr>
          <w:b/>
          <w:spacing w:val="-3"/>
          <w:sz w:val="28"/>
        </w:rPr>
        <w:t xml:space="preserve"> </w:t>
      </w:r>
      <w:r w:rsidRPr="00781E0F">
        <w:rPr>
          <w:b/>
          <w:sz w:val="28"/>
        </w:rPr>
        <w:t>sollecitazione</w:t>
      </w:r>
      <w:r w:rsidRPr="00781E0F">
        <w:rPr>
          <w:b/>
          <w:spacing w:val="-3"/>
          <w:sz w:val="28"/>
        </w:rPr>
        <w:t xml:space="preserve"> </w:t>
      </w:r>
      <w:r w:rsidRPr="00781E0F">
        <w:rPr>
          <w:b/>
          <w:spacing w:val="-2"/>
          <w:sz w:val="28"/>
        </w:rPr>
        <w:t>d'offerta</w:t>
      </w:r>
    </w:p>
    <w:p w:rsidR="002C30AE" w:rsidRPr="00781E0F" w:rsidRDefault="002C30AE" w:rsidP="00781E0F">
      <w:pPr>
        <w:pStyle w:val="Paragrafoelenco"/>
        <w:numPr>
          <w:ilvl w:val="1"/>
          <w:numId w:val="78"/>
        </w:numPr>
        <w:spacing w:line="334" w:lineRule="exact"/>
        <w:ind w:left="567" w:hanging="283"/>
        <w:rPr>
          <w:b/>
          <w:sz w:val="28"/>
        </w:rPr>
      </w:pPr>
      <w:r w:rsidRPr="00781E0F">
        <w:rPr>
          <w:b/>
          <w:sz w:val="28"/>
        </w:rPr>
        <w:t>della</w:t>
      </w:r>
      <w:r w:rsidRPr="00781E0F">
        <w:rPr>
          <w:b/>
          <w:spacing w:val="-15"/>
          <w:sz w:val="28"/>
        </w:rPr>
        <w:t xml:space="preserve"> </w:t>
      </w:r>
      <w:r w:rsidRPr="00781E0F">
        <w:rPr>
          <w:b/>
          <w:sz w:val="28"/>
        </w:rPr>
        <w:t>suddivisione</w:t>
      </w:r>
      <w:r w:rsidRPr="00781E0F">
        <w:rPr>
          <w:b/>
          <w:spacing w:val="-7"/>
          <w:sz w:val="28"/>
        </w:rPr>
        <w:t xml:space="preserve"> </w:t>
      </w:r>
      <w:r w:rsidRPr="00781E0F">
        <w:rPr>
          <w:b/>
          <w:sz w:val="28"/>
        </w:rPr>
        <w:t>nei</w:t>
      </w:r>
      <w:r w:rsidRPr="00781E0F">
        <w:rPr>
          <w:b/>
          <w:spacing w:val="-5"/>
          <w:sz w:val="28"/>
        </w:rPr>
        <w:t xml:space="preserve"> </w:t>
      </w:r>
      <w:r w:rsidRPr="00781E0F">
        <w:rPr>
          <w:b/>
          <w:sz w:val="28"/>
        </w:rPr>
        <w:t>gruppi</w:t>
      </w:r>
      <w:r w:rsidRPr="00781E0F">
        <w:rPr>
          <w:b/>
          <w:spacing w:val="-3"/>
          <w:sz w:val="28"/>
        </w:rPr>
        <w:t xml:space="preserve"> </w:t>
      </w:r>
      <w:r w:rsidRPr="00781E0F">
        <w:rPr>
          <w:b/>
          <w:sz w:val="28"/>
        </w:rPr>
        <w:t>di</w:t>
      </w:r>
      <w:r w:rsidRPr="00781E0F">
        <w:rPr>
          <w:b/>
          <w:spacing w:val="-3"/>
          <w:sz w:val="28"/>
        </w:rPr>
        <w:t xml:space="preserve"> </w:t>
      </w:r>
      <w:r w:rsidRPr="00781E0F">
        <w:rPr>
          <w:b/>
          <w:sz w:val="28"/>
        </w:rPr>
        <w:t>prestazione</w:t>
      </w:r>
      <w:r w:rsidRPr="00781E0F">
        <w:rPr>
          <w:b/>
          <w:spacing w:val="-4"/>
          <w:sz w:val="28"/>
        </w:rPr>
        <w:t xml:space="preserve"> </w:t>
      </w:r>
      <w:r w:rsidRPr="00781E0F">
        <w:rPr>
          <w:b/>
          <w:sz w:val="28"/>
        </w:rPr>
        <w:t>e</w:t>
      </w:r>
      <w:r w:rsidRPr="00781E0F">
        <w:rPr>
          <w:b/>
          <w:spacing w:val="-4"/>
          <w:sz w:val="28"/>
        </w:rPr>
        <w:t xml:space="preserve"> </w:t>
      </w:r>
      <w:r w:rsidRPr="00781E0F">
        <w:rPr>
          <w:b/>
          <w:sz w:val="28"/>
        </w:rPr>
        <w:t>dei</w:t>
      </w:r>
      <w:r w:rsidRPr="00781E0F">
        <w:rPr>
          <w:b/>
          <w:spacing w:val="-5"/>
          <w:sz w:val="28"/>
        </w:rPr>
        <w:t xml:space="preserve"> </w:t>
      </w:r>
      <w:r w:rsidRPr="00781E0F">
        <w:rPr>
          <w:b/>
          <w:sz w:val="28"/>
        </w:rPr>
        <w:t>relativi</w:t>
      </w:r>
      <w:r w:rsidRPr="00781E0F">
        <w:rPr>
          <w:b/>
          <w:spacing w:val="-3"/>
          <w:sz w:val="28"/>
        </w:rPr>
        <w:t xml:space="preserve"> </w:t>
      </w:r>
      <w:r w:rsidRPr="00781E0F">
        <w:rPr>
          <w:b/>
          <w:spacing w:val="-2"/>
          <w:sz w:val="28"/>
        </w:rPr>
        <w:t>requisiti"</w:t>
      </w:r>
    </w:p>
    <w:p w:rsidR="003446C0" w:rsidRDefault="002C30AE" w:rsidP="002C30AE">
      <w:pPr>
        <w:pStyle w:val="Corpotesto"/>
        <w:jc w:val="both"/>
        <w:rPr>
          <w:b/>
          <w:sz w:val="28"/>
        </w:rPr>
      </w:pPr>
      <w:r>
        <w:rPr>
          <w:b/>
          <w:sz w:val="28"/>
        </w:rPr>
        <w:t xml:space="preserve">e </w:t>
      </w:r>
    </w:p>
    <w:p w:rsidR="002C30AE" w:rsidRDefault="002C30AE" w:rsidP="002C30AE">
      <w:pPr>
        <w:pStyle w:val="Corpotesto"/>
        <w:jc w:val="both"/>
        <w:rPr>
          <w:b/>
          <w:sz w:val="28"/>
        </w:rPr>
      </w:pPr>
      <w:r>
        <w:rPr>
          <w:b/>
          <w:sz w:val="28"/>
        </w:rPr>
        <w:t xml:space="preserve">sull'iniziativa </w:t>
      </w:r>
      <w:r w:rsidR="003446C0">
        <w:rPr>
          <w:b/>
          <w:sz w:val="28"/>
        </w:rPr>
        <w:t xml:space="preserve">parlamentare 19 settembre 2022 presentata nella forma </w:t>
      </w:r>
      <w:r>
        <w:rPr>
          <w:b/>
          <w:sz w:val="28"/>
        </w:rPr>
        <w:t xml:space="preserve">generica </w:t>
      </w:r>
      <w:r w:rsidR="003446C0">
        <w:rPr>
          <w:b/>
          <w:sz w:val="28"/>
        </w:rPr>
        <w:t>da Matteo Pronzini e cofirmatarie per MPS-POP-Indipendenti “</w:t>
      </w:r>
      <w:r w:rsidRPr="00E21E5B">
        <w:rPr>
          <w:b/>
          <w:sz w:val="28"/>
        </w:rPr>
        <w:t>Modifica della Legge sull’Ente ospedaliero cantonale (Per una salute di prossimità e completa)</w:t>
      </w:r>
      <w:r w:rsidR="003446C0">
        <w:rPr>
          <w:b/>
          <w:sz w:val="28"/>
        </w:rPr>
        <w:t>”</w:t>
      </w:r>
      <w:r>
        <w:rPr>
          <w:b/>
          <w:sz w:val="28"/>
        </w:rPr>
        <w:t xml:space="preserve"> </w:t>
      </w:r>
    </w:p>
    <w:p w:rsidR="002C30AE" w:rsidRDefault="002C30AE" w:rsidP="002C30AE">
      <w:pPr>
        <w:rPr>
          <w:lang w:val="it-IT" w:eastAsia="it-IT"/>
          <w14:shadow w14:blurRad="50800" w14:dist="38100" w14:dir="2700000" w14:sx="100000" w14:sy="100000" w14:kx="0" w14:ky="0" w14:algn="tl">
            <w14:srgbClr w14:val="000000">
              <w14:alpha w14:val="60000"/>
            </w14:srgbClr>
          </w14:shadow>
        </w:rPr>
      </w:pPr>
    </w:p>
    <w:p w:rsidR="002C30AE" w:rsidRDefault="002C30AE" w:rsidP="002C30AE">
      <w:pPr>
        <w:rPr>
          <w:lang w:val="it-IT" w:eastAsia="it-IT"/>
          <w14:shadow w14:blurRad="50800" w14:dist="38100" w14:dir="2700000" w14:sx="100000" w14:sy="100000" w14:kx="0" w14:ky="0" w14:algn="tl">
            <w14:srgbClr w14:val="000000">
              <w14:alpha w14:val="60000"/>
            </w14:srgbClr>
          </w14:shadow>
        </w:rPr>
      </w:pPr>
    </w:p>
    <w:p w:rsidR="0038453D" w:rsidRPr="0038453D" w:rsidRDefault="0038453D" w:rsidP="0038453D">
      <w:pPr>
        <w:keepNext/>
        <w:outlineLvl w:val="4"/>
        <w:rPr>
          <w:rFonts w:eastAsia="Times New Roman" w:cs="Arial"/>
          <w:b/>
          <w:spacing w:val="4"/>
          <w:sz w:val="24"/>
          <w:szCs w:val="20"/>
          <w:u w:val="single"/>
          <w:lang w:val="it-IT" w:eastAsia="it-IT"/>
          <w14:shadow w14:blurRad="50800" w14:dist="38100" w14:dir="2700000" w14:sx="100000" w14:sy="100000" w14:kx="0" w14:ky="0" w14:algn="tl">
            <w14:srgbClr w14:val="000000">
              <w14:alpha w14:val="60000"/>
            </w14:srgbClr>
          </w14:shadow>
        </w:rPr>
      </w:pPr>
      <w:r w:rsidRPr="0038453D">
        <w:rPr>
          <w:rFonts w:eastAsia="Times New Roman" w:cs="Arial"/>
          <w:b/>
          <w:spacing w:val="4"/>
          <w:sz w:val="24"/>
          <w:szCs w:val="20"/>
          <w:u w:val="single"/>
          <w:lang w:val="it-IT" w:eastAsia="it-IT"/>
          <w14:shadow w14:blurRad="50800" w14:dist="38100" w14:dir="2700000" w14:sx="100000" w14:sy="100000" w14:kx="0" w14:ky="0" w14:algn="tl">
            <w14:srgbClr w14:val="000000">
              <w14:alpha w14:val="60000"/>
            </w14:srgbClr>
          </w14:shadow>
        </w:rPr>
        <w:t>Sommario</w:t>
      </w:r>
    </w:p>
    <w:p w:rsidR="0038453D" w:rsidRPr="0038453D" w:rsidRDefault="0038453D" w:rsidP="0038453D">
      <w:pPr>
        <w:rPr>
          <w:rFonts w:eastAsia="Times New Roman" w:cs="Arial"/>
          <w:spacing w:val="4"/>
          <w:lang w:val="it-IT" w:eastAsia="it-IT"/>
        </w:rPr>
      </w:pPr>
    </w:p>
    <w:p w:rsidR="003446C0" w:rsidRDefault="0038453D">
      <w:pPr>
        <w:pStyle w:val="Sommario1"/>
        <w:rPr>
          <w:rFonts w:asciiTheme="minorHAnsi" w:eastAsiaTheme="minorEastAsia" w:hAnsiTheme="minorHAnsi"/>
          <w:b w:val="0"/>
          <w:noProof/>
          <w:lang w:eastAsia="it-CH"/>
        </w:rPr>
      </w:pPr>
      <w:r w:rsidRPr="0038453D">
        <w:rPr>
          <w:rFonts w:eastAsia="Times New Roman" w:cs="Arial"/>
          <w:noProof/>
          <w:spacing w:val="4"/>
          <w:lang w:val="it-IT" w:eastAsia="it-IT"/>
        </w:rPr>
        <w:fldChar w:fldCharType="begin"/>
      </w:r>
      <w:r w:rsidRPr="0038453D">
        <w:rPr>
          <w:rFonts w:eastAsia="Times New Roman" w:cs="Arial"/>
          <w:noProof/>
          <w:spacing w:val="4"/>
          <w:sz w:val="24"/>
          <w:szCs w:val="24"/>
          <w:lang w:val="it-IT" w:eastAsia="it-IT"/>
        </w:rPr>
        <w:instrText xml:space="preserve"> TOC \o "1-3" \h \z \u </w:instrText>
      </w:r>
      <w:r w:rsidRPr="0038453D">
        <w:rPr>
          <w:rFonts w:eastAsia="Times New Roman" w:cs="Arial"/>
          <w:noProof/>
          <w:spacing w:val="4"/>
          <w:lang w:val="it-IT" w:eastAsia="it-IT"/>
        </w:rPr>
        <w:fldChar w:fldCharType="separate"/>
      </w:r>
      <w:hyperlink w:anchor="_Toc179882458" w:history="1">
        <w:r w:rsidR="003446C0" w:rsidRPr="007C5A18">
          <w:rPr>
            <w:rStyle w:val="Collegamentoipertestuale"/>
            <w:noProof/>
          </w:rPr>
          <w:t>1.</w:t>
        </w:r>
        <w:r w:rsidR="003446C0">
          <w:rPr>
            <w:rFonts w:asciiTheme="minorHAnsi" w:eastAsiaTheme="minorEastAsia" w:hAnsiTheme="minorHAnsi"/>
            <w:b w:val="0"/>
            <w:noProof/>
            <w:lang w:eastAsia="it-CH"/>
          </w:rPr>
          <w:tab/>
        </w:r>
        <w:r w:rsidR="003446C0" w:rsidRPr="007C5A18">
          <w:rPr>
            <w:rStyle w:val="Collegamentoipertestuale"/>
            <w:noProof/>
          </w:rPr>
          <w:t>INTRODUZIONE</w:t>
        </w:r>
        <w:r w:rsidR="003446C0">
          <w:rPr>
            <w:noProof/>
            <w:webHidden/>
          </w:rPr>
          <w:tab/>
        </w:r>
        <w:r w:rsidR="003446C0">
          <w:rPr>
            <w:noProof/>
            <w:webHidden/>
          </w:rPr>
          <w:fldChar w:fldCharType="begin"/>
        </w:r>
        <w:r w:rsidR="003446C0">
          <w:rPr>
            <w:noProof/>
            <w:webHidden/>
          </w:rPr>
          <w:instrText xml:space="preserve"> PAGEREF _Toc179882458 \h </w:instrText>
        </w:r>
        <w:r w:rsidR="003446C0">
          <w:rPr>
            <w:noProof/>
            <w:webHidden/>
          </w:rPr>
        </w:r>
        <w:r w:rsidR="003446C0">
          <w:rPr>
            <w:noProof/>
            <w:webHidden/>
          </w:rPr>
          <w:fldChar w:fldCharType="separate"/>
        </w:r>
        <w:r w:rsidR="001B6CD3">
          <w:rPr>
            <w:noProof/>
            <w:webHidden/>
          </w:rPr>
          <w:t>4</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59" w:history="1">
        <w:r w:rsidR="003446C0" w:rsidRPr="007C5A18">
          <w:rPr>
            <w:rStyle w:val="Collegamentoipertestuale"/>
            <w:noProof/>
          </w:rPr>
          <w:t>1.1.</w:t>
        </w:r>
        <w:r w:rsidR="003446C0">
          <w:rPr>
            <w:rFonts w:asciiTheme="minorHAnsi" w:eastAsiaTheme="minorEastAsia" w:hAnsiTheme="minorHAnsi"/>
            <w:noProof/>
            <w:lang w:eastAsia="it-CH"/>
          </w:rPr>
          <w:tab/>
        </w:r>
        <w:r w:rsidR="003446C0" w:rsidRPr="007C5A18">
          <w:rPr>
            <w:rStyle w:val="Collegamentoipertestuale"/>
            <w:noProof/>
          </w:rPr>
          <w:t>IL QUADRO GIURIDICO</w:t>
        </w:r>
        <w:r w:rsidR="003446C0">
          <w:rPr>
            <w:noProof/>
            <w:webHidden/>
          </w:rPr>
          <w:tab/>
        </w:r>
        <w:r w:rsidR="003446C0">
          <w:rPr>
            <w:noProof/>
            <w:webHidden/>
          </w:rPr>
          <w:fldChar w:fldCharType="begin"/>
        </w:r>
        <w:r w:rsidR="003446C0">
          <w:rPr>
            <w:noProof/>
            <w:webHidden/>
          </w:rPr>
          <w:instrText xml:space="preserve"> PAGEREF _Toc179882459 \h </w:instrText>
        </w:r>
        <w:r w:rsidR="003446C0">
          <w:rPr>
            <w:noProof/>
            <w:webHidden/>
          </w:rPr>
        </w:r>
        <w:r w:rsidR="003446C0">
          <w:rPr>
            <w:noProof/>
            <w:webHidden/>
          </w:rPr>
          <w:fldChar w:fldCharType="separate"/>
        </w:r>
        <w:r w:rsidR="001B6CD3">
          <w:rPr>
            <w:noProof/>
            <w:webHidden/>
          </w:rPr>
          <w:t>4</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60" w:history="1">
        <w:r w:rsidR="003446C0" w:rsidRPr="007C5A18">
          <w:rPr>
            <w:rStyle w:val="Collegamentoipertestuale"/>
            <w:noProof/>
          </w:rPr>
          <w:t>1.2.</w:t>
        </w:r>
        <w:r w:rsidR="003446C0">
          <w:rPr>
            <w:rFonts w:asciiTheme="minorHAnsi" w:eastAsiaTheme="minorEastAsia" w:hAnsiTheme="minorHAnsi"/>
            <w:noProof/>
            <w:lang w:eastAsia="it-CH"/>
          </w:rPr>
          <w:tab/>
        </w:r>
        <w:r w:rsidR="003446C0" w:rsidRPr="007C5A18">
          <w:rPr>
            <w:rStyle w:val="Collegamentoipertestuale"/>
            <w:noProof/>
          </w:rPr>
          <w:t>IL CONTESTO E I MARGINI DI MANOVRA</w:t>
        </w:r>
        <w:r w:rsidR="003446C0">
          <w:rPr>
            <w:noProof/>
            <w:webHidden/>
          </w:rPr>
          <w:tab/>
        </w:r>
        <w:r w:rsidR="003446C0">
          <w:rPr>
            <w:noProof/>
            <w:webHidden/>
          </w:rPr>
          <w:fldChar w:fldCharType="begin"/>
        </w:r>
        <w:r w:rsidR="003446C0">
          <w:rPr>
            <w:noProof/>
            <w:webHidden/>
          </w:rPr>
          <w:instrText xml:space="preserve"> PAGEREF _Toc179882460 \h </w:instrText>
        </w:r>
        <w:r w:rsidR="003446C0">
          <w:rPr>
            <w:noProof/>
            <w:webHidden/>
          </w:rPr>
        </w:r>
        <w:r w:rsidR="003446C0">
          <w:rPr>
            <w:noProof/>
            <w:webHidden/>
          </w:rPr>
          <w:fldChar w:fldCharType="separate"/>
        </w:r>
        <w:r w:rsidR="001B6CD3">
          <w:rPr>
            <w:noProof/>
            <w:webHidden/>
          </w:rPr>
          <w:t>5</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61" w:history="1">
        <w:r w:rsidR="003446C0" w:rsidRPr="007C5A18">
          <w:rPr>
            <w:rStyle w:val="Collegamentoipertestuale"/>
            <w:noProof/>
          </w:rPr>
          <w:t>1.3</w:t>
        </w:r>
        <w:r w:rsidR="003446C0">
          <w:rPr>
            <w:rFonts w:asciiTheme="minorHAnsi" w:eastAsiaTheme="minorEastAsia" w:hAnsiTheme="minorHAnsi"/>
            <w:noProof/>
            <w:lang w:eastAsia="it-CH"/>
          </w:rPr>
          <w:tab/>
        </w:r>
        <w:r w:rsidR="003446C0" w:rsidRPr="007C5A18">
          <w:rPr>
            <w:rStyle w:val="Collegamentoipertestuale"/>
            <w:noProof/>
          </w:rPr>
          <w:t>GLI ATTORI</w:t>
        </w:r>
        <w:r w:rsidR="003446C0">
          <w:rPr>
            <w:noProof/>
            <w:webHidden/>
          </w:rPr>
          <w:tab/>
        </w:r>
        <w:r w:rsidR="003446C0">
          <w:rPr>
            <w:noProof/>
            <w:webHidden/>
          </w:rPr>
          <w:fldChar w:fldCharType="begin"/>
        </w:r>
        <w:r w:rsidR="003446C0">
          <w:rPr>
            <w:noProof/>
            <w:webHidden/>
          </w:rPr>
          <w:instrText xml:space="preserve"> PAGEREF _Toc179882461 \h </w:instrText>
        </w:r>
        <w:r w:rsidR="003446C0">
          <w:rPr>
            <w:noProof/>
            <w:webHidden/>
          </w:rPr>
        </w:r>
        <w:r w:rsidR="003446C0">
          <w:rPr>
            <w:noProof/>
            <w:webHidden/>
          </w:rPr>
          <w:fldChar w:fldCharType="separate"/>
        </w:r>
        <w:r w:rsidR="001B6CD3">
          <w:rPr>
            <w:noProof/>
            <w:webHidden/>
          </w:rPr>
          <w:t>10</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62" w:history="1">
        <w:r w:rsidR="003446C0" w:rsidRPr="007C5A18">
          <w:rPr>
            <w:rStyle w:val="Collegamentoipertestuale"/>
            <w:noProof/>
          </w:rPr>
          <w:t>2.</w:t>
        </w:r>
        <w:r w:rsidR="003446C0">
          <w:rPr>
            <w:rFonts w:asciiTheme="minorHAnsi" w:eastAsiaTheme="minorEastAsia" w:hAnsiTheme="minorHAnsi"/>
            <w:b w:val="0"/>
            <w:noProof/>
            <w:lang w:eastAsia="it-CH"/>
          </w:rPr>
          <w:tab/>
        </w:r>
        <w:r w:rsidR="003446C0" w:rsidRPr="007C5A18">
          <w:rPr>
            <w:rStyle w:val="Collegamentoipertestuale"/>
            <w:noProof/>
          </w:rPr>
          <w:t>LA PIANIFICAZIONE IN VIGORE</w:t>
        </w:r>
        <w:r w:rsidR="003446C0">
          <w:rPr>
            <w:noProof/>
            <w:webHidden/>
          </w:rPr>
          <w:tab/>
        </w:r>
        <w:r w:rsidR="003446C0">
          <w:rPr>
            <w:noProof/>
            <w:webHidden/>
          </w:rPr>
          <w:fldChar w:fldCharType="begin"/>
        </w:r>
        <w:r w:rsidR="003446C0">
          <w:rPr>
            <w:noProof/>
            <w:webHidden/>
          </w:rPr>
          <w:instrText xml:space="preserve"> PAGEREF _Toc179882462 \h </w:instrText>
        </w:r>
        <w:r w:rsidR="003446C0">
          <w:rPr>
            <w:noProof/>
            <w:webHidden/>
          </w:rPr>
        </w:r>
        <w:r w:rsidR="003446C0">
          <w:rPr>
            <w:noProof/>
            <w:webHidden/>
          </w:rPr>
          <w:fldChar w:fldCharType="separate"/>
        </w:r>
        <w:r w:rsidR="001B6CD3">
          <w:rPr>
            <w:noProof/>
            <w:webHidden/>
          </w:rPr>
          <w:t>10</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63" w:history="1">
        <w:r w:rsidR="003446C0" w:rsidRPr="007C5A18">
          <w:rPr>
            <w:rStyle w:val="Collegamentoipertestuale"/>
            <w:noProof/>
          </w:rPr>
          <w:t>3.</w:t>
        </w:r>
        <w:r w:rsidR="003446C0">
          <w:rPr>
            <w:rFonts w:asciiTheme="minorHAnsi" w:eastAsiaTheme="minorEastAsia" w:hAnsiTheme="minorHAnsi"/>
            <w:b w:val="0"/>
            <w:noProof/>
            <w:lang w:eastAsia="it-CH"/>
          </w:rPr>
          <w:tab/>
        </w:r>
        <w:r w:rsidR="003446C0" w:rsidRPr="007C5A18">
          <w:rPr>
            <w:rStyle w:val="Collegamentoipertestuale"/>
            <w:noProof/>
          </w:rPr>
          <w:t>IL CONTENUTO DEL MESSAGGIO ALLA LUCE DELLA RIDEFINIZIONE DI COMPETENZE TRA GRAN CONSIGLIO E CONSIGLIO DI STATO IN MATERIA DI PIANIFICAZIONE OSPEDALIERA</w:t>
        </w:r>
        <w:r w:rsidR="003446C0">
          <w:rPr>
            <w:noProof/>
            <w:webHidden/>
          </w:rPr>
          <w:tab/>
        </w:r>
        <w:r w:rsidR="003446C0">
          <w:rPr>
            <w:noProof/>
            <w:webHidden/>
          </w:rPr>
          <w:fldChar w:fldCharType="begin"/>
        </w:r>
        <w:r w:rsidR="003446C0">
          <w:rPr>
            <w:noProof/>
            <w:webHidden/>
          </w:rPr>
          <w:instrText xml:space="preserve"> PAGEREF _Toc179882463 \h </w:instrText>
        </w:r>
        <w:r w:rsidR="003446C0">
          <w:rPr>
            <w:noProof/>
            <w:webHidden/>
          </w:rPr>
        </w:r>
        <w:r w:rsidR="003446C0">
          <w:rPr>
            <w:noProof/>
            <w:webHidden/>
          </w:rPr>
          <w:fldChar w:fldCharType="separate"/>
        </w:r>
        <w:r w:rsidR="001B6CD3">
          <w:rPr>
            <w:noProof/>
            <w:webHidden/>
          </w:rPr>
          <w:t>11</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64" w:history="1">
        <w:r w:rsidR="003446C0" w:rsidRPr="007C5A18">
          <w:rPr>
            <w:rStyle w:val="Collegamentoipertestuale"/>
            <w:noProof/>
          </w:rPr>
          <w:t>4.</w:t>
        </w:r>
        <w:r w:rsidR="003446C0">
          <w:rPr>
            <w:rFonts w:asciiTheme="minorHAnsi" w:eastAsiaTheme="minorEastAsia" w:hAnsiTheme="minorHAnsi"/>
            <w:b w:val="0"/>
            <w:noProof/>
            <w:lang w:eastAsia="it-CH"/>
          </w:rPr>
          <w:tab/>
        </w:r>
        <w:r w:rsidR="003446C0" w:rsidRPr="007C5A18">
          <w:rPr>
            <w:rStyle w:val="Collegamentoipertestuale"/>
            <w:noProof/>
          </w:rPr>
          <w:t>LO STUDIO SUL FABBISOGNO</w:t>
        </w:r>
        <w:r w:rsidR="003446C0">
          <w:rPr>
            <w:noProof/>
            <w:webHidden/>
          </w:rPr>
          <w:tab/>
        </w:r>
        <w:r w:rsidR="003446C0">
          <w:rPr>
            <w:noProof/>
            <w:webHidden/>
          </w:rPr>
          <w:fldChar w:fldCharType="begin"/>
        </w:r>
        <w:r w:rsidR="003446C0">
          <w:rPr>
            <w:noProof/>
            <w:webHidden/>
          </w:rPr>
          <w:instrText xml:space="preserve"> PAGEREF _Toc179882464 \h </w:instrText>
        </w:r>
        <w:r w:rsidR="003446C0">
          <w:rPr>
            <w:noProof/>
            <w:webHidden/>
          </w:rPr>
        </w:r>
        <w:r w:rsidR="003446C0">
          <w:rPr>
            <w:noProof/>
            <w:webHidden/>
          </w:rPr>
          <w:fldChar w:fldCharType="separate"/>
        </w:r>
        <w:r w:rsidR="001B6CD3">
          <w:rPr>
            <w:noProof/>
            <w:webHidden/>
          </w:rPr>
          <w:t>11</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65" w:history="1">
        <w:r w:rsidR="003446C0" w:rsidRPr="007C5A18">
          <w:rPr>
            <w:rStyle w:val="Collegamentoipertestuale"/>
            <w:noProof/>
          </w:rPr>
          <w:t>4.1</w:t>
        </w:r>
        <w:r w:rsidR="003446C0">
          <w:rPr>
            <w:rFonts w:asciiTheme="minorHAnsi" w:eastAsiaTheme="minorEastAsia" w:hAnsiTheme="minorHAnsi"/>
            <w:noProof/>
            <w:lang w:eastAsia="it-CH"/>
          </w:rPr>
          <w:tab/>
        </w:r>
        <w:r w:rsidR="003446C0" w:rsidRPr="007C5A18">
          <w:rPr>
            <w:rStyle w:val="Collegamentoipertestuale"/>
            <w:noProof/>
          </w:rPr>
          <w:t>LO SCENARIO PRINCIPALE</w:t>
        </w:r>
        <w:r w:rsidR="003446C0">
          <w:rPr>
            <w:noProof/>
            <w:webHidden/>
          </w:rPr>
          <w:tab/>
        </w:r>
        <w:r w:rsidR="003446C0">
          <w:rPr>
            <w:noProof/>
            <w:webHidden/>
          </w:rPr>
          <w:fldChar w:fldCharType="begin"/>
        </w:r>
        <w:r w:rsidR="003446C0">
          <w:rPr>
            <w:noProof/>
            <w:webHidden/>
          </w:rPr>
          <w:instrText xml:space="preserve"> PAGEREF _Toc179882465 \h </w:instrText>
        </w:r>
        <w:r w:rsidR="003446C0">
          <w:rPr>
            <w:noProof/>
            <w:webHidden/>
          </w:rPr>
        </w:r>
        <w:r w:rsidR="003446C0">
          <w:rPr>
            <w:noProof/>
            <w:webHidden/>
          </w:rPr>
          <w:fldChar w:fldCharType="separate"/>
        </w:r>
        <w:r w:rsidR="001B6CD3">
          <w:rPr>
            <w:noProof/>
            <w:webHidden/>
          </w:rPr>
          <w:t>12</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66" w:history="1">
        <w:r w:rsidR="003446C0" w:rsidRPr="007C5A18">
          <w:rPr>
            <w:rStyle w:val="Collegamentoipertestuale"/>
            <w:noProof/>
          </w:rPr>
          <w:t>5.</w:t>
        </w:r>
        <w:r w:rsidR="003446C0">
          <w:rPr>
            <w:rFonts w:asciiTheme="minorHAnsi" w:eastAsiaTheme="minorEastAsia" w:hAnsiTheme="minorHAnsi"/>
            <w:b w:val="0"/>
            <w:noProof/>
            <w:lang w:eastAsia="it-CH"/>
          </w:rPr>
          <w:tab/>
        </w:r>
        <w:r w:rsidR="003446C0" w:rsidRPr="007C5A18">
          <w:rPr>
            <w:rStyle w:val="Collegamentoipertestuale"/>
            <w:noProof/>
          </w:rPr>
          <w:t>GLI INDIRIZZI STRATEGICI E OBIETTIVI DELLA PROSSIMA PIANIFICAZIONE OSPEDALIERA</w:t>
        </w:r>
        <w:r w:rsidR="003446C0">
          <w:rPr>
            <w:noProof/>
            <w:webHidden/>
          </w:rPr>
          <w:tab/>
        </w:r>
        <w:r w:rsidR="003446C0">
          <w:rPr>
            <w:noProof/>
            <w:webHidden/>
          </w:rPr>
          <w:fldChar w:fldCharType="begin"/>
        </w:r>
        <w:r w:rsidR="003446C0">
          <w:rPr>
            <w:noProof/>
            <w:webHidden/>
          </w:rPr>
          <w:instrText xml:space="preserve"> PAGEREF _Toc179882466 \h </w:instrText>
        </w:r>
        <w:r w:rsidR="003446C0">
          <w:rPr>
            <w:noProof/>
            <w:webHidden/>
          </w:rPr>
        </w:r>
        <w:r w:rsidR="003446C0">
          <w:rPr>
            <w:noProof/>
            <w:webHidden/>
          </w:rPr>
          <w:fldChar w:fldCharType="separate"/>
        </w:r>
        <w:r w:rsidR="001B6CD3">
          <w:rPr>
            <w:noProof/>
            <w:webHidden/>
          </w:rPr>
          <w:t>13</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67" w:history="1">
        <w:r w:rsidR="003446C0" w:rsidRPr="007C5A18">
          <w:rPr>
            <w:rStyle w:val="Collegamentoipertestuale"/>
            <w:noProof/>
          </w:rPr>
          <w:t>5.1</w:t>
        </w:r>
        <w:r w:rsidR="003446C0">
          <w:rPr>
            <w:rFonts w:asciiTheme="minorHAnsi" w:eastAsiaTheme="minorEastAsia" w:hAnsiTheme="minorHAnsi"/>
            <w:noProof/>
            <w:lang w:eastAsia="it-CH"/>
          </w:rPr>
          <w:tab/>
        </w:r>
        <w:r w:rsidR="003446C0" w:rsidRPr="007C5A18">
          <w:rPr>
            <w:rStyle w:val="Collegamentoipertestuale"/>
            <w:noProof/>
          </w:rPr>
          <w:t>OBIETTIVI DELLA PIANIFICAZIONE</w:t>
        </w:r>
        <w:r w:rsidR="003446C0">
          <w:rPr>
            <w:noProof/>
            <w:webHidden/>
          </w:rPr>
          <w:tab/>
        </w:r>
        <w:r w:rsidR="003446C0">
          <w:rPr>
            <w:noProof/>
            <w:webHidden/>
          </w:rPr>
          <w:fldChar w:fldCharType="begin"/>
        </w:r>
        <w:r w:rsidR="003446C0">
          <w:rPr>
            <w:noProof/>
            <w:webHidden/>
          </w:rPr>
          <w:instrText xml:space="preserve"> PAGEREF _Toc179882467 \h </w:instrText>
        </w:r>
        <w:r w:rsidR="003446C0">
          <w:rPr>
            <w:noProof/>
            <w:webHidden/>
          </w:rPr>
        </w:r>
        <w:r w:rsidR="003446C0">
          <w:rPr>
            <w:noProof/>
            <w:webHidden/>
          </w:rPr>
          <w:fldChar w:fldCharType="separate"/>
        </w:r>
        <w:r w:rsidR="001B6CD3">
          <w:rPr>
            <w:noProof/>
            <w:webHidden/>
          </w:rPr>
          <w:t>15</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68" w:history="1">
        <w:r w:rsidR="003446C0" w:rsidRPr="007C5A18">
          <w:rPr>
            <w:rStyle w:val="Collegamentoipertestuale"/>
            <w:noProof/>
          </w:rPr>
          <w:t>5.2</w:t>
        </w:r>
        <w:r w:rsidR="003446C0">
          <w:rPr>
            <w:rFonts w:asciiTheme="minorHAnsi" w:eastAsiaTheme="minorEastAsia" w:hAnsiTheme="minorHAnsi"/>
            <w:noProof/>
            <w:lang w:eastAsia="it-CH"/>
          </w:rPr>
          <w:tab/>
        </w:r>
        <w:r w:rsidR="003446C0" w:rsidRPr="007C5A18">
          <w:rPr>
            <w:rStyle w:val="Collegamentoipertestuale"/>
            <w:noProof/>
          </w:rPr>
          <w:t>LE SFIDE DEL SETTORE OSPEDALIERO TICINESE</w:t>
        </w:r>
        <w:r w:rsidR="003446C0">
          <w:rPr>
            <w:noProof/>
            <w:webHidden/>
          </w:rPr>
          <w:tab/>
        </w:r>
        <w:r w:rsidR="003446C0">
          <w:rPr>
            <w:noProof/>
            <w:webHidden/>
          </w:rPr>
          <w:fldChar w:fldCharType="begin"/>
        </w:r>
        <w:r w:rsidR="003446C0">
          <w:rPr>
            <w:noProof/>
            <w:webHidden/>
          </w:rPr>
          <w:instrText xml:space="preserve"> PAGEREF _Toc179882468 \h </w:instrText>
        </w:r>
        <w:r w:rsidR="003446C0">
          <w:rPr>
            <w:noProof/>
            <w:webHidden/>
          </w:rPr>
        </w:r>
        <w:r w:rsidR="003446C0">
          <w:rPr>
            <w:noProof/>
            <w:webHidden/>
          </w:rPr>
          <w:fldChar w:fldCharType="separate"/>
        </w:r>
        <w:r w:rsidR="001B6CD3">
          <w:rPr>
            <w:noProof/>
            <w:webHidden/>
          </w:rPr>
          <w:t>17</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69" w:history="1">
        <w:r w:rsidR="003446C0" w:rsidRPr="007C5A18">
          <w:rPr>
            <w:rStyle w:val="Collegamentoipertestuale"/>
            <w:noProof/>
          </w:rPr>
          <w:t>6.</w:t>
        </w:r>
        <w:r w:rsidR="003446C0">
          <w:rPr>
            <w:rFonts w:asciiTheme="minorHAnsi" w:eastAsiaTheme="minorEastAsia" w:hAnsiTheme="minorHAnsi"/>
            <w:b w:val="0"/>
            <w:noProof/>
            <w:lang w:eastAsia="it-CH"/>
          </w:rPr>
          <w:tab/>
        </w:r>
        <w:r w:rsidR="003446C0" w:rsidRPr="007C5A18">
          <w:rPr>
            <w:rStyle w:val="Collegamentoipertestuale"/>
            <w:noProof/>
          </w:rPr>
          <w:t>I LAVORI DELLA COMMISSIONE DI PIANIFICAZIONE SANITARIA</w:t>
        </w:r>
        <w:r w:rsidR="003446C0">
          <w:rPr>
            <w:noProof/>
            <w:webHidden/>
          </w:rPr>
          <w:tab/>
        </w:r>
        <w:r w:rsidR="003446C0">
          <w:rPr>
            <w:noProof/>
            <w:webHidden/>
          </w:rPr>
          <w:fldChar w:fldCharType="begin"/>
        </w:r>
        <w:r w:rsidR="003446C0">
          <w:rPr>
            <w:noProof/>
            <w:webHidden/>
          </w:rPr>
          <w:instrText xml:space="preserve"> PAGEREF _Toc179882469 \h </w:instrText>
        </w:r>
        <w:r w:rsidR="003446C0">
          <w:rPr>
            <w:noProof/>
            <w:webHidden/>
          </w:rPr>
        </w:r>
        <w:r w:rsidR="003446C0">
          <w:rPr>
            <w:noProof/>
            <w:webHidden/>
          </w:rPr>
          <w:fldChar w:fldCharType="separate"/>
        </w:r>
        <w:r w:rsidR="001B6CD3">
          <w:rPr>
            <w:noProof/>
            <w:webHidden/>
          </w:rPr>
          <w:t>19</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70" w:history="1">
        <w:r w:rsidR="003446C0" w:rsidRPr="007C5A18">
          <w:rPr>
            <w:rStyle w:val="Collegamentoipertestuale"/>
            <w:noProof/>
          </w:rPr>
          <w:t>6.1.</w:t>
        </w:r>
        <w:r w:rsidR="003446C0">
          <w:rPr>
            <w:rFonts w:asciiTheme="minorHAnsi" w:eastAsiaTheme="minorEastAsia" w:hAnsiTheme="minorHAnsi"/>
            <w:noProof/>
            <w:lang w:eastAsia="it-CH"/>
          </w:rPr>
          <w:tab/>
        </w:r>
        <w:r w:rsidR="003446C0" w:rsidRPr="007C5A18">
          <w:rPr>
            <w:rStyle w:val="Collegamentoipertestuale"/>
            <w:noProof/>
          </w:rPr>
          <w:t>SULLO STUDIO SUL FABBISOGNO</w:t>
        </w:r>
        <w:r w:rsidR="003446C0">
          <w:rPr>
            <w:noProof/>
            <w:webHidden/>
          </w:rPr>
          <w:tab/>
        </w:r>
        <w:r w:rsidR="003446C0">
          <w:rPr>
            <w:noProof/>
            <w:webHidden/>
          </w:rPr>
          <w:fldChar w:fldCharType="begin"/>
        </w:r>
        <w:r w:rsidR="003446C0">
          <w:rPr>
            <w:noProof/>
            <w:webHidden/>
          </w:rPr>
          <w:instrText xml:space="preserve"> PAGEREF _Toc179882470 \h </w:instrText>
        </w:r>
        <w:r w:rsidR="003446C0">
          <w:rPr>
            <w:noProof/>
            <w:webHidden/>
          </w:rPr>
        </w:r>
        <w:r w:rsidR="003446C0">
          <w:rPr>
            <w:noProof/>
            <w:webHidden/>
          </w:rPr>
          <w:fldChar w:fldCharType="separate"/>
        </w:r>
        <w:r w:rsidR="001B6CD3">
          <w:rPr>
            <w:noProof/>
            <w:webHidden/>
          </w:rPr>
          <w:t>19</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1" w:history="1">
        <w:r w:rsidR="003446C0" w:rsidRPr="007C5A18">
          <w:rPr>
            <w:rStyle w:val="Collegamentoipertestuale"/>
            <w:noProof/>
          </w:rPr>
          <w:t>6.1.1</w:t>
        </w:r>
        <w:r w:rsidR="003446C0">
          <w:rPr>
            <w:rFonts w:asciiTheme="minorHAnsi" w:eastAsiaTheme="minorEastAsia" w:hAnsiTheme="minorHAnsi"/>
            <w:noProof/>
            <w:lang w:eastAsia="it-CH"/>
          </w:rPr>
          <w:tab/>
        </w:r>
        <w:r w:rsidR="003446C0" w:rsidRPr="007C5A18">
          <w:rPr>
            <w:rStyle w:val="Collegamentoipertestuale"/>
            <w:noProof/>
          </w:rPr>
          <w:t>Valutazione critica tra previsioni e dati storici</w:t>
        </w:r>
        <w:r w:rsidR="003446C0">
          <w:rPr>
            <w:noProof/>
            <w:webHidden/>
          </w:rPr>
          <w:tab/>
        </w:r>
        <w:r w:rsidR="003446C0">
          <w:rPr>
            <w:noProof/>
            <w:webHidden/>
          </w:rPr>
          <w:fldChar w:fldCharType="begin"/>
        </w:r>
        <w:r w:rsidR="003446C0">
          <w:rPr>
            <w:noProof/>
            <w:webHidden/>
          </w:rPr>
          <w:instrText xml:space="preserve"> PAGEREF _Toc179882471 \h </w:instrText>
        </w:r>
        <w:r w:rsidR="003446C0">
          <w:rPr>
            <w:noProof/>
            <w:webHidden/>
          </w:rPr>
        </w:r>
        <w:r w:rsidR="003446C0">
          <w:rPr>
            <w:noProof/>
            <w:webHidden/>
          </w:rPr>
          <w:fldChar w:fldCharType="separate"/>
        </w:r>
        <w:r w:rsidR="001B6CD3">
          <w:rPr>
            <w:noProof/>
            <w:webHidden/>
          </w:rPr>
          <w:t>19</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2" w:history="1">
        <w:r w:rsidR="003446C0" w:rsidRPr="007C5A18">
          <w:rPr>
            <w:rStyle w:val="Collegamentoipertestuale"/>
            <w:noProof/>
          </w:rPr>
          <w:t>6.1.2</w:t>
        </w:r>
        <w:r w:rsidR="003446C0">
          <w:rPr>
            <w:rFonts w:asciiTheme="minorHAnsi" w:eastAsiaTheme="minorEastAsia" w:hAnsiTheme="minorHAnsi"/>
            <w:noProof/>
            <w:lang w:eastAsia="it-CH"/>
          </w:rPr>
          <w:tab/>
        </w:r>
        <w:r w:rsidR="003446C0" w:rsidRPr="007C5A18">
          <w:rPr>
            <w:rStyle w:val="Collegamentoipertestuale"/>
            <w:noProof/>
          </w:rPr>
          <w:t>Modello di Zurigo e correttivi</w:t>
        </w:r>
        <w:r w:rsidR="003446C0">
          <w:rPr>
            <w:noProof/>
            <w:webHidden/>
          </w:rPr>
          <w:tab/>
        </w:r>
        <w:r w:rsidR="003446C0">
          <w:rPr>
            <w:noProof/>
            <w:webHidden/>
          </w:rPr>
          <w:fldChar w:fldCharType="begin"/>
        </w:r>
        <w:r w:rsidR="003446C0">
          <w:rPr>
            <w:noProof/>
            <w:webHidden/>
          </w:rPr>
          <w:instrText xml:space="preserve"> PAGEREF _Toc179882472 \h </w:instrText>
        </w:r>
        <w:r w:rsidR="003446C0">
          <w:rPr>
            <w:noProof/>
            <w:webHidden/>
          </w:rPr>
        </w:r>
        <w:r w:rsidR="003446C0">
          <w:rPr>
            <w:noProof/>
            <w:webHidden/>
          </w:rPr>
          <w:fldChar w:fldCharType="separate"/>
        </w:r>
        <w:r w:rsidR="001B6CD3">
          <w:rPr>
            <w:noProof/>
            <w:webHidden/>
          </w:rPr>
          <w:t>20</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73" w:history="1">
        <w:r w:rsidR="003446C0" w:rsidRPr="007C5A18">
          <w:rPr>
            <w:rStyle w:val="Collegamentoipertestuale"/>
            <w:noProof/>
          </w:rPr>
          <w:t>6.2</w:t>
        </w:r>
        <w:r w:rsidR="003446C0">
          <w:rPr>
            <w:rFonts w:asciiTheme="minorHAnsi" w:eastAsiaTheme="minorEastAsia" w:hAnsiTheme="minorHAnsi"/>
            <w:noProof/>
            <w:lang w:eastAsia="it-CH"/>
          </w:rPr>
          <w:tab/>
        </w:r>
        <w:r w:rsidR="003446C0" w:rsidRPr="007C5A18">
          <w:rPr>
            <w:rStyle w:val="Collegamentoipertestuale"/>
            <w:noProof/>
          </w:rPr>
          <w:t>INDIRIZZI STRATEGICI</w:t>
        </w:r>
        <w:r w:rsidR="003446C0">
          <w:rPr>
            <w:noProof/>
            <w:webHidden/>
          </w:rPr>
          <w:tab/>
        </w:r>
        <w:r w:rsidR="003446C0">
          <w:rPr>
            <w:noProof/>
            <w:webHidden/>
          </w:rPr>
          <w:fldChar w:fldCharType="begin"/>
        </w:r>
        <w:r w:rsidR="003446C0">
          <w:rPr>
            <w:noProof/>
            <w:webHidden/>
          </w:rPr>
          <w:instrText xml:space="preserve"> PAGEREF _Toc179882473 \h </w:instrText>
        </w:r>
        <w:r w:rsidR="003446C0">
          <w:rPr>
            <w:noProof/>
            <w:webHidden/>
          </w:rPr>
        </w:r>
        <w:r w:rsidR="003446C0">
          <w:rPr>
            <w:noProof/>
            <w:webHidden/>
          </w:rPr>
          <w:fldChar w:fldCharType="separate"/>
        </w:r>
        <w:r w:rsidR="001B6CD3">
          <w:rPr>
            <w:noProof/>
            <w:webHidden/>
          </w:rPr>
          <w:t>22</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4" w:history="1">
        <w:r w:rsidR="003446C0" w:rsidRPr="007C5A18">
          <w:rPr>
            <w:rStyle w:val="Collegamentoipertestuale"/>
            <w:noProof/>
          </w:rPr>
          <w:t>6.2.1</w:t>
        </w:r>
        <w:r w:rsidR="003446C0">
          <w:rPr>
            <w:rFonts w:asciiTheme="minorHAnsi" w:eastAsiaTheme="minorEastAsia" w:hAnsiTheme="minorHAnsi"/>
            <w:noProof/>
            <w:lang w:eastAsia="it-CH"/>
          </w:rPr>
          <w:tab/>
        </w:r>
        <w:r w:rsidR="003446C0" w:rsidRPr="007C5A18">
          <w:rPr>
            <w:rStyle w:val="Collegamentoipertestuale"/>
            <w:noProof/>
          </w:rPr>
          <w:t>Concentrazione e prossimità</w:t>
        </w:r>
        <w:r w:rsidR="003446C0">
          <w:rPr>
            <w:noProof/>
            <w:webHidden/>
          </w:rPr>
          <w:tab/>
        </w:r>
        <w:r w:rsidR="003446C0">
          <w:rPr>
            <w:noProof/>
            <w:webHidden/>
          </w:rPr>
          <w:fldChar w:fldCharType="begin"/>
        </w:r>
        <w:r w:rsidR="003446C0">
          <w:rPr>
            <w:noProof/>
            <w:webHidden/>
          </w:rPr>
          <w:instrText xml:space="preserve"> PAGEREF _Toc179882474 \h </w:instrText>
        </w:r>
        <w:r w:rsidR="003446C0">
          <w:rPr>
            <w:noProof/>
            <w:webHidden/>
          </w:rPr>
        </w:r>
        <w:r w:rsidR="003446C0">
          <w:rPr>
            <w:noProof/>
            <w:webHidden/>
          </w:rPr>
          <w:fldChar w:fldCharType="separate"/>
        </w:r>
        <w:r w:rsidR="001B6CD3">
          <w:rPr>
            <w:noProof/>
            <w:webHidden/>
          </w:rPr>
          <w:t>22</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5" w:history="1">
        <w:r w:rsidR="003446C0" w:rsidRPr="007C5A18">
          <w:rPr>
            <w:rStyle w:val="Collegamentoipertestuale"/>
            <w:noProof/>
          </w:rPr>
          <w:t>6.2.2</w:t>
        </w:r>
        <w:r w:rsidR="003446C0">
          <w:rPr>
            <w:rFonts w:asciiTheme="minorHAnsi" w:eastAsiaTheme="minorEastAsia" w:hAnsiTheme="minorHAnsi"/>
            <w:noProof/>
            <w:lang w:eastAsia="it-CH"/>
          </w:rPr>
          <w:tab/>
        </w:r>
        <w:r w:rsidR="003446C0" w:rsidRPr="007C5A18">
          <w:rPr>
            <w:rStyle w:val="Collegamentoipertestuale"/>
            <w:noProof/>
          </w:rPr>
          <w:t>Problematiche legate al personale</w:t>
        </w:r>
        <w:r w:rsidR="003446C0">
          <w:rPr>
            <w:noProof/>
            <w:webHidden/>
          </w:rPr>
          <w:tab/>
        </w:r>
        <w:r w:rsidR="003446C0">
          <w:rPr>
            <w:noProof/>
            <w:webHidden/>
          </w:rPr>
          <w:fldChar w:fldCharType="begin"/>
        </w:r>
        <w:r w:rsidR="003446C0">
          <w:rPr>
            <w:noProof/>
            <w:webHidden/>
          </w:rPr>
          <w:instrText xml:space="preserve"> PAGEREF _Toc179882475 \h </w:instrText>
        </w:r>
        <w:r w:rsidR="003446C0">
          <w:rPr>
            <w:noProof/>
            <w:webHidden/>
          </w:rPr>
        </w:r>
        <w:r w:rsidR="003446C0">
          <w:rPr>
            <w:noProof/>
            <w:webHidden/>
          </w:rPr>
          <w:fldChar w:fldCharType="separate"/>
        </w:r>
        <w:r w:rsidR="001B6CD3">
          <w:rPr>
            <w:noProof/>
            <w:webHidden/>
          </w:rPr>
          <w:t>23</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6" w:history="1">
        <w:r w:rsidR="003446C0" w:rsidRPr="007C5A18">
          <w:rPr>
            <w:rStyle w:val="Collegamentoipertestuale"/>
            <w:noProof/>
          </w:rPr>
          <w:t>6.2.3</w:t>
        </w:r>
        <w:r w:rsidR="003446C0">
          <w:rPr>
            <w:rFonts w:asciiTheme="minorHAnsi" w:eastAsiaTheme="minorEastAsia" w:hAnsiTheme="minorHAnsi"/>
            <w:noProof/>
            <w:lang w:eastAsia="it-CH"/>
          </w:rPr>
          <w:tab/>
        </w:r>
        <w:r w:rsidR="003446C0" w:rsidRPr="007C5A18">
          <w:rPr>
            <w:rStyle w:val="Collegamentoipertestuale"/>
            <w:noProof/>
          </w:rPr>
          <w:t>Mandati e sostenibilità finanziaria</w:t>
        </w:r>
        <w:r w:rsidR="003446C0">
          <w:rPr>
            <w:noProof/>
            <w:webHidden/>
          </w:rPr>
          <w:tab/>
        </w:r>
        <w:r w:rsidR="003446C0">
          <w:rPr>
            <w:noProof/>
            <w:webHidden/>
          </w:rPr>
          <w:fldChar w:fldCharType="begin"/>
        </w:r>
        <w:r w:rsidR="003446C0">
          <w:rPr>
            <w:noProof/>
            <w:webHidden/>
          </w:rPr>
          <w:instrText xml:space="preserve"> PAGEREF _Toc179882476 \h </w:instrText>
        </w:r>
        <w:r w:rsidR="003446C0">
          <w:rPr>
            <w:noProof/>
            <w:webHidden/>
          </w:rPr>
        </w:r>
        <w:r w:rsidR="003446C0">
          <w:rPr>
            <w:noProof/>
            <w:webHidden/>
          </w:rPr>
          <w:fldChar w:fldCharType="separate"/>
        </w:r>
        <w:r w:rsidR="001B6CD3">
          <w:rPr>
            <w:noProof/>
            <w:webHidden/>
          </w:rPr>
          <w:t>23</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7" w:history="1">
        <w:r w:rsidR="003446C0" w:rsidRPr="007C5A18">
          <w:rPr>
            <w:rStyle w:val="Collegamentoipertestuale"/>
            <w:noProof/>
          </w:rPr>
          <w:t>6.2.4</w:t>
        </w:r>
        <w:r w:rsidR="003446C0">
          <w:rPr>
            <w:rFonts w:asciiTheme="minorHAnsi" w:eastAsiaTheme="minorEastAsia" w:hAnsiTheme="minorHAnsi"/>
            <w:noProof/>
            <w:lang w:eastAsia="it-CH"/>
          </w:rPr>
          <w:tab/>
        </w:r>
        <w:r w:rsidR="003446C0" w:rsidRPr="007C5A18">
          <w:rPr>
            <w:rStyle w:val="Collegamentoipertestuale"/>
            <w:noProof/>
          </w:rPr>
          <w:t>Percorsi di cura standardizzati</w:t>
        </w:r>
        <w:r w:rsidR="003446C0">
          <w:rPr>
            <w:noProof/>
            <w:webHidden/>
          </w:rPr>
          <w:tab/>
        </w:r>
        <w:r w:rsidR="003446C0">
          <w:rPr>
            <w:noProof/>
            <w:webHidden/>
          </w:rPr>
          <w:fldChar w:fldCharType="begin"/>
        </w:r>
        <w:r w:rsidR="003446C0">
          <w:rPr>
            <w:noProof/>
            <w:webHidden/>
          </w:rPr>
          <w:instrText xml:space="preserve"> PAGEREF _Toc179882477 \h </w:instrText>
        </w:r>
        <w:r w:rsidR="003446C0">
          <w:rPr>
            <w:noProof/>
            <w:webHidden/>
          </w:rPr>
        </w:r>
        <w:r w:rsidR="003446C0">
          <w:rPr>
            <w:noProof/>
            <w:webHidden/>
          </w:rPr>
          <w:fldChar w:fldCharType="separate"/>
        </w:r>
        <w:r w:rsidR="001B6CD3">
          <w:rPr>
            <w:noProof/>
            <w:webHidden/>
          </w:rPr>
          <w:t>24</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78" w:history="1">
        <w:r w:rsidR="003446C0" w:rsidRPr="007C5A18">
          <w:rPr>
            <w:rStyle w:val="Collegamentoipertestuale"/>
            <w:noProof/>
          </w:rPr>
          <w:t>6.2.5</w:t>
        </w:r>
        <w:r w:rsidR="003446C0">
          <w:rPr>
            <w:rFonts w:asciiTheme="minorHAnsi" w:eastAsiaTheme="minorEastAsia" w:hAnsiTheme="minorHAnsi"/>
            <w:noProof/>
            <w:lang w:eastAsia="it-CH"/>
          </w:rPr>
          <w:tab/>
        </w:r>
        <w:r w:rsidR="003446C0" w:rsidRPr="007C5A18">
          <w:rPr>
            <w:rStyle w:val="Collegamentoipertestuale"/>
            <w:noProof/>
          </w:rPr>
          <w:t>Informazione alla popolazione</w:t>
        </w:r>
        <w:r w:rsidR="003446C0">
          <w:rPr>
            <w:noProof/>
            <w:webHidden/>
          </w:rPr>
          <w:tab/>
        </w:r>
        <w:r w:rsidR="003446C0">
          <w:rPr>
            <w:noProof/>
            <w:webHidden/>
          </w:rPr>
          <w:fldChar w:fldCharType="begin"/>
        </w:r>
        <w:r w:rsidR="003446C0">
          <w:rPr>
            <w:noProof/>
            <w:webHidden/>
          </w:rPr>
          <w:instrText xml:space="preserve"> PAGEREF _Toc179882478 \h </w:instrText>
        </w:r>
        <w:r w:rsidR="003446C0">
          <w:rPr>
            <w:noProof/>
            <w:webHidden/>
          </w:rPr>
        </w:r>
        <w:r w:rsidR="003446C0">
          <w:rPr>
            <w:noProof/>
            <w:webHidden/>
          </w:rPr>
          <w:fldChar w:fldCharType="separate"/>
        </w:r>
        <w:r w:rsidR="001B6CD3">
          <w:rPr>
            <w:noProof/>
            <w:webHidden/>
          </w:rPr>
          <w:t>24</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79" w:history="1">
        <w:r w:rsidR="003446C0" w:rsidRPr="007C5A18">
          <w:rPr>
            <w:rStyle w:val="Collegamentoipertestuale"/>
            <w:noProof/>
          </w:rPr>
          <w:t>7.</w:t>
        </w:r>
        <w:r w:rsidR="003446C0">
          <w:rPr>
            <w:rFonts w:asciiTheme="minorHAnsi" w:eastAsiaTheme="minorEastAsia" w:hAnsiTheme="minorHAnsi"/>
            <w:b w:val="0"/>
            <w:noProof/>
            <w:lang w:eastAsia="it-CH"/>
          </w:rPr>
          <w:tab/>
        </w:r>
        <w:r w:rsidR="003446C0" w:rsidRPr="007C5A18">
          <w:rPr>
            <w:rStyle w:val="Collegamentoipertestuale"/>
            <w:noProof/>
          </w:rPr>
          <w:t>LE PRESTAZIONI ECONOMICAMENTE D'INTERESSE GENERALE</w:t>
        </w:r>
        <w:r w:rsidR="003446C0">
          <w:rPr>
            <w:noProof/>
            <w:webHidden/>
          </w:rPr>
          <w:tab/>
        </w:r>
        <w:r w:rsidR="003446C0">
          <w:rPr>
            <w:noProof/>
            <w:webHidden/>
          </w:rPr>
          <w:fldChar w:fldCharType="begin"/>
        </w:r>
        <w:r w:rsidR="003446C0">
          <w:rPr>
            <w:noProof/>
            <w:webHidden/>
          </w:rPr>
          <w:instrText xml:space="preserve"> PAGEREF _Toc179882479 \h </w:instrText>
        </w:r>
        <w:r w:rsidR="003446C0">
          <w:rPr>
            <w:noProof/>
            <w:webHidden/>
          </w:rPr>
        </w:r>
        <w:r w:rsidR="003446C0">
          <w:rPr>
            <w:noProof/>
            <w:webHidden/>
          </w:rPr>
          <w:fldChar w:fldCharType="separate"/>
        </w:r>
        <w:r w:rsidR="001B6CD3">
          <w:rPr>
            <w:noProof/>
            <w:webHidden/>
          </w:rPr>
          <w:t>24</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80" w:history="1">
        <w:r w:rsidR="003446C0" w:rsidRPr="007C5A18">
          <w:rPr>
            <w:rStyle w:val="Collegamentoipertestuale"/>
            <w:noProof/>
          </w:rPr>
          <w:t>7.1</w:t>
        </w:r>
        <w:r w:rsidR="003446C0">
          <w:rPr>
            <w:rFonts w:asciiTheme="minorHAnsi" w:eastAsiaTheme="minorEastAsia" w:hAnsiTheme="minorHAnsi"/>
            <w:noProof/>
            <w:lang w:eastAsia="it-CH"/>
          </w:rPr>
          <w:tab/>
        </w:r>
        <w:r w:rsidR="003446C0" w:rsidRPr="007C5A18">
          <w:rPr>
            <w:rStyle w:val="Collegamentoipertestuale"/>
            <w:noProof/>
          </w:rPr>
          <w:t>PRESTAZIONI D'INTERESSE GENERALE PREVISTE PER TUTTI GLI ISTITUTI OSPEDALIERI</w:t>
        </w:r>
        <w:r w:rsidR="003446C0">
          <w:rPr>
            <w:noProof/>
            <w:webHidden/>
          </w:rPr>
          <w:tab/>
        </w:r>
        <w:r w:rsidR="003446C0">
          <w:rPr>
            <w:noProof/>
            <w:webHidden/>
          </w:rPr>
          <w:fldChar w:fldCharType="begin"/>
        </w:r>
        <w:r w:rsidR="003446C0">
          <w:rPr>
            <w:noProof/>
            <w:webHidden/>
          </w:rPr>
          <w:instrText xml:space="preserve"> PAGEREF _Toc179882480 \h </w:instrText>
        </w:r>
        <w:r w:rsidR="003446C0">
          <w:rPr>
            <w:noProof/>
            <w:webHidden/>
          </w:rPr>
        </w:r>
        <w:r w:rsidR="003446C0">
          <w:rPr>
            <w:noProof/>
            <w:webHidden/>
          </w:rPr>
          <w:fldChar w:fldCharType="separate"/>
        </w:r>
        <w:r w:rsidR="001B6CD3">
          <w:rPr>
            <w:noProof/>
            <w:webHidden/>
          </w:rPr>
          <w:t>24</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1" w:history="1">
        <w:r w:rsidR="003446C0" w:rsidRPr="007C5A18">
          <w:rPr>
            <w:rStyle w:val="Collegamentoipertestuale"/>
            <w:noProof/>
          </w:rPr>
          <w:t>7.1.1</w:t>
        </w:r>
        <w:r w:rsidR="003446C0">
          <w:rPr>
            <w:rFonts w:asciiTheme="minorHAnsi" w:eastAsiaTheme="minorEastAsia" w:hAnsiTheme="minorHAnsi"/>
            <w:noProof/>
            <w:lang w:eastAsia="it-CH"/>
          </w:rPr>
          <w:tab/>
        </w:r>
        <w:r w:rsidR="003446C0" w:rsidRPr="007C5A18">
          <w:rPr>
            <w:rStyle w:val="Collegamentoipertestuale"/>
            <w:noProof/>
          </w:rPr>
          <w:t>Formazione post-diploma dei medici assistenti</w:t>
        </w:r>
        <w:r w:rsidR="003446C0">
          <w:rPr>
            <w:noProof/>
            <w:webHidden/>
          </w:rPr>
          <w:tab/>
        </w:r>
        <w:r w:rsidR="003446C0">
          <w:rPr>
            <w:noProof/>
            <w:webHidden/>
          </w:rPr>
          <w:fldChar w:fldCharType="begin"/>
        </w:r>
        <w:r w:rsidR="003446C0">
          <w:rPr>
            <w:noProof/>
            <w:webHidden/>
          </w:rPr>
          <w:instrText xml:space="preserve"> PAGEREF _Toc179882481 \h </w:instrText>
        </w:r>
        <w:r w:rsidR="003446C0">
          <w:rPr>
            <w:noProof/>
            <w:webHidden/>
          </w:rPr>
        </w:r>
        <w:r w:rsidR="003446C0">
          <w:rPr>
            <w:noProof/>
            <w:webHidden/>
          </w:rPr>
          <w:fldChar w:fldCharType="separate"/>
        </w:r>
        <w:r w:rsidR="001B6CD3">
          <w:rPr>
            <w:noProof/>
            <w:webHidden/>
          </w:rPr>
          <w:t>24</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2" w:history="1">
        <w:r w:rsidR="003446C0" w:rsidRPr="007C5A18">
          <w:rPr>
            <w:rStyle w:val="Collegamentoipertestuale"/>
            <w:noProof/>
          </w:rPr>
          <w:t>7.1.2</w:t>
        </w:r>
        <w:r w:rsidR="003446C0">
          <w:rPr>
            <w:rFonts w:asciiTheme="minorHAnsi" w:eastAsiaTheme="minorEastAsia" w:hAnsiTheme="minorHAnsi"/>
            <w:noProof/>
            <w:lang w:eastAsia="it-CH"/>
          </w:rPr>
          <w:tab/>
        </w:r>
        <w:r w:rsidR="003446C0" w:rsidRPr="007C5A18">
          <w:rPr>
            <w:rStyle w:val="Collegamentoipertestuale"/>
            <w:noProof/>
          </w:rPr>
          <w:t>Riconoscimento di uno sgravio per l'accompagnamento formativo negli enti sociosanitari</w:t>
        </w:r>
        <w:r w:rsidR="003446C0">
          <w:rPr>
            <w:noProof/>
            <w:webHidden/>
          </w:rPr>
          <w:tab/>
        </w:r>
        <w:r w:rsidR="003446C0">
          <w:rPr>
            <w:noProof/>
            <w:webHidden/>
          </w:rPr>
          <w:fldChar w:fldCharType="begin"/>
        </w:r>
        <w:r w:rsidR="003446C0">
          <w:rPr>
            <w:noProof/>
            <w:webHidden/>
          </w:rPr>
          <w:instrText xml:space="preserve"> PAGEREF _Toc179882482 \h </w:instrText>
        </w:r>
        <w:r w:rsidR="003446C0">
          <w:rPr>
            <w:noProof/>
            <w:webHidden/>
          </w:rPr>
        </w:r>
        <w:r w:rsidR="003446C0">
          <w:rPr>
            <w:noProof/>
            <w:webHidden/>
          </w:rPr>
          <w:fldChar w:fldCharType="separate"/>
        </w:r>
        <w:r w:rsidR="001B6CD3">
          <w:rPr>
            <w:noProof/>
            <w:webHidden/>
          </w:rPr>
          <w:t>25</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83" w:history="1">
        <w:r w:rsidR="003446C0" w:rsidRPr="007C5A18">
          <w:rPr>
            <w:rStyle w:val="Collegamentoipertestuale"/>
            <w:noProof/>
          </w:rPr>
          <w:t>7.2</w:t>
        </w:r>
        <w:r w:rsidR="003446C0">
          <w:rPr>
            <w:rFonts w:asciiTheme="minorHAnsi" w:eastAsiaTheme="minorEastAsia" w:hAnsiTheme="minorHAnsi"/>
            <w:noProof/>
            <w:lang w:eastAsia="it-CH"/>
          </w:rPr>
          <w:tab/>
        </w:r>
        <w:r w:rsidR="003446C0" w:rsidRPr="007C5A18">
          <w:rPr>
            <w:rStyle w:val="Collegamentoipertestuale"/>
            <w:noProof/>
          </w:rPr>
          <w:t>PRESTAZIONI DI INTERESSE GENERALE PREVISTE PER IL SOLO ENTE OSPEDALIERO CANTONALE</w:t>
        </w:r>
        <w:r w:rsidR="003446C0">
          <w:rPr>
            <w:noProof/>
            <w:webHidden/>
          </w:rPr>
          <w:tab/>
        </w:r>
        <w:r w:rsidR="003446C0">
          <w:rPr>
            <w:noProof/>
            <w:webHidden/>
          </w:rPr>
          <w:fldChar w:fldCharType="begin"/>
        </w:r>
        <w:r w:rsidR="003446C0">
          <w:rPr>
            <w:noProof/>
            <w:webHidden/>
          </w:rPr>
          <w:instrText xml:space="preserve"> PAGEREF _Toc179882483 \h </w:instrText>
        </w:r>
        <w:r w:rsidR="003446C0">
          <w:rPr>
            <w:noProof/>
            <w:webHidden/>
          </w:rPr>
        </w:r>
        <w:r w:rsidR="003446C0">
          <w:rPr>
            <w:noProof/>
            <w:webHidden/>
          </w:rPr>
          <w:fldChar w:fldCharType="separate"/>
        </w:r>
        <w:r w:rsidR="001B6CD3">
          <w:rPr>
            <w:noProof/>
            <w:webHidden/>
          </w:rPr>
          <w:t>25</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4" w:history="1">
        <w:r w:rsidR="003446C0" w:rsidRPr="007C5A18">
          <w:rPr>
            <w:rStyle w:val="Collegamentoipertestuale"/>
            <w:noProof/>
          </w:rPr>
          <w:t>7.2.1</w:t>
        </w:r>
        <w:r w:rsidR="003446C0">
          <w:rPr>
            <w:rFonts w:asciiTheme="minorHAnsi" w:eastAsiaTheme="minorEastAsia" w:hAnsiTheme="minorHAnsi"/>
            <w:noProof/>
            <w:lang w:eastAsia="it-CH"/>
          </w:rPr>
          <w:tab/>
        </w:r>
        <w:r w:rsidR="003446C0" w:rsidRPr="007C5A18">
          <w:rPr>
            <w:rStyle w:val="Collegamentoipertestuale"/>
            <w:noProof/>
          </w:rPr>
          <w:t>Consultori di salute sessuale (CoSS)</w:t>
        </w:r>
        <w:r w:rsidR="003446C0">
          <w:rPr>
            <w:noProof/>
            <w:webHidden/>
          </w:rPr>
          <w:tab/>
        </w:r>
        <w:r w:rsidR="003446C0">
          <w:rPr>
            <w:noProof/>
            <w:webHidden/>
          </w:rPr>
          <w:fldChar w:fldCharType="begin"/>
        </w:r>
        <w:r w:rsidR="003446C0">
          <w:rPr>
            <w:noProof/>
            <w:webHidden/>
          </w:rPr>
          <w:instrText xml:space="preserve"> PAGEREF _Toc179882484 \h </w:instrText>
        </w:r>
        <w:r w:rsidR="003446C0">
          <w:rPr>
            <w:noProof/>
            <w:webHidden/>
          </w:rPr>
        </w:r>
        <w:r w:rsidR="003446C0">
          <w:rPr>
            <w:noProof/>
            <w:webHidden/>
          </w:rPr>
          <w:fldChar w:fldCharType="separate"/>
        </w:r>
        <w:r w:rsidR="001B6CD3">
          <w:rPr>
            <w:noProof/>
            <w:webHidden/>
          </w:rPr>
          <w:t>25</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5" w:history="1">
        <w:r w:rsidR="003446C0" w:rsidRPr="007C5A18">
          <w:rPr>
            <w:rStyle w:val="Collegamentoipertestuale"/>
            <w:noProof/>
          </w:rPr>
          <w:t>7.2.2</w:t>
        </w:r>
        <w:r w:rsidR="003446C0">
          <w:rPr>
            <w:rFonts w:asciiTheme="minorHAnsi" w:eastAsiaTheme="minorEastAsia" w:hAnsiTheme="minorHAnsi"/>
            <w:noProof/>
            <w:lang w:eastAsia="it-CH"/>
          </w:rPr>
          <w:tab/>
        </w:r>
        <w:r w:rsidR="003446C0" w:rsidRPr="007C5A18">
          <w:rPr>
            <w:rStyle w:val="Collegamentoipertestuale"/>
            <w:noProof/>
          </w:rPr>
          <w:t>Piano di messa in allarme dei servizi ospedalieri (Piano MASO)</w:t>
        </w:r>
        <w:r w:rsidR="003446C0">
          <w:rPr>
            <w:noProof/>
            <w:webHidden/>
          </w:rPr>
          <w:tab/>
        </w:r>
        <w:r w:rsidR="003446C0">
          <w:rPr>
            <w:noProof/>
            <w:webHidden/>
          </w:rPr>
          <w:fldChar w:fldCharType="begin"/>
        </w:r>
        <w:r w:rsidR="003446C0">
          <w:rPr>
            <w:noProof/>
            <w:webHidden/>
          </w:rPr>
          <w:instrText xml:space="preserve"> PAGEREF _Toc179882485 \h </w:instrText>
        </w:r>
        <w:r w:rsidR="003446C0">
          <w:rPr>
            <w:noProof/>
            <w:webHidden/>
          </w:rPr>
        </w:r>
        <w:r w:rsidR="003446C0">
          <w:rPr>
            <w:noProof/>
            <w:webHidden/>
          </w:rPr>
          <w:fldChar w:fldCharType="separate"/>
        </w:r>
        <w:r w:rsidR="001B6CD3">
          <w:rPr>
            <w:noProof/>
            <w:webHidden/>
          </w:rPr>
          <w:t>26</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6" w:history="1">
        <w:r w:rsidR="003446C0" w:rsidRPr="007C5A18">
          <w:rPr>
            <w:rStyle w:val="Collegamentoipertestuale"/>
            <w:noProof/>
          </w:rPr>
          <w:t>7.2.3</w:t>
        </w:r>
        <w:r w:rsidR="003446C0">
          <w:rPr>
            <w:rFonts w:asciiTheme="minorHAnsi" w:eastAsiaTheme="minorEastAsia" w:hAnsiTheme="minorHAnsi"/>
            <w:noProof/>
            <w:lang w:eastAsia="it-CH"/>
          </w:rPr>
          <w:tab/>
        </w:r>
        <w:r w:rsidR="003446C0" w:rsidRPr="007C5A18">
          <w:rPr>
            <w:rStyle w:val="Collegamentoipertestuale"/>
            <w:noProof/>
          </w:rPr>
          <w:t>Coordinatrice organizzazione espianti</w:t>
        </w:r>
        <w:r w:rsidR="003446C0">
          <w:rPr>
            <w:noProof/>
            <w:webHidden/>
          </w:rPr>
          <w:tab/>
        </w:r>
        <w:r w:rsidR="003446C0">
          <w:rPr>
            <w:noProof/>
            <w:webHidden/>
          </w:rPr>
          <w:fldChar w:fldCharType="begin"/>
        </w:r>
        <w:r w:rsidR="003446C0">
          <w:rPr>
            <w:noProof/>
            <w:webHidden/>
          </w:rPr>
          <w:instrText xml:space="preserve"> PAGEREF _Toc179882486 \h </w:instrText>
        </w:r>
        <w:r w:rsidR="003446C0">
          <w:rPr>
            <w:noProof/>
            <w:webHidden/>
          </w:rPr>
        </w:r>
        <w:r w:rsidR="003446C0">
          <w:rPr>
            <w:noProof/>
            <w:webHidden/>
          </w:rPr>
          <w:fldChar w:fldCharType="separate"/>
        </w:r>
        <w:r w:rsidR="001B6CD3">
          <w:rPr>
            <w:noProof/>
            <w:webHidden/>
          </w:rPr>
          <w:t>26</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7" w:history="1">
        <w:r w:rsidR="003446C0" w:rsidRPr="007C5A18">
          <w:rPr>
            <w:rStyle w:val="Collegamentoipertestuale"/>
            <w:noProof/>
          </w:rPr>
          <w:t>7.2.4</w:t>
        </w:r>
        <w:r w:rsidR="003446C0">
          <w:rPr>
            <w:rFonts w:asciiTheme="minorHAnsi" w:eastAsiaTheme="minorEastAsia" w:hAnsiTheme="minorHAnsi"/>
            <w:noProof/>
            <w:lang w:eastAsia="it-CH"/>
          </w:rPr>
          <w:tab/>
        </w:r>
        <w:r w:rsidR="003446C0" w:rsidRPr="007C5A18">
          <w:rPr>
            <w:rStyle w:val="Collegamentoipertestuale"/>
            <w:noProof/>
          </w:rPr>
          <w:t>Cartella informatizzata del paziente</w:t>
        </w:r>
        <w:r w:rsidR="003446C0">
          <w:rPr>
            <w:noProof/>
            <w:webHidden/>
          </w:rPr>
          <w:tab/>
        </w:r>
        <w:r w:rsidR="003446C0">
          <w:rPr>
            <w:noProof/>
            <w:webHidden/>
          </w:rPr>
          <w:fldChar w:fldCharType="begin"/>
        </w:r>
        <w:r w:rsidR="003446C0">
          <w:rPr>
            <w:noProof/>
            <w:webHidden/>
          </w:rPr>
          <w:instrText xml:space="preserve"> PAGEREF _Toc179882487 \h </w:instrText>
        </w:r>
        <w:r w:rsidR="003446C0">
          <w:rPr>
            <w:noProof/>
            <w:webHidden/>
          </w:rPr>
        </w:r>
        <w:r w:rsidR="003446C0">
          <w:rPr>
            <w:noProof/>
            <w:webHidden/>
          </w:rPr>
          <w:fldChar w:fldCharType="separate"/>
        </w:r>
        <w:r w:rsidR="001B6CD3">
          <w:rPr>
            <w:noProof/>
            <w:webHidden/>
          </w:rPr>
          <w:t>26</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8" w:history="1">
        <w:r w:rsidR="003446C0" w:rsidRPr="007C5A18">
          <w:rPr>
            <w:rStyle w:val="Collegamentoipertestuale"/>
            <w:noProof/>
          </w:rPr>
          <w:t>7.2.5</w:t>
        </w:r>
        <w:r w:rsidR="003446C0">
          <w:rPr>
            <w:rFonts w:asciiTheme="minorHAnsi" w:eastAsiaTheme="minorEastAsia" w:hAnsiTheme="minorHAnsi"/>
            <w:noProof/>
            <w:lang w:eastAsia="it-CH"/>
          </w:rPr>
          <w:tab/>
        </w:r>
        <w:r w:rsidR="003446C0" w:rsidRPr="007C5A18">
          <w:rPr>
            <w:rStyle w:val="Collegamentoipertestuale"/>
            <w:noProof/>
          </w:rPr>
          <w:t>Centri di primo soccorso</w:t>
        </w:r>
        <w:r w:rsidR="003446C0">
          <w:rPr>
            <w:noProof/>
            <w:webHidden/>
          </w:rPr>
          <w:tab/>
        </w:r>
        <w:r w:rsidR="003446C0">
          <w:rPr>
            <w:noProof/>
            <w:webHidden/>
          </w:rPr>
          <w:fldChar w:fldCharType="begin"/>
        </w:r>
        <w:r w:rsidR="003446C0">
          <w:rPr>
            <w:noProof/>
            <w:webHidden/>
          </w:rPr>
          <w:instrText xml:space="preserve"> PAGEREF _Toc179882488 \h </w:instrText>
        </w:r>
        <w:r w:rsidR="003446C0">
          <w:rPr>
            <w:noProof/>
            <w:webHidden/>
          </w:rPr>
        </w:r>
        <w:r w:rsidR="003446C0">
          <w:rPr>
            <w:noProof/>
            <w:webHidden/>
          </w:rPr>
          <w:fldChar w:fldCharType="separate"/>
        </w:r>
        <w:r w:rsidR="001B6CD3">
          <w:rPr>
            <w:noProof/>
            <w:webHidden/>
          </w:rPr>
          <w:t>27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89" w:history="1">
        <w:r w:rsidR="003446C0" w:rsidRPr="007C5A18">
          <w:rPr>
            <w:rStyle w:val="Collegamentoipertestuale"/>
            <w:noProof/>
          </w:rPr>
          <w:t>7.2.6</w:t>
        </w:r>
        <w:r w:rsidR="003446C0">
          <w:rPr>
            <w:rFonts w:asciiTheme="minorHAnsi" w:eastAsiaTheme="minorEastAsia" w:hAnsiTheme="minorHAnsi"/>
            <w:noProof/>
            <w:lang w:eastAsia="it-CH"/>
          </w:rPr>
          <w:tab/>
        </w:r>
        <w:r w:rsidR="003446C0" w:rsidRPr="007C5A18">
          <w:rPr>
            <w:rStyle w:val="Collegamentoipertestuale"/>
            <w:noProof/>
          </w:rPr>
          <w:t>Istituto pediatrico della Svizzera italiana (IPSI)</w:t>
        </w:r>
        <w:r w:rsidR="003446C0">
          <w:rPr>
            <w:noProof/>
            <w:webHidden/>
          </w:rPr>
          <w:tab/>
        </w:r>
        <w:r w:rsidR="003446C0">
          <w:rPr>
            <w:noProof/>
            <w:webHidden/>
          </w:rPr>
          <w:fldChar w:fldCharType="begin"/>
        </w:r>
        <w:r w:rsidR="003446C0">
          <w:rPr>
            <w:noProof/>
            <w:webHidden/>
          </w:rPr>
          <w:instrText xml:space="preserve"> PAGEREF _Toc179882489 \h </w:instrText>
        </w:r>
        <w:r w:rsidR="003446C0">
          <w:rPr>
            <w:noProof/>
            <w:webHidden/>
          </w:rPr>
        </w:r>
        <w:r w:rsidR="003446C0">
          <w:rPr>
            <w:noProof/>
            <w:webHidden/>
          </w:rPr>
          <w:fldChar w:fldCharType="separate"/>
        </w:r>
        <w:r w:rsidR="001B6CD3">
          <w:rPr>
            <w:noProof/>
            <w:webHidden/>
          </w:rPr>
          <w:t>27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90" w:history="1">
        <w:r w:rsidR="003446C0" w:rsidRPr="007C5A18">
          <w:rPr>
            <w:rStyle w:val="Collegamentoipertestuale"/>
            <w:noProof/>
          </w:rPr>
          <w:t>7.2.7</w:t>
        </w:r>
        <w:r w:rsidR="003446C0">
          <w:rPr>
            <w:rFonts w:asciiTheme="minorHAnsi" w:eastAsiaTheme="minorEastAsia" w:hAnsiTheme="minorHAnsi"/>
            <w:noProof/>
            <w:lang w:eastAsia="it-CH"/>
          </w:rPr>
          <w:tab/>
        </w:r>
        <w:r w:rsidR="003446C0" w:rsidRPr="007C5A18">
          <w:rPr>
            <w:rStyle w:val="Collegamentoipertestuale"/>
            <w:noProof/>
          </w:rPr>
          <w:t>Contributo per attività di sostegno nel reparto pediatrico</w:t>
        </w:r>
        <w:r w:rsidR="003446C0">
          <w:rPr>
            <w:noProof/>
            <w:webHidden/>
          </w:rPr>
          <w:tab/>
        </w:r>
        <w:r w:rsidR="003446C0">
          <w:rPr>
            <w:noProof/>
            <w:webHidden/>
          </w:rPr>
          <w:fldChar w:fldCharType="begin"/>
        </w:r>
        <w:r w:rsidR="003446C0">
          <w:rPr>
            <w:noProof/>
            <w:webHidden/>
          </w:rPr>
          <w:instrText xml:space="preserve"> PAGEREF _Toc179882490 \h </w:instrText>
        </w:r>
        <w:r w:rsidR="003446C0">
          <w:rPr>
            <w:noProof/>
            <w:webHidden/>
          </w:rPr>
        </w:r>
        <w:r w:rsidR="003446C0">
          <w:rPr>
            <w:noProof/>
            <w:webHidden/>
          </w:rPr>
          <w:fldChar w:fldCharType="separate"/>
        </w:r>
        <w:r w:rsidR="001B6CD3">
          <w:rPr>
            <w:noProof/>
            <w:webHidden/>
          </w:rPr>
          <w:t>27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91" w:history="1">
        <w:r w:rsidR="003446C0" w:rsidRPr="007C5A18">
          <w:rPr>
            <w:rStyle w:val="Collegamentoipertestuale"/>
            <w:noProof/>
          </w:rPr>
          <w:t>7.2.8</w:t>
        </w:r>
        <w:r w:rsidR="003446C0">
          <w:rPr>
            <w:rFonts w:asciiTheme="minorHAnsi" w:eastAsiaTheme="minorEastAsia" w:hAnsiTheme="minorHAnsi"/>
            <w:noProof/>
            <w:lang w:eastAsia="it-CH"/>
          </w:rPr>
          <w:tab/>
        </w:r>
        <w:r w:rsidR="003446C0" w:rsidRPr="007C5A18">
          <w:rPr>
            <w:rStyle w:val="Collegamentoipertestuale"/>
            <w:noProof/>
          </w:rPr>
          <w:t>Contributo per il centro di competenza malattie rare</w:t>
        </w:r>
        <w:r w:rsidR="003446C0">
          <w:rPr>
            <w:noProof/>
            <w:webHidden/>
          </w:rPr>
          <w:tab/>
        </w:r>
        <w:r w:rsidR="003446C0">
          <w:rPr>
            <w:noProof/>
            <w:webHidden/>
          </w:rPr>
          <w:fldChar w:fldCharType="begin"/>
        </w:r>
        <w:r w:rsidR="003446C0">
          <w:rPr>
            <w:noProof/>
            <w:webHidden/>
          </w:rPr>
          <w:instrText xml:space="preserve"> PAGEREF _Toc179882491 \h </w:instrText>
        </w:r>
        <w:r w:rsidR="003446C0">
          <w:rPr>
            <w:noProof/>
            <w:webHidden/>
          </w:rPr>
        </w:r>
        <w:r w:rsidR="003446C0">
          <w:rPr>
            <w:noProof/>
            <w:webHidden/>
          </w:rPr>
          <w:fldChar w:fldCharType="separate"/>
        </w:r>
        <w:r w:rsidR="001B6CD3">
          <w:rPr>
            <w:noProof/>
            <w:webHidden/>
          </w:rPr>
          <w:t>27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92" w:history="1">
        <w:r w:rsidR="003446C0" w:rsidRPr="007C5A18">
          <w:rPr>
            <w:rStyle w:val="Collegamentoipertestuale"/>
            <w:noProof/>
          </w:rPr>
          <w:t>7.2.9</w:t>
        </w:r>
        <w:r w:rsidR="003446C0">
          <w:rPr>
            <w:rFonts w:asciiTheme="minorHAnsi" w:eastAsiaTheme="minorEastAsia" w:hAnsiTheme="minorHAnsi"/>
            <w:noProof/>
            <w:lang w:eastAsia="it-CH"/>
          </w:rPr>
          <w:tab/>
        </w:r>
        <w:r w:rsidR="003446C0" w:rsidRPr="007C5A18">
          <w:rPr>
            <w:rStyle w:val="Collegamentoipertestuale"/>
            <w:noProof/>
          </w:rPr>
          <w:t>Contributo per il mantenimento di uno studio medico a Cevio, presso il centro sociosanitario</w:t>
        </w:r>
        <w:r w:rsidR="003446C0">
          <w:rPr>
            <w:noProof/>
            <w:webHidden/>
          </w:rPr>
          <w:tab/>
        </w:r>
        <w:r w:rsidR="003446C0">
          <w:rPr>
            <w:noProof/>
            <w:webHidden/>
          </w:rPr>
          <w:fldChar w:fldCharType="begin"/>
        </w:r>
        <w:r w:rsidR="003446C0">
          <w:rPr>
            <w:noProof/>
            <w:webHidden/>
          </w:rPr>
          <w:instrText xml:space="preserve"> PAGEREF _Toc179882492 \h </w:instrText>
        </w:r>
        <w:r w:rsidR="003446C0">
          <w:rPr>
            <w:noProof/>
            <w:webHidden/>
          </w:rPr>
        </w:r>
        <w:r w:rsidR="003446C0">
          <w:rPr>
            <w:noProof/>
            <w:webHidden/>
          </w:rPr>
          <w:fldChar w:fldCharType="separate"/>
        </w:r>
        <w:r w:rsidR="001B6CD3">
          <w:rPr>
            <w:noProof/>
            <w:webHidden/>
          </w:rPr>
          <w:t>28</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93" w:history="1">
        <w:r w:rsidR="003446C0" w:rsidRPr="007C5A18">
          <w:rPr>
            <w:rStyle w:val="Collegamentoipertestuale"/>
            <w:noProof/>
          </w:rPr>
          <w:t>8.</w:t>
        </w:r>
        <w:r w:rsidR="003446C0">
          <w:rPr>
            <w:rFonts w:asciiTheme="minorHAnsi" w:eastAsiaTheme="minorEastAsia" w:hAnsiTheme="minorHAnsi"/>
            <w:b w:val="0"/>
            <w:noProof/>
            <w:lang w:eastAsia="it-CH"/>
          </w:rPr>
          <w:tab/>
        </w:r>
        <w:r w:rsidR="003446C0" w:rsidRPr="007C5A18">
          <w:rPr>
            <w:rStyle w:val="Collegamentoipertestuale"/>
            <w:noProof/>
          </w:rPr>
          <w:t>MODULI DI SOLLECITAZIONE DELL'OFFERTA E I REQUISITI PER L'OTTENIMENTO DEI MANDATI</w:t>
        </w:r>
        <w:r w:rsidR="003446C0">
          <w:rPr>
            <w:noProof/>
            <w:webHidden/>
          </w:rPr>
          <w:tab/>
        </w:r>
        <w:r w:rsidR="003446C0">
          <w:rPr>
            <w:noProof/>
            <w:webHidden/>
          </w:rPr>
          <w:fldChar w:fldCharType="begin"/>
        </w:r>
        <w:r w:rsidR="003446C0">
          <w:rPr>
            <w:noProof/>
            <w:webHidden/>
          </w:rPr>
          <w:instrText xml:space="preserve"> PAGEREF _Toc179882493 \h </w:instrText>
        </w:r>
        <w:r w:rsidR="003446C0">
          <w:rPr>
            <w:noProof/>
            <w:webHidden/>
          </w:rPr>
        </w:r>
        <w:r w:rsidR="003446C0">
          <w:rPr>
            <w:noProof/>
            <w:webHidden/>
          </w:rPr>
          <w:fldChar w:fldCharType="separate"/>
        </w:r>
        <w:r w:rsidR="001B6CD3">
          <w:rPr>
            <w:noProof/>
            <w:webHidden/>
          </w:rPr>
          <w:t>28</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94" w:history="1">
        <w:r w:rsidR="003446C0" w:rsidRPr="007C5A18">
          <w:rPr>
            <w:rStyle w:val="Collegamentoipertestuale"/>
            <w:noProof/>
          </w:rPr>
          <w:t>8.1</w:t>
        </w:r>
        <w:r w:rsidR="003446C0">
          <w:rPr>
            <w:rFonts w:asciiTheme="minorHAnsi" w:eastAsiaTheme="minorEastAsia" w:hAnsiTheme="minorHAnsi"/>
            <w:noProof/>
            <w:lang w:eastAsia="it-CH"/>
          </w:rPr>
          <w:tab/>
        </w:r>
        <w:r w:rsidR="003446C0" w:rsidRPr="007C5A18">
          <w:rPr>
            <w:rStyle w:val="Collegamentoipertestuale"/>
            <w:noProof/>
          </w:rPr>
          <w:t>BASI LEGALI</w:t>
        </w:r>
        <w:r w:rsidR="003446C0">
          <w:rPr>
            <w:noProof/>
            <w:webHidden/>
          </w:rPr>
          <w:tab/>
        </w:r>
        <w:r w:rsidR="003446C0">
          <w:rPr>
            <w:noProof/>
            <w:webHidden/>
          </w:rPr>
          <w:fldChar w:fldCharType="begin"/>
        </w:r>
        <w:r w:rsidR="003446C0">
          <w:rPr>
            <w:noProof/>
            <w:webHidden/>
          </w:rPr>
          <w:instrText xml:space="preserve"> PAGEREF _Toc179882494 \h </w:instrText>
        </w:r>
        <w:r w:rsidR="003446C0">
          <w:rPr>
            <w:noProof/>
            <w:webHidden/>
          </w:rPr>
        </w:r>
        <w:r w:rsidR="003446C0">
          <w:rPr>
            <w:noProof/>
            <w:webHidden/>
          </w:rPr>
          <w:fldChar w:fldCharType="separate"/>
        </w:r>
        <w:r w:rsidR="001B6CD3">
          <w:rPr>
            <w:noProof/>
            <w:webHidden/>
          </w:rPr>
          <w:t>28</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95" w:history="1">
        <w:r w:rsidR="003446C0" w:rsidRPr="007C5A18">
          <w:rPr>
            <w:rStyle w:val="Collegamentoipertestuale"/>
            <w:noProof/>
          </w:rPr>
          <w:t>8.1.1</w:t>
        </w:r>
        <w:r w:rsidR="003446C0">
          <w:rPr>
            <w:rFonts w:asciiTheme="minorHAnsi" w:eastAsiaTheme="minorEastAsia" w:hAnsiTheme="minorHAnsi"/>
            <w:noProof/>
            <w:lang w:eastAsia="it-CH"/>
          </w:rPr>
          <w:tab/>
        </w:r>
        <w:r w:rsidR="003446C0" w:rsidRPr="007C5A18">
          <w:rPr>
            <w:rStyle w:val="Collegamentoipertestuale"/>
            <w:noProof/>
          </w:rPr>
          <w:t>Disposizioni federali</w:t>
        </w:r>
        <w:r w:rsidR="003446C0">
          <w:rPr>
            <w:noProof/>
            <w:webHidden/>
          </w:rPr>
          <w:tab/>
        </w:r>
        <w:r w:rsidR="003446C0">
          <w:rPr>
            <w:noProof/>
            <w:webHidden/>
          </w:rPr>
          <w:fldChar w:fldCharType="begin"/>
        </w:r>
        <w:r w:rsidR="003446C0">
          <w:rPr>
            <w:noProof/>
            <w:webHidden/>
          </w:rPr>
          <w:instrText xml:space="preserve"> PAGEREF _Toc179882495 \h </w:instrText>
        </w:r>
        <w:r w:rsidR="003446C0">
          <w:rPr>
            <w:noProof/>
            <w:webHidden/>
          </w:rPr>
        </w:r>
        <w:r w:rsidR="003446C0">
          <w:rPr>
            <w:noProof/>
            <w:webHidden/>
          </w:rPr>
          <w:fldChar w:fldCharType="separate"/>
        </w:r>
        <w:r w:rsidR="001B6CD3">
          <w:rPr>
            <w:noProof/>
            <w:webHidden/>
          </w:rPr>
          <w:t>28</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96" w:history="1">
        <w:r w:rsidR="003446C0" w:rsidRPr="007C5A18">
          <w:rPr>
            <w:rStyle w:val="Collegamentoipertestuale"/>
            <w:noProof/>
          </w:rPr>
          <w:t>8.1.2</w:t>
        </w:r>
        <w:r w:rsidR="003446C0">
          <w:rPr>
            <w:rFonts w:asciiTheme="minorHAnsi" w:eastAsiaTheme="minorEastAsia" w:hAnsiTheme="minorHAnsi"/>
            <w:noProof/>
            <w:lang w:eastAsia="it-CH"/>
          </w:rPr>
          <w:tab/>
        </w:r>
        <w:r w:rsidR="003446C0" w:rsidRPr="007C5A18">
          <w:rPr>
            <w:rStyle w:val="Collegamentoipertestuale"/>
            <w:noProof/>
          </w:rPr>
          <w:t>Legge cantonale</w:t>
        </w:r>
        <w:r w:rsidR="003446C0">
          <w:rPr>
            <w:noProof/>
            <w:webHidden/>
          </w:rPr>
          <w:tab/>
        </w:r>
        <w:r w:rsidR="003446C0">
          <w:rPr>
            <w:noProof/>
            <w:webHidden/>
          </w:rPr>
          <w:fldChar w:fldCharType="begin"/>
        </w:r>
        <w:r w:rsidR="003446C0">
          <w:rPr>
            <w:noProof/>
            <w:webHidden/>
          </w:rPr>
          <w:instrText xml:space="preserve"> PAGEREF _Toc179882496 \h </w:instrText>
        </w:r>
        <w:r w:rsidR="003446C0">
          <w:rPr>
            <w:noProof/>
            <w:webHidden/>
          </w:rPr>
        </w:r>
        <w:r w:rsidR="003446C0">
          <w:rPr>
            <w:noProof/>
            <w:webHidden/>
          </w:rPr>
          <w:fldChar w:fldCharType="separate"/>
        </w:r>
        <w:r w:rsidR="001B6CD3">
          <w:rPr>
            <w:noProof/>
            <w:webHidden/>
          </w:rPr>
          <w:t>29</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497" w:history="1">
        <w:r w:rsidR="003446C0" w:rsidRPr="007C5A18">
          <w:rPr>
            <w:rStyle w:val="Collegamentoipertestuale"/>
            <w:noProof/>
          </w:rPr>
          <w:t>8.1.3</w:t>
        </w:r>
        <w:r w:rsidR="003446C0">
          <w:rPr>
            <w:rFonts w:asciiTheme="minorHAnsi" w:eastAsiaTheme="minorEastAsia" w:hAnsiTheme="minorHAnsi"/>
            <w:noProof/>
            <w:lang w:eastAsia="it-CH"/>
          </w:rPr>
          <w:tab/>
        </w:r>
        <w:r w:rsidR="003446C0" w:rsidRPr="007C5A18">
          <w:rPr>
            <w:rStyle w:val="Collegamentoipertestuale"/>
            <w:noProof/>
          </w:rPr>
          <w:t>Raccomandazioni della CDS</w:t>
        </w:r>
        <w:r w:rsidR="003446C0">
          <w:rPr>
            <w:noProof/>
            <w:webHidden/>
          </w:rPr>
          <w:tab/>
        </w:r>
        <w:r w:rsidR="003446C0">
          <w:rPr>
            <w:noProof/>
            <w:webHidden/>
          </w:rPr>
          <w:fldChar w:fldCharType="begin"/>
        </w:r>
        <w:r w:rsidR="003446C0">
          <w:rPr>
            <w:noProof/>
            <w:webHidden/>
          </w:rPr>
          <w:instrText xml:space="preserve"> PAGEREF _Toc179882497 \h </w:instrText>
        </w:r>
        <w:r w:rsidR="003446C0">
          <w:rPr>
            <w:noProof/>
            <w:webHidden/>
          </w:rPr>
        </w:r>
        <w:r w:rsidR="003446C0">
          <w:rPr>
            <w:noProof/>
            <w:webHidden/>
          </w:rPr>
          <w:fldChar w:fldCharType="separate"/>
        </w:r>
        <w:r w:rsidR="001B6CD3">
          <w:rPr>
            <w:noProof/>
            <w:webHidden/>
          </w:rPr>
          <w:t>29</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498" w:history="1">
        <w:r w:rsidR="003446C0" w:rsidRPr="007C5A18">
          <w:rPr>
            <w:rStyle w:val="Collegamentoipertestuale"/>
            <w:noProof/>
          </w:rPr>
          <w:t>8.2.</w:t>
        </w:r>
        <w:r w:rsidR="003446C0">
          <w:rPr>
            <w:rFonts w:asciiTheme="minorHAnsi" w:eastAsiaTheme="minorEastAsia" w:hAnsiTheme="minorHAnsi"/>
            <w:noProof/>
            <w:lang w:eastAsia="it-CH"/>
          </w:rPr>
          <w:tab/>
        </w:r>
        <w:r w:rsidR="003446C0" w:rsidRPr="007C5A18">
          <w:rPr>
            <w:rStyle w:val="Collegamentoipertestuale"/>
            <w:noProof/>
          </w:rPr>
          <w:t>PROCESSO DI CANDIDATURA</w:t>
        </w:r>
        <w:r w:rsidR="003446C0">
          <w:rPr>
            <w:noProof/>
            <w:webHidden/>
          </w:rPr>
          <w:tab/>
        </w:r>
        <w:r w:rsidR="003446C0">
          <w:rPr>
            <w:noProof/>
            <w:webHidden/>
          </w:rPr>
          <w:fldChar w:fldCharType="begin"/>
        </w:r>
        <w:r w:rsidR="003446C0">
          <w:rPr>
            <w:noProof/>
            <w:webHidden/>
          </w:rPr>
          <w:instrText xml:space="preserve"> PAGEREF _Toc179882498 \h </w:instrText>
        </w:r>
        <w:r w:rsidR="003446C0">
          <w:rPr>
            <w:noProof/>
            <w:webHidden/>
          </w:rPr>
        </w:r>
        <w:r w:rsidR="003446C0">
          <w:rPr>
            <w:noProof/>
            <w:webHidden/>
          </w:rPr>
          <w:fldChar w:fldCharType="separate"/>
        </w:r>
        <w:r w:rsidR="001B6CD3">
          <w:rPr>
            <w:noProof/>
            <w:webHidden/>
          </w:rPr>
          <w:t>30</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499" w:history="1">
        <w:r w:rsidR="003446C0" w:rsidRPr="007C5A18">
          <w:rPr>
            <w:rStyle w:val="Collegamentoipertestuale"/>
            <w:noProof/>
          </w:rPr>
          <w:t>9.</w:t>
        </w:r>
        <w:r w:rsidR="003446C0">
          <w:rPr>
            <w:rFonts w:asciiTheme="minorHAnsi" w:eastAsiaTheme="minorEastAsia" w:hAnsiTheme="minorHAnsi"/>
            <w:b w:val="0"/>
            <w:noProof/>
            <w:lang w:eastAsia="it-CH"/>
          </w:rPr>
          <w:tab/>
        </w:r>
        <w:r w:rsidR="003446C0" w:rsidRPr="007C5A18">
          <w:rPr>
            <w:rStyle w:val="Collegamentoipertestuale"/>
            <w:noProof/>
          </w:rPr>
          <w:t>PROPOSTE CONCRETE</w:t>
        </w:r>
        <w:r w:rsidR="003446C0">
          <w:rPr>
            <w:noProof/>
            <w:webHidden/>
          </w:rPr>
          <w:tab/>
        </w:r>
        <w:r w:rsidR="003446C0">
          <w:rPr>
            <w:noProof/>
            <w:webHidden/>
          </w:rPr>
          <w:fldChar w:fldCharType="begin"/>
        </w:r>
        <w:r w:rsidR="003446C0">
          <w:rPr>
            <w:noProof/>
            <w:webHidden/>
          </w:rPr>
          <w:instrText xml:space="preserve"> PAGEREF _Toc179882499 \h </w:instrText>
        </w:r>
        <w:r w:rsidR="003446C0">
          <w:rPr>
            <w:noProof/>
            <w:webHidden/>
          </w:rPr>
        </w:r>
        <w:r w:rsidR="003446C0">
          <w:rPr>
            <w:noProof/>
            <w:webHidden/>
          </w:rPr>
          <w:fldChar w:fldCharType="separate"/>
        </w:r>
        <w:r w:rsidR="001B6CD3">
          <w:rPr>
            <w:noProof/>
            <w:webHidden/>
          </w:rPr>
          <w:t>31</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00" w:history="1">
        <w:r w:rsidR="003446C0" w:rsidRPr="007C5A18">
          <w:rPr>
            <w:rStyle w:val="Collegamentoipertestuale"/>
            <w:noProof/>
          </w:rPr>
          <w:t>9.1</w:t>
        </w:r>
        <w:r w:rsidR="003446C0">
          <w:rPr>
            <w:rFonts w:asciiTheme="minorHAnsi" w:eastAsiaTheme="minorEastAsia" w:hAnsiTheme="minorHAnsi"/>
            <w:noProof/>
            <w:lang w:eastAsia="it-CH"/>
          </w:rPr>
          <w:tab/>
        </w:r>
        <w:r w:rsidR="003446C0" w:rsidRPr="007C5A18">
          <w:rPr>
            <w:rStyle w:val="Collegamentoipertestuale"/>
            <w:noProof/>
          </w:rPr>
          <w:t>STUDIO SUL FABBISOGNO</w:t>
        </w:r>
        <w:r w:rsidR="003446C0">
          <w:rPr>
            <w:noProof/>
            <w:webHidden/>
          </w:rPr>
          <w:tab/>
        </w:r>
        <w:r w:rsidR="003446C0">
          <w:rPr>
            <w:noProof/>
            <w:webHidden/>
          </w:rPr>
          <w:fldChar w:fldCharType="begin"/>
        </w:r>
        <w:r w:rsidR="003446C0">
          <w:rPr>
            <w:noProof/>
            <w:webHidden/>
          </w:rPr>
          <w:instrText xml:space="preserve"> PAGEREF _Toc179882500 \h </w:instrText>
        </w:r>
        <w:r w:rsidR="003446C0">
          <w:rPr>
            <w:noProof/>
            <w:webHidden/>
          </w:rPr>
        </w:r>
        <w:r w:rsidR="003446C0">
          <w:rPr>
            <w:noProof/>
            <w:webHidden/>
          </w:rPr>
          <w:fldChar w:fldCharType="separate"/>
        </w:r>
        <w:r w:rsidR="001B6CD3">
          <w:rPr>
            <w:noProof/>
            <w:webHidden/>
          </w:rPr>
          <w:t>31</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1" w:history="1">
        <w:r w:rsidR="003446C0" w:rsidRPr="007C5A18">
          <w:rPr>
            <w:rStyle w:val="Collegamentoipertestuale"/>
            <w:noProof/>
          </w:rPr>
          <w:t>9.1.1</w:t>
        </w:r>
        <w:r w:rsidR="003446C0">
          <w:rPr>
            <w:rFonts w:asciiTheme="minorHAnsi" w:eastAsiaTheme="minorEastAsia" w:hAnsiTheme="minorHAnsi"/>
            <w:noProof/>
            <w:lang w:eastAsia="it-CH"/>
          </w:rPr>
          <w:tab/>
        </w:r>
        <w:r w:rsidR="003446C0" w:rsidRPr="007C5A18">
          <w:rPr>
            <w:rStyle w:val="Collegamentoipertestuale"/>
            <w:noProof/>
          </w:rPr>
          <w:t>Settore somatico-acuto</w:t>
        </w:r>
        <w:r w:rsidR="003446C0">
          <w:rPr>
            <w:noProof/>
            <w:webHidden/>
          </w:rPr>
          <w:tab/>
        </w:r>
        <w:r w:rsidR="003446C0">
          <w:rPr>
            <w:noProof/>
            <w:webHidden/>
          </w:rPr>
          <w:fldChar w:fldCharType="begin"/>
        </w:r>
        <w:r w:rsidR="003446C0">
          <w:rPr>
            <w:noProof/>
            <w:webHidden/>
          </w:rPr>
          <w:instrText xml:space="preserve"> PAGEREF _Toc179882501 \h </w:instrText>
        </w:r>
        <w:r w:rsidR="003446C0">
          <w:rPr>
            <w:noProof/>
            <w:webHidden/>
          </w:rPr>
        </w:r>
        <w:r w:rsidR="003446C0">
          <w:rPr>
            <w:noProof/>
            <w:webHidden/>
          </w:rPr>
          <w:fldChar w:fldCharType="separate"/>
        </w:r>
        <w:r w:rsidR="001B6CD3">
          <w:rPr>
            <w:noProof/>
            <w:webHidden/>
          </w:rPr>
          <w:t>32</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2" w:history="1">
        <w:r w:rsidR="003446C0" w:rsidRPr="007C5A18">
          <w:rPr>
            <w:rStyle w:val="Collegamentoipertestuale"/>
            <w:noProof/>
          </w:rPr>
          <w:t>9.1.2</w:t>
        </w:r>
        <w:r w:rsidR="003446C0">
          <w:rPr>
            <w:rFonts w:asciiTheme="minorHAnsi" w:eastAsiaTheme="minorEastAsia" w:hAnsiTheme="minorHAnsi"/>
            <w:noProof/>
            <w:lang w:eastAsia="it-CH"/>
          </w:rPr>
          <w:tab/>
        </w:r>
        <w:r w:rsidR="003446C0" w:rsidRPr="007C5A18">
          <w:rPr>
            <w:rStyle w:val="Collegamentoipertestuale"/>
            <w:noProof/>
          </w:rPr>
          <w:t>Settore psichiatria</w:t>
        </w:r>
        <w:r w:rsidR="003446C0">
          <w:rPr>
            <w:noProof/>
            <w:webHidden/>
          </w:rPr>
          <w:tab/>
        </w:r>
        <w:r w:rsidR="003446C0">
          <w:rPr>
            <w:noProof/>
            <w:webHidden/>
          </w:rPr>
          <w:fldChar w:fldCharType="begin"/>
        </w:r>
        <w:r w:rsidR="003446C0">
          <w:rPr>
            <w:noProof/>
            <w:webHidden/>
          </w:rPr>
          <w:instrText xml:space="preserve"> PAGEREF _Toc179882502 \h </w:instrText>
        </w:r>
        <w:r w:rsidR="003446C0">
          <w:rPr>
            <w:noProof/>
            <w:webHidden/>
          </w:rPr>
        </w:r>
        <w:r w:rsidR="003446C0">
          <w:rPr>
            <w:noProof/>
            <w:webHidden/>
          </w:rPr>
          <w:fldChar w:fldCharType="separate"/>
        </w:r>
        <w:r w:rsidR="001B6CD3">
          <w:rPr>
            <w:noProof/>
            <w:webHidden/>
          </w:rPr>
          <w:t>32</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3" w:history="1">
        <w:r w:rsidR="003446C0" w:rsidRPr="007C5A18">
          <w:rPr>
            <w:rStyle w:val="Collegamentoipertestuale"/>
            <w:noProof/>
          </w:rPr>
          <w:t>9.1.3</w:t>
        </w:r>
        <w:r w:rsidR="003446C0">
          <w:rPr>
            <w:rFonts w:asciiTheme="minorHAnsi" w:eastAsiaTheme="minorEastAsia" w:hAnsiTheme="minorHAnsi"/>
            <w:noProof/>
            <w:lang w:eastAsia="it-CH"/>
          </w:rPr>
          <w:tab/>
        </w:r>
        <w:r w:rsidR="003446C0" w:rsidRPr="007C5A18">
          <w:rPr>
            <w:rStyle w:val="Collegamentoipertestuale"/>
            <w:noProof/>
          </w:rPr>
          <w:t>Settore riabilitazione</w:t>
        </w:r>
        <w:r w:rsidR="003446C0">
          <w:rPr>
            <w:noProof/>
            <w:webHidden/>
          </w:rPr>
          <w:tab/>
        </w:r>
        <w:r w:rsidR="003446C0">
          <w:rPr>
            <w:noProof/>
            <w:webHidden/>
          </w:rPr>
          <w:fldChar w:fldCharType="begin"/>
        </w:r>
        <w:r w:rsidR="003446C0">
          <w:rPr>
            <w:noProof/>
            <w:webHidden/>
          </w:rPr>
          <w:instrText xml:space="preserve"> PAGEREF _Toc179882503 \h </w:instrText>
        </w:r>
        <w:r w:rsidR="003446C0">
          <w:rPr>
            <w:noProof/>
            <w:webHidden/>
          </w:rPr>
        </w:r>
        <w:r w:rsidR="003446C0">
          <w:rPr>
            <w:noProof/>
            <w:webHidden/>
          </w:rPr>
          <w:fldChar w:fldCharType="separate"/>
        </w:r>
        <w:r w:rsidR="001B6CD3">
          <w:rPr>
            <w:noProof/>
            <w:webHidden/>
          </w:rPr>
          <w:t>32</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04" w:history="1">
        <w:r w:rsidR="003446C0" w:rsidRPr="007C5A18">
          <w:rPr>
            <w:rStyle w:val="Collegamentoipertestuale"/>
            <w:noProof/>
          </w:rPr>
          <w:t>9.2.</w:t>
        </w:r>
        <w:r w:rsidR="003446C0">
          <w:rPr>
            <w:rFonts w:asciiTheme="minorHAnsi" w:eastAsiaTheme="minorEastAsia" w:hAnsiTheme="minorHAnsi"/>
            <w:noProof/>
            <w:lang w:eastAsia="it-CH"/>
          </w:rPr>
          <w:tab/>
        </w:r>
        <w:r w:rsidR="003446C0" w:rsidRPr="007C5A18">
          <w:rPr>
            <w:rStyle w:val="Collegamentoipertestuale"/>
            <w:noProof/>
          </w:rPr>
          <w:t>SETTORE MEDIA E LUNGO DEGENZA</w:t>
        </w:r>
        <w:r w:rsidR="003446C0">
          <w:rPr>
            <w:noProof/>
            <w:webHidden/>
          </w:rPr>
          <w:tab/>
        </w:r>
        <w:r w:rsidR="003446C0">
          <w:rPr>
            <w:noProof/>
            <w:webHidden/>
          </w:rPr>
          <w:fldChar w:fldCharType="begin"/>
        </w:r>
        <w:r w:rsidR="003446C0">
          <w:rPr>
            <w:noProof/>
            <w:webHidden/>
          </w:rPr>
          <w:instrText xml:space="preserve"> PAGEREF _Toc179882504 \h </w:instrText>
        </w:r>
        <w:r w:rsidR="003446C0">
          <w:rPr>
            <w:noProof/>
            <w:webHidden/>
          </w:rPr>
        </w:r>
        <w:r w:rsidR="003446C0">
          <w:rPr>
            <w:noProof/>
            <w:webHidden/>
          </w:rPr>
          <w:fldChar w:fldCharType="separate"/>
        </w:r>
        <w:r w:rsidR="001B6CD3">
          <w:rPr>
            <w:noProof/>
            <w:webHidden/>
          </w:rPr>
          <w:t>32</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5" w:history="1">
        <w:r w:rsidR="003446C0" w:rsidRPr="007C5A18">
          <w:rPr>
            <w:rStyle w:val="Collegamentoipertestuale"/>
            <w:noProof/>
          </w:rPr>
          <w:t>9.2.1</w:t>
        </w:r>
        <w:r w:rsidR="003446C0">
          <w:rPr>
            <w:rFonts w:asciiTheme="minorHAnsi" w:eastAsiaTheme="minorEastAsia" w:hAnsiTheme="minorHAnsi"/>
            <w:noProof/>
            <w:lang w:eastAsia="it-CH"/>
          </w:rPr>
          <w:tab/>
        </w:r>
        <w:r w:rsidR="003446C0" w:rsidRPr="007C5A18">
          <w:rPr>
            <w:rStyle w:val="Collegamentoipertestuale"/>
            <w:noProof/>
          </w:rPr>
          <w:t>Fabbisogno</w:t>
        </w:r>
        <w:r w:rsidR="003446C0">
          <w:rPr>
            <w:noProof/>
            <w:webHidden/>
          </w:rPr>
          <w:tab/>
        </w:r>
        <w:r w:rsidR="003446C0">
          <w:rPr>
            <w:noProof/>
            <w:webHidden/>
          </w:rPr>
          <w:fldChar w:fldCharType="begin"/>
        </w:r>
        <w:r w:rsidR="003446C0">
          <w:rPr>
            <w:noProof/>
            <w:webHidden/>
          </w:rPr>
          <w:instrText xml:space="preserve"> PAGEREF _Toc179882505 \h </w:instrText>
        </w:r>
        <w:r w:rsidR="003446C0">
          <w:rPr>
            <w:noProof/>
            <w:webHidden/>
          </w:rPr>
        </w:r>
        <w:r w:rsidR="003446C0">
          <w:rPr>
            <w:noProof/>
            <w:webHidden/>
          </w:rPr>
          <w:fldChar w:fldCharType="separate"/>
        </w:r>
        <w:r w:rsidR="001B6CD3">
          <w:rPr>
            <w:noProof/>
            <w:webHidden/>
          </w:rPr>
          <w:t>32</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6" w:history="1">
        <w:r w:rsidR="003446C0" w:rsidRPr="007C5A18">
          <w:rPr>
            <w:rStyle w:val="Collegamentoipertestuale"/>
            <w:noProof/>
          </w:rPr>
          <w:t>9.2.1</w:t>
        </w:r>
        <w:r w:rsidR="003446C0">
          <w:rPr>
            <w:rFonts w:asciiTheme="minorHAnsi" w:eastAsiaTheme="minorEastAsia" w:hAnsiTheme="minorHAnsi"/>
            <w:noProof/>
            <w:lang w:eastAsia="it-CH"/>
          </w:rPr>
          <w:tab/>
        </w:r>
        <w:r w:rsidR="003446C0" w:rsidRPr="007C5A18">
          <w:rPr>
            <w:rStyle w:val="Collegamentoipertestuale"/>
            <w:noProof/>
          </w:rPr>
          <w:t>Assetto giuridico letti RAMI</w:t>
        </w:r>
        <w:r w:rsidR="003446C0">
          <w:rPr>
            <w:noProof/>
            <w:webHidden/>
          </w:rPr>
          <w:tab/>
        </w:r>
        <w:r w:rsidR="003446C0">
          <w:rPr>
            <w:noProof/>
            <w:webHidden/>
          </w:rPr>
          <w:fldChar w:fldCharType="begin"/>
        </w:r>
        <w:r w:rsidR="003446C0">
          <w:rPr>
            <w:noProof/>
            <w:webHidden/>
          </w:rPr>
          <w:instrText xml:space="preserve"> PAGEREF _Toc179882506 \h </w:instrText>
        </w:r>
        <w:r w:rsidR="003446C0">
          <w:rPr>
            <w:noProof/>
            <w:webHidden/>
          </w:rPr>
        </w:r>
        <w:r w:rsidR="003446C0">
          <w:rPr>
            <w:noProof/>
            <w:webHidden/>
          </w:rPr>
          <w:fldChar w:fldCharType="separate"/>
        </w:r>
        <w:r w:rsidR="001B6CD3">
          <w:rPr>
            <w:noProof/>
            <w:webHidden/>
          </w:rPr>
          <w:t>35</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07" w:history="1">
        <w:r w:rsidR="003446C0" w:rsidRPr="007C5A18">
          <w:rPr>
            <w:rStyle w:val="Collegamentoipertestuale"/>
            <w:noProof/>
          </w:rPr>
          <w:t>9.3</w:t>
        </w:r>
        <w:r w:rsidR="003446C0">
          <w:rPr>
            <w:rFonts w:asciiTheme="minorHAnsi" w:eastAsiaTheme="minorEastAsia" w:hAnsiTheme="minorHAnsi"/>
            <w:noProof/>
            <w:lang w:eastAsia="it-CH"/>
          </w:rPr>
          <w:tab/>
        </w:r>
        <w:r w:rsidR="003446C0" w:rsidRPr="007C5A18">
          <w:rPr>
            <w:rStyle w:val="Collegamentoipertestuale"/>
            <w:noProof/>
          </w:rPr>
          <w:t>INDIRIZZI STRATEGICI</w:t>
        </w:r>
        <w:r w:rsidR="003446C0">
          <w:rPr>
            <w:noProof/>
            <w:webHidden/>
          </w:rPr>
          <w:tab/>
        </w:r>
        <w:r w:rsidR="003446C0">
          <w:rPr>
            <w:noProof/>
            <w:webHidden/>
          </w:rPr>
          <w:fldChar w:fldCharType="begin"/>
        </w:r>
        <w:r w:rsidR="003446C0">
          <w:rPr>
            <w:noProof/>
            <w:webHidden/>
          </w:rPr>
          <w:instrText xml:space="preserve"> PAGEREF _Toc179882507 \h </w:instrText>
        </w:r>
        <w:r w:rsidR="003446C0">
          <w:rPr>
            <w:noProof/>
            <w:webHidden/>
          </w:rPr>
        </w:r>
        <w:r w:rsidR="003446C0">
          <w:rPr>
            <w:noProof/>
            <w:webHidden/>
          </w:rPr>
          <w:fldChar w:fldCharType="separate"/>
        </w:r>
        <w:r w:rsidR="001B6CD3">
          <w:rPr>
            <w:noProof/>
            <w:webHidden/>
          </w:rPr>
          <w:t>38</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8" w:history="1">
        <w:r w:rsidR="003446C0" w:rsidRPr="007C5A18">
          <w:rPr>
            <w:rStyle w:val="Collegamentoipertestuale"/>
            <w:noProof/>
          </w:rPr>
          <w:t>9.3.1</w:t>
        </w:r>
        <w:r w:rsidR="003446C0">
          <w:rPr>
            <w:rFonts w:asciiTheme="minorHAnsi" w:eastAsiaTheme="minorEastAsia" w:hAnsiTheme="minorHAnsi"/>
            <w:noProof/>
            <w:lang w:eastAsia="it-CH"/>
          </w:rPr>
          <w:tab/>
        </w:r>
        <w:r w:rsidR="003446C0" w:rsidRPr="007C5A18">
          <w:rPr>
            <w:rStyle w:val="Collegamentoipertestuale"/>
            <w:noProof/>
          </w:rPr>
          <w:t>Perseguire con determinazione un’adeguata allocazione dei servizi sull’asse prossimità/concentrazione</w:t>
        </w:r>
        <w:r w:rsidR="003446C0">
          <w:rPr>
            <w:noProof/>
            <w:webHidden/>
          </w:rPr>
          <w:tab/>
        </w:r>
        <w:r w:rsidR="003446C0">
          <w:rPr>
            <w:noProof/>
            <w:webHidden/>
          </w:rPr>
          <w:fldChar w:fldCharType="begin"/>
        </w:r>
        <w:r w:rsidR="003446C0">
          <w:rPr>
            <w:noProof/>
            <w:webHidden/>
          </w:rPr>
          <w:instrText xml:space="preserve"> PAGEREF _Toc179882508 \h </w:instrText>
        </w:r>
        <w:r w:rsidR="003446C0">
          <w:rPr>
            <w:noProof/>
            <w:webHidden/>
          </w:rPr>
        </w:r>
        <w:r w:rsidR="003446C0">
          <w:rPr>
            <w:noProof/>
            <w:webHidden/>
          </w:rPr>
          <w:fldChar w:fldCharType="separate"/>
        </w:r>
        <w:r w:rsidR="001B6CD3">
          <w:rPr>
            <w:noProof/>
            <w:webHidden/>
          </w:rPr>
          <w:t>38</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09" w:history="1">
        <w:r w:rsidR="003446C0" w:rsidRPr="007C5A18">
          <w:rPr>
            <w:rStyle w:val="Collegamentoipertestuale"/>
            <w:noProof/>
          </w:rPr>
          <w:t>9.3.2</w:t>
        </w:r>
        <w:r w:rsidR="003446C0">
          <w:rPr>
            <w:rFonts w:asciiTheme="minorHAnsi" w:eastAsiaTheme="minorEastAsia" w:hAnsiTheme="minorHAnsi"/>
            <w:noProof/>
            <w:lang w:eastAsia="it-CH"/>
          </w:rPr>
          <w:tab/>
        </w:r>
        <w:r w:rsidR="003446C0" w:rsidRPr="007C5A18">
          <w:rPr>
            <w:rStyle w:val="Collegamentoipertestuale"/>
            <w:noProof/>
          </w:rPr>
          <w:t>Puntare a un ospedale di riferimento per la medicina somatico-acuta e altamente specializzata</w:t>
        </w:r>
        <w:r w:rsidR="003446C0">
          <w:rPr>
            <w:noProof/>
            <w:webHidden/>
          </w:rPr>
          <w:tab/>
        </w:r>
        <w:r w:rsidR="003446C0">
          <w:rPr>
            <w:noProof/>
            <w:webHidden/>
          </w:rPr>
          <w:fldChar w:fldCharType="begin"/>
        </w:r>
        <w:r w:rsidR="003446C0">
          <w:rPr>
            <w:noProof/>
            <w:webHidden/>
          </w:rPr>
          <w:instrText xml:space="preserve"> PAGEREF _Toc179882509 \h </w:instrText>
        </w:r>
        <w:r w:rsidR="003446C0">
          <w:rPr>
            <w:noProof/>
            <w:webHidden/>
          </w:rPr>
        </w:r>
        <w:r w:rsidR="003446C0">
          <w:rPr>
            <w:noProof/>
            <w:webHidden/>
          </w:rPr>
          <w:fldChar w:fldCharType="separate"/>
        </w:r>
        <w:r w:rsidR="001B6CD3">
          <w:rPr>
            <w:noProof/>
            <w:webHidden/>
          </w:rPr>
          <w:t>39</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10" w:history="1">
        <w:r w:rsidR="003446C0" w:rsidRPr="007C5A18">
          <w:rPr>
            <w:rStyle w:val="Collegamentoipertestuale"/>
            <w:noProof/>
          </w:rPr>
          <w:t>9.3.3</w:t>
        </w:r>
        <w:r w:rsidR="003446C0">
          <w:rPr>
            <w:rFonts w:asciiTheme="minorHAnsi" w:eastAsiaTheme="minorEastAsia" w:hAnsiTheme="minorHAnsi"/>
            <w:noProof/>
            <w:lang w:eastAsia="it-CH"/>
          </w:rPr>
          <w:tab/>
        </w:r>
        <w:r w:rsidR="003446C0" w:rsidRPr="007C5A18">
          <w:rPr>
            <w:rStyle w:val="Collegamentoipertestuale"/>
            <w:noProof/>
          </w:rPr>
          <w:t>Continuare a favorire dinamicamente l’appropriatezza organizzativa</w:t>
        </w:r>
        <w:r w:rsidR="003446C0">
          <w:rPr>
            <w:noProof/>
            <w:webHidden/>
          </w:rPr>
          <w:tab/>
        </w:r>
        <w:r w:rsidR="003446C0">
          <w:rPr>
            <w:noProof/>
            <w:webHidden/>
          </w:rPr>
          <w:fldChar w:fldCharType="begin"/>
        </w:r>
        <w:r w:rsidR="003446C0">
          <w:rPr>
            <w:noProof/>
            <w:webHidden/>
          </w:rPr>
          <w:instrText xml:space="preserve"> PAGEREF _Toc179882510 \h </w:instrText>
        </w:r>
        <w:r w:rsidR="003446C0">
          <w:rPr>
            <w:noProof/>
            <w:webHidden/>
          </w:rPr>
        </w:r>
        <w:r w:rsidR="003446C0">
          <w:rPr>
            <w:noProof/>
            <w:webHidden/>
          </w:rPr>
          <w:fldChar w:fldCharType="separate"/>
        </w:r>
        <w:r w:rsidR="001B6CD3">
          <w:rPr>
            <w:noProof/>
            <w:webHidden/>
          </w:rPr>
          <w:t>39</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11" w:history="1">
        <w:r w:rsidR="003446C0" w:rsidRPr="007C5A18">
          <w:rPr>
            <w:rStyle w:val="Collegamentoipertestuale"/>
            <w:noProof/>
          </w:rPr>
          <w:t>9.3.4</w:t>
        </w:r>
        <w:r w:rsidR="003446C0">
          <w:rPr>
            <w:rFonts w:asciiTheme="minorHAnsi" w:eastAsiaTheme="minorEastAsia" w:hAnsiTheme="minorHAnsi"/>
            <w:noProof/>
            <w:lang w:eastAsia="it-CH"/>
          </w:rPr>
          <w:tab/>
        </w:r>
        <w:r w:rsidR="003446C0" w:rsidRPr="007C5A18">
          <w:rPr>
            <w:rStyle w:val="Collegamentoipertestuale"/>
            <w:noProof/>
          </w:rPr>
          <w:t>Promuovere la definizione di percorsi diagnostici terapeutici assistenziali (PDTA) per le patologie ad alta prevalenza o rilevanza</w:t>
        </w:r>
        <w:r w:rsidR="003446C0">
          <w:rPr>
            <w:noProof/>
            <w:webHidden/>
          </w:rPr>
          <w:tab/>
        </w:r>
        <w:r w:rsidR="003446C0">
          <w:rPr>
            <w:noProof/>
            <w:webHidden/>
          </w:rPr>
          <w:fldChar w:fldCharType="begin"/>
        </w:r>
        <w:r w:rsidR="003446C0">
          <w:rPr>
            <w:noProof/>
            <w:webHidden/>
          </w:rPr>
          <w:instrText xml:space="preserve"> PAGEREF _Toc179882511 \h </w:instrText>
        </w:r>
        <w:r w:rsidR="003446C0">
          <w:rPr>
            <w:noProof/>
            <w:webHidden/>
          </w:rPr>
        </w:r>
        <w:r w:rsidR="003446C0">
          <w:rPr>
            <w:noProof/>
            <w:webHidden/>
          </w:rPr>
          <w:fldChar w:fldCharType="separate"/>
        </w:r>
        <w:r w:rsidR="001B6CD3">
          <w:rPr>
            <w:noProof/>
            <w:webHidden/>
          </w:rPr>
          <w:t>39</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12" w:history="1">
        <w:r w:rsidR="003446C0" w:rsidRPr="007C5A18">
          <w:rPr>
            <w:rStyle w:val="Collegamentoipertestuale"/>
            <w:noProof/>
          </w:rPr>
          <w:t>9.3.5</w:t>
        </w:r>
        <w:r w:rsidR="003446C0">
          <w:rPr>
            <w:rFonts w:asciiTheme="minorHAnsi" w:eastAsiaTheme="minorEastAsia" w:hAnsiTheme="minorHAnsi"/>
            <w:noProof/>
            <w:lang w:eastAsia="it-CH"/>
          </w:rPr>
          <w:tab/>
        </w:r>
        <w:r w:rsidR="003446C0" w:rsidRPr="007C5A18">
          <w:rPr>
            <w:rStyle w:val="Collegamentoipertestuale"/>
            <w:noProof/>
          </w:rPr>
          <w:t>Migliorare le informazioni a disposizione di pazienti e popolazione</w:t>
        </w:r>
        <w:r w:rsidR="003446C0">
          <w:rPr>
            <w:noProof/>
            <w:webHidden/>
          </w:rPr>
          <w:tab/>
        </w:r>
        <w:r w:rsidR="003446C0">
          <w:rPr>
            <w:noProof/>
            <w:webHidden/>
          </w:rPr>
          <w:fldChar w:fldCharType="begin"/>
        </w:r>
        <w:r w:rsidR="003446C0">
          <w:rPr>
            <w:noProof/>
            <w:webHidden/>
          </w:rPr>
          <w:instrText xml:space="preserve"> PAGEREF _Toc179882512 \h </w:instrText>
        </w:r>
        <w:r w:rsidR="003446C0">
          <w:rPr>
            <w:noProof/>
            <w:webHidden/>
          </w:rPr>
        </w:r>
        <w:r w:rsidR="003446C0">
          <w:rPr>
            <w:noProof/>
            <w:webHidden/>
          </w:rPr>
          <w:fldChar w:fldCharType="separate"/>
        </w:r>
        <w:r w:rsidR="001B6CD3">
          <w:rPr>
            <w:noProof/>
            <w:webHidden/>
          </w:rPr>
          <w:t>40</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513" w:history="1">
        <w:r w:rsidR="003446C0" w:rsidRPr="007C5A18">
          <w:rPr>
            <w:rStyle w:val="Collegamentoipertestuale"/>
            <w:noProof/>
          </w:rPr>
          <w:t>10.</w:t>
        </w:r>
        <w:r w:rsidR="003446C0">
          <w:rPr>
            <w:rFonts w:asciiTheme="minorHAnsi" w:eastAsiaTheme="minorEastAsia" w:hAnsiTheme="minorHAnsi"/>
            <w:b w:val="0"/>
            <w:noProof/>
            <w:lang w:eastAsia="it-CH"/>
          </w:rPr>
          <w:tab/>
        </w:r>
        <w:r w:rsidR="003446C0" w:rsidRPr="007C5A18">
          <w:rPr>
            <w:rStyle w:val="Collegamentoipertestuale"/>
            <w:noProof/>
          </w:rPr>
          <w:t>LE CONSEGUENZE</w:t>
        </w:r>
        <w:r w:rsidR="003446C0">
          <w:rPr>
            <w:noProof/>
            <w:webHidden/>
          </w:rPr>
          <w:tab/>
        </w:r>
        <w:r w:rsidR="003446C0">
          <w:rPr>
            <w:noProof/>
            <w:webHidden/>
          </w:rPr>
          <w:fldChar w:fldCharType="begin"/>
        </w:r>
        <w:r w:rsidR="003446C0">
          <w:rPr>
            <w:noProof/>
            <w:webHidden/>
          </w:rPr>
          <w:instrText xml:space="preserve"> PAGEREF _Toc179882513 \h </w:instrText>
        </w:r>
        <w:r w:rsidR="003446C0">
          <w:rPr>
            <w:noProof/>
            <w:webHidden/>
          </w:rPr>
        </w:r>
        <w:r w:rsidR="003446C0">
          <w:rPr>
            <w:noProof/>
            <w:webHidden/>
          </w:rPr>
          <w:fldChar w:fldCharType="separate"/>
        </w:r>
        <w:r w:rsidR="001B6CD3">
          <w:rPr>
            <w:noProof/>
            <w:webHidden/>
          </w:rPr>
          <w:t>40</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514" w:history="1">
        <w:r w:rsidR="003446C0" w:rsidRPr="007C5A18">
          <w:rPr>
            <w:rStyle w:val="Collegamentoipertestuale"/>
            <w:noProof/>
          </w:rPr>
          <w:t>11.</w:t>
        </w:r>
        <w:r w:rsidR="003446C0">
          <w:rPr>
            <w:rFonts w:asciiTheme="minorHAnsi" w:eastAsiaTheme="minorEastAsia" w:hAnsiTheme="minorHAnsi"/>
            <w:b w:val="0"/>
            <w:noProof/>
            <w:lang w:eastAsia="it-CH"/>
          </w:rPr>
          <w:tab/>
        </w:r>
        <w:r w:rsidR="003446C0" w:rsidRPr="007C5A18">
          <w:rPr>
            <w:rStyle w:val="Collegamentoipertestuale"/>
            <w:noProof/>
          </w:rPr>
          <w:t>LE AUDIZIONI IN SENO ALLA SOTTOCOMMISSIONE PIANIFICAZIONE OSPEDALIERA CANTONALE</w:t>
        </w:r>
        <w:r w:rsidR="003446C0">
          <w:rPr>
            <w:noProof/>
            <w:webHidden/>
          </w:rPr>
          <w:tab/>
        </w:r>
        <w:r w:rsidR="003446C0">
          <w:rPr>
            <w:noProof/>
            <w:webHidden/>
          </w:rPr>
          <w:fldChar w:fldCharType="begin"/>
        </w:r>
        <w:r w:rsidR="003446C0">
          <w:rPr>
            <w:noProof/>
            <w:webHidden/>
          </w:rPr>
          <w:instrText xml:space="preserve"> PAGEREF _Toc179882514 \h </w:instrText>
        </w:r>
        <w:r w:rsidR="003446C0">
          <w:rPr>
            <w:noProof/>
            <w:webHidden/>
          </w:rPr>
        </w:r>
        <w:r w:rsidR="003446C0">
          <w:rPr>
            <w:noProof/>
            <w:webHidden/>
          </w:rPr>
          <w:fldChar w:fldCharType="separate"/>
        </w:r>
        <w:r w:rsidR="001B6CD3">
          <w:rPr>
            <w:noProof/>
            <w:webHidden/>
          </w:rPr>
          <w:t>41</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15" w:history="1">
        <w:r w:rsidR="003446C0" w:rsidRPr="007C5A18">
          <w:rPr>
            <w:rStyle w:val="Collegamentoipertestuale"/>
            <w:noProof/>
          </w:rPr>
          <w:t>11.1</w:t>
        </w:r>
        <w:r w:rsidR="003446C0">
          <w:rPr>
            <w:rFonts w:asciiTheme="minorHAnsi" w:eastAsiaTheme="minorEastAsia" w:hAnsiTheme="minorHAnsi"/>
            <w:noProof/>
            <w:lang w:eastAsia="it-CH"/>
          </w:rPr>
          <w:tab/>
        </w:r>
        <w:r w:rsidR="003446C0" w:rsidRPr="007C5A18">
          <w:rPr>
            <w:rStyle w:val="Collegamentoipertestuale"/>
            <w:noProof/>
          </w:rPr>
          <w:t>CONSIGLIO DI STATO</w:t>
        </w:r>
        <w:r w:rsidR="003446C0">
          <w:rPr>
            <w:noProof/>
            <w:webHidden/>
          </w:rPr>
          <w:tab/>
        </w:r>
        <w:r w:rsidR="003446C0">
          <w:rPr>
            <w:noProof/>
            <w:webHidden/>
          </w:rPr>
          <w:fldChar w:fldCharType="begin"/>
        </w:r>
        <w:r w:rsidR="003446C0">
          <w:rPr>
            <w:noProof/>
            <w:webHidden/>
          </w:rPr>
          <w:instrText xml:space="preserve"> PAGEREF _Toc179882515 \h </w:instrText>
        </w:r>
        <w:r w:rsidR="003446C0">
          <w:rPr>
            <w:noProof/>
            <w:webHidden/>
          </w:rPr>
        </w:r>
        <w:r w:rsidR="003446C0">
          <w:rPr>
            <w:noProof/>
            <w:webHidden/>
          </w:rPr>
          <w:fldChar w:fldCharType="separate"/>
        </w:r>
        <w:r w:rsidR="001B6CD3">
          <w:rPr>
            <w:noProof/>
            <w:webHidden/>
          </w:rPr>
          <w:t>41</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16" w:history="1">
        <w:r w:rsidR="003446C0" w:rsidRPr="007C5A18">
          <w:rPr>
            <w:rStyle w:val="Collegamentoipertestuale"/>
            <w:noProof/>
          </w:rPr>
          <w:t>11.2</w:t>
        </w:r>
        <w:r w:rsidR="003446C0">
          <w:rPr>
            <w:rFonts w:asciiTheme="minorHAnsi" w:eastAsiaTheme="minorEastAsia" w:hAnsiTheme="minorHAnsi"/>
            <w:noProof/>
            <w:lang w:eastAsia="it-CH"/>
          </w:rPr>
          <w:tab/>
        </w:r>
        <w:r w:rsidR="003446C0" w:rsidRPr="007C5A18">
          <w:rPr>
            <w:rStyle w:val="Collegamentoipertestuale"/>
            <w:noProof/>
          </w:rPr>
          <w:t>SUPSI</w:t>
        </w:r>
        <w:r w:rsidR="003446C0">
          <w:rPr>
            <w:noProof/>
            <w:webHidden/>
          </w:rPr>
          <w:tab/>
        </w:r>
        <w:r w:rsidR="003446C0">
          <w:rPr>
            <w:noProof/>
            <w:webHidden/>
          </w:rPr>
          <w:fldChar w:fldCharType="begin"/>
        </w:r>
        <w:r w:rsidR="003446C0">
          <w:rPr>
            <w:noProof/>
            <w:webHidden/>
          </w:rPr>
          <w:instrText xml:space="preserve"> PAGEREF _Toc179882516 \h </w:instrText>
        </w:r>
        <w:r w:rsidR="003446C0">
          <w:rPr>
            <w:noProof/>
            <w:webHidden/>
          </w:rPr>
        </w:r>
        <w:r w:rsidR="003446C0">
          <w:rPr>
            <w:noProof/>
            <w:webHidden/>
          </w:rPr>
          <w:fldChar w:fldCharType="separate"/>
        </w:r>
        <w:r w:rsidR="001B6CD3">
          <w:rPr>
            <w:noProof/>
            <w:webHidden/>
          </w:rPr>
          <w:t>42</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17" w:history="1">
        <w:r w:rsidR="003446C0" w:rsidRPr="007C5A18">
          <w:rPr>
            <w:rStyle w:val="Collegamentoipertestuale"/>
            <w:noProof/>
          </w:rPr>
          <w:t>11.3</w:t>
        </w:r>
        <w:r w:rsidR="003446C0">
          <w:rPr>
            <w:rFonts w:asciiTheme="minorHAnsi" w:eastAsiaTheme="minorEastAsia" w:hAnsiTheme="minorHAnsi"/>
            <w:noProof/>
            <w:lang w:eastAsia="it-CH"/>
          </w:rPr>
          <w:tab/>
        </w:r>
        <w:r w:rsidR="003446C0" w:rsidRPr="007C5A18">
          <w:rPr>
            <w:rStyle w:val="Collegamentoipertestuale"/>
            <w:noProof/>
          </w:rPr>
          <w:t>ASSOCIAZIONE DELLE CLINICHE PRIVATE</w:t>
        </w:r>
        <w:r w:rsidR="003446C0">
          <w:rPr>
            <w:noProof/>
            <w:webHidden/>
          </w:rPr>
          <w:tab/>
        </w:r>
        <w:r w:rsidR="003446C0">
          <w:rPr>
            <w:noProof/>
            <w:webHidden/>
          </w:rPr>
          <w:fldChar w:fldCharType="begin"/>
        </w:r>
        <w:r w:rsidR="003446C0">
          <w:rPr>
            <w:noProof/>
            <w:webHidden/>
          </w:rPr>
          <w:instrText xml:space="preserve"> PAGEREF _Toc179882517 \h </w:instrText>
        </w:r>
        <w:r w:rsidR="003446C0">
          <w:rPr>
            <w:noProof/>
            <w:webHidden/>
          </w:rPr>
        </w:r>
        <w:r w:rsidR="003446C0">
          <w:rPr>
            <w:noProof/>
            <w:webHidden/>
          </w:rPr>
          <w:fldChar w:fldCharType="separate"/>
        </w:r>
        <w:r w:rsidR="001B6CD3">
          <w:rPr>
            <w:noProof/>
            <w:webHidden/>
          </w:rPr>
          <w:t>42</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18" w:history="1">
        <w:r w:rsidR="003446C0" w:rsidRPr="007C5A18">
          <w:rPr>
            <w:rStyle w:val="Collegamentoipertestuale"/>
            <w:noProof/>
          </w:rPr>
          <w:t>11.4</w:t>
        </w:r>
        <w:r w:rsidR="003446C0">
          <w:rPr>
            <w:rFonts w:asciiTheme="minorHAnsi" w:eastAsiaTheme="minorEastAsia" w:hAnsiTheme="minorHAnsi"/>
            <w:noProof/>
            <w:lang w:eastAsia="it-CH"/>
          </w:rPr>
          <w:tab/>
        </w:r>
        <w:r w:rsidR="003446C0" w:rsidRPr="007C5A18">
          <w:rPr>
            <w:rStyle w:val="Collegamentoipertestuale"/>
            <w:noProof/>
          </w:rPr>
          <w:t>ENTE OSPEDALIERO CANTONALE</w:t>
        </w:r>
        <w:r w:rsidR="003446C0">
          <w:rPr>
            <w:noProof/>
            <w:webHidden/>
          </w:rPr>
          <w:tab/>
        </w:r>
        <w:r w:rsidR="003446C0">
          <w:rPr>
            <w:noProof/>
            <w:webHidden/>
          </w:rPr>
          <w:fldChar w:fldCharType="begin"/>
        </w:r>
        <w:r w:rsidR="003446C0">
          <w:rPr>
            <w:noProof/>
            <w:webHidden/>
          </w:rPr>
          <w:instrText xml:space="preserve"> PAGEREF _Toc179882518 \h </w:instrText>
        </w:r>
        <w:r w:rsidR="003446C0">
          <w:rPr>
            <w:noProof/>
            <w:webHidden/>
          </w:rPr>
        </w:r>
        <w:r w:rsidR="003446C0">
          <w:rPr>
            <w:noProof/>
            <w:webHidden/>
          </w:rPr>
          <w:fldChar w:fldCharType="separate"/>
        </w:r>
        <w:r w:rsidR="001B6CD3">
          <w:rPr>
            <w:noProof/>
            <w:webHidden/>
          </w:rPr>
          <w:t>43</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19" w:history="1">
        <w:r w:rsidR="003446C0" w:rsidRPr="007C5A18">
          <w:rPr>
            <w:rStyle w:val="Collegamentoipertestuale"/>
            <w:noProof/>
          </w:rPr>
          <w:t>11.5</w:t>
        </w:r>
        <w:r w:rsidR="003446C0">
          <w:rPr>
            <w:rFonts w:asciiTheme="minorHAnsi" w:eastAsiaTheme="minorEastAsia" w:hAnsiTheme="minorHAnsi"/>
            <w:noProof/>
            <w:lang w:eastAsia="it-CH"/>
          </w:rPr>
          <w:tab/>
        </w:r>
        <w:r w:rsidR="003446C0" w:rsidRPr="007C5A18">
          <w:rPr>
            <w:rStyle w:val="Collegamentoipertestuale"/>
            <w:noProof/>
          </w:rPr>
          <w:t>CURAFUTURA</w:t>
        </w:r>
        <w:r w:rsidR="003446C0">
          <w:rPr>
            <w:noProof/>
            <w:webHidden/>
          </w:rPr>
          <w:tab/>
        </w:r>
        <w:r w:rsidR="003446C0">
          <w:rPr>
            <w:noProof/>
            <w:webHidden/>
          </w:rPr>
          <w:fldChar w:fldCharType="begin"/>
        </w:r>
        <w:r w:rsidR="003446C0">
          <w:rPr>
            <w:noProof/>
            <w:webHidden/>
          </w:rPr>
          <w:instrText xml:space="preserve"> PAGEREF _Toc179882519 \h </w:instrText>
        </w:r>
        <w:r w:rsidR="003446C0">
          <w:rPr>
            <w:noProof/>
            <w:webHidden/>
          </w:rPr>
        </w:r>
        <w:r w:rsidR="003446C0">
          <w:rPr>
            <w:noProof/>
            <w:webHidden/>
          </w:rPr>
          <w:fldChar w:fldCharType="separate"/>
        </w:r>
        <w:r w:rsidR="001B6CD3">
          <w:rPr>
            <w:noProof/>
            <w:webHidden/>
          </w:rPr>
          <w:t>43</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20" w:history="1">
        <w:r w:rsidR="003446C0" w:rsidRPr="007C5A18">
          <w:rPr>
            <w:rStyle w:val="Collegamentoipertestuale"/>
            <w:noProof/>
          </w:rPr>
          <w:t>11.6</w:t>
        </w:r>
        <w:r w:rsidR="003446C0">
          <w:rPr>
            <w:rFonts w:asciiTheme="minorHAnsi" w:eastAsiaTheme="minorEastAsia" w:hAnsiTheme="minorHAnsi"/>
            <w:noProof/>
            <w:lang w:eastAsia="it-CH"/>
          </w:rPr>
          <w:tab/>
        </w:r>
        <w:r w:rsidR="003446C0" w:rsidRPr="007C5A18">
          <w:rPr>
            <w:rStyle w:val="Collegamentoipertestuale"/>
            <w:noProof/>
          </w:rPr>
          <w:t>CLINICA MONCUCCO</w:t>
        </w:r>
        <w:r w:rsidR="003446C0">
          <w:rPr>
            <w:noProof/>
            <w:webHidden/>
          </w:rPr>
          <w:tab/>
        </w:r>
        <w:r w:rsidR="003446C0">
          <w:rPr>
            <w:noProof/>
            <w:webHidden/>
          </w:rPr>
          <w:fldChar w:fldCharType="begin"/>
        </w:r>
        <w:r w:rsidR="003446C0">
          <w:rPr>
            <w:noProof/>
            <w:webHidden/>
          </w:rPr>
          <w:instrText xml:space="preserve"> PAGEREF _Toc179882520 \h </w:instrText>
        </w:r>
        <w:r w:rsidR="003446C0">
          <w:rPr>
            <w:noProof/>
            <w:webHidden/>
          </w:rPr>
        </w:r>
        <w:r w:rsidR="003446C0">
          <w:rPr>
            <w:noProof/>
            <w:webHidden/>
          </w:rPr>
          <w:fldChar w:fldCharType="separate"/>
        </w:r>
        <w:r w:rsidR="001B6CD3">
          <w:rPr>
            <w:noProof/>
            <w:webHidden/>
          </w:rPr>
          <w:t>44</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21" w:history="1">
        <w:r w:rsidR="003446C0" w:rsidRPr="007C5A18">
          <w:rPr>
            <w:rStyle w:val="Collegamentoipertestuale"/>
            <w:noProof/>
          </w:rPr>
          <w:t>11.7</w:t>
        </w:r>
        <w:r w:rsidR="003446C0">
          <w:rPr>
            <w:rFonts w:asciiTheme="minorHAnsi" w:eastAsiaTheme="minorEastAsia" w:hAnsiTheme="minorHAnsi"/>
            <w:noProof/>
            <w:lang w:eastAsia="it-CH"/>
          </w:rPr>
          <w:tab/>
        </w:r>
        <w:r w:rsidR="003446C0" w:rsidRPr="007C5A18">
          <w:rPr>
            <w:rStyle w:val="Collegamentoipertestuale"/>
            <w:noProof/>
          </w:rPr>
          <w:t>SWISS MEDICAL NETWORK</w:t>
        </w:r>
        <w:r w:rsidR="003446C0">
          <w:rPr>
            <w:noProof/>
            <w:webHidden/>
          </w:rPr>
          <w:tab/>
        </w:r>
        <w:r w:rsidR="003446C0">
          <w:rPr>
            <w:noProof/>
            <w:webHidden/>
          </w:rPr>
          <w:fldChar w:fldCharType="begin"/>
        </w:r>
        <w:r w:rsidR="003446C0">
          <w:rPr>
            <w:noProof/>
            <w:webHidden/>
          </w:rPr>
          <w:instrText xml:space="preserve"> PAGEREF _Toc179882521 \h </w:instrText>
        </w:r>
        <w:r w:rsidR="003446C0">
          <w:rPr>
            <w:noProof/>
            <w:webHidden/>
          </w:rPr>
        </w:r>
        <w:r w:rsidR="003446C0">
          <w:rPr>
            <w:noProof/>
            <w:webHidden/>
          </w:rPr>
          <w:fldChar w:fldCharType="separate"/>
        </w:r>
        <w:r w:rsidR="001B6CD3">
          <w:rPr>
            <w:noProof/>
            <w:webHidden/>
          </w:rPr>
          <w:t>45</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22" w:history="1">
        <w:r w:rsidR="003446C0" w:rsidRPr="007C5A18">
          <w:rPr>
            <w:rStyle w:val="Collegamentoipertestuale"/>
            <w:noProof/>
          </w:rPr>
          <w:t>11.8</w:t>
        </w:r>
        <w:r w:rsidR="003446C0">
          <w:rPr>
            <w:rFonts w:asciiTheme="minorHAnsi" w:eastAsiaTheme="minorEastAsia" w:hAnsiTheme="minorHAnsi"/>
            <w:noProof/>
            <w:lang w:eastAsia="it-CH"/>
          </w:rPr>
          <w:tab/>
        </w:r>
        <w:r w:rsidR="003446C0" w:rsidRPr="007C5A18">
          <w:rPr>
            <w:rStyle w:val="Collegamentoipertestuale"/>
            <w:noProof/>
          </w:rPr>
          <w:t>ORDINE DEI MEDICI DEL CANTONE TICINO</w:t>
        </w:r>
        <w:r w:rsidR="003446C0">
          <w:rPr>
            <w:noProof/>
            <w:webHidden/>
          </w:rPr>
          <w:tab/>
        </w:r>
        <w:r w:rsidR="003446C0">
          <w:rPr>
            <w:noProof/>
            <w:webHidden/>
          </w:rPr>
          <w:fldChar w:fldCharType="begin"/>
        </w:r>
        <w:r w:rsidR="003446C0">
          <w:rPr>
            <w:noProof/>
            <w:webHidden/>
          </w:rPr>
          <w:instrText xml:space="preserve"> PAGEREF _Toc179882522 \h </w:instrText>
        </w:r>
        <w:r w:rsidR="003446C0">
          <w:rPr>
            <w:noProof/>
            <w:webHidden/>
          </w:rPr>
        </w:r>
        <w:r w:rsidR="003446C0">
          <w:rPr>
            <w:noProof/>
            <w:webHidden/>
          </w:rPr>
          <w:fldChar w:fldCharType="separate"/>
        </w:r>
        <w:r w:rsidR="001B6CD3">
          <w:rPr>
            <w:noProof/>
            <w:webHidden/>
          </w:rPr>
          <w:t>45</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523" w:history="1">
        <w:r w:rsidR="003446C0" w:rsidRPr="007C5A18">
          <w:rPr>
            <w:rStyle w:val="Collegamentoipertestuale"/>
            <w:noProof/>
          </w:rPr>
          <w:t>12.</w:t>
        </w:r>
        <w:r w:rsidR="003446C0">
          <w:rPr>
            <w:rFonts w:asciiTheme="minorHAnsi" w:eastAsiaTheme="minorEastAsia" w:hAnsiTheme="minorHAnsi"/>
            <w:b w:val="0"/>
            <w:noProof/>
            <w:lang w:eastAsia="it-CH"/>
          </w:rPr>
          <w:tab/>
        </w:r>
        <w:r w:rsidR="003446C0" w:rsidRPr="007C5A18">
          <w:rPr>
            <w:rStyle w:val="Collegamentoipertestuale"/>
            <w:noProof/>
          </w:rPr>
          <w:t>RIFLESSIONI COMMISSIONALI</w:t>
        </w:r>
        <w:r w:rsidR="003446C0">
          <w:rPr>
            <w:noProof/>
            <w:webHidden/>
          </w:rPr>
          <w:tab/>
        </w:r>
        <w:r w:rsidR="003446C0">
          <w:rPr>
            <w:noProof/>
            <w:webHidden/>
          </w:rPr>
          <w:fldChar w:fldCharType="begin"/>
        </w:r>
        <w:r w:rsidR="003446C0">
          <w:rPr>
            <w:noProof/>
            <w:webHidden/>
          </w:rPr>
          <w:instrText xml:space="preserve"> PAGEREF _Toc179882523 \h </w:instrText>
        </w:r>
        <w:r w:rsidR="003446C0">
          <w:rPr>
            <w:noProof/>
            <w:webHidden/>
          </w:rPr>
        </w:r>
        <w:r w:rsidR="003446C0">
          <w:rPr>
            <w:noProof/>
            <w:webHidden/>
          </w:rPr>
          <w:fldChar w:fldCharType="separate"/>
        </w:r>
        <w:r w:rsidR="001B6CD3">
          <w:rPr>
            <w:noProof/>
            <w:webHidden/>
          </w:rPr>
          <w:t>46</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24" w:history="1">
        <w:r w:rsidR="003446C0" w:rsidRPr="007C5A18">
          <w:rPr>
            <w:rStyle w:val="Collegamentoipertestuale"/>
            <w:noProof/>
          </w:rPr>
          <w:t>A.</w:t>
        </w:r>
        <w:r w:rsidR="003446C0">
          <w:rPr>
            <w:rFonts w:asciiTheme="minorHAnsi" w:eastAsiaTheme="minorEastAsia" w:hAnsiTheme="minorHAnsi"/>
            <w:noProof/>
            <w:lang w:eastAsia="it-CH"/>
          </w:rPr>
          <w:tab/>
        </w:r>
        <w:r w:rsidR="003446C0" w:rsidRPr="007C5A18">
          <w:rPr>
            <w:rStyle w:val="Collegamentoipertestuale"/>
            <w:noProof/>
          </w:rPr>
          <w:t>PUNTI DI DECISIONE DEL GRAN CONSIGLIO</w:t>
        </w:r>
        <w:r w:rsidR="003446C0">
          <w:rPr>
            <w:noProof/>
            <w:webHidden/>
          </w:rPr>
          <w:tab/>
        </w:r>
        <w:r w:rsidR="003446C0">
          <w:rPr>
            <w:noProof/>
            <w:webHidden/>
          </w:rPr>
          <w:fldChar w:fldCharType="begin"/>
        </w:r>
        <w:r w:rsidR="003446C0">
          <w:rPr>
            <w:noProof/>
            <w:webHidden/>
          </w:rPr>
          <w:instrText xml:space="preserve"> PAGEREF _Toc179882524 \h </w:instrText>
        </w:r>
        <w:r w:rsidR="003446C0">
          <w:rPr>
            <w:noProof/>
            <w:webHidden/>
          </w:rPr>
        </w:r>
        <w:r w:rsidR="003446C0">
          <w:rPr>
            <w:noProof/>
            <w:webHidden/>
          </w:rPr>
          <w:fldChar w:fldCharType="separate"/>
        </w:r>
        <w:r w:rsidR="001B6CD3">
          <w:rPr>
            <w:noProof/>
            <w:webHidden/>
          </w:rPr>
          <w:t>46</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25" w:history="1">
        <w:r w:rsidR="003446C0" w:rsidRPr="007C5A18">
          <w:rPr>
            <w:rStyle w:val="Collegamentoipertestuale"/>
            <w:noProof/>
          </w:rPr>
          <w:t>A. 1</w:t>
        </w:r>
        <w:r w:rsidR="003446C0">
          <w:rPr>
            <w:rFonts w:asciiTheme="minorHAnsi" w:eastAsiaTheme="minorEastAsia" w:hAnsiTheme="minorHAnsi"/>
            <w:noProof/>
            <w:lang w:eastAsia="it-CH"/>
          </w:rPr>
          <w:tab/>
        </w:r>
        <w:r w:rsidR="003446C0" w:rsidRPr="007C5A18">
          <w:rPr>
            <w:rStyle w:val="Collegamentoipertestuale"/>
            <w:noProof/>
          </w:rPr>
          <w:t>Circa l'impostazione strategica sulla base del Messaggio del CdS:</w:t>
        </w:r>
        <w:r w:rsidR="003446C0">
          <w:rPr>
            <w:noProof/>
            <w:webHidden/>
          </w:rPr>
          <w:tab/>
        </w:r>
        <w:r w:rsidR="003446C0">
          <w:rPr>
            <w:noProof/>
            <w:webHidden/>
          </w:rPr>
          <w:fldChar w:fldCharType="begin"/>
        </w:r>
        <w:r w:rsidR="003446C0">
          <w:rPr>
            <w:noProof/>
            <w:webHidden/>
          </w:rPr>
          <w:instrText xml:space="preserve"> PAGEREF _Toc179882525 \h </w:instrText>
        </w:r>
        <w:r w:rsidR="003446C0">
          <w:rPr>
            <w:noProof/>
            <w:webHidden/>
          </w:rPr>
        </w:r>
        <w:r w:rsidR="003446C0">
          <w:rPr>
            <w:noProof/>
            <w:webHidden/>
          </w:rPr>
          <w:fldChar w:fldCharType="separate"/>
        </w:r>
        <w:r w:rsidR="001B6CD3">
          <w:rPr>
            <w:noProof/>
            <w:webHidden/>
          </w:rPr>
          <w:t>46</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26" w:history="1">
        <w:r w:rsidR="003446C0" w:rsidRPr="007C5A18">
          <w:rPr>
            <w:rStyle w:val="Collegamentoipertestuale"/>
            <w:noProof/>
          </w:rPr>
          <w:t>A. 2</w:t>
        </w:r>
        <w:r w:rsidR="003446C0">
          <w:rPr>
            <w:rFonts w:asciiTheme="minorHAnsi" w:eastAsiaTheme="minorEastAsia" w:hAnsiTheme="minorHAnsi"/>
            <w:noProof/>
            <w:lang w:eastAsia="it-CH"/>
          </w:rPr>
          <w:tab/>
        </w:r>
        <w:r w:rsidR="003446C0" w:rsidRPr="007C5A18">
          <w:rPr>
            <w:rStyle w:val="Collegamentoipertestuale"/>
            <w:noProof/>
          </w:rPr>
          <w:t>Circa il modulo di sollecitazione d'offerta, della suddivisione nei gruppi di prestazione e dei requisiti:</w:t>
        </w:r>
        <w:r w:rsidR="003446C0">
          <w:rPr>
            <w:noProof/>
            <w:webHidden/>
          </w:rPr>
          <w:tab/>
        </w:r>
        <w:r w:rsidR="003446C0">
          <w:rPr>
            <w:noProof/>
            <w:webHidden/>
          </w:rPr>
          <w:fldChar w:fldCharType="begin"/>
        </w:r>
        <w:r w:rsidR="003446C0">
          <w:rPr>
            <w:noProof/>
            <w:webHidden/>
          </w:rPr>
          <w:instrText xml:space="preserve"> PAGEREF _Toc179882526 \h </w:instrText>
        </w:r>
        <w:r w:rsidR="003446C0">
          <w:rPr>
            <w:noProof/>
            <w:webHidden/>
          </w:rPr>
        </w:r>
        <w:r w:rsidR="003446C0">
          <w:rPr>
            <w:noProof/>
            <w:webHidden/>
          </w:rPr>
          <w:fldChar w:fldCharType="separate"/>
        </w:r>
        <w:r w:rsidR="001B6CD3">
          <w:rPr>
            <w:noProof/>
            <w:webHidden/>
          </w:rPr>
          <w:t>47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27" w:history="1">
        <w:r w:rsidR="003446C0" w:rsidRPr="007C5A18">
          <w:rPr>
            <w:rStyle w:val="Collegamentoipertestuale"/>
            <w:noProof/>
          </w:rPr>
          <w:t>A. 3</w:t>
        </w:r>
        <w:r w:rsidR="003446C0">
          <w:rPr>
            <w:rFonts w:asciiTheme="minorHAnsi" w:eastAsiaTheme="minorEastAsia" w:hAnsiTheme="minorHAnsi"/>
            <w:noProof/>
            <w:lang w:eastAsia="it-CH"/>
          </w:rPr>
          <w:tab/>
        </w:r>
        <w:r w:rsidR="003446C0" w:rsidRPr="007C5A18">
          <w:rPr>
            <w:rStyle w:val="Collegamentoipertestuale"/>
            <w:noProof/>
          </w:rPr>
          <w:t>In merito all'eventuale aumento della quota parte minima del Cantone</w:t>
        </w:r>
        <w:r w:rsidR="003446C0">
          <w:rPr>
            <w:noProof/>
            <w:webHidden/>
          </w:rPr>
          <w:tab/>
        </w:r>
        <w:r w:rsidR="003446C0">
          <w:rPr>
            <w:noProof/>
            <w:webHidden/>
          </w:rPr>
          <w:fldChar w:fldCharType="begin"/>
        </w:r>
        <w:r w:rsidR="003446C0">
          <w:rPr>
            <w:noProof/>
            <w:webHidden/>
          </w:rPr>
          <w:instrText xml:space="preserve"> PAGEREF _Toc179882527 \h </w:instrText>
        </w:r>
        <w:r w:rsidR="003446C0">
          <w:rPr>
            <w:noProof/>
            <w:webHidden/>
          </w:rPr>
        </w:r>
        <w:r w:rsidR="003446C0">
          <w:rPr>
            <w:noProof/>
            <w:webHidden/>
          </w:rPr>
          <w:fldChar w:fldCharType="separate"/>
        </w:r>
        <w:r w:rsidR="001B6CD3">
          <w:rPr>
            <w:noProof/>
            <w:webHidden/>
          </w:rPr>
          <w:t>47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28" w:history="1">
        <w:r w:rsidR="003446C0" w:rsidRPr="007C5A18">
          <w:rPr>
            <w:rStyle w:val="Collegamentoipertestuale"/>
            <w:noProof/>
          </w:rPr>
          <w:t>A. 4</w:t>
        </w:r>
        <w:r w:rsidR="003446C0">
          <w:rPr>
            <w:rFonts w:asciiTheme="minorHAnsi" w:eastAsiaTheme="minorEastAsia" w:hAnsiTheme="minorHAnsi"/>
            <w:noProof/>
            <w:lang w:eastAsia="it-CH"/>
          </w:rPr>
          <w:tab/>
        </w:r>
        <w:r w:rsidR="003446C0" w:rsidRPr="007C5A18">
          <w:rPr>
            <w:rStyle w:val="Collegamentoipertestuale"/>
            <w:noProof/>
          </w:rPr>
          <w:t>Circa i disegni di legge allegati al messaggio</w:t>
        </w:r>
        <w:r w:rsidR="003446C0">
          <w:rPr>
            <w:noProof/>
            <w:webHidden/>
          </w:rPr>
          <w:tab/>
        </w:r>
        <w:r w:rsidR="003446C0">
          <w:rPr>
            <w:noProof/>
            <w:webHidden/>
          </w:rPr>
          <w:fldChar w:fldCharType="begin"/>
        </w:r>
        <w:r w:rsidR="003446C0">
          <w:rPr>
            <w:noProof/>
            <w:webHidden/>
          </w:rPr>
          <w:instrText xml:space="preserve"> PAGEREF _Toc179882528 \h </w:instrText>
        </w:r>
        <w:r w:rsidR="003446C0">
          <w:rPr>
            <w:noProof/>
            <w:webHidden/>
          </w:rPr>
        </w:r>
        <w:r w:rsidR="003446C0">
          <w:rPr>
            <w:noProof/>
            <w:webHidden/>
          </w:rPr>
          <w:fldChar w:fldCharType="separate"/>
        </w:r>
        <w:r w:rsidR="001B6CD3">
          <w:rPr>
            <w:noProof/>
            <w:webHidden/>
          </w:rPr>
          <w:t>47</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29" w:history="1">
        <w:r w:rsidR="003446C0" w:rsidRPr="007C5A18">
          <w:rPr>
            <w:rStyle w:val="Collegamentoipertestuale"/>
            <w:noProof/>
          </w:rPr>
          <w:t>A. 5</w:t>
        </w:r>
        <w:r w:rsidR="003446C0">
          <w:rPr>
            <w:rFonts w:asciiTheme="minorHAnsi" w:eastAsiaTheme="minorEastAsia" w:hAnsiTheme="minorHAnsi"/>
            <w:noProof/>
            <w:lang w:eastAsia="it-CH"/>
          </w:rPr>
          <w:tab/>
        </w:r>
        <w:r w:rsidR="003446C0" w:rsidRPr="007C5A18">
          <w:rPr>
            <w:rStyle w:val="Collegamentoipertestuale"/>
            <w:noProof/>
          </w:rPr>
          <w:t>Circa il finanziamento di programmi sanitari specifici</w:t>
        </w:r>
        <w:r w:rsidR="003446C0">
          <w:rPr>
            <w:noProof/>
            <w:webHidden/>
          </w:rPr>
          <w:tab/>
        </w:r>
        <w:r w:rsidR="003446C0">
          <w:rPr>
            <w:noProof/>
            <w:webHidden/>
          </w:rPr>
          <w:fldChar w:fldCharType="begin"/>
        </w:r>
        <w:r w:rsidR="003446C0">
          <w:rPr>
            <w:noProof/>
            <w:webHidden/>
          </w:rPr>
          <w:instrText xml:space="preserve"> PAGEREF _Toc179882529 \h </w:instrText>
        </w:r>
        <w:r w:rsidR="003446C0">
          <w:rPr>
            <w:noProof/>
            <w:webHidden/>
          </w:rPr>
        </w:r>
        <w:r w:rsidR="003446C0">
          <w:rPr>
            <w:noProof/>
            <w:webHidden/>
          </w:rPr>
          <w:fldChar w:fldCharType="separate"/>
        </w:r>
        <w:r w:rsidR="001B6CD3">
          <w:rPr>
            <w:noProof/>
            <w:webHidden/>
          </w:rPr>
          <w:t>48</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30" w:history="1">
        <w:r w:rsidR="003446C0" w:rsidRPr="007C5A18">
          <w:rPr>
            <w:rStyle w:val="Collegamentoipertestuale"/>
            <w:noProof/>
          </w:rPr>
          <w:t>B.</w:t>
        </w:r>
        <w:r w:rsidR="003446C0">
          <w:rPr>
            <w:rFonts w:asciiTheme="minorHAnsi" w:eastAsiaTheme="minorEastAsia" w:hAnsiTheme="minorHAnsi"/>
            <w:noProof/>
            <w:lang w:eastAsia="it-CH"/>
          </w:rPr>
          <w:tab/>
        </w:r>
        <w:r w:rsidR="003446C0" w:rsidRPr="007C5A18">
          <w:rPr>
            <w:rStyle w:val="Collegamentoipertestuale"/>
            <w:noProof/>
          </w:rPr>
          <w:t>IL SENSO DELLA PIANIFICAZIONE</w:t>
        </w:r>
        <w:r w:rsidR="003446C0">
          <w:rPr>
            <w:noProof/>
            <w:webHidden/>
          </w:rPr>
          <w:tab/>
        </w:r>
        <w:r w:rsidR="003446C0">
          <w:rPr>
            <w:noProof/>
            <w:webHidden/>
          </w:rPr>
          <w:fldChar w:fldCharType="begin"/>
        </w:r>
        <w:r w:rsidR="003446C0">
          <w:rPr>
            <w:noProof/>
            <w:webHidden/>
          </w:rPr>
          <w:instrText xml:space="preserve"> PAGEREF _Toc179882530 \h </w:instrText>
        </w:r>
        <w:r w:rsidR="003446C0">
          <w:rPr>
            <w:noProof/>
            <w:webHidden/>
          </w:rPr>
        </w:r>
        <w:r w:rsidR="003446C0">
          <w:rPr>
            <w:noProof/>
            <w:webHidden/>
          </w:rPr>
          <w:fldChar w:fldCharType="separate"/>
        </w:r>
        <w:r w:rsidR="001B6CD3">
          <w:rPr>
            <w:noProof/>
            <w:webHidden/>
          </w:rPr>
          <w:t>48</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31" w:history="1">
        <w:r w:rsidR="003446C0" w:rsidRPr="007C5A18">
          <w:rPr>
            <w:rStyle w:val="Collegamentoipertestuale"/>
            <w:noProof/>
          </w:rPr>
          <w:t>C.</w:t>
        </w:r>
        <w:r w:rsidR="003446C0">
          <w:rPr>
            <w:rFonts w:asciiTheme="minorHAnsi" w:eastAsiaTheme="minorEastAsia" w:hAnsiTheme="minorHAnsi"/>
            <w:noProof/>
            <w:lang w:eastAsia="it-CH"/>
          </w:rPr>
          <w:tab/>
        </w:r>
        <w:r w:rsidR="003446C0" w:rsidRPr="007C5A18">
          <w:rPr>
            <w:rStyle w:val="Collegamentoipertestuale"/>
            <w:noProof/>
          </w:rPr>
          <w:t>SECONDA AUDIZIONE DEL GOVERNO IL 6 GIUGNO 2024</w:t>
        </w:r>
        <w:r w:rsidR="003446C0">
          <w:rPr>
            <w:noProof/>
            <w:webHidden/>
          </w:rPr>
          <w:tab/>
        </w:r>
        <w:r w:rsidR="003446C0">
          <w:rPr>
            <w:noProof/>
            <w:webHidden/>
          </w:rPr>
          <w:fldChar w:fldCharType="begin"/>
        </w:r>
        <w:r w:rsidR="003446C0">
          <w:rPr>
            <w:noProof/>
            <w:webHidden/>
          </w:rPr>
          <w:instrText xml:space="preserve"> PAGEREF _Toc179882531 \h </w:instrText>
        </w:r>
        <w:r w:rsidR="003446C0">
          <w:rPr>
            <w:noProof/>
            <w:webHidden/>
          </w:rPr>
        </w:r>
        <w:r w:rsidR="003446C0">
          <w:rPr>
            <w:noProof/>
            <w:webHidden/>
          </w:rPr>
          <w:fldChar w:fldCharType="separate"/>
        </w:r>
        <w:r w:rsidR="001B6CD3">
          <w:rPr>
            <w:noProof/>
            <w:webHidden/>
          </w:rPr>
          <w:t>48</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32" w:history="1">
        <w:r w:rsidR="003446C0" w:rsidRPr="007C5A18">
          <w:rPr>
            <w:rStyle w:val="Collegamentoipertestuale"/>
            <w:noProof/>
          </w:rPr>
          <w:t>C. 1</w:t>
        </w:r>
        <w:r w:rsidR="003446C0">
          <w:rPr>
            <w:rFonts w:asciiTheme="minorHAnsi" w:eastAsiaTheme="minorEastAsia" w:hAnsiTheme="minorHAnsi"/>
            <w:noProof/>
            <w:lang w:eastAsia="it-CH"/>
          </w:rPr>
          <w:tab/>
        </w:r>
        <w:r w:rsidR="003446C0" w:rsidRPr="007C5A18">
          <w:rPr>
            <w:rStyle w:val="Collegamentoipertestuale"/>
            <w:noProof/>
          </w:rPr>
          <w:t>Criteri di attribuzione dei mandati</w:t>
        </w:r>
        <w:r w:rsidR="003446C0">
          <w:rPr>
            <w:noProof/>
            <w:webHidden/>
          </w:rPr>
          <w:tab/>
        </w:r>
        <w:r w:rsidR="003446C0">
          <w:rPr>
            <w:noProof/>
            <w:webHidden/>
          </w:rPr>
          <w:fldChar w:fldCharType="begin"/>
        </w:r>
        <w:r w:rsidR="003446C0">
          <w:rPr>
            <w:noProof/>
            <w:webHidden/>
          </w:rPr>
          <w:instrText xml:space="preserve"> PAGEREF _Toc179882532 \h </w:instrText>
        </w:r>
        <w:r w:rsidR="003446C0">
          <w:rPr>
            <w:noProof/>
            <w:webHidden/>
          </w:rPr>
        </w:r>
        <w:r w:rsidR="003446C0">
          <w:rPr>
            <w:noProof/>
            <w:webHidden/>
          </w:rPr>
          <w:fldChar w:fldCharType="separate"/>
        </w:r>
        <w:r w:rsidR="001B6CD3">
          <w:rPr>
            <w:noProof/>
            <w:webHidden/>
          </w:rPr>
          <w:t>48</w:t>
        </w:r>
        <w:r w:rsidR="003446C0">
          <w:rPr>
            <w:noProof/>
            <w:webHidden/>
          </w:rPr>
          <w:fldChar w:fldCharType="end"/>
        </w:r>
      </w:hyperlink>
    </w:p>
    <w:p w:rsidR="003446C0" w:rsidRDefault="00343EFB">
      <w:pPr>
        <w:pStyle w:val="Sommario3"/>
        <w:rPr>
          <w:rFonts w:asciiTheme="minorHAnsi" w:eastAsiaTheme="minorEastAsia" w:hAnsiTheme="minorHAnsi"/>
          <w:noProof/>
          <w:lang w:eastAsia="it-CH"/>
        </w:rPr>
      </w:pPr>
      <w:hyperlink w:anchor="_Toc179882533" w:history="1">
        <w:r w:rsidR="003446C0" w:rsidRPr="007C5A18">
          <w:rPr>
            <w:rStyle w:val="Collegamentoipertestuale"/>
            <w:noProof/>
          </w:rPr>
          <w:t>C. 2</w:t>
        </w:r>
        <w:r w:rsidR="003446C0">
          <w:rPr>
            <w:rFonts w:asciiTheme="minorHAnsi" w:eastAsiaTheme="minorEastAsia" w:hAnsiTheme="minorHAnsi"/>
            <w:noProof/>
            <w:lang w:eastAsia="it-CH"/>
          </w:rPr>
          <w:tab/>
        </w:r>
        <w:r w:rsidR="003446C0" w:rsidRPr="007C5A18">
          <w:rPr>
            <w:rStyle w:val="Collegamentoipertestuale"/>
            <w:noProof/>
          </w:rPr>
          <w:t>Rollende planung</w:t>
        </w:r>
        <w:r w:rsidR="003446C0">
          <w:rPr>
            <w:noProof/>
            <w:webHidden/>
          </w:rPr>
          <w:tab/>
        </w:r>
        <w:r w:rsidR="003446C0">
          <w:rPr>
            <w:noProof/>
            <w:webHidden/>
          </w:rPr>
          <w:fldChar w:fldCharType="begin"/>
        </w:r>
        <w:r w:rsidR="003446C0">
          <w:rPr>
            <w:noProof/>
            <w:webHidden/>
          </w:rPr>
          <w:instrText xml:space="preserve"> PAGEREF _Toc179882533 \h </w:instrText>
        </w:r>
        <w:r w:rsidR="003446C0">
          <w:rPr>
            <w:noProof/>
            <w:webHidden/>
          </w:rPr>
        </w:r>
        <w:r w:rsidR="003446C0">
          <w:rPr>
            <w:noProof/>
            <w:webHidden/>
          </w:rPr>
          <w:fldChar w:fldCharType="separate"/>
        </w:r>
        <w:r w:rsidR="001B6CD3">
          <w:rPr>
            <w:noProof/>
            <w:webHidden/>
          </w:rPr>
          <w:t>49</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34" w:history="1">
        <w:r w:rsidR="003446C0" w:rsidRPr="007C5A18">
          <w:rPr>
            <w:rStyle w:val="Collegamentoipertestuale"/>
            <w:noProof/>
          </w:rPr>
          <w:t>D.</w:t>
        </w:r>
        <w:r w:rsidR="003446C0">
          <w:rPr>
            <w:rFonts w:asciiTheme="minorHAnsi" w:eastAsiaTheme="minorEastAsia" w:hAnsiTheme="minorHAnsi"/>
            <w:noProof/>
            <w:lang w:eastAsia="it-CH"/>
          </w:rPr>
          <w:tab/>
        </w:r>
        <w:r w:rsidR="003446C0" w:rsidRPr="007C5A18">
          <w:rPr>
            <w:rStyle w:val="Collegamentoipertestuale"/>
            <w:noProof/>
          </w:rPr>
          <w:t>EVASIONE ATTO PARLAMENTARE CONNESSO (EXCURSUS)</w:t>
        </w:r>
        <w:r w:rsidR="003446C0">
          <w:rPr>
            <w:noProof/>
            <w:webHidden/>
          </w:rPr>
          <w:tab/>
        </w:r>
        <w:r w:rsidR="003446C0">
          <w:rPr>
            <w:noProof/>
            <w:webHidden/>
          </w:rPr>
          <w:fldChar w:fldCharType="begin"/>
        </w:r>
        <w:r w:rsidR="003446C0">
          <w:rPr>
            <w:noProof/>
            <w:webHidden/>
          </w:rPr>
          <w:instrText xml:space="preserve"> PAGEREF _Toc179882534 \h </w:instrText>
        </w:r>
        <w:r w:rsidR="003446C0">
          <w:rPr>
            <w:noProof/>
            <w:webHidden/>
          </w:rPr>
        </w:r>
        <w:r w:rsidR="003446C0">
          <w:rPr>
            <w:noProof/>
            <w:webHidden/>
          </w:rPr>
          <w:fldChar w:fldCharType="separate"/>
        </w:r>
        <w:r w:rsidR="001B6CD3">
          <w:rPr>
            <w:noProof/>
            <w:webHidden/>
          </w:rPr>
          <w:t>50</w:t>
        </w:r>
        <w:r w:rsidR="003446C0">
          <w:rPr>
            <w:noProof/>
            <w:webHidden/>
          </w:rPr>
          <w:fldChar w:fldCharType="end"/>
        </w:r>
      </w:hyperlink>
    </w:p>
    <w:p w:rsidR="003446C0" w:rsidRDefault="00343EFB">
      <w:pPr>
        <w:pStyle w:val="Sommario2"/>
        <w:rPr>
          <w:rFonts w:asciiTheme="minorHAnsi" w:eastAsiaTheme="minorEastAsia" w:hAnsiTheme="minorHAnsi"/>
          <w:noProof/>
          <w:lang w:eastAsia="it-CH"/>
        </w:rPr>
      </w:pPr>
      <w:hyperlink w:anchor="_Toc179882535" w:history="1">
        <w:r w:rsidR="003446C0" w:rsidRPr="007C5A18">
          <w:rPr>
            <w:rStyle w:val="Collegamentoipertestuale"/>
            <w:noProof/>
          </w:rPr>
          <w:t>E.</w:t>
        </w:r>
        <w:r w:rsidR="003446C0">
          <w:rPr>
            <w:rFonts w:asciiTheme="minorHAnsi" w:eastAsiaTheme="minorEastAsia" w:hAnsiTheme="minorHAnsi"/>
            <w:noProof/>
            <w:lang w:eastAsia="it-CH"/>
          </w:rPr>
          <w:tab/>
        </w:r>
        <w:r w:rsidR="003446C0" w:rsidRPr="007C5A18">
          <w:rPr>
            <w:rStyle w:val="Collegamentoipertestuale"/>
            <w:noProof/>
          </w:rPr>
          <w:t>ALTRI TEMI STRATEGICI</w:t>
        </w:r>
        <w:r w:rsidR="003446C0">
          <w:rPr>
            <w:noProof/>
            <w:webHidden/>
          </w:rPr>
          <w:tab/>
        </w:r>
        <w:r w:rsidR="003446C0">
          <w:rPr>
            <w:noProof/>
            <w:webHidden/>
          </w:rPr>
          <w:fldChar w:fldCharType="begin"/>
        </w:r>
        <w:r w:rsidR="003446C0">
          <w:rPr>
            <w:noProof/>
            <w:webHidden/>
          </w:rPr>
          <w:instrText xml:space="preserve"> PAGEREF _Toc179882535 \h </w:instrText>
        </w:r>
        <w:r w:rsidR="003446C0">
          <w:rPr>
            <w:noProof/>
            <w:webHidden/>
          </w:rPr>
        </w:r>
        <w:r w:rsidR="003446C0">
          <w:rPr>
            <w:noProof/>
            <w:webHidden/>
          </w:rPr>
          <w:fldChar w:fldCharType="separate"/>
        </w:r>
        <w:r w:rsidR="001B6CD3">
          <w:rPr>
            <w:noProof/>
            <w:webHidden/>
          </w:rPr>
          <w:t>51</w:t>
        </w:r>
        <w:r w:rsidR="003446C0">
          <w:rPr>
            <w:noProof/>
            <w:webHidden/>
          </w:rPr>
          <w:fldChar w:fldCharType="end"/>
        </w:r>
      </w:hyperlink>
    </w:p>
    <w:p w:rsidR="003446C0" w:rsidRDefault="00343EFB">
      <w:pPr>
        <w:pStyle w:val="Sommario1"/>
        <w:rPr>
          <w:rFonts w:asciiTheme="minorHAnsi" w:eastAsiaTheme="minorEastAsia" w:hAnsiTheme="minorHAnsi"/>
          <w:b w:val="0"/>
          <w:noProof/>
          <w:lang w:eastAsia="it-CH"/>
        </w:rPr>
      </w:pPr>
      <w:hyperlink w:anchor="_Toc179882536" w:history="1">
        <w:r w:rsidR="003446C0" w:rsidRPr="007C5A18">
          <w:rPr>
            <w:rStyle w:val="Collegamentoipertestuale"/>
            <w:noProof/>
          </w:rPr>
          <w:t>12.</w:t>
        </w:r>
        <w:r w:rsidR="003446C0">
          <w:rPr>
            <w:rFonts w:asciiTheme="minorHAnsi" w:eastAsiaTheme="minorEastAsia" w:hAnsiTheme="minorHAnsi"/>
            <w:b w:val="0"/>
            <w:noProof/>
            <w:lang w:eastAsia="it-CH"/>
          </w:rPr>
          <w:tab/>
        </w:r>
        <w:r w:rsidR="003446C0" w:rsidRPr="007C5A18">
          <w:rPr>
            <w:rStyle w:val="Collegamentoipertestuale"/>
            <w:noProof/>
          </w:rPr>
          <w:t>CONCLUSIONI</w:t>
        </w:r>
        <w:r w:rsidR="003446C0">
          <w:rPr>
            <w:noProof/>
            <w:webHidden/>
          </w:rPr>
          <w:tab/>
        </w:r>
        <w:r w:rsidR="003446C0">
          <w:rPr>
            <w:noProof/>
            <w:webHidden/>
          </w:rPr>
          <w:fldChar w:fldCharType="begin"/>
        </w:r>
        <w:r w:rsidR="003446C0">
          <w:rPr>
            <w:noProof/>
            <w:webHidden/>
          </w:rPr>
          <w:instrText xml:space="preserve"> PAGEREF _Toc179882536 \h </w:instrText>
        </w:r>
        <w:r w:rsidR="003446C0">
          <w:rPr>
            <w:noProof/>
            <w:webHidden/>
          </w:rPr>
        </w:r>
        <w:r w:rsidR="003446C0">
          <w:rPr>
            <w:noProof/>
            <w:webHidden/>
          </w:rPr>
          <w:fldChar w:fldCharType="separate"/>
        </w:r>
        <w:r w:rsidR="001B6CD3">
          <w:rPr>
            <w:noProof/>
            <w:webHidden/>
          </w:rPr>
          <w:t>54</w:t>
        </w:r>
        <w:r w:rsidR="003446C0">
          <w:rPr>
            <w:noProof/>
            <w:webHidden/>
          </w:rPr>
          <w:fldChar w:fldCharType="end"/>
        </w:r>
      </w:hyperlink>
    </w:p>
    <w:p w:rsidR="0038453D" w:rsidRDefault="0038453D" w:rsidP="0038453D">
      <w:pPr>
        <w:widowControl w:val="0"/>
        <w:autoSpaceDE w:val="0"/>
        <w:autoSpaceDN w:val="0"/>
        <w:ind w:left="2164" w:right="257"/>
        <w:rPr>
          <w:rFonts w:eastAsia="Arial" w:cs="Arial"/>
          <w:sz w:val="24"/>
          <w:lang w:val="it-IT"/>
        </w:rPr>
      </w:pPr>
      <w:r w:rsidRPr="0038453D">
        <w:rPr>
          <w:rFonts w:ascii="Calibri" w:eastAsia="Calibri" w:hAnsi="Calibri" w:cs="Times New Roman"/>
        </w:rPr>
        <w:fldChar w:fldCharType="end"/>
      </w:r>
    </w:p>
    <w:p w:rsidR="0038453D" w:rsidRDefault="0038453D" w:rsidP="00AF5BF8">
      <w:pPr>
        <w:widowControl w:val="0"/>
        <w:autoSpaceDE w:val="0"/>
        <w:autoSpaceDN w:val="0"/>
        <w:ind w:left="2164" w:right="257"/>
        <w:rPr>
          <w:rFonts w:eastAsia="Arial" w:cs="Arial"/>
          <w:sz w:val="24"/>
          <w:lang w:val="it-IT"/>
        </w:rPr>
      </w:pPr>
    </w:p>
    <w:p w:rsidR="0038453D" w:rsidRDefault="0038453D" w:rsidP="00AF5BF8">
      <w:pPr>
        <w:widowControl w:val="0"/>
        <w:autoSpaceDE w:val="0"/>
        <w:autoSpaceDN w:val="0"/>
        <w:ind w:left="2164" w:right="257"/>
        <w:rPr>
          <w:rFonts w:eastAsia="Arial" w:cs="Arial"/>
          <w:sz w:val="24"/>
          <w:lang w:val="it-IT"/>
        </w:rPr>
      </w:pPr>
    </w:p>
    <w:p w:rsidR="0038453D" w:rsidRDefault="0038453D" w:rsidP="00AF5BF8">
      <w:pPr>
        <w:widowControl w:val="0"/>
        <w:autoSpaceDE w:val="0"/>
        <w:autoSpaceDN w:val="0"/>
        <w:ind w:left="2164" w:right="257"/>
        <w:rPr>
          <w:rFonts w:eastAsia="Arial" w:cs="Arial"/>
          <w:sz w:val="24"/>
          <w:lang w:val="it-IT"/>
        </w:rPr>
      </w:pPr>
    </w:p>
    <w:p w:rsidR="0038453D" w:rsidRDefault="0038453D" w:rsidP="00AF5BF8">
      <w:pPr>
        <w:widowControl w:val="0"/>
        <w:autoSpaceDE w:val="0"/>
        <w:autoSpaceDN w:val="0"/>
        <w:ind w:left="2164" w:right="257"/>
        <w:rPr>
          <w:rFonts w:eastAsia="Arial" w:cs="Arial"/>
          <w:sz w:val="24"/>
          <w:lang w:val="it-IT"/>
        </w:rPr>
      </w:pPr>
      <w:r>
        <w:rPr>
          <w:rFonts w:eastAsia="Arial" w:cs="Arial"/>
          <w:sz w:val="24"/>
          <w:lang w:val="it-IT"/>
        </w:rPr>
        <w:br w:type="page"/>
      </w:r>
    </w:p>
    <w:p w:rsidR="001F439F" w:rsidRPr="00AF5BF8" w:rsidRDefault="00AF5BF8" w:rsidP="00AF5BF8">
      <w:pPr>
        <w:widowControl w:val="0"/>
        <w:autoSpaceDE w:val="0"/>
        <w:autoSpaceDN w:val="0"/>
        <w:ind w:left="2164" w:right="257"/>
        <w:rPr>
          <w:rFonts w:eastAsia="Arial" w:cs="Arial"/>
          <w:sz w:val="24"/>
          <w:lang w:val="it-IT"/>
        </w:rPr>
      </w:pPr>
      <w:r>
        <w:rPr>
          <w:rFonts w:eastAsia="Arial" w:cs="Arial"/>
          <w:sz w:val="24"/>
          <w:lang w:val="it-IT"/>
        </w:rPr>
        <w:lastRenderedPageBreak/>
        <w:t>«</w:t>
      </w:r>
      <w:r w:rsidR="001F439F" w:rsidRPr="00AF5BF8">
        <w:rPr>
          <w:rFonts w:eastAsia="Arial" w:cs="Arial"/>
          <w:i/>
          <w:sz w:val="24"/>
          <w:lang w:val="it-IT"/>
        </w:rPr>
        <w:t>La grande scommessa è quanto saremo saggi nell'utilizzare le tecnologie per finalità eticamente e socialmente solidali. Quindi tutto dipenderà nel futuro dalle nostre scelte mentali, che dovranno essere eticamente motivate, pur sempre con un grande punto interrogativo sull'imprevedibilità, in quanto il processo evolutivo della scienza e della tecnologia è intrinsecamente serendipico</w:t>
      </w:r>
      <w:r>
        <w:rPr>
          <w:rFonts w:eastAsia="Arial" w:cs="Arial"/>
          <w:sz w:val="24"/>
          <w:lang w:val="it-IT"/>
        </w:rPr>
        <w:t>»</w:t>
      </w:r>
      <w:r w:rsidR="001F439F" w:rsidRPr="00AF5BF8">
        <w:rPr>
          <w:rFonts w:eastAsia="Arial" w:cs="Arial"/>
          <w:sz w:val="24"/>
          <w:lang w:val="it-IT"/>
        </w:rPr>
        <w:t>. (Telmo Pievani)</w:t>
      </w:r>
    </w:p>
    <w:p w:rsidR="001F439F" w:rsidRDefault="001F439F" w:rsidP="001F439F">
      <w:pPr>
        <w:pStyle w:val="StandardRisoluzionedelConsigliodiStato"/>
        <w:ind w:right="-1"/>
      </w:pPr>
    </w:p>
    <w:p w:rsidR="001F439F" w:rsidRDefault="001F439F" w:rsidP="0038453D">
      <w:pPr>
        <w:pStyle w:val="StandardRisoluzionedelConsigliodiStato"/>
        <w:ind w:right="-1"/>
      </w:pPr>
    </w:p>
    <w:p w:rsidR="001F439F" w:rsidRPr="0038453D" w:rsidRDefault="0038453D" w:rsidP="0038453D">
      <w:pPr>
        <w:pStyle w:val="Titolo1"/>
        <w:numPr>
          <w:ilvl w:val="0"/>
          <w:numId w:val="0"/>
        </w:numPr>
        <w:spacing w:before="0"/>
        <w:ind w:left="567" w:hanging="567"/>
        <w:rPr>
          <w:sz w:val="24"/>
          <w:szCs w:val="24"/>
        </w:rPr>
      </w:pPr>
      <w:bookmarkStart w:id="0" w:name="_Toc179882458"/>
      <w:r w:rsidRPr="0038453D">
        <w:rPr>
          <w:sz w:val="24"/>
          <w:szCs w:val="24"/>
        </w:rPr>
        <w:t>1.</w:t>
      </w:r>
      <w:r w:rsidRPr="0038453D">
        <w:rPr>
          <w:sz w:val="24"/>
          <w:szCs w:val="24"/>
        </w:rPr>
        <w:tab/>
      </w:r>
      <w:r w:rsidR="001F439F" w:rsidRPr="0038453D">
        <w:rPr>
          <w:sz w:val="24"/>
          <w:szCs w:val="24"/>
        </w:rPr>
        <w:t>INTRODUZIONE</w:t>
      </w:r>
      <w:bookmarkEnd w:id="0"/>
    </w:p>
    <w:p w:rsidR="001F439F" w:rsidRDefault="001F439F" w:rsidP="005D092B">
      <w:pPr>
        <w:pStyle w:val="StandardRisoluzionedelConsigliodiStato"/>
      </w:pPr>
      <w:r>
        <w:t xml:space="preserve">A chi si addentra nella selva oscura degli interessi – molti, spesso contrastanti e sempre rilevanti – di una pianificazione ospedaliera cantonale (in seguito: </w:t>
      </w:r>
      <w:r w:rsidRPr="00312AA2">
        <w:rPr>
          <w:b/>
        </w:rPr>
        <w:t>POC</w:t>
      </w:r>
      <w:r>
        <w:t>), verrebbe da dire «</w:t>
      </w:r>
      <w:r w:rsidRPr="00312AA2">
        <w:rPr>
          <w:i/>
        </w:rPr>
        <w:t>lasciate ogni speranza o voi che entrate</w:t>
      </w:r>
      <w:r>
        <w:t>». Ma dal momento che l</w:t>
      </w:r>
      <w:r w:rsidR="00312AA2">
        <w:t>'</w:t>
      </w:r>
      <w:r>
        <w:t>esercizio va fatto, la Commissione conta di «</w:t>
      </w:r>
      <w:r w:rsidRPr="00312AA2">
        <w:rPr>
          <w:i/>
        </w:rPr>
        <w:t>uscire a riveder le stelle</w:t>
      </w:r>
      <w:r>
        <w:t>», conscia che la presente Pianificazione è (</w:t>
      </w:r>
      <w:r w:rsidRPr="00312AA2">
        <w:rPr>
          <w:b/>
        </w:rPr>
        <w:t>1</w:t>
      </w:r>
      <w:r>
        <w:t>) la prima che uscirà co</w:t>
      </w:r>
      <w:r w:rsidR="00312AA2">
        <w:t>n i</w:t>
      </w:r>
      <w:r>
        <w:t>l nuovo quadro giuridico in materia di suddivisione di competenze tra Esecutivo e Legislativo, (</w:t>
      </w:r>
      <w:r w:rsidRPr="00312AA2">
        <w:rPr>
          <w:b/>
        </w:rPr>
        <w:t>2</w:t>
      </w:r>
      <w:r>
        <w:t>) è stata trattata, discussa e viene proposta al plenum dopo che di fatto il Gran Consiglio ha approvato, a maggioranza, il 13 dicembre 2023,</w:t>
      </w:r>
      <w:r w:rsidR="00312AA2">
        <w:t xml:space="preserve"> il controprogetto conforme all'Iniziativa popolare "</w:t>
      </w:r>
      <w:r>
        <w:t>Per cure mediche e ospedaliere di prossimità</w:t>
      </w:r>
      <w:r w:rsidR="00312AA2">
        <w:t>" che ha portato all'</w:t>
      </w:r>
      <w:r>
        <w:t>introduzione dei nuovi art. 5a e 5b LEOC (Messaggio n. 8326) di modo che i margini politici per manovre tecnico/economiche più incisive in questa sede sono già stati in parte ridotti. Una riflessione andrà fatta ancora in futuro se si vedono realtà come San Gallo o la regione del Lago Lemano</w:t>
      </w:r>
      <w:r w:rsidR="00312AA2">
        <w:t>,</w:t>
      </w:r>
      <w:r>
        <w:t xml:space="preserve"> e più di re</w:t>
      </w:r>
      <w:r w:rsidR="00312AA2">
        <w:t>cente anche Zurigo, dove degli o</w:t>
      </w:r>
      <w:r>
        <w:t>spedali sono stati chiusi poiché</w:t>
      </w:r>
      <w:r w:rsidR="00312AA2">
        <w:t xml:space="preserve"> "</w:t>
      </w:r>
      <w:r>
        <w:t>fallimentari</w:t>
      </w:r>
      <w:r w:rsidR="00312AA2">
        <w:t>"</w:t>
      </w:r>
      <w:r>
        <w:t>; (</w:t>
      </w:r>
      <w:r w:rsidRPr="00312AA2">
        <w:rPr>
          <w:b/>
        </w:rPr>
        <w:t>3</w:t>
      </w:r>
      <w:r>
        <w:t xml:space="preserve">) è probabilmente una PO di transizione tra quella del 2015 bocciata nel 2019 con le sentenze del Tribunale federale amministrativo </w:t>
      </w:r>
      <w:r w:rsidR="00312AA2">
        <w:t>–</w:t>
      </w:r>
      <w:r>
        <w:t xml:space="preserve"> PO che ha lasciato una situazione di disparità ins</w:t>
      </w:r>
      <w:r w:rsidR="00312AA2">
        <w:t>oddisfacente e che va corretta –</w:t>
      </w:r>
      <w:r>
        <w:t xml:space="preserve"> e una futura successiva PO in cui si potrà contare su criteri di finanziamento e dati più consolidati e uniformi delle degenze </w:t>
      </w:r>
      <w:r w:rsidR="00312AA2">
        <w:t>ospedaliere. Pensiamo oltre all'</w:t>
      </w:r>
      <w:r>
        <w:t>ormai noto EFAS per le modalità di finanziamento, anche ad es. al progetto della Confederazione denominato Progetto SpiGes:</w:t>
      </w:r>
    </w:p>
    <w:p w:rsidR="00312AA2" w:rsidRDefault="00312AA2" w:rsidP="005D092B">
      <w:pPr>
        <w:pStyle w:val="StandardRisoluzionedelConsigliodiStato"/>
      </w:pPr>
    </w:p>
    <w:p w:rsidR="001F439F" w:rsidRDefault="00343EFB" w:rsidP="001F439F">
      <w:pPr>
        <w:pStyle w:val="StandardRisoluzionedelConsigliodiStato"/>
        <w:ind w:right="-1"/>
      </w:pPr>
      <w:hyperlink r:id="rId12" w:history="1">
        <w:r w:rsidR="001F439F" w:rsidRPr="00312AA2">
          <w:rPr>
            <w:rStyle w:val="Collegamentoipertestuale"/>
          </w:rPr>
          <w:t>https://www.bfs.admin.ch/bfs/fr/home/statistiques/sante/systeme-sante/projet-spiges.html</w:t>
        </w:r>
      </w:hyperlink>
      <w:r w:rsidR="001F439F">
        <w:t xml:space="preserve"> </w:t>
      </w:r>
    </w:p>
    <w:p w:rsidR="001F439F" w:rsidRDefault="001F439F" w:rsidP="001F439F">
      <w:pPr>
        <w:pStyle w:val="StandardRisoluzionedelConsigliodiStato"/>
        <w:ind w:right="-1"/>
      </w:pPr>
      <w:r>
        <w:t xml:space="preserve">il quale mira a semplificare la raccolta e </w:t>
      </w:r>
      <w:r w:rsidR="00312AA2">
        <w:t>l'utilizzazione di dati nell'</w:t>
      </w:r>
      <w:r>
        <w:t>ambito stazionario ospedaliero divenendo una base su cui eventualmente sviluppare ragionamenti anche a livello pianificatorio e di studio del fabbisogno.</w:t>
      </w:r>
    </w:p>
    <w:p w:rsidR="001F439F" w:rsidRDefault="001F439F" w:rsidP="001F439F">
      <w:pPr>
        <w:pStyle w:val="StandardRisoluzionedelConsigliodiStato"/>
        <w:ind w:right="-1"/>
      </w:pPr>
      <w:r>
        <w:t>Infine, l'esercizio di PO</w:t>
      </w:r>
      <w:r w:rsidR="00312AA2">
        <w:t>C</w:t>
      </w:r>
      <w:r>
        <w:t xml:space="preserve"> dovrebbe ambire ad essere un esercizio consolidato e condiviso poiché vi è anche il rischio che in futuro la competenza della PO venga trasferita a livello di Confederazione come proposto di recente da alcuni deputati alle Camere federali </w:t>
      </w:r>
      <w:r w:rsidR="005D092B">
        <w:t>(cfr. NZZ, 7.04.2024, pag. 11).</w:t>
      </w:r>
      <w:r w:rsidR="005D092B">
        <w:tab/>
      </w:r>
      <w:r w:rsidR="00312AA2">
        <w:br/>
      </w:r>
    </w:p>
    <w:p w:rsidR="001F439F" w:rsidRDefault="001F439F" w:rsidP="00312AA2">
      <w:pPr>
        <w:pStyle w:val="Titolo2"/>
        <w:numPr>
          <w:ilvl w:val="0"/>
          <w:numId w:val="0"/>
        </w:numPr>
        <w:ind w:left="544" w:hanging="544"/>
      </w:pPr>
      <w:bookmarkStart w:id="1" w:name="_Toc179882459"/>
      <w:r>
        <w:t>1.1.</w:t>
      </w:r>
      <w:r>
        <w:tab/>
        <w:t>IL QUADRO GIURIDICO</w:t>
      </w:r>
      <w:bookmarkEnd w:id="1"/>
    </w:p>
    <w:p w:rsidR="001F439F" w:rsidRDefault="001F439F" w:rsidP="001F439F">
      <w:pPr>
        <w:pStyle w:val="StandardRisoluzionedelConsigliodiStato"/>
        <w:ind w:right="-1"/>
      </w:pPr>
      <w:r>
        <w:t xml:space="preserve">La </w:t>
      </w:r>
      <w:r w:rsidR="00312AA2">
        <w:t>POC è prevista dall'</w:t>
      </w:r>
      <w:r>
        <w:t>art. 65 LCAMal.</w:t>
      </w:r>
    </w:p>
    <w:p w:rsidR="001F439F" w:rsidRDefault="001F439F" w:rsidP="001F439F">
      <w:pPr>
        <w:pStyle w:val="StandardRisoluzionedelConsigliodiStato"/>
        <w:ind w:right="-1"/>
      </w:pPr>
      <w:r>
        <w:t>A livello cantonale la stessa è prevista in due tappe</w:t>
      </w:r>
      <w:r w:rsidR="00312AA2">
        <w:t>,</w:t>
      </w:r>
      <w:r>
        <w:t xml:space="preserve"> come stabilito dalla modifica legislativa adottata dal Gran Consiglio il 20 ottobre 2021.</w:t>
      </w:r>
    </w:p>
    <w:p w:rsidR="001F439F" w:rsidRDefault="001F439F" w:rsidP="001F439F">
      <w:pPr>
        <w:pStyle w:val="StandardRisoluzionedelConsigliodiStato"/>
        <w:ind w:right="-1"/>
      </w:pPr>
      <w:r>
        <w:t>Consiglio di Stato e Gran Consiglio hanno competenze distinte nelle due tappe, e meglio:</w:t>
      </w:r>
    </w:p>
    <w:p w:rsidR="005D092B" w:rsidRDefault="005D092B" w:rsidP="001F439F">
      <w:pPr>
        <w:pStyle w:val="StandardRisoluzionedelConsigliodiStato"/>
        <w:ind w:right="-1"/>
      </w:pPr>
      <w:r>
        <w:br w:type="page"/>
      </w:r>
    </w:p>
    <w:p w:rsidR="001F439F" w:rsidRDefault="001F439F" w:rsidP="0003335A">
      <w:pPr>
        <w:pStyle w:val="StandardRisoluzionedelConsigliodiStato"/>
        <w:numPr>
          <w:ilvl w:val="0"/>
          <w:numId w:val="39"/>
        </w:numPr>
        <w:tabs>
          <w:tab w:val="left" w:pos="284"/>
        </w:tabs>
        <w:ind w:left="284" w:right="-1" w:hanging="284"/>
      </w:pPr>
      <w:r w:rsidRPr="00312AA2">
        <w:rPr>
          <w:b/>
        </w:rPr>
        <w:lastRenderedPageBreak/>
        <w:t>Prima tappa:</w:t>
      </w:r>
    </w:p>
    <w:p w:rsidR="001F439F" w:rsidRDefault="001F439F" w:rsidP="00312AA2">
      <w:pPr>
        <w:pStyle w:val="StandardRisoluzionedelConsigliodiStato"/>
        <w:ind w:left="284" w:right="-1"/>
      </w:pPr>
      <w:r w:rsidRPr="00312AA2">
        <w:rPr>
          <w:u w:val="single"/>
        </w:rPr>
        <w:t>Il Consiglio di Stato</w:t>
      </w:r>
      <w:r>
        <w:t>:</w:t>
      </w:r>
    </w:p>
    <w:p w:rsidR="001F439F" w:rsidRDefault="001F439F" w:rsidP="00312AA2">
      <w:pPr>
        <w:pStyle w:val="StandardRisoluzionedelConsigliodiStato"/>
        <w:ind w:left="851" w:right="-1" w:hanging="284"/>
      </w:pPr>
      <w:r>
        <w:t>1.</w:t>
      </w:r>
      <w:r>
        <w:tab/>
        <w:t>allestisce uno studio sul fabbisogno di cure ospedaliere</w:t>
      </w:r>
      <w:r w:rsidR="00312AA2">
        <w:t>;</w:t>
      </w:r>
    </w:p>
    <w:p w:rsidR="001F439F" w:rsidRDefault="001F439F" w:rsidP="00312AA2">
      <w:pPr>
        <w:pStyle w:val="StandardRisoluzionedelConsigliodiStato"/>
        <w:ind w:left="851" w:right="-1" w:hanging="284"/>
      </w:pPr>
      <w:r>
        <w:t>2.</w:t>
      </w:r>
      <w:r>
        <w:tab/>
        <w:t>elabora un messaggio (che è quello oggetto del presente rapporto) sugli indirizzi strategici della POC, consultando la Commissione della pianificazione sanitaria</w:t>
      </w:r>
      <w:r w:rsidR="00312AA2">
        <w:t>.</w:t>
      </w:r>
    </w:p>
    <w:p w:rsidR="00312AA2" w:rsidRDefault="00312AA2" w:rsidP="00312AA2">
      <w:pPr>
        <w:pStyle w:val="StandardRisoluzionedelConsigliodiStato"/>
        <w:ind w:left="851" w:right="-1" w:hanging="284"/>
      </w:pPr>
    </w:p>
    <w:p w:rsidR="001F439F" w:rsidRDefault="001F439F" w:rsidP="00312AA2">
      <w:pPr>
        <w:pStyle w:val="StandardRisoluzionedelConsigliodiStato"/>
        <w:ind w:left="284" w:right="-1"/>
      </w:pPr>
      <w:r w:rsidRPr="00312AA2">
        <w:rPr>
          <w:u w:val="single"/>
        </w:rPr>
        <w:t>Il Gran Consiglio</w:t>
      </w:r>
      <w:r>
        <w:t>:</w:t>
      </w:r>
    </w:p>
    <w:p w:rsidR="001F439F" w:rsidRDefault="001F439F" w:rsidP="00312AA2">
      <w:pPr>
        <w:pStyle w:val="StandardRisoluzionedelConsigliodiStato"/>
        <w:ind w:left="851" w:right="-1" w:hanging="284"/>
      </w:pPr>
      <w:r>
        <w:t>3.</w:t>
      </w:r>
      <w:r>
        <w:tab/>
        <w:t>determina l'impostazione strategica sulla base del messaggio del CdS</w:t>
      </w:r>
      <w:r w:rsidR="00312AA2">
        <w:t>;</w:t>
      </w:r>
    </w:p>
    <w:p w:rsidR="001F439F" w:rsidRDefault="001F439F" w:rsidP="00312AA2">
      <w:pPr>
        <w:pStyle w:val="StandardRisoluzionedelConsigliodiStato"/>
        <w:ind w:left="851" w:right="-1" w:hanging="284"/>
      </w:pPr>
      <w:r>
        <w:t>4.</w:t>
      </w:r>
      <w:r>
        <w:tab/>
        <w:t>prende conoscenza</w:t>
      </w:r>
      <w:r w:rsidR="00312AA2">
        <w:t xml:space="preserve"> del modulo di sollecitazione d'</w:t>
      </w:r>
      <w:r>
        <w:t>offerta, della suddivisione nei gruppi</w:t>
      </w:r>
      <w:r w:rsidR="00312AA2">
        <w:t xml:space="preserve"> di prestazione e dei requisiti;</w:t>
      </w:r>
      <w:r>
        <w:t xml:space="preserve"> </w:t>
      </w:r>
    </w:p>
    <w:p w:rsidR="001F439F" w:rsidRDefault="001F439F" w:rsidP="00312AA2">
      <w:pPr>
        <w:pStyle w:val="StandardRisoluzionedelConsigliodiStato"/>
        <w:ind w:left="851" w:right="-1" w:hanging="284"/>
      </w:pPr>
      <w:r>
        <w:t>5.</w:t>
      </w:r>
      <w:r>
        <w:tab/>
        <w:t>decide l'eventuale aumento della quota parte minima del Cantone</w:t>
      </w:r>
      <w:r w:rsidR="00312AA2">
        <w:t>;</w:t>
      </w:r>
    </w:p>
    <w:p w:rsidR="001F439F" w:rsidRDefault="001F439F" w:rsidP="00312AA2">
      <w:pPr>
        <w:pStyle w:val="StandardRisoluzionedelConsigliodiStato"/>
        <w:ind w:left="851" w:right="-1" w:hanging="284"/>
      </w:pPr>
      <w:r>
        <w:t>6.</w:t>
      </w:r>
      <w:r>
        <w:tab/>
        <w:t>determina la partecipazione del Cantone ai costi delle prestazioni di interesse generale</w:t>
      </w:r>
      <w:r w:rsidR="00312AA2">
        <w:t>;</w:t>
      </w:r>
    </w:p>
    <w:p w:rsidR="001F439F" w:rsidRDefault="001F439F" w:rsidP="00312AA2">
      <w:pPr>
        <w:pStyle w:val="StandardRisoluzionedelConsigliodiStato"/>
        <w:ind w:left="851" w:right="-1" w:hanging="284"/>
      </w:pPr>
      <w:r>
        <w:t>7.</w:t>
      </w:r>
      <w:r>
        <w:tab/>
        <w:t>approva il finanziamento di programmi sanitari specifici</w:t>
      </w:r>
      <w:r w:rsidR="00312AA2">
        <w:t>.</w:t>
      </w:r>
    </w:p>
    <w:p w:rsidR="001F439F" w:rsidRDefault="001F439F" w:rsidP="001F439F">
      <w:pPr>
        <w:pStyle w:val="StandardRisoluzionedelConsigliodiStato"/>
        <w:ind w:right="-1"/>
      </w:pPr>
    </w:p>
    <w:p w:rsidR="001F439F" w:rsidRDefault="001F439F" w:rsidP="0003335A">
      <w:pPr>
        <w:pStyle w:val="StandardRisoluzionedelConsigliodiStato"/>
        <w:numPr>
          <w:ilvl w:val="0"/>
          <w:numId w:val="38"/>
        </w:numPr>
        <w:tabs>
          <w:tab w:val="left" w:pos="284"/>
          <w:tab w:val="left" w:pos="567"/>
        </w:tabs>
        <w:ind w:left="284" w:right="-1" w:hanging="284"/>
      </w:pPr>
      <w:r w:rsidRPr="00312AA2">
        <w:rPr>
          <w:b/>
        </w:rPr>
        <w:t>Seconda tappa:</w:t>
      </w:r>
    </w:p>
    <w:p w:rsidR="001F439F" w:rsidRDefault="001F439F" w:rsidP="00312AA2">
      <w:pPr>
        <w:pStyle w:val="StandardRisoluzionedelConsigliodiStato"/>
        <w:ind w:left="284" w:right="-1"/>
      </w:pPr>
      <w:r w:rsidRPr="00312AA2">
        <w:rPr>
          <w:u w:val="single"/>
        </w:rPr>
        <w:t>Il Consiglio di Stato</w:t>
      </w:r>
      <w:r>
        <w:t>:</w:t>
      </w:r>
    </w:p>
    <w:p w:rsidR="001F439F" w:rsidRDefault="001F439F" w:rsidP="00312AA2">
      <w:pPr>
        <w:pStyle w:val="StandardRisoluzionedelConsigliodiStato"/>
        <w:ind w:left="851" w:right="-1" w:hanging="284"/>
      </w:pPr>
      <w:r>
        <w:t>1.</w:t>
      </w:r>
      <w:r>
        <w:tab/>
        <w:t>tenuto conto degli indirizzi dettati dal GC;</w:t>
      </w:r>
    </w:p>
    <w:p w:rsidR="001F439F" w:rsidRDefault="00312AA2" w:rsidP="00312AA2">
      <w:pPr>
        <w:pStyle w:val="StandardRisoluzionedelConsigliodiStato"/>
        <w:ind w:left="851" w:right="-1" w:hanging="284"/>
      </w:pPr>
      <w:r>
        <w:t>2.</w:t>
      </w:r>
      <w:r>
        <w:tab/>
        <w:t>allestisce l'</w:t>
      </w:r>
      <w:r w:rsidR="001F439F">
        <w:t>elenco degli istituti autorizzati</w:t>
      </w:r>
      <w:r>
        <w:t>;</w:t>
      </w:r>
    </w:p>
    <w:p w:rsidR="001F439F" w:rsidRDefault="001F439F" w:rsidP="00312AA2">
      <w:pPr>
        <w:pStyle w:val="StandardRisoluzionedelConsigliodiStato"/>
        <w:ind w:left="851" w:right="-1" w:hanging="284"/>
      </w:pPr>
      <w:r>
        <w:t>3.</w:t>
      </w:r>
      <w:r>
        <w:tab/>
        <w:t>trasmette per</w:t>
      </w:r>
      <w:r w:rsidR="00312AA2">
        <w:t xml:space="preserve"> discussione con un messaggio l'</w:t>
      </w:r>
      <w:r>
        <w:t>elenco pianificatorio al Gran Consiglio</w:t>
      </w:r>
      <w:r w:rsidR="00312AA2">
        <w:t>.</w:t>
      </w:r>
    </w:p>
    <w:p w:rsidR="00312AA2" w:rsidRDefault="00312AA2" w:rsidP="00312AA2">
      <w:pPr>
        <w:pStyle w:val="StandardRisoluzionedelConsigliodiStato"/>
        <w:ind w:left="851" w:right="-1" w:hanging="284"/>
      </w:pPr>
    </w:p>
    <w:p w:rsidR="001F439F" w:rsidRDefault="001F439F" w:rsidP="00312AA2">
      <w:pPr>
        <w:pStyle w:val="StandardRisoluzionedelConsigliodiStato"/>
        <w:ind w:left="284" w:right="-1"/>
      </w:pPr>
      <w:r w:rsidRPr="00312AA2">
        <w:rPr>
          <w:u w:val="single"/>
        </w:rPr>
        <w:t>Il Gran Consiglio</w:t>
      </w:r>
      <w:r>
        <w:t>:</w:t>
      </w:r>
    </w:p>
    <w:p w:rsidR="001F439F" w:rsidRDefault="001F439F" w:rsidP="00312AA2">
      <w:pPr>
        <w:pStyle w:val="StandardRisoluzionedelConsigliodiStato"/>
        <w:ind w:left="851" w:right="-1" w:hanging="284"/>
      </w:pPr>
      <w:r>
        <w:t>4.</w:t>
      </w:r>
      <w:r>
        <w:tab/>
        <w:t>prende atto del messaggio con l’elenco dei mandati</w:t>
      </w:r>
      <w:r w:rsidR="00312AA2">
        <w:t>.</w:t>
      </w:r>
    </w:p>
    <w:p w:rsidR="001F439F" w:rsidRDefault="001F439F" w:rsidP="001F439F">
      <w:pPr>
        <w:pStyle w:val="StandardRisoluzionedelConsigliodiStato"/>
        <w:ind w:right="-1"/>
      </w:pPr>
    </w:p>
    <w:p w:rsidR="001F439F" w:rsidRDefault="001F439F" w:rsidP="00312AA2">
      <w:pPr>
        <w:pStyle w:val="StandardRisoluzionedelConsigliodiStato"/>
        <w:spacing w:before="60" w:after="60"/>
      </w:pPr>
      <w:r>
        <w:t>Approvato il messaggio di cui a questo rapporto, il Consiglio di Stato indica che la seconda tappa della POC, di sua competenza</w:t>
      </w:r>
      <w:r w:rsidR="00312AA2">
        <w:t>,</w:t>
      </w:r>
      <w:r>
        <w:t xml:space="preserve"> avverrà come segue:</w:t>
      </w:r>
    </w:p>
    <w:p w:rsidR="001F439F" w:rsidRDefault="00312AA2" w:rsidP="00367061">
      <w:pPr>
        <w:pStyle w:val="StandardRisoluzionedelConsigliodiStato"/>
        <w:ind w:left="567" w:hanging="283"/>
      </w:pPr>
      <w:r>
        <w:t>1.</w:t>
      </w:r>
      <w:r>
        <w:tab/>
        <w:t>t</w:t>
      </w:r>
      <w:r w:rsidR="001F439F">
        <w:t xml:space="preserve">re </w:t>
      </w:r>
      <w:r>
        <w:t>mesi per la sollecitazione dell'</w:t>
      </w:r>
      <w:r w:rsidR="001F439F">
        <w:t>o</w:t>
      </w:r>
      <w:r>
        <w:t>fferta (invio moduli e rientro);</w:t>
      </w:r>
    </w:p>
    <w:p w:rsidR="001F439F" w:rsidRDefault="00312AA2" w:rsidP="00367061">
      <w:pPr>
        <w:pStyle w:val="StandardRisoluzionedelConsigliodiStato"/>
        <w:ind w:left="567" w:hanging="283"/>
      </w:pPr>
      <w:r>
        <w:t>2.</w:t>
      </w:r>
      <w:r>
        <w:tab/>
        <w:t>t</w:t>
      </w:r>
      <w:r w:rsidR="001F439F">
        <w:t>re mesi per la valutazione delle offerte (controllo qualitativo della documentazione, incontri con le strutture, ve</w:t>
      </w:r>
      <w:r>
        <w:t>rifiche in situ, decisione dell'</w:t>
      </w:r>
      <w:r w:rsidR="001F439F">
        <w:t>attribuzione dei mandati) e per la comunicazione della lista dei mandati con un messaggio al Gran Consiglio (che ne prende atto)</w:t>
      </w:r>
      <w:r>
        <w:t>.</w:t>
      </w:r>
    </w:p>
    <w:p w:rsidR="001F439F" w:rsidRDefault="001F439F" w:rsidP="001F439F">
      <w:pPr>
        <w:pStyle w:val="StandardRisoluzionedelConsigliodiStato"/>
        <w:ind w:right="-1"/>
      </w:pPr>
    </w:p>
    <w:p w:rsidR="001F439F" w:rsidRDefault="001F439F" w:rsidP="00312AA2">
      <w:pPr>
        <w:pStyle w:val="Titolo2"/>
        <w:numPr>
          <w:ilvl w:val="0"/>
          <w:numId w:val="0"/>
        </w:numPr>
        <w:ind w:left="544" w:hanging="544"/>
      </w:pPr>
      <w:bookmarkStart w:id="2" w:name="_Toc179882460"/>
      <w:r>
        <w:t>1.2.</w:t>
      </w:r>
      <w:r>
        <w:tab/>
        <w:t>IL CONTESTO E I MARGINI DI MANOVRA</w:t>
      </w:r>
      <w:bookmarkEnd w:id="2"/>
    </w:p>
    <w:p w:rsidR="001F439F" w:rsidRDefault="001F439F" w:rsidP="00367061">
      <w:pPr>
        <w:pStyle w:val="StandardRisoluzionedelConsigliodiStato"/>
      </w:pPr>
      <w:r>
        <w:t>Dalla modifica della LAMal, entrata in vigore con effetto dal 1° gennaio 2012, i Can</w:t>
      </w:r>
      <w:r w:rsidR="00312AA2">
        <w:t>toni sono chiamati (riservata l'</w:t>
      </w:r>
      <w:r>
        <w:t>entrata in vigore effett</w:t>
      </w:r>
      <w:r w:rsidR="00312AA2">
        <w:t>iva del sistema EFAS, votato in P</w:t>
      </w:r>
      <w:r>
        <w:t>arlamento federale a dicembre 2023</w:t>
      </w:r>
      <w:r w:rsidR="00312AA2">
        <w:t>,</w:t>
      </w:r>
      <w:r>
        <w:t xml:space="preserve"> che modificherà in futuro la percentuale del contributo parificandolo sia nel settore stazionario </w:t>
      </w:r>
      <w:r w:rsidR="00312AA2">
        <w:t>sia</w:t>
      </w:r>
      <w:r>
        <w:t xml:space="preserve"> in quello ambulatoriale) a contribuire:</w:t>
      </w:r>
    </w:p>
    <w:p w:rsidR="001F439F" w:rsidRDefault="001F439F" w:rsidP="00367061">
      <w:pPr>
        <w:pStyle w:val="StandardRisoluzionedelConsigliodiStato"/>
        <w:numPr>
          <w:ilvl w:val="0"/>
          <w:numId w:val="37"/>
        </w:numPr>
        <w:ind w:left="567" w:hanging="283"/>
      </w:pPr>
      <w:r>
        <w:t>nella misura minima del 55% al finanziamento delle degenze ospedaliere (nei settori somatico­acuto, psichiatrico e riabilitativo; settore delle cure ospedaliere stazionarie) che avvengono</w:t>
      </w:r>
    </w:p>
    <w:p w:rsidR="001F439F" w:rsidRDefault="001F439F" w:rsidP="00367061">
      <w:pPr>
        <w:pStyle w:val="StandardRisoluzionedelConsigliodiStato"/>
        <w:numPr>
          <w:ilvl w:val="0"/>
          <w:numId w:val="37"/>
        </w:numPr>
        <w:ind w:left="567" w:right="-1" w:hanging="283"/>
      </w:pPr>
      <w:r>
        <w:t>in uno degli istituti (pubblici o privati) che figurano sull'elenco del Cantone, determinato in esito al processo di pianificazione ospedaliera, o in quello di altri Cantoni, in virtù del diritto della libera scelta dell'istituto dove farsi curare sancito dalla LAMal.</w:t>
      </w:r>
    </w:p>
    <w:p w:rsidR="00312AA2" w:rsidRDefault="00312AA2" w:rsidP="001F439F">
      <w:pPr>
        <w:pStyle w:val="StandardRisoluzionedelConsigliodiStato"/>
        <w:ind w:right="-1"/>
      </w:pPr>
    </w:p>
    <w:p w:rsidR="001F439F" w:rsidRDefault="001F439F" w:rsidP="001F439F">
      <w:pPr>
        <w:pStyle w:val="StandardRisoluzionedelConsigliodiStato"/>
        <w:ind w:right="-1"/>
      </w:pPr>
      <w:r>
        <w:lastRenderedPageBreak/>
        <w:t>Il settore delle cure ospedaliere stazionarie, nel sistema attuale di finanziamento diretto dei Cantoni</w:t>
      </w:r>
      <w:r w:rsidR="00312AA2">
        <w:t>,</w:t>
      </w:r>
      <w:r>
        <w:t xml:space="preserve"> incide come dal grafico che segue sull'intera spesa a carico della LAMal considerata per il calcolo dei premi:</w:t>
      </w:r>
    </w:p>
    <w:p w:rsidR="00312AA2" w:rsidRDefault="001F439F" w:rsidP="001F439F">
      <w:pPr>
        <w:pStyle w:val="StandardRisoluzionedelConsigliodiStato"/>
        <w:ind w:right="-1"/>
      </w:pPr>
      <w:r>
        <w:t xml:space="preserve"> </w:t>
      </w:r>
    </w:p>
    <w:p w:rsidR="00312AA2" w:rsidRDefault="00810CB9" w:rsidP="00810CB9">
      <w:pPr>
        <w:pStyle w:val="StandardRisoluzionedelConsigliodiStato"/>
        <w:ind w:right="-1" w:firstLine="1276"/>
      </w:pPr>
      <w:r w:rsidRPr="00856C32">
        <w:rPr>
          <w:rFonts w:eastAsia="Arial" w:cs="Arial"/>
          <w:noProof/>
          <w:sz w:val="20"/>
          <w:lang w:eastAsia="it-CH"/>
        </w:rPr>
        <w:drawing>
          <wp:inline distT="0" distB="0" distL="0" distR="0" wp14:anchorId="1BACEF0A" wp14:editId="545B0C7A">
            <wp:extent cx="4054985" cy="240563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054985" cy="2405633"/>
                    </a:xfrm>
                    <a:prstGeom prst="rect">
                      <a:avLst/>
                    </a:prstGeom>
                  </pic:spPr>
                </pic:pic>
              </a:graphicData>
            </a:graphic>
          </wp:inline>
        </w:drawing>
      </w:r>
    </w:p>
    <w:p w:rsidR="00312AA2" w:rsidRDefault="00312AA2" w:rsidP="001F439F">
      <w:pPr>
        <w:pStyle w:val="StandardRisoluzionedelConsigliodiStato"/>
        <w:ind w:right="-1"/>
      </w:pPr>
    </w:p>
    <w:p w:rsidR="001F439F" w:rsidRDefault="001F439F" w:rsidP="001F439F">
      <w:pPr>
        <w:pStyle w:val="StandardRisoluzionedelConsigliodiStato"/>
        <w:ind w:right="-1"/>
      </w:pPr>
    </w:p>
    <w:p w:rsidR="001F439F" w:rsidRDefault="001F439F" w:rsidP="001F439F">
      <w:pPr>
        <w:pStyle w:val="StandardRisoluzionedelConsigliodiStato"/>
        <w:ind w:right="-1"/>
      </w:pPr>
      <w:r>
        <w:t>Il Cantone Ticino assume la quota di spesa a suo carico finanziando le strutture pubbliche e private che figurano sull'elenco cantonale con un contributo globale definito in un contratto di prestazione (art. 51 cpv. 1 LAMal), e meglio sulla base di un contratto quadro pluriennale e di un contratto di prestazione annuale.</w:t>
      </w:r>
    </w:p>
    <w:p w:rsidR="001F439F" w:rsidRDefault="001F439F" w:rsidP="001F439F">
      <w:pPr>
        <w:pStyle w:val="StandardRisoluzionedelConsigliodiStato"/>
        <w:ind w:right="-1"/>
      </w:pPr>
      <w:r>
        <w:t>Questo approccio è codificato agli art. 66c segg. LCAMal e agli art. 48a segg. del relativo Regolamento del 29 maggio 2012 (RLCAMal) e ha permesso di tenere sotto controllo il contributo del Cantone al finanziamento delle degenze ospedaliere della popolazione residente in Ticino.</w:t>
      </w:r>
    </w:p>
    <w:p w:rsidR="001F439F" w:rsidRDefault="001F439F" w:rsidP="001F439F">
      <w:pPr>
        <w:pStyle w:val="StandardRisoluzionedelConsigliodiStato"/>
        <w:ind w:right="-1"/>
      </w:pPr>
      <w:r>
        <w:t>Dal 2012 al 2021 questo contributo è passato da 325.5 milioni di franchi a 393.5 milioni di franchi, con un aumento annuale medi</w:t>
      </w:r>
      <w:r w:rsidR="000946F8">
        <w:t>o dei contributi cantonali dell'</w:t>
      </w:r>
      <w:r>
        <w:t xml:space="preserve">1.8% per le ospedalizzazioni nel Cantone e del 6.3% per </w:t>
      </w:r>
      <w:r w:rsidR="000946F8">
        <w:t>quelle</w:t>
      </w:r>
      <w:r>
        <w:t xml:space="preserve"> fuori Cantone. Complessivamente l’aumento medio annuo dei contributi alle degenze ospedaliere è</w:t>
      </w:r>
      <w:r w:rsidR="000946F8">
        <w:t xml:space="preserve"> stato del 2.1%, a fronte di un'</w:t>
      </w:r>
      <w:r>
        <w:t>evoluzione della spesa sanitaria a carico della LAMal del 3.8</w:t>
      </w:r>
      <w:r w:rsidR="000946F8">
        <w:t>% all'</w:t>
      </w:r>
      <w:r>
        <w:t>anno. Se il Cantone avesse optato per un pagamento fattura per fattura delle degenze ospedaliere nel Cantone, avrebbe dovuto spendere qualche decina di milioni in più.</w:t>
      </w:r>
    </w:p>
    <w:p w:rsidR="001F439F" w:rsidRDefault="001F439F" w:rsidP="001F439F">
      <w:pPr>
        <w:pStyle w:val="StandardRisoluzionedelConsigliodiStato"/>
        <w:ind w:right="-1"/>
      </w:pPr>
      <w:r>
        <w:t>Il contributo annuale è fisso e rimane acquisito all'istituto se l'attività negoziata a preventivo oscilla entro una soglia del +/­ 3%. Al di fuori di questa soglia, scostamenti negativi sfociano in una restituzione al Cantone e scostamenti positivi in un versamento all'Istituto, valutati a costi marginali.</w:t>
      </w:r>
    </w:p>
    <w:p w:rsidR="001F439F" w:rsidRDefault="001F439F" w:rsidP="001F439F">
      <w:pPr>
        <w:pStyle w:val="StandardRisoluzionedelConsigliodiStato"/>
        <w:ind w:right="-1"/>
      </w:pPr>
      <w:r>
        <w:t xml:space="preserve">Nel suo messaggio il Governo tiene a evidenziare che </w:t>
      </w:r>
      <w:r w:rsidRPr="000946F8">
        <w:rPr>
          <w:u w:val="single"/>
        </w:rPr>
        <w:t xml:space="preserve">la POC non </w:t>
      </w:r>
      <w:r w:rsidR="000946F8" w:rsidRPr="000946F8">
        <w:rPr>
          <w:u w:val="single"/>
        </w:rPr>
        <w:t>costituisce</w:t>
      </w:r>
      <w:r w:rsidRPr="000946F8">
        <w:rPr>
          <w:u w:val="single"/>
        </w:rPr>
        <w:t xml:space="preserve"> uno strumento attraverso il quale </w:t>
      </w:r>
      <w:r w:rsidR="000946F8" w:rsidRPr="000946F8">
        <w:rPr>
          <w:u w:val="single"/>
        </w:rPr>
        <w:t>è</w:t>
      </w:r>
      <w:r w:rsidRPr="000946F8">
        <w:rPr>
          <w:u w:val="single"/>
        </w:rPr>
        <w:t xml:space="preserve"> possibile incidere sulla spesa sanitaria in generale e nemmeno su quella ospedaliera in particolare</w:t>
      </w:r>
      <w:r>
        <w:t>. Ciò poiché un istituto che dispone dei requisiti di sicurezza, qualità ed economicità per ottenere un determinato mandato non può</w:t>
      </w:r>
      <w:r w:rsidR="000946F8">
        <w:t>, per L</w:t>
      </w:r>
      <w:r>
        <w:t>egge federale</w:t>
      </w:r>
      <w:r w:rsidR="000946F8">
        <w:t>,</w:t>
      </w:r>
      <w:r>
        <w:t xml:space="preserve"> non ess</w:t>
      </w:r>
      <w:r w:rsidR="000946F8">
        <w:t>ere considerato al momento dell'</w:t>
      </w:r>
      <w:r>
        <w:t>attribuzione di mandati.</w:t>
      </w:r>
    </w:p>
    <w:p w:rsidR="005D092B" w:rsidRDefault="005D092B" w:rsidP="001F439F">
      <w:pPr>
        <w:pStyle w:val="StandardRisoluzionedelConsigliodiStato"/>
        <w:ind w:right="-1"/>
      </w:pPr>
      <w:r>
        <w:br w:type="page"/>
      </w:r>
    </w:p>
    <w:p w:rsidR="001F439F" w:rsidRDefault="001F439F" w:rsidP="001F439F">
      <w:pPr>
        <w:pStyle w:val="StandardRisoluzionedelConsigliodiStato"/>
        <w:ind w:right="-1"/>
      </w:pPr>
      <w:r>
        <w:lastRenderedPageBreak/>
        <w:t>La Commissione osserva che:</w:t>
      </w:r>
    </w:p>
    <w:p w:rsidR="001F439F" w:rsidRDefault="001F439F" w:rsidP="00367061">
      <w:pPr>
        <w:pStyle w:val="StandardRisoluzionedelConsigliodiStato"/>
        <w:numPr>
          <w:ilvl w:val="0"/>
          <w:numId w:val="36"/>
        </w:numPr>
        <w:ind w:left="567" w:hanging="283"/>
      </w:pPr>
      <w:r>
        <w:t xml:space="preserve">a pag. 35 </w:t>
      </w:r>
      <w:r w:rsidR="000946F8">
        <w:t>(</w:t>
      </w:r>
      <w:r>
        <w:t>punto 1.3.2 del Messaggio</w:t>
      </w:r>
      <w:r w:rsidR="000946F8">
        <w:t>)</w:t>
      </w:r>
      <w:r>
        <w:t xml:space="preserve"> si indica che i Cantoni possono fissare delle soglie per la</w:t>
      </w:r>
      <w:r w:rsidR="000946F8">
        <w:t xml:space="preserve"> copertura del fabbisogno che l'</w:t>
      </w:r>
      <w:r>
        <w:t>istit</w:t>
      </w:r>
      <w:r w:rsidR="000946F8">
        <w:t>uto deve assicurare. Nel caso l'</w:t>
      </w:r>
      <w:r>
        <w:t>offerta di cure stazionarie fosse sufficiente o superiore al fabbisogno, un istituto nel Cantone non è considerato come importante per la copertura del fabbisogno se non fornisce, per un determinato gruppo di prestazioni e periodo di tempo, almeno il 5% (e minimo 10 casi) delle cure stazionarie erogate a pazienti residenti. Nella medesima situazione un istituto fuori Cantone non è considerato come</w:t>
      </w:r>
      <w:r w:rsidR="000946F8">
        <w:t xml:space="preserve"> </w:t>
      </w:r>
      <w:r>
        <w:t>importante per la copertura del fabbisogno se non fornisce almeno il 10% (e minimo 10 casi) delle cure stazionarie erogate a pazienti residenti</w:t>
      </w:r>
      <w:r w:rsidR="000946F8">
        <w:t xml:space="preserve"> nel Cantone che allestisce la P</w:t>
      </w:r>
      <w:r>
        <w:t>ianificazione. Quindi il Cantone ha comunque un margine di manovra</w:t>
      </w:r>
      <w:r w:rsidR="000946F8">
        <w:t>,</w:t>
      </w:r>
      <w:r>
        <w:t xml:space="preserve"> seppur ridotto. In questo contesto si inserisce tutta la discussione attuale su quali sono i requisiti (volume storico o da raggiungere entro un lasso di tempo) che devono essere determinati prima. La Commissione ritiene che idealmente la massa minima dovrebbe essere anche superiore a</w:t>
      </w:r>
      <w:r w:rsidR="000946F8">
        <w:t>i 10 casi e soprattutto, con un'</w:t>
      </w:r>
      <w:r>
        <w:t>indicazione certificata sottoposta a seri criteri. Senza giungere a imporre un numero minimo superiore, la Commissione invita il Governo a fare le sue valutazioni anche in questo senso.</w:t>
      </w:r>
    </w:p>
    <w:p w:rsidR="001F439F" w:rsidRDefault="001F439F" w:rsidP="00367061">
      <w:pPr>
        <w:pStyle w:val="StandardRisoluzionedelConsigliodiStato"/>
        <w:numPr>
          <w:ilvl w:val="0"/>
          <w:numId w:val="36"/>
        </w:numPr>
        <w:ind w:left="567" w:hanging="283"/>
      </w:pPr>
      <w:r>
        <w:t>Le famose sentenze (DTAF 2019 V/6 e DTAF 2019 V/7) non appaiono interpretate in modo del tutto corretto nel Messaggio. Viene infatti riportato che prima devono essere fissati in modo t</w:t>
      </w:r>
      <w:r w:rsidR="000946F8">
        <w:t xml:space="preserve">rasparente i criteri di scelta </w:t>
      </w:r>
      <w:r w:rsidR="007E6BFD">
        <w:t>–</w:t>
      </w:r>
      <w:r w:rsidR="000946F8">
        <w:t xml:space="preserve"> </w:t>
      </w:r>
      <w:r>
        <w:t>non</w:t>
      </w:r>
      <w:r w:rsidR="000946F8">
        <w:t xml:space="preserve"> vi può essere arbitrio nell'</w:t>
      </w:r>
      <w:r>
        <w:t xml:space="preserve">attribuzione dei mandati </w:t>
      </w:r>
      <w:r w:rsidR="007E6BFD">
        <w:t>–</w:t>
      </w:r>
      <w:r w:rsidR="000946F8">
        <w:t>,</w:t>
      </w:r>
      <w:r>
        <w:t xml:space="preserve"> ma non viene prescritto che non si possano fare delle scelte e fissare delle priorità.</w:t>
      </w:r>
    </w:p>
    <w:p w:rsidR="00FD268C" w:rsidRDefault="00FD268C" w:rsidP="001F439F">
      <w:pPr>
        <w:pStyle w:val="StandardRisoluzionedelConsigliodiStato"/>
        <w:ind w:right="-1"/>
      </w:pPr>
    </w:p>
    <w:p w:rsidR="001F439F" w:rsidRDefault="001F439F" w:rsidP="001F439F">
      <w:pPr>
        <w:pStyle w:val="StandardRisoluzionedelConsigliodiStato"/>
        <w:ind w:right="-1"/>
      </w:pPr>
      <w:r>
        <w:t xml:space="preserve">Lo studio sul fabbisogno conferma che la domanda di prestazioni è e sarà stabile per il prossimo decennio, </w:t>
      </w:r>
      <w:r w:rsidR="00FD268C">
        <w:t>con un aumento prevedibile nell'</w:t>
      </w:r>
      <w:r>
        <w:t>ambito della riabilitazione a causa dell</w:t>
      </w:r>
      <w:r w:rsidR="00FD268C">
        <w:t>'</w:t>
      </w:r>
      <w:r>
        <w:t>invecchiamento della popolazione.</w:t>
      </w:r>
    </w:p>
    <w:p w:rsidR="001F439F" w:rsidRDefault="001F439F" w:rsidP="001F439F">
      <w:pPr>
        <w:pStyle w:val="StandardRisoluzionedelConsigliodiStato"/>
        <w:ind w:right="-1"/>
      </w:pPr>
      <w:r>
        <w:t>Ciò detto</w:t>
      </w:r>
      <w:r w:rsidR="00FD268C">
        <w:t>, l'</w:t>
      </w:r>
      <w:r>
        <w:t>intenzione della scrivente Commissione è quella di garantire e ricreare pari opportunità di partenza per ovviare a una disparità creatasi tra la POC del 2015, l</w:t>
      </w:r>
      <w:r w:rsidR="00FD268C">
        <w:t>e sentenze del TAF del 2019 poc'</w:t>
      </w:r>
      <w:r>
        <w:t>anzi richiamate, e quanto è avvenuto nel frattempo tra gli attori pubblici e privati, ma esigere anche che entro un breve lasso di tempo chi non dovesse raggiungere la massa critica minima non si veda confermato il mandato di prestazione.</w:t>
      </w:r>
    </w:p>
    <w:p w:rsidR="00FD268C" w:rsidRDefault="001F439F" w:rsidP="001F439F">
      <w:pPr>
        <w:pStyle w:val="StandardRisoluzionedelConsigliodiStato"/>
        <w:ind w:right="-1"/>
      </w:pPr>
      <w:r>
        <w:t>Infatti, va evidenziato che, nonostante le citate sentenze del TAF mettessero in discussione i principi chiave della Pianificazione del 2015, di fatto la stessa è stata annullata solo per i ricorrenti. Ne è conseguito che alcune strutture possono fare quanto concesso dalla Pianificazione ospedaliera del 2005 e altre che invece sono rimaste vincolate da</w:t>
      </w:r>
      <w:r w:rsidR="00FD268C">
        <w:t xml:space="preserve"> quella </w:t>
      </w:r>
      <w:r>
        <w:t>bocciata che per loro è rimasta in vigore. Il tutto sarebbe stato acc</w:t>
      </w:r>
      <w:r w:rsidR="00FD268C">
        <w:t>ettabile o facente parte delle "</w:t>
      </w:r>
      <w:r>
        <w:t>regole del gioco</w:t>
      </w:r>
      <w:r w:rsidR="00FD268C">
        <w:t>"</w:t>
      </w:r>
      <w:r>
        <w:t xml:space="preserve"> se i lunghi tempi di attesa per arrivare all’attuale Pianificazione non avessero fortemente pregiudicato la parità di trattamento e accentuato lo squilibrio nella concorrenza. </w:t>
      </w:r>
    </w:p>
    <w:p w:rsidR="001F439F" w:rsidRDefault="001F439F" w:rsidP="001F439F">
      <w:pPr>
        <w:pStyle w:val="StandardRisoluzionedelConsigliodiStato"/>
        <w:ind w:right="-1"/>
      </w:pPr>
      <w:r>
        <w:t>In altri</w:t>
      </w:r>
      <w:r w:rsidR="00FD268C">
        <w:t xml:space="preserve"> </w:t>
      </w:r>
      <w:r>
        <w:t>Cantoni in cui la POC venne bocciata in sede di ricorso, la POC fu azzerata per tutti gli attori in campo, ma ripresentata entro 2 anni.</w:t>
      </w:r>
    </w:p>
    <w:p w:rsidR="001F439F" w:rsidRDefault="001F439F" w:rsidP="001F439F">
      <w:pPr>
        <w:pStyle w:val="StandardRisoluzionedelConsigliodiStato"/>
        <w:ind w:right="-1"/>
      </w:pPr>
      <w:r>
        <w:t xml:space="preserve">Ovviamente </w:t>
      </w:r>
      <w:r w:rsidR="00FD268C">
        <w:t>si tratta di partire non da un "</w:t>
      </w:r>
      <w:r>
        <w:t>libero tutti</w:t>
      </w:r>
      <w:r w:rsidR="00FD268C">
        <w:t>", bensì dall'</w:t>
      </w:r>
      <w:r>
        <w:t>assegnare i mandati a tutti quelli che dispongono dei requisiti del sistema di Zurigo. Da un lato farà seguito la concorrenza tra attori ospedalieri pubbl</w:t>
      </w:r>
      <w:r w:rsidR="00FD268C">
        <w:t>ici e privati e dall'</w:t>
      </w:r>
      <w:r>
        <w:t xml:space="preserve">altro però, al fine di concentrare comunque le casistiche, andrà dato un periodo per arrivare a coprire il 5% o il 10% casi. La scrivente Commissione ritiene che il periodo debba essere di 2 anni dal conferimento </w:t>
      </w:r>
      <w:r>
        <w:lastRenderedPageBreak/>
        <w:t>del mandato. Trascorsi i 2 anni, la Commissione parlamentare di controllo dei mandati di prestazione di cui alla POC, istituita con la revisione del quadro giuridico delle competenze di cui al punto 1, verificherà il raggiungimento degli obiettivi e indicherà se il mandato potrà proseguire o meno.</w:t>
      </w:r>
    </w:p>
    <w:p w:rsidR="001F439F" w:rsidRDefault="001F439F" w:rsidP="001F439F">
      <w:pPr>
        <w:pStyle w:val="StandardRisoluzionedelConsigliodiStato"/>
        <w:ind w:right="-1"/>
      </w:pPr>
      <w:r>
        <w:t>La scrivente Commissione ritiene inoltre che margini di manovra sulla POC ve ne sono e tra questi i seguenti:</w:t>
      </w:r>
    </w:p>
    <w:p w:rsidR="001F439F" w:rsidRDefault="001F439F" w:rsidP="00367061">
      <w:pPr>
        <w:pStyle w:val="StandardRisoluzionedelConsigliodiStato"/>
        <w:ind w:left="567" w:hanging="283"/>
      </w:pPr>
      <w:r>
        <w:t>1.</w:t>
      </w:r>
      <w:r>
        <w:tab/>
        <w:t>per concentrare</w:t>
      </w:r>
      <w:r w:rsidR="00FD268C">
        <w:t xml:space="preserve"> di più, aggiunge la scrivente C</w:t>
      </w:r>
      <w:r>
        <w:t>ommissione, le prestazioni MAS e multidisciplinari e complesse nonché garantire le cure di prossimità:</w:t>
      </w:r>
    </w:p>
    <w:p w:rsidR="001F439F" w:rsidRDefault="001F439F" w:rsidP="00367061">
      <w:pPr>
        <w:pStyle w:val="StandardRisoluzionedelConsigliodiStato"/>
        <w:numPr>
          <w:ilvl w:val="0"/>
          <w:numId w:val="8"/>
        </w:numPr>
        <w:ind w:left="851" w:hanging="284"/>
      </w:pPr>
      <w:r>
        <w:t>distinzione netta tra i comparti (acuto/sub acuto)</w:t>
      </w:r>
      <w:r w:rsidR="00FD268C">
        <w:t xml:space="preserve">, che </w:t>
      </w:r>
      <w:r>
        <w:t>però non può essere netta</w:t>
      </w:r>
      <w:r w:rsidR="00FD268C">
        <w:t>, ma il passaggio dall'uno all'</w:t>
      </w:r>
      <w:r>
        <w:t>altro va coordinato</w:t>
      </w:r>
      <w:r w:rsidR="00FD268C">
        <w:t>,</w:t>
      </w:r>
      <w:r>
        <w:t xml:space="preserve"> tanto più che i letti RAMI sono sottop</w:t>
      </w:r>
      <w:r w:rsidR="00FD268C">
        <w:t>osti alla Lanz e non alla LAMal;</w:t>
      </w:r>
    </w:p>
    <w:p w:rsidR="001F439F" w:rsidRDefault="001F439F" w:rsidP="00367061">
      <w:pPr>
        <w:pStyle w:val="StandardRisoluzionedelConsigliodiStato"/>
        <w:numPr>
          <w:ilvl w:val="0"/>
          <w:numId w:val="8"/>
        </w:numPr>
        <w:ind w:left="851" w:hanging="284"/>
      </w:pPr>
      <w:r>
        <w:t>rafforzamento della presa in carico prima e dopo la degenza (ruolo medico di famiglia, reti di cura integrate, ecc.).</w:t>
      </w:r>
    </w:p>
    <w:p w:rsidR="001F439F" w:rsidRDefault="001F439F" w:rsidP="00FD268C">
      <w:pPr>
        <w:pStyle w:val="StandardRisoluzionedelConsigliodiStato"/>
        <w:ind w:right="-1"/>
      </w:pPr>
    </w:p>
    <w:p w:rsidR="001F439F" w:rsidRDefault="001F439F" w:rsidP="001F439F">
      <w:pPr>
        <w:pStyle w:val="StandardRisoluzionedelConsigliodiStato"/>
        <w:ind w:right="-1"/>
      </w:pPr>
      <w:r>
        <w:t>Nell</w:t>
      </w:r>
      <w:r w:rsidR="00FD268C">
        <w:t>a misura in cui continueranno a</w:t>
      </w:r>
      <w:r>
        <w:t xml:space="preserve"> esistere le 4 macro-dimensioni della POC (pacchetto base, prestazioni specialistiche, prestazioni multidisciplinari e MAS</w:t>
      </w:r>
      <w:r w:rsidR="00FD268C">
        <w:t>)</w:t>
      </w:r>
      <w:r>
        <w:t xml:space="preserve"> risulta importante determinare chi definisce quali prestazioni SPLG vanno in quale macro­categoria.</w:t>
      </w:r>
    </w:p>
    <w:p w:rsidR="00FD268C" w:rsidRDefault="00FD268C" w:rsidP="001F439F">
      <w:pPr>
        <w:pStyle w:val="StandardRisoluzionedelConsigliodiStato"/>
        <w:ind w:right="-1"/>
      </w:pPr>
    </w:p>
    <w:p w:rsidR="001F439F" w:rsidRDefault="001F439F" w:rsidP="001F439F">
      <w:pPr>
        <w:pStyle w:val="StandardRisoluzionedelConsigliodiStato"/>
        <w:ind w:right="-1"/>
      </w:pPr>
      <w:r>
        <w:t xml:space="preserve">In audizione </w:t>
      </w:r>
      <w:r w:rsidR="00FD268C">
        <w:t xml:space="preserve">il </w:t>
      </w:r>
      <w:r>
        <w:t>6 giugno 2024</w:t>
      </w:r>
      <w:r w:rsidR="00FD268C">
        <w:t>,</w:t>
      </w:r>
      <w:r>
        <w:t xml:space="preserve"> il Governo ha fornito delle ulteriori spiegazioni circa i gruppi di prestazioni che veng</w:t>
      </w:r>
      <w:r w:rsidR="00AD6C4D">
        <w:t xml:space="preserve">ono qui riprese schematicamente. </w:t>
      </w:r>
      <w:r>
        <w:t>I gruppi di prestazioni nel settore somatico­acuto seguono la suddivisione definita dal modello del Cantone Zurigo.</w:t>
      </w:r>
    </w:p>
    <w:p w:rsidR="001F439F" w:rsidRDefault="001F439F" w:rsidP="001F439F">
      <w:pPr>
        <w:pStyle w:val="StandardRisoluzionedelConsigliodiStato"/>
        <w:ind w:right="-1"/>
      </w:pPr>
      <w:r>
        <w:t>La suddivisione nei diversi livelli sarà chia</w:t>
      </w:r>
      <w:r w:rsidR="00AD6C4D">
        <w:t>ramente presentata nei moduli d'</w:t>
      </w:r>
      <w:r>
        <w:t>offerta.</w:t>
      </w:r>
    </w:p>
    <w:p w:rsidR="001F439F" w:rsidRDefault="001F439F" w:rsidP="001F439F">
      <w:pPr>
        <w:pStyle w:val="StandardRisoluzionedelConsigliodiStato"/>
        <w:ind w:right="-1"/>
      </w:pPr>
    </w:p>
    <w:p w:rsidR="00AD6C4D" w:rsidRDefault="00AD6C4D" w:rsidP="001F439F">
      <w:pPr>
        <w:pStyle w:val="StandardRisoluzionedelConsigliodiStato"/>
        <w:ind w:right="-1"/>
      </w:pPr>
      <w:r>
        <w:rPr>
          <w:noProof/>
          <w:lang w:eastAsia="it-CH"/>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5126990" cy="2819400"/>
                <wp:effectExtent l="0" t="0" r="16510" b="19050"/>
                <wp:wrapNone/>
                <wp:docPr id="1" name="Triangolo isoscele 1"/>
                <wp:cNvGraphicFramePr/>
                <a:graphic xmlns:a="http://schemas.openxmlformats.org/drawingml/2006/main">
                  <a:graphicData uri="http://schemas.microsoft.com/office/word/2010/wordprocessingShape">
                    <wps:wsp>
                      <wps:cNvSpPr/>
                      <wps:spPr>
                        <a:xfrm>
                          <a:off x="0" y="0"/>
                          <a:ext cx="5126990" cy="28194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F45" w:rsidRPr="00AD6C4D" w:rsidRDefault="001F3F45" w:rsidP="00AD6C4D">
                            <w:pPr>
                              <w:jc w:val="center"/>
                              <w:rPr>
                                <w:rFonts w:eastAsia="Arial" w:cs="Arial"/>
                                <w:b/>
                                <w:spacing w:val="-5"/>
                                <w:sz w:val="40"/>
                                <w:lang w:val="it-IT"/>
                              </w:rPr>
                            </w:pPr>
                            <w:r w:rsidRPr="00AD6C4D">
                              <w:rPr>
                                <w:rFonts w:eastAsia="Arial" w:cs="Arial"/>
                                <w:b/>
                                <w:spacing w:val="-5"/>
                                <w:sz w:val="40"/>
                                <w:lang w:val="it-IT"/>
                              </w:rPr>
                              <w:t>MAS</w:t>
                            </w:r>
                          </w:p>
                          <w:p w:rsidR="001F3F45" w:rsidRPr="00AD6C4D" w:rsidRDefault="001F3F45" w:rsidP="00AD6C4D">
                            <w:pPr>
                              <w:jc w:val="center"/>
                              <w:rPr>
                                <w:rFonts w:eastAsia="Arial" w:cs="Arial"/>
                                <w:b/>
                                <w:spacing w:val="-5"/>
                                <w:sz w:val="40"/>
                                <w:lang w:val="it-IT"/>
                              </w:rPr>
                            </w:pPr>
                            <w:r w:rsidRPr="00AD6C4D">
                              <w:rPr>
                                <w:rFonts w:eastAsia="Arial" w:cs="Arial"/>
                                <w:b/>
                                <w:spacing w:val="-5"/>
                                <w:sz w:val="40"/>
                                <w:lang w:val="it-IT"/>
                              </w:rPr>
                              <w:t>Prestazioni</w:t>
                            </w:r>
                          </w:p>
                          <w:p w:rsidR="001F3F45" w:rsidRPr="00AD6C4D" w:rsidRDefault="001F3F45" w:rsidP="00AD6C4D">
                            <w:pPr>
                              <w:jc w:val="center"/>
                              <w:rPr>
                                <w:rFonts w:eastAsia="Arial" w:cs="Arial"/>
                                <w:b/>
                                <w:spacing w:val="-5"/>
                                <w:sz w:val="40"/>
                                <w:u w:val="single"/>
                                <w:lang w:val="it-IT"/>
                              </w:rPr>
                            </w:pPr>
                            <w:r w:rsidRPr="00AD6C4D">
                              <w:rPr>
                                <w:rFonts w:eastAsia="Arial" w:cs="Arial"/>
                                <w:b/>
                                <w:spacing w:val="-5"/>
                                <w:sz w:val="40"/>
                                <w:lang w:val="it-IT"/>
                              </w:rPr>
                              <w:t xml:space="preserve">multidisciplinari complesse </w:t>
                            </w:r>
                            <w:r w:rsidRPr="00AD6C4D">
                              <w:rPr>
                                <w:rFonts w:eastAsia="Arial" w:cs="Arial"/>
                                <w:b/>
                                <w:spacing w:val="-5"/>
                                <w:sz w:val="40"/>
                                <w:u w:val="single"/>
                                <w:lang w:val="it-IT"/>
                              </w:rPr>
                              <w:t>(PMC)</w:t>
                            </w:r>
                          </w:p>
                          <w:p w:rsidR="001F3F45" w:rsidRPr="00AD6C4D" w:rsidRDefault="001F3F45" w:rsidP="00AD6C4D">
                            <w:pPr>
                              <w:jc w:val="center"/>
                              <w:rPr>
                                <w:rFonts w:eastAsia="Arial" w:cs="Arial"/>
                                <w:b/>
                                <w:spacing w:val="-5"/>
                                <w:sz w:val="40"/>
                                <w:lang w:val="it-IT"/>
                              </w:rPr>
                            </w:pPr>
                            <w:r w:rsidRPr="00AD6C4D">
                              <w:rPr>
                                <w:rFonts w:eastAsia="Arial" w:cs="Arial"/>
                                <w:b/>
                                <w:spacing w:val="-5"/>
                                <w:sz w:val="40"/>
                                <w:lang w:val="it-IT"/>
                              </w:rPr>
                              <w:t>Prestazioni specialistiche (PS)</w:t>
                            </w:r>
                          </w:p>
                          <w:p w:rsidR="001F3F45" w:rsidRPr="00AD6C4D" w:rsidRDefault="001F3F45" w:rsidP="00AD6C4D">
                            <w:pPr>
                              <w:jc w:val="center"/>
                              <w:rPr>
                                <w:rFonts w:eastAsia="Arial" w:cs="Arial"/>
                                <w:b/>
                                <w:spacing w:val="-5"/>
                                <w:sz w:val="40"/>
                                <w:lang w:val="it-IT"/>
                              </w:rPr>
                            </w:pPr>
                            <w:r w:rsidRPr="00AD6C4D">
                              <w:rPr>
                                <w:rFonts w:eastAsia="Arial" w:cs="Arial"/>
                                <w:b/>
                                <w:spacing w:val="-5"/>
                                <w:sz w:val="40"/>
                              </w:rPr>
                              <w:t>–</w:t>
                            </w:r>
                            <w:r w:rsidRPr="00AD6C4D">
                              <w:rPr>
                                <w:rFonts w:eastAsia="Arial" w:cs="Arial"/>
                                <w:b/>
                                <w:spacing w:val="-5"/>
                                <w:sz w:val="40"/>
                                <w:lang w:val="it-IT"/>
                              </w:rPr>
                              <w:t>Cure di base (CB)</w:t>
                            </w:r>
                          </w:p>
                          <w:p w:rsidR="001F3F45" w:rsidRPr="00AD6C4D" w:rsidRDefault="001F3F45" w:rsidP="00AD6C4D">
                            <w:pPr>
                              <w:jc w:val="center"/>
                              <w:rPr>
                                <w:rFonts w:eastAsia="Arial" w:cs="Arial"/>
                                <w:b/>
                                <w:spacing w:val="-5"/>
                                <w:sz w:val="40"/>
                              </w:rPr>
                            </w:pPr>
                          </w:p>
                          <w:p w:rsidR="001F3F45" w:rsidRDefault="001F3F45" w:rsidP="00AD6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 o:spid="_x0000_s1026" type="#_x0000_t5" style="position:absolute;left:0;text-align:left;margin-left:0;margin-top:.2pt;width:403.7pt;height:2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" filled="f" strokecolor="black [3213]" strokeweight="2pt">
                <v:textbox>
                  <w:txbxContent>
                    <w:p w:rsidR="001F3F45" w:rsidRPr="00AD6C4D" w:rsidRDefault="001F3F45" w:rsidP="00AD6C4D">
                      <w:pPr>
                        <w:jc w:val="center"/>
                        <w:rPr>
                          <w:rFonts w:eastAsia="Arial" w:cs="Arial"/>
                          <w:b/>
                          <w:spacing w:val="-5"/>
                          <w:sz w:val="40"/>
                          <w:lang w:val="it-IT"/>
                        </w:rPr>
                      </w:pPr>
                      <w:r w:rsidRPr="00AD6C4D">
                        <w:rPr>
                          <w:rFonts w:eastAsia="Arial" w:cs="Arial"/>
                          <w:b/>
                          <w:spacing w:val="-5"/>
                          <w:sz w:val="40"/>
                          <w:lang w:val="it-IT"/>
                        </w:rPr>
                        <w:t>MAS</w:t>
                      </w:r>
                    </w:p>
                    <w:p w:rsidR="001F3F45" w:rsidRPr="00AD6C4D" w:rsidRDefault="001F3F45" w:rsidP="00AD6C4D">
                      <w:pPr>
                        <w:jc w:val="center"/>
                        <w:rPr>
                          <w:rFonts w:eastAsia="Arial" w:cs="Arial"/>
                          <w:b/>
                          <w:spacing w:val="-5"/>
                          <w:sz w:val="40"/>
                          <w:lang w:val="it-IT"/>
                        </w:rPr>
                      </w:pPr>
                      <w:r w:rsidRPr="00AD6C4D">
                        <w:rPr>
                          <w:rFonts w:eastAsia="Arial" w:cs="Arial"/>
                          <w:b/>
                          <w:spacing w:val="-5"/>
                          <w:sz w:val="40"/>
                          <w:lang w:val="it-IT"/>
                        </w:rPr>
                        <w:t>Prestazioni</w:t>
                      </w:r>
                    </w:p>
                    <w:p w:rsidR="001F3F45" w:rsidRPr="00AD6C4D" w:rsidRDefault="001F3F45" w:rsidP="00AD6C4D">
                      <w:pPr>
                        <w:jc w:val="center"/>
                        <w:rPr>
                          <w:rFonts w:eastAsia="Arial" w:cs="Arial"/>
                          <w:b/>
                          <w:spacing w:val="-5"/>
                          <w:sz w:val="40"/>
                          <w:u w:val="single"/>
                          <w:lang w:val="it-IT"/>
                        </w:rPr>
                      </w:pPr>
                      <w:r w:rsidRPr="00AD6C4D">
                        <w:rPr>
                          <w:rFonts w:eastAsia="Arial" w:cs="Arial"/>
                          <w:b/>
                          <w:spacing w:val="-5"/>
                          <w:sz w:val="40"/>
                          <w:lang w:val="it-IT"/>
                        </w:rPr>
                        <w:t xml:space="preserve">multidisciplinari complesse </w:t>
                      </w:r>
                      <w:r w:rsidRPr="00AD6C4D">
                        <w:rPr>
                          <w:rFonts w:eastAsia="Arial" w:cs="Arial"/>
                          <w:b/>
                          <w:spacing w:val="-5"/>
                          <w:sz w:val="40"/>
                          <w:u w:val="single"/>
                          <w:lang w:val="it-IT"/>
                        </w:rPr>
                        <w:t>(PMC)</w:t>
                      </w:r>
                    </w:p>
                    <w:p w:rsidR="001F3F45" w:rsidRPr="00AD6C4D" w:rsidRDefault="001F3F45" w:rsidP="00AD6C4D">
                      <w:pPr>
                        <w:jc w:val="center"/>
                        <w:rPr>
                          <w:rFonts w:eastAsia="Arial" w:cs="Arial"/>
                          <w:b/>
                          <w:spacing w:val="-5"/>
                          <w:sz w:val="40"/>
                          <w:lang w:val="it-IT"/>
                        </w:rPr>
                      </w:pPr>
                      <w:r w:rsidRPr="00AD6C4D">
                        <w:rPr>
                          <w:rFonts w:eastAsia="Arial" w:cs="Arial"/>
                          <w:b/>
                          <w:spacing w:val="-5"/>
                          <w:sz w:val="40"/>
                          <w:lang w:val="it-IT"/>
                        </w:rPr>
                        <w:t>Prestazioni specialistiche (PS)</w:t>
                      </w:r>
                    </w:p>
                    <w:p w:rsidR="001F3F45" w:rsidRPr="00AD6C4D" w:rsidRDefault="001F3F45" w:rsidP="00AD6C4D">
                      <w:pPr>
                        <w:jc w:val="center"/>
                        <w:rPr>
                          <w:rFonts w:eastAsia="Arial" w:cs="Arial"/>
                          <w:b/>
                          <w:spacing w:val="-5"/>
                          <w:sz w:val="40"/>
                          <w:lang w:val="it-IT"/>
                        </w:rPr>
                      </w:pPr>
                      <w:r w:rsidRPr="00AD6C4D">
                        <w:rPr>
                          <w:rFonts w:eastAsia="Arial" w:cs="Arial"/>
                          <w:b/>
                          <w:spacing w:val="-5"/>
                          <w:sz w:val="40"/>
                        </w:rPr>
                        <w:t>–</w:t>
                      </w:r>
                      <w:r w:rsidRPr="00AD6C4D">
                        <w:rPr>
                          <w:rFonts w:eastAsia="Arial" w:cs="Arial"/>
                          <w:b/>
                          <w:spacing w:val="-5"/>
                          <w:sz w:val="40"/>
                          <w:lang w:val="it-IT"/>
                        </w:rPr>
                        <w:t>Cure di base (CB)</w:t>
                      </w:r>
                    </w:p>
                    <w:p w:rsidR="001F3F45" w:rsidRPr="00AD6C4D" w:rsidRDefault="001F3F45" w:rsidP="00AD6C4D">
                      <w:pPr>
                        <w:jc w:val="center"/>
                        <w:rPr>
                          <w:rFonts w:eastAsia="Arial" w:cs="Arial"/>
                          <w:b/>
                          <w:spacing w:val="-5"/>
                          <w:sz w:val="40"/>
                        </w:rPr>
                      </w:pPr>
                    </w:p>
                    <w:p w:rsidR="001F3F45" w:rsidRDefault="001F3F45" w:rsidP="00AD6C4D">
                      <w:pPr>
                        <w:jc w:val="center"/>
                      </w:pPr>
                    </w:p>
                  </w:txbxContent>
                </v:textbox>
              </v:shape>
            </w:pict>
          </mc:Fallback>
        </mc:AlternateContent>
      </w:r>
    </w:p>
    <w:p w:rsidR="00AD6C4D" w:rsidRDefault="00AD6C4D" w:rsidP="001F439F">
      <w:pPr>
        <w:pStyle w:val="StandardRisoluzionedelConsigliodiStato"/>
        <w:ind w:right="-1"/>
      </w:pPr>
    </w:p>
    <w:p w:rsidR="00AD6C4D" w:rsidRDefault="00AD6C4D" w:rsidP="001F439F">
      <w:pPr>
        <w:pStyle w:val="StandardRisoluzionedelConsigliodiStato"/>
        <w:ind w:right="-1"/>
      </w:pPr>
    </w:p>
    <w:p w:rsidR="00AD6C4D" w:rsidRPr="00AD6C4D" w:rsidRDefault="00AD6C4D" w:rsidP="0038453D">
      <w:pPr>
        <w:widowControl w:val="0"/>
        <w:autoSpaceDE w:val="0"/>
        <w:autoSpaceDN w:val="0"/>
        <w:spacing w:before="426"/>
        <w:ind w:left="2832" w:right="2719" w:firstLine="708"/>
        <w:jc w:val="left"/>
        <w:rPr>
          <w:rFonts w:eastAsia="Arial" w:cs="Arial"/>
          <w:b/>
          <w:sz w:val="40"/>
          <w:lang w:val="it-IT"/>
        </w:rPr>
      </w:pPr>
      <w:r w:rsidRPr="00AD6C4D">
        <w:rPr>
          <w:rFonts w:eastAsia="Arial" w:cs="Arial"/>
          <w:b/>
          <w:spacing w:val="-5"/>
          <w:sz w:val="40"/>
          <w:lang w:val="it-IT"/>
        </w:rPr>
        <w:t>MAS</w:t>
      </w:r>
    </w:p>
    <w:p w:rsidR="00AD6C4D" w:rsidRPr="00AD6C4D" w:rsidRDefault="00AD6C4D" w:rsidP="0038453D">
      <w:pPr>
        <w:widowControl w:val="0"/>
        <w:autoSpaceDE w:val="0"/>
        <w:autoSpaceDN w:val="0"/>
        <w:ind w:left="2977" w:right="2722" w:firstLine="284"/>
        <w:rPr>
          <w:rFonts w:eastAsia="Arial" w:cs="Arial"/>
          <w:b/>
          <w:sz w:val="32"/>
          <w:lang w:val="it-IT"/>
        </w:rPr>
      </w:pPr>
      <w:r w:rsidRPr="00AD6C4D">
        <w:rPr>
          <w:rFonts w:eastAsia="Arial" w:cs="Arial"/>
          <w:b/>
          <w:spacing w:val="-2"/>
          <w:sz w:val="32"/>
          <w:lang w:val="it-IT"/>
        </w:rPr>
        <w:t>Prestazioni</w:t>
      </w:r>
    </w:p>
    <w:p w:rsidR="0038453D" w:rsidRDefault="00AD6C4D" w:rsidP="0038453D">
      <w:pPr>
        <w:widowControl w:val="0"/>
        <w:autoSpaceDE w:val="0"/>
        <w:autoSpaceDN w:val="0"/>
        <w:ind w:left="2268" w:right="2719" w:firstLine="564"/>
        <w:rPr>
          <w:rFonts w:eastAsia="Arial" w:cs="Arial"/>
          <w:b/>
          <w:spacing w:val="-2"/>
          <w:sz w:val="32"/>
          <w:lang w:val="it-IT"/>
        </w:rPr>
      </w:pPr>
      <w:r w:rsidRPr="00AD6C4D">
        <w:rPr>
          <w:rFonts w:eastAsia="Arial" w:cs="Arial"/>
          <w:b/>
          <w:spacing w:val="-2"/>
          <w:sz w:val="32"/>
          <w:lang w:val="it-IT"/>
        </w:rPr>
        <w:t xml:space="preserve">multidisciplinari </w:t>
      </w:r>
    </w:p>
    <w:p w:rsidR="00AD6C4D" w:rsidRDefault="00AD6C4D" w:rsidP="0038453D">
      <w:pPr>
        <w:widowControl w:val="0"/>
        <w:autoSpaceDE w:val="0"/>
        <w:autoSpaceDN w:val="0"/>
        <w:ind w:left="2268" w:right="2719" w:firstLine="564"/>
        <w:rPr>
          <w:rFonts w:eastAsia="Arial" w:cs="Arial"/>
          <w:b/>
          <w:spacing w:val="-2"/>
          <w:sz w:val="32"/>
          <w:u w:val="single"/>
          <w:lang w:val="it-IT"/>
        </w:rPr>
      </w:pPr>
      <w:r w:rsidRPr="00AD6C4D">
        <w:rPr>
          <w:rFonts w:eastAsia="Arial" w:cs="Arial"/>
          <w:b/>
          <w:spacing w:val="-2"/>
          <w:sz w:val="32"/>
          <w:lang w:val="it-IT"/>
        </w:rPr>
        <w:t xml:space="preserve">complesse </w:t>
      </w:r>
      <w:r w:rsidRPr="00AD6C4D">
        <w:rPr>
          <w:rFonts w:eastAsia="Arial" w:cs="Arial"/>
          <w:b/>
          <w:spacing w:val="-2"/>
          <w:sz w:val="32"/>
          <w:u w:val="single"/>
          <w:lang w:val="it-IT"/>
        </w:rPr>
        <w:t>(PMC)</w:t>
      </w:r>
    </w:p>
    <w:p w:rsidR="0038453D" w:rsidRPr="00AD6C4D" w:rsidRDefault="0038453D" w:rsidP="0038453D">
      <w:pPr>
        <w:widowControl w:val="0"/>
        <w:autoSpaceDE w:val="0"/>
        <w:autoSpaceDN w:val="0"/>
        <w:ind w:left="2268" w:right="2719" w:firstLine="564"/>
        <w:rPr>
          <w:rFonts w:eastAsia="Arial" w:cs="Arial"/>
          <w:b/>
          <w:spacing w:val="-2"/>
          <w:sz w:val="32"/>
          <w:u w:val="single"/>
          <w:lang w:val="it-IT"/>
        </w:rPr>
      </w:pPr>
    </w:p>
    <w:p w:rsidR="0038453D" w:rsidRDefault="00AD6C4D" w:rsidP="0038453D">
      <w:pPr>
        <w:widowControl w:val="0"/>
        <w:autoSpaceDE w:val="0"/>
        <w:autoSpaceDN w:val="0"/>
        <w:spacing w:before="71"/>
        <w:ind w:left="1416" w:right="1" w:firstLine="708"/>
        <w:rPr>
          <w:rFonts w:eastAsia="Arial" w:cs="Arial"/>
          <w:b/>
          <w:spacing w:val="-4"/>
          <w:sz w:val="32"/>
          <w:lang w:val="it-IT"/>
        </w:rPr>
      </w:pPr>
      <w:r w:rsidRPr="00AD6C4D">
        <w:rPr>
          <w:rFonts w:eastAsia="Arial" w:cs="Arial"/>
          <w:b/>
          <w:spacing w:val="-2"/>
          <w:sz w:val="32"/>
          <w:lang w:val="it-IT"/>
        </w:rPr>
        <w:t>Prestazioni</w:t>
      </w:r>
      <w:r w:rsidRPr="00AD6C4D">
        <w:rPr>
          <w:rFonts w:eastAsia="Arial" w:cs="Arial"/>
          <w:b/>
          <w:spacing w:val="-22"/>
          <w:sz w:val="32"/>
          <w:lang w:val="it-IT"/>
        </w:rPr>
        <w:t xml:space="preserve"> </w:t>
      </w:r>
      <w:r w:rsidRPr="00AD6C4D">
        <w:rPr>
          <w:rFonts w:eastAsia="Arial" w:cs="Arial"/>
          <w:b/>
          <w:spacing w:val="-2"/>
          <w:sz w:val="32"/>
          <w:lang w:val="it-IT"/>
        </w:rPr>
        <w:t>specialistiche</w:t>
      </w:r>
      <w:r w:rsidRPr="00AD6C4D">
        <w:rPr>
          <w:rFonts w:eastAsia="Arial" w:cs="Arial"/>
          <w:b/>
          <w:spacing w:val="10"/>
          <w:sz w:val="32"/>
          <w:lang w:val="it-IT"/>
        </w:rPr>
        <w:t xml:space="preserve"> </w:t>
      </w:r>
      <w:r w:rsidRPr="00AD6C4D">
        <w:rPr>
          <w:rFonts w:eastAsia="Arial" w:cs="Arial"/>
          <w:b/>
          <w:spacing w:val="-4"/>
          <w:sz w:val="32"/>
          <w:lang w:val="it-IT"/>
        </w:rPr>
        <w:t>(PS)</w:t>
      </w:r>
    </w:p>
    <w:p w:rsidR="00AD6C4D" w:rsidRPr="00AD6C4D" w:rsidRDefault="00AD6C4D" w:rsidP="0038453D">
      <w:pPr>
        <w:widowControl w:val="0"/>
        <w:autoSpaceDE w:val="0"/>
        <w:autoSpaceDN w:val="0"/>
        <w:spacing w:before="71"/>
        <w:ind w:left="2124" w:right="1" w:firstLine="708"/>
        <w:rPr>
          <w:rFonts w:eastAsia="Arial" w:cs="Arial"/>
          <w:b/>
          <w:sz w:val="36"/>
          <w:lang w:val="it-IT"/>
        </w:rPr>
      </w:pPr>
      <w:r w:rsidRPr="00AD6C4D">
        <w:rPr>
          <w:rFonts w:eastAsia="Arial" w:cs="Arial"/>
          <w:b/>
          <w:sz w:val="36"/>
          <w:lang w:val="it-IT"/>
        </w:rPr>
        <w:t>Cure</w:t>
      </w:r>
      <w:r w:rsidRPr="00AD6C4D">
        <w:rPr>
          <w:rFonts w:eastAsia="Arial" w:cs="Arial"/>
          <w:b/>
          <w:spacing w:val="-3"/>
          <w:sz w:val="36"/>
          <w:lang w:val="it-IT"/>
        </w:rPr>
        <w:t xml:space="preserve"> </w:t>
      </w:r>
      <w:r w:rsidRPr="00AD6C4D">
        <w:rPr>
          <w:rFonts w:eastAsia="Arial" w:cs="Arial"/>
          <w:b/>
          <w:sz w:val="36"/>
          <w:lang w:val="it-IT"/>
        </w:rPr>
        <w:t>di</w:t>
      </w:r>
      <w:r w:rsidRPr="00AD6C4D">
        <w:rPr>
          <w:rFonts w:eastAsia="Arial" w:cs="Arial"/>
          <w:b/>
          <w:spacing w:val="-2"/>
          <w:sz w:val="36"/>
          <w:lang w:val="it-IT"/>
        </w:rPr>
        <w:t xml:space="preserve"> </w:t>
      </w:r>
      <w:r w:rsidRPr="00AD6C4D">
        <w:rPr>
          <w:rFonts w:eastAsia="Arial" w:cs="Arial"/>
          <w:b/>
          <w:sz w:val="36"/>
          <w:lang w:val="it-IT"/>
        </w:rPr>
        <w:t>base</w:t>
      </w:r>
      <w:r w:rsidRPr="00AD6C4D">
        <w:rPr>
          <w:rFonts w:eastAsia="Arial" w:cs="Arial"/>
          <w:b/>
          <w:spacing w:val="-2"/>
          <w:sz w:val="36"/>
          <w:lang w:val="it-IT"/>
        </w:rPr>
        <w:t xml:space="preserve"> </w:t>
      </w:r>
      <w:r w:rsidRPr="00AD6C4D">
        <w:rPr>
          <w:rFonts w:eastAsia="Arial" w:cs="Arial"/>
          <w:b/>
          <w:spacing w:val="-4"/>
          <w:sz w:val="36"/>
          <w:lang w:val="it-IT"/>
        </w:rPr>
        <w:t>(CB)</w:t>
      </w:r>
    </w:p>
    <w:p w:rsidR="00AD6C4D" w:rsidRDefault="00AD6C4D" w:rsidP="00AD6C4D">
      <w:pPr>
        <w:pStyle w:val="StandardRisoluzionedelConsigliodiStato"/>
        <w:ind w:right="-1"/>
      </w:pPr>
    </w:p>
    <w:p w:rsidR="00AD6C4D" w:rsidRDefault="00AD6C4D" w:rsidP="001F439F">
      <w:pPr>
        <w:pStyle w:val="StandardRisoluzionedelConsigliodiStato"/>
        <w:ind w:right="-1"/>
      </w:pPr>
    </w:p>
    <w:p w:rsidR="00AD6C4D" w:rsidRDefault="00AD6C4D" w:rsidP="001F439F">
      <w:pPr>
        <w:pStyle w:val="StandardRisoluzionedelConsigliodiStato"/>
        <w:ind w:right="-1"/>
      </w:pPr>
    </w:p>
    <w:p w:rsidR="001F439F" w:rsidRDefault="001F439F" w:rsidP="001F439F">
      <w:pPr>
        <w:pStyle w:val="StandardRisoluzionedelConsigliodiStato"/>
        <w:ind w:right="-1"/>
      </w:pPr>
      <w:r>
        <w:t>La ripartizione dei gruppi di prestazione tra le varie categorie avverrà sulla base di criteri oggettivi, misurabili e comunica</w:t>
      </w:r>
      <w:r w:rsidR="0038453D">
        <w:t>ti esplicitamente nel modulo d'</w:t>
      </w:r>
      <w:r>
        <w:t>offerta, in particolare</w:t>
      </w:r>
    </w:p>
    <w:p w:rsidR="001F439F" w:rsidRDefault="001F439F" w:rsidP="00367061">
      <w:pPr>
        <w:pStyle w:val="StandardRisoluzionedelConsigliodiStato"/>
        <w:ind w:left="567" w:right="-1" w:hanging="283"/>
      </w:pPr>
      <w:r>
        <w:t>●</w:t>
      </w:r>
      <w:r>
        <w:tab/>
        <w:t>livello richiesto di pronto soccorso;</w:t>
      </w:r>
    </w:p>
    <w:p w:rsidR="001F439F" w:rsidRDefault="001F439F" w:rsidP="00367061">
      <w:pPr>
        <w:pStyle w:val="StandardRisoluzionedelConsigliodiStato"/>
        <w:ind w:left="567" w:right="-1" w:hanging="283"/>
      </w:pPr>
      <w:r>
        <w:t>●</w:t>
      </w:r>
      <w:r>
        <w:tab/>
        <w:t>livello richiesto di cure intense;</w:t>
      </w:r>
    </w:p>
    <w:p w:rsidR="001F439F" w:rsidRDefault="001F439F" w:rsidP="00367061">
      <w:pPr>
        <w:pStyle w:val="StandardRisoluzionedelConsigliodiStato"/>
        <w:ind w:left="567" w:right="-1" w:hanging="283"/>
      </w:pPr>
      <w:r>
        <w:t>●</w:t>
      </w:r>
      <w:r>
        <w:tab/>
        <w:t>numeri minimi per sede;</w:t>
      </w:r>
    </w:p>
    <w:p w:rsidR="001F439F" w:rsidRDefault="001F439F" w:rsidP="00367061">
      <w:pPr>
        <w:pStyle w:val="StandardRisoluzionedelConsigliodiStato"/>
        <w:ind w:left="567" w:right="-1" w:hanging="283"/>
      </w:pPr>
      <w:r>
        <w:t>●</w:t>
      </w:r>
      <w:r>
        <w:tab/>
        <w:t>necessità di altri gruppi di prestazione in sede.</w:t>
      </w:r>
    </w:p>
    <w:p w:rsidR="001F439F" w:rsidRDefault="001F439F" w:rsidP="001F439F">
      <w:pPr>
        <w:pStyle w:val="StandardRisoluzionedelConsigliodiStato"/>
        <w:ind w:right="-1"/>
      </w:pPr>
      <w:r>
        <w:lastRenderedPageBreak/>
        <w:t>La MAS – medicina altamente specializzata:</w:t>
      </w:r>
    </w:p>
    <w:p w:rsidR="001F439F" w:rsidRDefault="001F439F" w:rsidP="00367061">
      <w:pPr>
        <w:pStyle w:val="StandardRisoluzionedelConsigliodiStato"/>
        <w:ind w:left="567" w:right="-1" w:hanging="283"/>
      </w:pPr>
      <w:r>
        <w:t>●</w:t>
      </w:r>
      <w:r>
        <w:tab/>
        <w:t>Pianificazione MAS eseguita a livello intercantonale, sussidiariamente dal Consiglio federale (art. 39 cpv. 2bis LAMal).</w:t>
      </w:r>
    </w:p>
    <w:p w:rsidR="001F439F" w:rsidRDefault="001F439F" w:rsidP="00367061">
      <w:pPr>
        <w:pStyle w:val="StandardRisoluzionedelConsigliodiStato"/>
        <w:ind w:left="567" w:right="-1" w:hanging="283"/>
      </w:pPr>
      <w:r>
        <w:t>●</w:t>
      </w:r>
      <w:r>
        <w:tab/>
        <w:t>Convenzione intercantonale sulla medicina altamente specializzata (CIMAS)</w:t>
      </w:r>
      <w:r w:rsidR="0038453D">
        <w:t>.</w:t>
      </w:r>
    </w:p>
    <w:p w:rsidR="001F439F" w:rsidRDefault="001F439F" w:rsidP="00367061">
      <w:pPr>
        <w:pStyle w:val="StandardRisoluzionedelConsigliodiStato"/>
        <w:ind w:left="567" w:right="-1" w:hanging="283"/>
      </w:pPr>
      <w:r>
        <w:t>●</w:t>
      </w:r>
      <w:r>
        <w:tab/>
        <w:t>Organi:</w:t>
      </w:r>
      <w:r>
        <w:tab/>
        <w:t>Assemblea</w:t>
      </w:r>
      <w:r>
        <w:tab/>
        <w:t>plenaria,</w:t>
      </w:r>
      <w:r>
        <w:tab/>
        <w:t>Organo</w:t>
      </w:r>
      <w:r>
        <w:tab/>
        <w:t>decisionale</w:t>
      </w:r>
      <w:r>
        <w:tab/>
        <w:t>MAS</w:t>
      </w:r>
      <w:r>
        <w:tab/>
        <w:t>(10</w:t>
      </w:r>
      <w:r>
        <w:tab/>
        <w:t>Cantoni,</w:t>
      </w:r>
      <w:r>
        <w:tab/>
        <w:t>TI Vicepresidenza), Organo scientifico MAS (15 esperti).</w:t>
      </w:r>
    </w:p>
    <w:p w:rsidR="001F439F" w:rsidRDefault="001F439F" w:rsidP="00367061">
      <w:pPr>
        <w:pStyle w:val="StandardRisoluzionedelConsigliodiStato"/>
        <w:ind w:left="567" w:right="-1" w:hanging="283"/>
      </w:pPr>
      <w:r>
        <w:t>●</w:t>
      </w:r>
      <w:r>
        <w:tab/>
        <w:t>Finora attribuzione sovracantonale e rivalutazione periodica di mandati per oltre una trentina di gruppi di prestazioni.</w:t>
      </w:r>
    </w:p>
    <w:p w:rsidR="001F439F" w:rsidRDefault="001F439F" w:rsidP="00367061">
      <w:pPr>
        <w:pStyle w:val="StandardRisoluzionedelConsigliodiStato"/>
        <w:ind w:left="567" w:right="-1" w:hanging="283"/>
      </w:pPr>
      <w:r>
        <w:t>●</w:t>
      </w:r>
      <w:r>
        <w:tab/>
        <w:t>Esempi: trapianti, gravi ustioni, politrauma, ictus, chirurgia</w:t>
      </w:r>
      <w:r w:rsidR="0038453D">
        <w:t xml:space="preserve"> </w:t>
      </w:r>
      <w:r>
        <w:t>viscerale complessa, ecc.</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p>
    <w:p w:rsidR="001F439F" w:rsidRDefault="005D092B" w:rsidP="00367061">
      <w:pPr>
        <w:pStyle w:val="StandardRisoluzionedelConsigliodiStato"/>
        <w:ind w:left="567" w:right="-1" w:hanging="283"/>
      </w:pPr>
      <w:r>
        <w:t>2.</w:t>
      </w:r>
      <w:r>
        <w:tab/>
        <w:t>C</w:t>
      </w:r>
      <w:r w:rsidR="001F439F">
        <w:t>oordinamento con altre pianificazioni (Pianificazione integrata, art. 5 Lanz e assistenza e cura a domicilio, art. 7 LACD; Pianificazione settore invalidi, art. 2a LISPI e Pianificazione sociopsichiatrica art. 13 LASP) e altre regolamentazi</w:t>
      </w:r>
      <w:r w:rsidR="0038453D">
        <w:t>oni, quali ad es. quella sulla "</w:t>
      </w:r>
      <w:r w:rsidR="001F439F">
        <w:t>Limitazione del numero di medici nel settore ambulatoriale</w:t>
      </w:r>
      <w:r w:rsidR="0038453D">
        <w:t>"</w:t>
      </w:r>
      <w:r w:rsidR="001F439F">
        <w:t xml:space="preserve"> che potenzialmen</w:t>
      </w:r>
      <w:r w:rsidR="0038453D">
        <w:t>te può avere un impatto sull'</w:t>
      </w:r>
      <w:r w:rsidR="001F439F">
        <w:t>ospedale (cfr</w:t>
      </w:r>
      <w:r w:rsidR="0038453D">
        <w:t>. punto 9 infra) per regolare l'</w:t>
      </w:r>
      <w:r w:rsidR="001F439F">
        <w:t>attribuzione dei mandati:</w:t>
      </w:r>
    </w:p>
    <w:p w:rsidR="001F439F" w:rsidRDefault="001F439F" w:rsidP="00367061">
      <w:pPr>
        <w:pStyle w:val="StandardRisoluzionedelConsigliodiStato"/>
        <w:numPr>
          <w:ilvl w:val="0"/>
          <w:numId w:val="9"/>
        </w:numPr>
        <w:ind w:left="851" w:right="-1" w:hanging="284"/>
      </w:pPr>
      <w:r>
        <w:t>rispetto dei requisiti al momento delle candidature o entro il lasso di tempo soprandicato, il tutto per garantire mandati solo a chi raggiunge le soglie minime del modello di Zurigo lasciando poi al mercato determinare oltre chi sarà premiato o meno.</w:t>
      </w:r>
    </w:p>
    <w:p w:rsidR="001F439F" w:rsidRDefault="001F439F" w:rsidP="00367061">
      <w:pPr>
        <w:pStyle w:val="StandardRisoluzionedelConsigliodiStato"/>
        <w:numPr>
          <w:ilvl w:val="0"/>
          <w:numId w:val="9"/>
        </w:numPr>
        <w:ind w:left="851" w:right="-1" w:hanging="284"/>
      </w:pPr>
      <w:r>
        <w:t>Definizione di quote di mercato minime (almeno il 5% (e minimo 10 casi) sulla base di dati storici, risp. da raggiungere nei 2 anni successivi e mantenere nel tempo.</w:t>
      </w:r>
    </w:p>
    <w:p w:rsidR="001F439F" w:rsidRDefault="001F439F" w:rsidP="001F439F">
      <w:pPr>
        <w:pStyle w:val="StandardRisoluzionedelConsigliodiStato"/>
        <w:ind w:right="-1"/>
      </w:pPr>
    </w:p>
    <w:p w:rsidR="001F439F" w:rsidRDefault="005D092B" w:rsidP="00367061">
      <w:pPr>
        <w:pStyle w:val="StandardRisoluzionedelConsigliodiStato"/>
        <w:ind w:left="567" w:hanging="283"/>
      </w:pPr>
      <w:r>
        <w:t>3.</w:t>
      </w:r>
      <w:r>
        <w:tab/>
        <w:t>Per sfoltire gli istituti sull'elenco ed evitare i "</w:t>
      </w:r>
      <w:r w:rsidR="001F439F">
        <w:t>doppioni</w:t>
      </w:r>
      <w:r>
        <w:t>"</w:t>
      </w:r>
      <w:r w:rsidR="001F439F">
        <w:t>:</w:t>
      </w:r>
    </w:p>
    <w:p w:rsidR="001F439F" w:rsidRDefault="001F439F" w:rsidP="00367061">
      <w:pPr>
        <w:pStyle w:val="StandardRisoluzionedelConsigliodiStato"/>
        <w:numPr>
          <w:ilvl w:val="0"/>
          <w:numId w:val="10"/>
        </w:numPr>
        <w:ind w:left="851" w:hanging="284"/>
      </w:pPr>
      <w:r>
        <w:t>nessuna base legale per chiudere istituti privati.</w:t>
      </w:r>
    </w:p>
    <w:p w:rsidR="001F439F" w:rsidRDefault="001F439F" w:rsidP="00367061">
      <w:pPr>
        <w:pStyle w:val="StandardRisoluzionedelConsigliodiStato"/>
        <w:numPr>
          <w:ilvl w:val="0"/>
          <w:numId w:val="10"/>
        </w:numPr>
        <w:ind w:left="851" w:hanging="284"/>
      </w:pPr>
      <w:r>
        <w:t>Se la struttura ha i requisiti, come sopra regolati, il mandato deve essere assegnati</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In merito al tema del coordinamento delle Pianificazioni il DSS, sentito in audizione </w:t>
      </w:r>
      <w:r w:rsidR="005D092B">
        <w:t xml:space="preserve">il </w:t>
      </w:r>
      <w:r>
        <w:t>6 giugno 2024, ha riconosciuto che vi sono dei punti di contatto con la POC, quali ad es.</w:t>
      </w:r>
    </w:p>
    <w:p w:rsidR="001F439F" w:rsidRDefault="005D092B" w:rsidP="00367061">
      <w:pPr>
        <w:pStyle w:val="StandardRisoluzionedelConsigliodiStato"/>
        <w:numPr>
          <w:ilvl w:val="1"/>
          <w:numId w:val="35"/>
        </w:numPr>
        <w:ind w:left="567" w:right="-1" w:hanging="283"/>
      </w:pPr>
      <w:r>
        <w:t>con la P</w:t>
      </w:r>
      <w:r w:rsidR="001F439F">
        <w:t>ianificazione integrata Lanz/LACD: strutture per l</w:t>
      </w:r>
      <w:r>
        <w:t xml:space="preserve">a degenza post­acuta: CAT, STT e </w:t>
      </w:r>
      <w:r w:rsidR="001F439F">
        <w:t>RAMI.</w:t>
      </w:r>
    </w:p>
    <w:p w:rsidR="001F439F" w:rsidRDefault="005D092B" w:rsidP="00367061">
      <w:pPr>
        <w:pStyle w:val="StandardRisoluzionedelConsigliodiStato"/>
        <w:numPr>
          <w:ilvl w:val="1"/>
          <w:numId w:val="35"/>
        </w:numPr>
        <w:ind w:left="567" w:right="-1" w:hanging="283"/>
      </w:pPr>
      <w:r>
        <w:t>Con la P</w:t>
      </w:r>
      <w:r w:rsidR="001F439F">
        <w:t>ianificazione LASP: home treatment, équipe mobile psicogeriatrica, servizio di psichiatria e psicologia medica (psichiatria di liaison).</w:t>
      </w:r>
    </w:p>
    <w:p w:rsidR="001F439F" w:rsidRDefault="001F439F" w:rsidP="00367061">
      <w:pPr>
        <w:pStyle w:val="StandardRisoluzionedelConsigliodiStato"/>
        <w:numPr>
          <w:ilvl w:val="1"/>
          <w:numId w:val="35"/>
        </w:numPr>
        <w:ind w:left="567" w:right="-1" w:hanging="283"/>
      </w:pPr>
      <w:r>
        <w:t xml:space="preserve">Con </w:t>
      </w:r>
      <w:r w:rsidR="005D092B">
        <w:t>la Pi</w:t>
      </w:r>
      <w:r>
        <w:t>anificazione LISPI: case con occupazione medicalizzate.</w:t>
      </w:r>
    </w:p>
    <w:p w:rsidR="001F439F" w:rsidRDefault="001F439F" w:rsidP="001F439F">
      <w:pPr>
        <w:pStyle w:val="StandardRisoluzionedelConsigliodiStato"/>
        <w:ind w:right="-1"/>
      </w:pPr>
    </w:p>
    <w:p w:rsidR="001F439F" w:rsidRDefault="001F439F" w:rsidP="001F439F">
      <w:pPr>
        <w:pStyle w:val="StandardRisoluzionedelConsigliodiStato"/>
        <w:ind w:right="-1"/>
      </w:pPr>
      <w:r>
        <w:t>Oltre a ciò, vi sono altri strumenti cantonali per contenere la spesa:</w:t>
      </w:r>
    </w:p>
    <w:p w:rsidR="001F439F" w:rsidRDefault="005D092B" w:rsidP="00464C96">
      <w:pPr>
        <w:pStyle w:val="StandardRisoluzionedelConsigliodiStato"/>
        <w:ind w:left="567" w:hanging="283"/>
      </w:pPr>
      <w:r>
        <w:t>4.</w:t>
      </w:r>
      <w:r>
        <w:tab/>
        <w:t>f</w:t>
      </w:r>
      <w:r w:rsidR="001F439F">
        <w:t>issazione delle tariffe laddove non vi è accordo fra i fornitori di prestazione e gli assicuratori malattia</w:t>
      </w:r>
      <w:r>
        <w:t>.</w:t>
      </w:r>
    </w:p>
    <w:p w:rsidR="001F439F" w:rsidRDefault="001F439F" w:rsidP="00464C96">
      <w:pPr>
        <w:pStyle w:val="StandardRisoluzionedelConsigliodiStato"/>
        <w:ind w:left="567" w:hanging="283"/>
      </w:pPr>
      <w:r>
        <w:t>5.</w:t>
      </w:r>
      <w:r>
        <w:tab/>
        <w:t xml:space="preserve">Regime della gestione strategica delle ammissioni di nuovi medici (cfr. M e R </w:t>
      </w:r>
      <w:r w:rsidR="005D092B">
        <w:t xml:space="preserve">n. </w:t>
      </w:r>
      <w:r>
        <w:t>8283 votato nel giugno 2023 dal Gran Consiglio)</w:t>
      </w:r>
      <w:r w:rsidR="005D092B">
        <w:t>.</w:t>
      </w:r>
    </w:p>
    <w:p w:rsidR="001F439F" w:rsidRDefault="001F439F" w:rsidP="00464C96">
      <w:pPr>
        <w:pStyle w:val="StandardRisoluzionedelConsigliodiStato"/>
        <w:ind w:left="567" w:hanging="283"/>
      </w:pPr>
      <w:r>
        <w:t>6.</w:t>
      </w:r>
      <w:r>
        <w:tab/>
        <w:t>La propost</w:t>
      </w:r>
      <w:r w:rsidR="005D092B">
        <w:t>a di Programmi d'</w:t>
      </w:r>
      <w:r>
        <w:t xml:space="preserve">azione cantonali (cfr. ad es. MO </w:t>
      </w:r>
      <w:r w:rsidR="005D092B">
        <w:t xml:space="preserve">n. </w:t>
      </w:r>
      <w:r>
        <w:t>1557 di Matteo Quadranti e M</w:t>
      </w:r>
      <w:r w:rsidR="005D092B">
        <w:t xml:space="preserve"> n. </w:t>
      </w:r>
      <w:r>
        <w:t>8362)</w:t>
      </w:r>
      <w:r w:rsidR="005D092B">
        <w:t>:</w:t>
      </w:r>
    </w:p>
    <w:p w:rsidR="001F439F" w:rsidRDefault="001F439F" w:rsidP="00464C96">
      <w:pPr>
        <w:pStyle w:val="StandardRisoluzionedelConsigliodiStato"/>
        <w:numPr>
          <w:ilvl w:val="1"/>
          <w:numId w:val="11"/>
        </w:numPr>
        <w:spacing w:before="60" w:after="60"/>
        <w:ind w:left="709" w:hanging="283"/>
      </w:pPr>
      <w:r>
        <w:t>di promozione della salute;</w:t>
      </w:r>
    </w:p>
    <w:p w:rsidR="001F439F" w:rsidRDefault="001F439F" w:rsidP="00464C96">
      <w:pPr>
        <w:pStyle w:val="StandardRisoluzionedelConsigliodiStato"/>
        <w:numPr>
          <w:ilvl w:val="1"/>
          <w:numId w:val="11"/>
        </w:numPr>
        <w:spacing w:before="60" w:after="60"/>
        <w:ind w:left="709" w:hanging="283"/>
      </w:pPr>
      <w:r>
        <w:t>di prevenzione (alcol, tabacco e prodotti affini).</w:t>
      </w:r>
    </w:p>
    <w:p w:rsidR="001F439F" w:rsidRDefault="005D092B" w:rsidP="00810CB9">
      <w:pPr>
        <w:pStyle w:val="StandardRisoluzionedelConsigliodiStato"/>
        <w:ind w:left="284" w:hanging="284"/>
      </w:pPr>
      <w:r>
        <w:t>7.</w:t>
      </w:r>
      <w:r>
        <w:tab/>
        <w:t>L'</w:t>
      </w:r>
      <w:r w:rsidR="001F439F">
        <w:t>attività di pressione a livello nazionale tramite prese di posizioni, scambi nei gremi tecnici e politici, iniziative cantonali</w:t>
      </w:r>
      <w:r>
        <w:t>.</w:t>
      </w:r>
    </w:p>
    <w:p w:rsidR="001F439F" w:rsidRDefault="001F439F" w:rsidP="00810CB9">
      <w:pPr>
        <w:pStyle w:val="StandardRisoluzionedelConsigliodiStato"/>
        <w:ind w:left="284" w:hanging="284"/>
      </w:pPr>
      <w:r>
        <w:lastRenderedPageBreak/>
        <w:t>8.</w:t>
      </w:r>
      <w:r>
        <w:tab/>
        <w:t>Il contenimento del numero</w:t>
      </w:r>
      <w:r w:rsidR="005D092B">
        <w:t xml:space="preserve"> di attrezzature diagnostiche a </w:t>
      </w:r>
      <w:r>
        <w:t>tecnologia avanzata o particolarmente costosa (applicazione rigorosa della Legge)</w:t>
      </w:r>
      <w:r w:rsidR="005D092B">
        <w:t>.</w:t>
      </w:r>
    </w:p>
    <w:p w:rsidR="001F439F" w:rsidRDefault="001F439F" w:rsidP="001F439F">
      <w:pPr>
        <w:pStyle w:val="StandardRisoluzionedelConsigliodiStato"/>
        <w:ind w:right="-1"/>
      </w:pPr>
    </w:p>
    <w:p w:rsidR="001F439F" w:rsidRDefault="001F439F" w:rsidP="005D092B">
      <w:pPr>
        <w:pStyle w:val="Titolo2"/>
        <w:numPr>
          <w:ilvl w:val="0"/>
          <w:numId w:val="0"/>
        </w:numPr>
        <w:ind w:left="544" w:hanging="544"/>
      </w:pPr>
      <w:bookmarkStart w:id="3" w:name="_Toc179882461"/>
      <w:r>
        <w:t>1.3</w:t>
      </w:r>
      <w:r>
        <w:tab/>
        <w:t>GLI ATTORI</w:t>
      </w:r>
      <w:bookmarkEnd w:id="3"/>
    </w:p>
    <w:p w:rsidR="001F439F" w:rsidRDefault="001F439F" w:rsidP="001F439F">
      <w:pPr>
        <w:pStyle w:val="StandardRisoluzionedelConsigliodiStato"/>
        <w:ind w:right="-1"/>
      </w:pPr>
      <w:r>
        <w:t>Per rapporto alla precedente Pianificazione del 2015, il panorama ospedaliero si è semplificato grazie ad alcune collaborazioni pubblico­privato (vedi ODL ostetricia ­ CSC ginecologia) e alla riduzione degli attori.</w:t>
      </w:r>
    </w:p>
    <w:p w:rsidR="001F439F" w:rsidRDefault="001F439F" w:rsidP="001F439F">
      <w:pPr>
        <w:pStyle w:val="StandardRisoluzionedelConsigliodiStato"/>
        <w:ind w:right="-1"/>
      </w:pPr>
    </w:p>
    <w:p w:rsidR="001F439F" w:rsidRDefault="001F439F" w:rsidP="001F439F">
      <w:pPr>
        <w:pStyle w:val="StandardRisoluzionedelConsigliodiStato"/>
        <w:ind w:right="-1"/>
      </w:pPr>
      <w:r>
        <w:t>Infatti:</w:t>
      </w:r>
    </w:p>
    <w:p w:rsidR="001F439F" w:rsidRDefault="001F439F" w:rsidP="00464C96">
      <w:pPr>
        <w:pStyle w:val="StandardRisoluzionedelConsigliodiStato"/>
        <w:ind w:left="567" w:right="-1" w:hanging="283"/>
      </w:pPr>
      <w:r>
        <w:t>-</w:t>
      </w:r>
      <w:r>
        <w:tab/>
      </w:r>
      <w:r w:rsidR="005D092B">
        <w:t xml:space="preserve">il </w:t>
      </w:r>
      <w:r>
        <w:t>Cardiocentro (CCT) integrato</w:t>
      </w:r>
      <w:r w:rsidR="005D092B">
        <w:t xml:space="preserve"> nell'</w:t>
      </w:r>
      <w:r>
        <w:t>EOC.</w:t>
      </w:r>
    </w:p>
    <w:p w:rsidR="001F439F" w:rsidRDefault="001F439F" w:rsidP="00464C96">
      <w:pPr>
        <w:pStyle w:val="StandardRisoluzionedelConsigliodiStato"/>
        <w:ind w:left="567" w:right="-1" w:hanging="283"/>
      </w:pPr>
      <w:r>
        <w:t>-</w:t>
      </w:r>
      <w:r>
        <w:tab/>
      </w:r>
      <w:r w:rsidR="005D092B">
        <w:t>l'Ars medica e Sant'</w:t>
      </w:r>
      <w:r>
        <w:t>Anna di proprietà di Swiss Medical Network Hospitals.</w:t>
      </w:r>
    </w:p>
    <w:p w:rsidR="001F439F" w:rsidRDefault="001F439F" w:rsidP="00464C96">
      <w:pPr>
        <w:pStyle w:val="StandardRisoluzionedelConsigliodiStato"/>
        <w:ind w:left="567" w:right="-1" w:hanging="283"/>
      </w:pPr>
      <w:r>
        <w:t>-</w:t>
      </w:r>
      <w:r>
        <w:tab/>
        <w:t>Santa Chiara e Moncucco di proprietà del Gruppo ospedaliero Moncucco SA.</w:t>
      </w:r>
    </w:p>
    <w:p w:rsidR="001F439F" w:rsidRDefault="001F439F" w:rsidP="001F439F">
      <w:pPr>
        <w:pStyle w:val="StandardRisoluzionedelConsigliodiStato"/>
        <w:ind w:right="-1"/>
      </w:pPr>
    </w:p>
    <w:p w:rsidR="001F439F" w:rsidRDefault="001F439F" w:rsidP="00E30925">
      <w:pPr>
        <w:pStyle w:val="StandardRisoluzionedelConsigliodiStato"/>
        <w:spacing w:after="120"/>
        <w:ind w:right="-1"/>
      </w:pPr>
    </w:p>
    <w:p w:rsidR="001F439F" w:rsidRDefault="005D092B" w:rsidP="00E30925">
      <w:pPr>
        <w:pStyle w:val="Titolo1"/>
        <w:numPr>
          <w:ilvl w:val="0"/>
          <w:numId w:val="0"/>
        </w:numPr>
        <w:spacing w:before="0"/>
        <w:ind w:left="567" w:hanging="567"/>
      </w:pPr>
      <w:bookmarkStart w:id="4" w:name="_Toc179882462"/>
      <w:r>
        <w:t>2</w:t>
      </w:r>
      <w:r w:rsidR="001F439F">
        <w:t>.</w:t>
      </w:r>
      <w:r w:rsidR="001F439F">
        <w:tab/>
        <w:t>LA PIANIFICAZIONE IN VIGORE</w:t>
      </w:r>
      <w:bookmarkEnd w:id="4"/>
    </w:p>
    <w:p w:rsidR="001F439F" w:rsidRDefault="001F439F" w:rsidP="001F439F">
      <w:pPr>
        <w:pStyle w:val="StandardRisoluzionedelConsigliodiStato"/>
        <w:ind w:right="-1"/>
      </w:pPr>
      <w:r>
        <w:t>La Pianificazione ospedaliera attualmente in vigore è stata approvata con decreto legislativo il 15 dicembre 2015 dopo un iter durato cinque anni.</w:t>
      </w:r>
    </w:p>
    <w:p w:rsidR="001F439F" w:rsidRDefault="001F439F" w:rsidP="001F439F">
      <w:pPr>
        <w:pStyle w:val="StandardRisoluzionedelConsigliodiStato"/>
        <w:ind w:right="-1"/>
      </w:pPr>
    </w:p>
    <w:p w:rsidR="001F439F" w:rsidRDefault="001F439F" w:rsidP="001F439F">
      <w:pPr>
        <w:pStyle w:val="StandardRisoluzionedelConsigliodiStato"/>
        <w:ind w:right="-1"/>
      </w:pPr>
      <w:r>
        <w:t>Per la prima volta si era proceduto alla determinazione del fabbisogno di cure ospedaliere della popolazione (prescritto dall'art. 58b cpv. 1 dell'Ordinanza sull'assicurazione malattie, del 27 giugno 1995; OAMal) avvalendosi di un modello di previsione sviluppato dalla Gesundheitsdirektion del Cantone Zurigo (GD­ZH). Modello che prevedeva in particolare il raggruppamento delle patologie del settore somatico­acuto in 125 gruppi di prestazioni e l'analisi dell'impatto di diversi fattori d'influenza: demografici, epidemiologici, tecnico­ medici ed economici. Per la determinazione dei criteri di qualità e l'assegnazione dei mandati si era pure fatto capo alla metodologia sviluppata dalla GD­ZH, alla quale si sono aggiunti i volumi storici di attività per ogni singola prestazione, la necessità di concentrazione di talune attività, l'interazione pubblico/privato e la diffusione delle cure di prossimità.</w:t>
      </w:r>
    </w:p>
    <w:p w:rsidR="001F439F" w:rsidRDefault="001F439F" w:rsidP="001F439F">
      <w:pPr>
        <w:pStyle w:val="StandardRisoluzionedelConsigliodiStato"/>
        <w:ind w:right="-1"/>
      </w:pPr>
    </w:p>
    <w:p w:rsidR="001F439F" w:rsidRDefault="001F439F" w:rsidP="001F439F">
      <w:pPr>
        <w:pStyle w:val="StandardRisoluzionedelConsigliodiStato"/>
        <w:ind w:right="-1"/>
      </w:pPr>
      <w:r>
        <w:t>Contro il decreto legislativo del 15 dicembre 2015 sono stati presentati dei ricorsi dalla Clinica Luganese Moncucco SA e dalla Clinica Santa Chiara SA nonché</w:t>
      </w:r>
      <w:r w:rsidR="00C56AFE">
        <w:t>,</w:t>
      </w:r>
      <w:r>
        <w:t xml:space="preserve"> il 22 maggio 2019</w:t>
      </w:r>
      <w:r w:rsidR="00C56AFE">
        <w:t>,</w:t>
      </w:r>
      <w:r>
        <w:t xml:space="preserve"> dal Ricovero Malcantonese di Castelrotto. Il Tribunale amministrativo federale (TAF) ha accolto i ricorsi (DTAF 2019 V/6 e DTAF 2019 V/7):</w:t>
      </w:r>
    </w:p>
    <w:p w:rsidR="001F439F" w:rsidRDefault="001F439F" w:rsidP="00464C96">
      <w:pPr>
        <w:pStyle w:val="StandardRisoluzionedelConsigliodiStato"/>
        <w:numPr>
          <w:ilvl w:val="1"/>
          <w:numId w:val="34"/>
        </w:numPr>
        <w:ind w:left="567" w:hanging="283"/>
      </w:pPr>
      <w:r>
        <w:t>permettendo a due istituti privati (Clinica Luganese Moncucco SA e Clinica Santa Chiara SA) di lavorare sulla base del vecchio decreto pianificatorio del 2005 con alcune conseguenze negative sopra evidenziate a livello di parità di condizioni di partenza;</w:t>
      </w:r>
    </w:p>
    <w:p w:rsidR="001F439F" w:rsidRDefault="001F439F" w:rsidP="00464C96">
      <w:pPr>
        <w:pStyle w:val="StandardRisoluzionedelConsigliodiStato"/>
        <w:numPr>
          <w:ilvl w:val="1"/>
          <w:numId w:val="34"/>
        </w:numPr>
        <w:ind w:left="567" w:hanging="283"/>
      </w:pPr>
      <w:r>
        <w:t>stigmatizzando le modifiche apportate allo studio sul fabbisogno allestito dalla GD­ ZH;</w:t>
      </w:r>
    </w:p>
    <w:p w:rsidR="001F439F" w:rsidRDefault="001F439F" w:rsidP="00464C96">
      <w:pPr>
        <w:pStyle w:val="StandardRisoluzionedelConsigliodiStato"/>
        <w:numPr>
          <w:ilvl w:val="1"/>
          <w:numId w:val="33"/>
        </w:numPr>
        <w:ind w:left="567" w:hanging="283"/>
      </w:pPr>
      <w:r>
        <w:t>limitando i margini di manovra del Cantone quanto alla scelta di non attribuire i mandati a chi dispone dei requisiti, senza aver definito gli stessi (che si devono basare su sicurezza, qualità ed economicità) in modo esaustivo al momento della messa a concorso;</w:t>
      </w:r>
    </w:p>
    <w:p w:rsidR="001F439F" w:rsidRDefault="00C56AFE" w:rsidP="00464C96">
      <w:pPr>
        <w:pStyle w:val="StandardRisoluzionedelConsigliodiStato"/>
        <w:numPr>
          <w:ilvl w:val="1"/>
          <w:numId w:val="32"/>
        </w:numPr>
        <w:ind w:left="567" w:hanging="283"/>
      </w:pPr>
      <w:r>
        <w:t>a</w:t>
      </w:r>
      <w:r w:rsidR="001F439F">
        <w:t xml:space="preserve"> tal proposito la Commissione ribadisce quanto indicato sopra, ovvero che le famose sentenze DTAF 2019 V/6 e DTAF 2019 V/7 non escludono che si possano fare delle </w:t>
      </w:r>
      <w:r w:rsidR="001F439F">
        <w:lastRenderedPageBreak/>
        <w:t>scelte e fissare delle priorità. L’impostazione della POC di cui al messaggio sembrava invece sottolineare che i margini di manovra fossero scarsi o nulli e che insomma il problema dei costi non esistesse visto che la crescita dei costi ospedalieri è marginale. Se non che la situazione finanziaria in generale è critica non solo per il Cantone Ticino</w:t>
      </w:r>
      <w:r>
        <w:t>, ma</w:t>
      </w:r>
      <w:r w:rsidR="001F439F">
        <w:t xml:space="preserve"> anche e soprattutto per molti ospedali. Oltre</w:t>
      </w:r>
      <w:r>
        <w:t xml:space="preserve"> </w:t>
      </w:r>
      <w:r w:rsidR="001F439F">
        <w:t>Gottardo parecchi ospedali hanno chiuso con deficit importanti (Inselspital/BE, Uster/ZH, Coira /GR, ecc.) e alcune strutture saranno chiuse (ospedale Wetzikon/ZH). Ne consegue che non può essere relativizzata l’incidenza finanziaria dell’offerta ospedaliera come traspare nella trama di fondo del Messaggio.</w:t>
      </w:r>
    </w:p>
    <w:p w:rsidR="001F439F" w:rsidRDefault="00C56AFE" w:rsidP="00464C96">
      <w:pPr>
        <w:pStyle w:val="StandardRisoluzionedelConsigliodiStato"/>
        <w:numPr>
          <w:ilvl w:val="1"/>
          <w:numId w:val="32"/>
        </w:numPr>
        <w:ind w:left="567" w:right="-1" w:hanging="283"/>
      </w:pPr>
      <w:r>
        <w:t>I</w:t>
      </w:r>
      <w:r w:rsidR="001F439F">
        <w:t>mponendo un confronto sull'economicità delle prestazioni basato sui costi e non sulle tariffe e</w:t>
      </w:r>
    </w:p>
    <w:p w:rsidR="001F439F" w:rsidRDefault="001F439F" w:rsidP="00464C96">
      <w:pPr>
        <w:pStyle w:val="StandardRisoluzionedelConsigliodiStato"/>
        <w:numPr>
          <w:ilvl w:val="1"/>
          <w:numId w:val="31"/>
        </w:numPr>
        <w:ind w:left="567" w:right="-1" w:hanging="283"/>
      </w:pPr>
      <w:r>
        <w:t>richiedendo chiarezza sul comparto RAMI inserito nella realtà ospedaliera, ma di fatto finanziato come una casa di cura (senza partecipazione dei Comuni).</w:t>
      </w:r>
    </w:p>
    <w:p w:rsidR="001F439F" w:rsidRDefault="001F439F" w:rsidP="00810CB9">
      <w:pPr>
        <w:pStyle w:val="StandardRisoluzionedelConsigliodiStato"/>
        <w:ind w:right="-1"/>
      </w:pPr>
    </w:p>
    <w:p w:rsidR="001F439F" w:rsidRDefault="001F439F" w:rsidP="001F439F">
      <w:pPr>
        <w:pStyle w:val="StandardRisoluzionedelConsigliodiStato"/>
        <w:ind w:right="-1"/>
      </w:pPr>
      <w:r>
        <w:t>Vanno poi ricordati i seguenti fatti:</w:t>
      </w:r>
    </w:p>
    <w:p w:rsidR="001F439F" w:rsidRDefault="001F439F" w:rsidP="0003335A">
      <w:pPr>
        <w:pStyle w:val="StandardRisoluzionedelConsigliodiStato"/>
        <w:numPr>
          <w:ilvl w:val="1"/>
          <w:numId w:val="30"/>
        </w:numPr>
        <w:ind w:left="284" w:right="-1" w:hanging="284"/>
      </w:pPr>
      <w:r>
        <w:t>Referendum accolto contro la modifica della LEOC del 5 giugno 2016</w:t>
      </w:r>
      <w:r w:rsidR="00C56AFE">
        <w:t>;</w:t>
      </w:r>
    </w:p>
    <w:p w:rsidR="001F439F" w:rsidRDefault="00C56AFE" w:rsidP="0003335A">
      <w:pPr>
        <w:pStyle w:val="StandardRisoluzionedelConsigliodiStato"/>
        <w:numPr>
          <w:ilvl w:val="1"/>
          <w:numId w:val="29"/>
        </w:numPr>
        <w:ind w:left="284" w:right="-1" w:hanging="284"/>
      </w:pPr>
      <w:r>
        <w:t>b</w:t>
      </w:r>
      <w:r w:rsidR="001F439F">
        <w:t>occiatura dell’iniziativa popolare «Giù le mani dagli ospedali»</w:t>
      </w:r>
      <w:r>
        <w:t>.</w:t>
      </w:r>
    </w:p>
    <w:p w:rsidR="001F439F" w:rsidRDefault="001F439F" w:rsidP="001F439F">
      <w:pPr>
        <w:pStyle w:val="StandardRisoluzionedelConsigliodiStato"/>
        <w:ind w:right="-1"/>
      </w:pPr>
    </w:p>
    <w:p w:rsidR="00C56AFE" w:rsidRDefault="00C56AFE" w:rsidP="001F439F">
      <w:pPr>
        <w:pStyle w:val="StandardRisoluzionedelConsigliodiStato"/>
        <w:ind w:right="-1"/>
      </w:pPr>
    </w:p>
    <w:p w:rsidR="001F439F" w:rsidRPr="00304AF2" w:rsidRDefault="00C56AFE" w:rsidP="00C56AFE">
      <w:pPr>
        <w:pStyle w:val="Titolo1"/>
        <w:numPr>
          <w:ilvl w:val="0"/>
          <w:numId w:val="0"/>
        </w:numPr>
        <w:spacing w:before="0"/>
        <w:ind w:left="567" w:hanging="567"/>
        <w:jc w:val="both"/>
        <w:rPr>
          <w:sz w:val="24"/>
          <w:szCs w:val="24"/>
        </w:rPr>
      </w:pPr>
      <w:bookmarkStart w:id="5" w:name="_Toc179882463"/>
      <w:r w:rsidRPr="00304AF2">
        <w:rPr>
          <w:sz w:val="24"/>
          <w:szCs w:val="24"/>
        </w:rPr>
        <w:t>3.</w:t>
      </w:r>
      <w:r w:rsidRPr="00304AF2">
        <w:rPr>
          <w:sz w:val="24"/>
          <w:szCs w:val="24"/>
        </w:rPr>
        <w:tab/>
      </w:r>
      <w:r w:rsidR="001F439F" w:rsidRPr="00304AF2">
        <w:rPr>
          <w:sz w:val="24"/>
          <w:szCs w:val="24"/>
        </w:rPr>
        <w:t>IL CONTENUTO DEL MESSAGGIO ALLA LUCE DELLA RIDEFINIZIONE DI COMPETENZE TRA GRAN CONSIGLIO E CONSIGLIO DI STATO IN MATERIA DI PIANIFICAZIONE OSPEDALIERA</w:t>
      </w:r>
      <w:bookmarkEnd w:id="5"/>
    </w:p>
    <w:p w:rsidR="001F439F" w:rsidRDefault="001F439F" w:rsidP="00C56AFE">
      <w:pPr>
        <w:pStyle w:val="StandardRisoluzionedelConsigliodiStato"/>
        <w:spacing w:after="120"/>
        <w:ind w:right="-1"/>
      </w:pPr>
      <w:r>
        <w:t>Nel messaggio in oggetto del Consiglio di Stato sono dunque stati presentati:</w:t>
      </w:r>
    </w:p>
    <w:p w:rsidR="001F439F" w:rsidRDefault="001F439F" w:rsidP="00464C96">
      <w:pPr>
        <w:pStyle w:val="StandardRisoluzionedelConsigliodiStato"/>
        <w:numPr>
          <w:ilvl w:val="1"/>
          <w:numId w:val="27"/>
        </w:numPr>
        <w:ind w:left="567" w:right="-1" w:hanging="283"/>
      </w:pPr>
      <w:r>
        <w:t>le risultanze dello studio sul fabbisogno (art. 64 lett. a LCAMal);</w:t>
      </w:r>
    </w:p>
    <w:p w:rsidR="001F439F" w:rsidRDefault="001F439F" w:rsidP="00464C96">
      <w:pPr>
        <w:pStyle w:val="StandardRisoluzionedelConsigliodiStato"/>
        <w:numPr>
          <w:ilvl w:val="1"/>
          <w:numId w:val="27"/>
        </w:numPr>
        <w:ind w:left="567" w:right="-1" w:hanging="283"/>
      </w:pPr>
      <w:r>
        <w:t>le proposte di indirizzi strategici (art. 64 lett. b LCAMal);</w:t>
      </w:r>
    </w:p>
    <w:p w:rsidR="001F439F" w:rsidRDefault="001F439F" w:rsidP="00464C96">
      <w:pPr>
        <w:pStyle w:val="StandardRisoluzionedelConsigliodiStato"/>
        <w:numPr>
          <w:ilvl w:val="1"/>
          <w:numId w:val="27"/>
        </w:numPr>
        <w:ind w:left="567" w:right="-1" w:hanging="283"/>
      </w:pPr>
      <w:r>
        <w:t>i lavori della Commissione di pianificazione sanitaria (art. 64 lett. b LCAMal);</w:t>
      </w:r>
    </w:p>
    <w:p w:rsidR="001F439F" w:rsidRDefault="001F439F" w:rsidP="00464C96">
      <w:pPr>
        <w:pStyle w:val="StandardRisoluzionedelConsigliodiStato"/>
        <w:numPr>
          <w:ilvl w:val="1"/>
          <w:numId w:val="27"/>
        </w:numPr>
        <w:ind w:left="567" w:right="-1" w:hanging="283"/>
      </w:pPr>
      <w:r>
        <w:t>le prestazioni economicamente d'interesse generale da finanziare con contributo cantonale (art. 65 lett. d LCAMal);</w:t>
      </w:r>
    </w:p>
    <w:p w:rsidR="001F439F" w:rsidRDefault="001F439F" w:rsidP="00464C96">
      <w:pPr>
        <w:pStyle w:val="StandardRisoluzionedelConsigliodiStato"/>
        <w:numPr>
          <w:ilvl w:val="1"/>
          <w:numId w:val="27"/>
        </w:numPr>
        <w:ind w:left="567" w:right="-1" w:hanging="283"/>
      </w:pPr>
      <w:r>
        <w:t>i moduli per la sollecitazione d'offerta (art. 65 lett. b LCAMal);</w:t>
      </w:r>
    </w:p>
    <w:p w:rsidR="001F439F" w:rsidRDefault="001F439F" w:rsidP="00464C96">
      <w:pPr>
        <w:pStyle w:val="StandardRisoluzionedelConsigliodiStato"/>
        <w:numPr>
          <w:ilvl w:val="1"/>
          <w:numId w:val="28"/>
        </w:numPr>
        <w:ind w:left="567" w:right="-1" w:hanging="283"/>
      </w:pPr>
      <w:r>
        <w:t>le proposte finali.</w:t>
      </w:r>
    </w:p>
    <w:p w:rsidR="001F439F" w:rsidRDefault="001F439F" w:rsidP="001F439F">
      <w:pPr>
        <w:pStyle w:val="StandardRisoluzionedelConsigliodiStato"/>
        <w:ind w:right="-1"/>
      </w:pPr>
    </w:p>
    <w:p w:rsidR="00C56AFE" w:rsidRDefault="00C56AFE" w:rsidP="00C56AFE">
      <w:pPr>
        <w:pStyle w:val="StandardRisoluzionedelConsigliodiStato"/>
        <w:spacing w:after="120"/>
        <w:ind w:right="-1"/>
      </w:pPr>
    </w:p>
    <w:p w:rsidR="001F439F" w:rsidRDefault="00C56AFE" w:rsidP="00C56AFE">
      <w:pPr>
        <w:pStyle w:val="Titolo1"/>
        <w:numPr>
          <w:ilvl w:val="0"/>
          <w:numId w:val="0"/>
        </w:numPr>
        <w:spacing w:before="0"/>
        <w:ind w:left="567" w:hanging="567"/>
      </w:pPr>
      <w:bookmarkStart w:id="6" w:name="_Toc179882464"/>
      <w:r w:rsidRPr="00304AF2">
        <w:rPr>
          <w:sz w:val="24"/>
          <w:szCs w:val="24"/>
        </w:rPr>
        <w:t>4.</w:t>
      </w:r>
      <w:r>
        <w:tab/>
      </w:r>
      <w:r w:rsidR="001F439F" w:rsidRPr="00304AF2">
        <w:rPr>
          <w:sz w:val="24"/>
          <w:szCs w:val="24"/>
        </w:rPr>
        <w:t>LO STUDIO SUL FABBISOGNO</w:t>
      </w:r>
      <w:bookmarkEnd w:id="6"/>
    </w:p>
    <w:p w:rsidR="001F439F" w:rsidRDefault="001F439F" w:rsidP="001F439F">
      <w:pPr>
        <w:pStyle w:val="StandardRisoluzionedelConsigliodiStato"/>
        <w:ind w:right="-1"/>
      </w:pPr>
      <w:r>
        <w:t>Il Consiglio di Stato</w:t>
      </w:r>
      <w:r w:rsidR="00292470">
        <w:t>, con R</w:t>
      </w:r>
      <w:r>
        <w:t xml:space="preserve">isoluzione </w:t>
      </w:r>
      <w:r w:rsidR="00292470">
        <w:t xml:space="preserve">governativa </w:t>
      </w:r>
      <w:r>
        <w:t>n. 597 del 5 febbraio 2020</w:t>
      </w:r>
      <w:r w:rsidR="00292470">
        <w:t>,</w:t>
      </w:r>
      <w:r>
        <w:t xml:space="preserve"> ha incaricato la Direzione della sanità del Cantone Zurigo (GD­ZH) di elaborare un'analisi e una previsione del fabbisogno ospedaliero con orizzonte temporale 2025 per il settore somatico­acuto e 2030 per i settori della psichiatria e della riabilitazione. Le proiezioni sono poi state aggiornate allineando i tre settori partendo dai dati disponibili del 2019 fino al 2032.</w:t>
      </w:r>
    </w:p>
    <w:p w:rsidR="001F439F" w:rsidRDefault="001F439F" w:rsidP="001F439F">
      <w:pPr>
        <w:pStyle w:val="StandardRisoluzionedelConsigliodiStato"/>
        <w:ind w:right="-1"/>
      </w:pPr>
    </w:p>
    <w:p w:rsidR="001F439F" w:rsidRDefault="001F439F" w:rsidP="001F439F">
      <w:pPr>
        <w:pStyle w:val="StandardRisoluzionedelConsigliodiStato"/>
        <w:ind w:right="-1"/>
      </w:pPr>
      <w:r>
        <w:t>Il modello tiene conto dello sviluppo demografico e di cinque fattori d'influenza:</w:t>
      </w:r>
    </w:p>
    <w:p w:rsidR="001F439F" w:rsidRDefault="001F439F" w:rsidP="00464C96">
      <w:pPr>
        <w:pStyle w:val="StandardRisoluzionedelConsigliodiStato"/>
        <w:numPr>
          <w:ilvl w:val="1"/>
          <w:numId w:val="24"/>
        </w:numPr>
        <w:ind w:left="567" w:hanging="283"/>
      </w:pPr>
      <w:r>
        <w:t>lo sviluppo della tecnologia medica;</w:t>
      </w:r>
    </w:p>
    <w:p w:rsidR="001F439F" w:rsidRDefault="001F439F" w:rsidP="00464C96">
      <w:pPr>
        <w:pStyle w:val="StandardRisoluzionedelConsigliodiStato"/>
        <w:numPr>
          <w:ilvl w:val="1"/>
          <w:numId w:val="24"/>
        </w:numPr>
        <w:ind w:left="567" w:hanging="283"/>
      </w:pPr>
      <w:r>
        <w:t>l'evoluzione epidemiologica;</w:t>
      </w:r>
    </w:p>
    <w:p w:rsidR="001F439F" w:rsidRDefault="001F439F" w:rsidP="00464C96">
      <w:pPr>
        <w:pStyle w:val="StandardRisoluzionedelConsigliodiStato"/>
        <w:numPr>
          <w:ilvl w:val="1"/>
          <w:numId w:val="24"/>
        </w:numPr>
        <w:ind w:left="567" w:hanging="283"/>
      </w:pPr>
      <w:r>
        <w:t>il trasferimento da attività stazionaria ad ambulatoriale;</w:t>
      </w:r>
    </w:p>
    <w:p w:rsidR="001F439F" w:rsidRDefault="001F439F" w:rsidP="00464C96">
      <w:pPr>
        <w:pStyle w:val="StandardRisoluzionedelConsigliodiStato"/>
        <w:numPr>
          <w:ilvl w:val="1"/>
          <w:numId w:val="25"/>
        </w:numPr>
        <w:ind w:left="567" w:hanging="283"/>
      </w:pPr>
      <w:r>
        <w:t>il tasso di ospedalizzazione;</w:t>
      </w:r>
    </w:p>
    <w:p w:rsidR="001F439F" w:rsidRDefault="001F439F" w:rsidP="00464C96">
      <w:pPr>
        <w:pStyle w:val="StandardRisoluzionedelConsigliodiStato"/>
        <w:numPr>
          <w:ilvl w:val="1"/>
          <w:numId w:val="26"/>
        </w:numPr>
        <w:ind w:left="567" w:hanging="283"/>
      </w:pPr>
      <w:r>
        <w:t>la degenza media, il tutto declinato per età o per classi di età.</w:t>
      </w:r>
    </w:p>
    <w:p w:rsidR="001F439F" w:rsidRDefault="001F439F" w:rsidP="001F439F">
      <w:pPr>
        <w:pStyle w:val="StandardRisoluzionedelConsigliodiStato"/>
        <w:ind w:right="-1"/>
      </w:pPr>
      <w:r>
        <w:lastRenderedPageBreak/>
        <w:t>Il risultato finale valuta tre scenari (principale, minimo e massimo), indicando opportuno quello principale, che vede stabilità per i settori somatico­acuto e psichiatria e aumento nell'ambio della riabilitazione. Di seguito si riassumono solo dati relativi allo scenario principale.</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p>
    <w:p w:rsidR="001F439F" w:rsidRPr="00304AF2" w:rsidRDefault="00304AF2" w:rsidP="00304AF2">
      <w:pPr>
        <w:pStyle w:val="Titolo2"/>
        <w:numPr>
          <w:ilvl w:val="0"/>
          <w:numId w:val="0"/>
        </w:numPr>
        <w:tabs>
          <w:tab w:val="left" w:pos="567"/>
        </w:tabs>
      </w:pPr>
      <w:bookmarkStart w:id="7" w:name="_Toc179882465"/>
      <w:r>
        <w:t>4.1</w:t>
      </w:r>
      <w:r>
        <w:tab/>
      </w:r>
      <w:r w:rsidR="001F439F" w:rsidRPr="00304AF2">
        <w:t>LO SCENARIO PRINCIPALE</w:t>
      </w:r>
      <w:bookmarkEnd w:id="7"/>
    </w:p>
    <w:p w:rsidR="001F439F" w:rsidRDefault="001F439F" w:rsidP="001F439F">
      <w:pPr>
        <w:pStyle w:val="StandardRisoluzionedelConsigliodiStato"/>
        <w:ind w:right="-1"/>
      </w:pPr>
      <w:r>
        <w:t>Per il 2032 i calcoli effettuati dall'UST prevedono un importante invecchiamento della popolazione. Nel 2032 ci saranno 11'653 residenti sopra gli 80 anni in più rispetto al 2019 (+46.8%) e una riduzione della popolazione professionalmente attiva nella fascia 40­64 anni di 13'723 unità (­10.5%).</w:t>
      </w:r>
    </w:p>
    <w:p w:rsidR="001F439F" w:rsidRDefault="001F439F" w:rsidP="001F439F">
      <w:pPr>
        <w:pStyle w:val="StandardRisoluzionedelConsigliodiStato"/>
        <w:ind w:right="-1"/>
      </w:pPr>
    </w:p>
    <w:p w:rsidR="00292470" w:rsidRDefault="00292470" w:rsidP="001F439F">
      <w:pPr>
        <w:pStyle w:val="StandardRisoluzionedelConsigliodiStato"/>
        <w:ind w:right="-1"/>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1418"/>
        <w:gridCol w:w="1275"/>
        <w:gridCol w:w="1112"/>
        <w:gridCol w:w="1069"/>
      </w:tblGrid>
      <w:tr w:rsidR="00292470" w:rsidRPr="003446C0" w:rsidTr="00292470">
        <w:trPr>
          <w:trHeight w:val="402"/>
        </w:trPr>
        <w:tc>
          <w:tcPr>
            <w:tcW w:w="4349" w:type="dxa"/>
            <w:vMerge w:val="restart"/>
            <w:tcBorders>
              <w:left w:val="nil"/>
            </w:tcBorders>
            <w:shd w:val="clear" w:color="auto" w:fill="9BC2E6"/>
          </w:tcPr>
          <w:p w:rsidR="00292470" w:rsidRPr="003446C0" w:rsidRDefault="00292470" w:rsidP="00292470">
            <w:pPr>
              <w:spacing w:before="266"/>
              <w:ind w:left="1401"/>
              <w:jc w:val="both"/>
              <w:rPr>
                <w:rFonts w:asciiTheme="minorHAnsi" w:eastAsia="Arial" w:hAnsiTheme="minorHAnsi" w:cstheme="minorHAnsi"/>
                <w:b/>
                <w:sz w:val="24"/>
                <w:lang w:val="it-IT"/>
              </w:rPr>
            </w:pPr>
            <w:r w:rsidRPr="003446C0">
              <w:rPr>
                <w:rFonts w:asciiTheme="minorHAnsi" w:eastAsia="Arial" w:hAnsiTheme="minorHAnsi" w:cstheme="minorHAnsi"/>
                <w:b/>
                <w:sz w:val="24"/>
                <w:lang w:val="it-IT"/>
              </w:rPr>
              <w:t>Somatico</w:t>
            </w:r>
            <w:r w:rsidRPr="003446C0">
              <w:rPr>
                <w:rFonts w:asciiTheme="minorHAnsi" w:eastAsia="Arial" w:hAnsiTheme="minorHAnsi" w:cstheme="minorHAnsi"/>
                <w:b/>
                <w:spacing w:val="-3"/>
                <w:sz w:val="24"/>
                <w:lang w:val="it-IT"/>
              </w:rPr>
              <w:t xml:space="preserve"> </w:t>
            </w:r>
            <w:r w:rsidRPr="003446C0">
              <w:rPr>
                <w:rFonts w:asciiTheme="minorHAnsi" w:eastAsia="Arial" w:hAnsiTheme="minorHAnsi" w:cstheme="minorHAnsi"/>
                <w:b/>
                <w:sz w:val="24"/>
                <w:lang w:val="it-IT"/>
              </w:rPr>
              <w:t>-</w:t>
            </w:r>
            <w:r w:rsidRPr="003446C0">
              <w:rPr>
                <w:rFonts w:asciiTheme="minorHAnsi" w:eastAsia="Arial" w:hAnsiTheme="minorHAnsi" w:cstheme="minorHAnsi"/>
                <w:b/>
                <w:spacing w:val="-2"/>
                <w:sz w:val="24"/>
                <w:lang w:val="it-IT"/>
              </w:rPr>
              <w:t xml:space="preserve"> </w:t>
            </w:r>
            <w:r w:rsidRPr="003446C0">
              <w:rPr>
                <w:rFonts w:asciiTheme="minorHAnsi" w:eastAsia="Arial" w:hAnsiTheme="minorHAnsi" w:cstheme="minorHAnsi"/>
                <w:b/>
                <w:spacing w:val="-4"/>
                <w:sz w:val="24"/>
                <w:lang w:val="it-IT"/>
              </w:rPr>
              <w:t>acuto</w:t>
            </w:r>
          </w:p>
        </w:tc>
        <w:tc>
          <w:tcPr>
            <w:tcW w:w="1418" w:type="dxa"/>
            <w:vMerge w:val="restart"/>
            <w:shd w:val="clear" w:color="auto" w:fill="9BC2E6"/>
          </w:tcPr>
          <w:p w:rsidR="00292470" w:rsidRPr="003446C0" w:rsidRDefault="00292470" w:rsidP="00292470">
            <w:pPr>
              <w:spacing w:before="59"/>
              <w:jc w:val="center"/>
              <w:rPr>
                <w:rFonts w:asciiTheme="minorHAnsi" w:eastAsia="Arial" w:hAnsiTheme="minorHAnsi" w:cstheme="minorHAnsi"/>
                <w:sz w:val="20"/>
                <w:lang w:val="it-IT"/>
              </w:rPr>
            </w:pPr>
          </w:p>
          <w:p w:rsidR="00292470" w:rsidRPr="003446C0" w:rsidRDefault="00292470" w:rsidP="00292470">
            <w:pPr>
              <w:spacing w:before="59"/>
              <w:jc w:val="center"/>
              <w:rPr>
                <w:rFonts w:asciiTheme="minorHAnsi" w:eastAsia="Arial" w:hAnsiTheme="minorHAnsi" w:cstheme="minorHAnsi"/>
                <w:sz w:val="20"/>
                <w:lang w:val="it-IT"/>
              </w:rPr>
            </w:pPr>
            <w:r w:rsidRPr="003446C0">
              <w:rPr>
                <w:rFonts w:asciiTheme="minorHAnsi" w:eastAsia="Arial" w:hAnsiTheme="minorHAnsi" w:cstheme="minorHAnsi"/>
                <w:sz w:val="20"/>
                <w:lang w:val="it-IT"/>
              </w:rPr>
              <w:t>2</w:t>
            </w:r>
            <w:r w:rsidRPr="003446C0">
              <w:rPr>
                <w:rFonts w:asciiTheme="minorHAnsi" w:eastAsia="Arial" w:hAnsiTheme="minorHAnsi" w:cstheme="minorHAnsi"/>
                <w:b/>
                <w:spacing w:val="-4"/>
                <w:sz w:val="20"/>
                <w:lang w:val="it-IT"/>
              </w:rPr>
              <w:t>019</w:t>
            </w:r>
          </w:p>
        </w:tc>
        <w:tc>
          <w:tcPr>
            <w:tcW w:w="3456" w:type="dxa"/>
            <w:gridSpan w:val="3"/>
            <w:tcBorders>
              <w:right w:val="nil"/>
            </w:tcBorders>
            <w:shd w:val="clear" w:color="auto" w:fill="9BC2E6"/>
          </w:tcPr>
          <w:p w:rsidR="00292470" w:rsidRPr="003446C0" w:rsidRDefault="00292470" w:rsidP="00292470">
            <w:pPr>
              <w:spacing w:before="83"/>
              <w:ind w:left="746"/>
              <w:rPr>
                <w:rFonts w:asciiTheme="minorHAnsi" w:eastAsia="Arial" w:hAnsiTheme="minorHAnsi" w:cstheme="minorHAnsi"/>
                <w:b/>
                <w:sz w:val="20"/>
                <w:lang w:val="it-IT"/>
              </w:rPr>
            </w:pPr>
            <w:r w:rsidRPr="003446C0">
              <w:rPr>
                <w:rFonts w:asciiTheme="minorHAnsi" w:eastAsia="Arial" w:hAnsiTheme="minorHAnsi" w:cstheme="minorHAnsi"/>
                <w:b/>
                <w:sz w:val="20"/>
                <w:lang w:val="it-IT"/>
              </w:rPr>
              <w:t>Scenario</w:t>
            </w:r>
            <w:r w:rsidRPr="003446C0">
              <w:rPr>
                <w:rFonts w:asciiTheme="minorHAnsi" w:eastAsia="Arial" w:hAnsiTheme="minorHAnsi" w:cstheme="minorHAnsi"/>
                <w:b/>
                <w:spacing w:val="-12"/>
                <w:sz w:val="20"/>
                <w:lang w:val="it-IT"/>
              </w:rPr>
              <w:t xml:space="preserve"> </w:t>
            </w:r>
            <w:r w:rsidRPr="003446C0">
              <w:rPr>
                <w:rFonts w:asciiTheme="minorHAnsi" w:eastAsia="Arial" w:hAnsiTheme="minorHAnsi" w:cstheme="minorHAnsi"/>
                <w:b/>
                <w:spacing w:val="-2"/>
                <w:sz w:val="20"/>
                <w:lang w:val="it-IT"/>
              </w:rPr>
              <w:t>principale</w:t>
            </w:r>
          </w:p>
        </w:tc>
      </w:tr>
      <w:tr w:rsidR="00292470" w:rsidRPr="003446C0" w:rsidTr="00292470">
        <w:trPr>
          <w:trHeight w:val="400"/>
        </w:trPr>
        <w:tc>
          <w:tcPr>
            <w:tcW w:w="4349" w:type="dxa"/>
            <w:vMerge/>
            <w:tcBorders>
              <w:top w:val="nil"/>
              <w:left w:val="nil"/>
            </w:tcBorders>
            <w:shd w:val="clear" w:color="auto" w:fill="9BC2E6"/>
          </w:tcPr>
          <w:p w:rsidR="00292470" w:rsidRPr="003446C0" w:rsidRDefault="00292470" w:rsidP="00292470">
            <w:pPr>
              <w:rPr>
                <w:rFonts w:asciiTheme="minorHAnsi" w:eastAsia="Arial" w:hAnsiTheme="minorHAnsi" w:cstheme="minorHAnsi"/>
                <w:sz w:val="2"/>
                <w:szCs w:val="2"/>
                <w:lang w:val="it-IT"/>
              </w:rPr>
            </w:pPr>
          </w:p>
        </w:tc>
        <w:tc>
          <w:tcPr>
            <w:tcW w:w="1418" w:type="dxa"/>
            <w:vMerge/>
            <w:tcBorders>
              <w:top w:val="nil"/>
            </w:tcBorders>
            <w:shd w:val="clear" w:color="auto" w:fill="9BC2E6"/>
          </w:tcPr>
          <w:p w:rsidR="00292470" w:rsidRPr="003446C0" w:rsidRDefault="00292470" w:rsidP="00292470">
            <w:pPr>
              <w:rPr>
                <w:rFonts w:asciiTheme="minorHAnsi" w:eastAsia="Arial" w:hAnsiTheme="minorHAnsi" w:cstheme="minorHAnsi"/>
                <w:sz w:val="2"/>
                <w:szCs w:val="2"/>
                <w:lang w:val="it-IT"/>
              </w:rPr>
            </w:pPr>
          </w:p>
        </w:tc>
        <w:tc>
          <w:tcPr>
            <w:tcW w:w="1275" w:type="dxa"/>
            <w:shd w:val="clear" w:color="auto" w:fill="9BC2E6"/>
          </w:tcPr>
          <w:p w:rsidR="00292470" w:rsidRPr="003446C0" w:rsidRDefault="00292470" w:rsidP="00292470">
            <w:pPr>
              <w:spacing w:before="83"/>
              <w:ind w:left="357"/>
              <w:rPr>
                <w:rFonts w:asciiTheme="minorHAnsi" w:eastAsia="Arial" w:hAnsiTheme="minorHAnsi" w:cstheme="minorHAnsi"/>
                <w:b/>
                <w:sz w:val="20"/>
                <w:lang w:val="it-IT"/>
              </w:rPr>
            </w:pPr>
            <w:r w:rsidRPr="003446C0">
              <w:rPr>
                <w:rFonts w:asciiTheme="minorHAnsi" w:eastAsia="Arial" w:hAnsiTheme="minorHAnsi" w:cstheme="minorHAnsi"/>
                <w:b/>
                <w:spacing w:val="-4"/>
                <w:sz w:val="20"/>
                <w:lang w:val="it-IT"/>
              </w:rPr>
              <w:t>2032</w:t>
            </w:r>
          </w:p>
        </w:tc>
        <w:tc>
          <w:tcPr>
            <w:tcW w:w="1112" w:type="dxa"/>
            <w:shd w:val="clear" w:color="auto" w:fill="9BC2E6"/>
          </w:tcPr>
          <w:p w:rsidR="00292470" w:rsidRPr="003446C0" w:rsidRDefault="00292470" w:rsidP="00292470">
            <w:pPr>
              <w:spacing w:before="83"/>
              <w:jc w:val="center"/>
              <w:rPr>
                <w:rFonts w:asciiTheme="minorHAnsi" w:eastAsia="Arial" w:hAnsiTheme="minorHAnsi" w:cstheme="minorHAnsi"/>
                <w:b/>
                <w:sz w:val="20"/>
                <w:lang w:val="it-IT"/>
              </w:rPr>
            </w:pPr>
            <w:r w:rsidRPr="003446C0">
              <w:rPr>
                <w:rFonts w:asciiTheme="minorHAnsi" w:eastAsia="Arial" w:hAnsiTheme="minorHAnsi" w:cstheme="minorHAnsi"/>
                <w:b/>
                <w:spacing w:val="-10"/>
                <w:sz w:val="20"/>
                <w:lang w:val="it-IT"/>
              </w:rPr>
              <w:t>∆</w:t>
            </w:r>
          </w:p>
        </w:tc>
        <w:tc>
          <w:tcPr>
            <w:tcW w:w="1069" w:type="dxa"/>
            <w:tcBorders>
              <w:right w:val="nil"/>
            </w:tcBorders>
            <w:shd w:val="clear" w:color="auto" w:fill="9BC2E6"/>
          </w:tcPr>
          <w:p w:rsidR="00292470" w:rsidRPr="003446C0" w:rsidRDefault="00292470" w:rsidP="00292470">
            <w:pPr>
              <w:spacing w:before="83"/>
              <w:ind w:right="11"/>
              <w:jc w:val="center"/>
              <w:rPr>
                <w:rFonts w:asciiTheme="minorHAnsi" w:eastAsia="Arial" w:hAnsiTheme="minorHAnsi" w:cstheme="minorHAnsi"/>
                <w:b/>
                <w:sz w:val="20"/>
                <w:lang w:val="it-IT"/>
              </w:rPr>
            </w:pPr>
            <w:r w:rsidRPr="003446C0">
              <w:rPr>
                <w:rFonts w:asciiTheme="minorHAnsi" w:eastAsia="Arial" w:hAnsiTheme="minorHAnsi" w:cstheme="minorHAnsi"/>
                <w:b/>
                <w:spacing w:val="-5"/>
                <w:sz w:val="20"/>
                <w:lang w:val="it-IT"/>
              </w:rPr>
              <w:t>∆%</w:t>
            </w:r>
          </w:p>
        </w:tc>
      </w:tr>
      <w:tr w:rsidR="00292470" w:rsidRPr="003446C0" w:rsidTr="00292470">
        <w:trPr>
          <w:trHeight w:val="304"/>
        </w:trPr>
        <w:tc>
          <w:tcPr>
            <w:tcW w:w="4349" w:type="dxa"/>
            <w:tcBorders>
              <w:left w:val="nil"/>
              <w:bottom w:val="nil"/>
            </w:tcBorders>
          </w:tcPr>
          <w:p w:rsidR="00292470" w:rsidRPr="003446C0" w:rsidRDefault="00292470" w:rsidP="00292470">
            <w:pPr>
              <w:spacing w:before="12" w:line="272"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Numero</w:t>
            </w:r>
            <w:r w:rsidRPr="003446C0">
              <w:rPr>
                <w:rFonts w:asciiTheme="minorHAnsi" w:eastAsia="Arial" w:hAnsiTheme="minorHAnsi" w:cstheme="minorHAnsi"/>
                <w:spacing w:val="-3"/>
                <w:sz w:val="24"/>
                <w:lang w:val="it-IT"/>
              </w:rPr>
              <w:t xml:space="preserve"> </w:t>
            </w:r>
            <w:r w:rsidRPr="003446C0">
              <w:rPr>
                <w:rFonts w:asciiTheme="minorHAnsi" w:eastAsia="Arial" w:hAnsiTheme="minorHAnsi" w:cstheme="minorHAnsi"/>
                <w:sz w:val="24"/>
                <w:lang w:val="it-IT"/>
              </w:rPr>
              <w:t>di</w:t>
            </w:r>
            <w:r w:rsidRPr="003446C0">
              <w:rPr>
                <w:rFonts w:asciiTheme="minorHAnsi" w:eastAsia="Arial" w:hAnsiTheme="minorHAnsi" w:cstheme="minorHAnsi"/>
                <w:spacing w:val="-2"/>
                <w:sz w:val="24"/>
                <w:lang w:val="it-IT"/>
              </w:rPr>
              <w:t xml:space="preserve"> </w:t>
            </w:r>
            <w:r w:rsidRPr="003446C0">
              <w:rPr>
                <w:rFonts w:asciiTheme="minorHAnsi" w:eastAsia="Arial" w:hAnsiTheme="minorHAnsi" w:cstheme="minorHAnsi"/>
                <w:sz w:val="24"/>
                <w:lang w:val="it-IT"/>
              </w:rPr>
              <w:t>pazienti</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2"/>
                <w:sz w:val="24"/>
                <w:lang w:val="it-IT"/>
              </w:rPr>
              <w:t>(casi)</w:t>
            </w:r>
          </w:p>
        </w:tc>
        <w:tc>
          <w:tcPr>
            <w:tcW w:w="1418" w:type="dxa"/>
            <w:tcBorders>
              <w:bottom w:val="nil"/>
            </w:tcBorders>
          </w:tcPr>
          <w:p w:rsidR="00292470" w:rsidRPr="003446C0" w:rsidRDefault="00292470" w:rsidP="00292470">
            <w:pPr>
              <w:spacing w:before="12" w:line="272" w:lineRule="exact"/>
              <w:ind w:left="525" w:right="67"/>
              <w:jc w:val="both"/>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57'095</w:t>
            </w:r>
          </w:p>
        </w:tc>
        <w:tc>
          <w:tcPr>
            <w:tcW w:w="1275" w:type="dxa"/>
            <w:tcBorders>
              <w:bottom w:val="nil"/>
            </w:tcBorders>
          </w:tcPr>
          <w:p w:rsidR="00292470" w:rsidRPr="003446C0" w:rsidRDefault="00292470" w:rsidP="00292470">
            <w:pPr>
              <w:spacing w:before="12"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59'850</w:t>
            </w:r>
          </w:p>
        </w:tc>
        <w:tc>
          <w:tcPr>
            <w:tcW w:w="1112" w:type="dxa"/>
            <w:tcBorders>
              <w:bottom w:val="nil"/>
            </w:tcBorders>
          </w:tcPr>
          <w:p w:rsidR="00292470" w:rsidRPr="003446C0" w:rsidRDefault="00292470" w:rsidP="00BE751F">
            <w:pPr>
              <w:spacing w:before="12"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2'755</w:t>
            </w:r>
          </w:p>
        </w:tc>
        <w:tc>
          <w:tcPr>
            <w:tcW w:w="1069" w:type="dxa"/>
            <w:tcBorders>
              <w:bottom w:val="nil"/>
              <w:right w:val="nil"/>
            </w:tcBorders>
          </w:tcPr>
          <w:p w:rsidR="00292470" w:rsidRPr="003446C0" w:rsidRDefault="00292470" w:rsidP="00BE751F">
            <w:pPr>
              <w:spacing w:before="12" w:line="272" w:lineRule="exact"/>
              <w:ind w:right="69"/>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4.8%</w:t>
            </w:r>
          </w:p>
        </w:tc>
      </w:tr>
      <w:tr w:rsidR="00292470" w:rsidRPr="003446C0" w:rsidTr="00292470">
        <w:trPr>
          <w:trHeight w:val="300"/>
        </w:trPr>
        <w:tc>
          <w:tcPr>
            <w:tcW w:w="4349" w:type="dxa"/>
            <w:tcBorders>
              <w:top w:val="nil"/>
              <w:left w:val="nil"/>
              <w:bottom w:val="nil"/>
            </w:tcBorders>
          </w:tcPr>
          <w:p w:rsidR="00292470" w:rsidRPr="003446C0" w:rsidRDefault="00292470" w:rsidP="00292470">
            <w:pPr>
              <w:spacing w:before="8" w:line="272"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Giornate</w:t>
            </w:r>
            <w:r w:rsidRPr="003446C0">
              <w:rPr>
                <w:rFonts w:asciiTheme="minorHAnsi" w:eastAsia="Arial" w:hAnsiTheme="minorHAnsi" w:cstheme="minorHAnsi"/>
                <w:spacing w:val="-4"/>
                <w:sz w:val="24"/>
                <w:lang w:val="it-IT"/>
              </w:rPr>
              <w:t xml:space="preserve"> </w:t>
            </w:r>
            <w:r w:rsidRPr="003446C0">
              <w:rPr>
                <w:rFonts w:asciiTheme="minorHAnsi" w:eastAsia="Arial" w:hAnsiTheme="minorHAnsi" w:cstheme="minorHAnsi"/>
                <w:sz w:val="24"/>
                <w:lang w:val="it-IT"/>
              </w:rPr>
              <w:t>di cura</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4"/>
                <w:sz w:val="24"/>
                <w:lang w:val="it-IT"/>
              </w:rPr>
              <w:t>(GC)</w:t>
            </w:r>
          </w:p>
        </w:tc>
        <w:tc>
          <w:tcPr>
            <w:tcW w:w="1418" w:type="dxa"/>
            <w:tcBorders>
              <w:top w:val="nil"/>
              <w:bottom w:val="nil"/>
            </w:tcBorders>
          </w:tcPr>
          <w:p w:rsidR="00292470" w:rsidRPr="003446C0" w:rsidRDefault="00292470" w:rsidP="00292470">
            <w:pPr>
              <w:spacing w:before="8" w:line="272" w:lineRule="exact"/>
              <w:ind w:left="430" w:right="66"/>
              <w:jc w:val="both"/>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364'814</w:t>
            </w:r>
          </w:p>
        </w:tc>
        <w:tc>
          <w:tcPr>
            <w:tcW w:w="1275" w:type="dxa"/>
            <w:tcBorders>
              <w:top w:val="nil"/>
              <w:bottom w:val="nil"/>
            </w:tcBorders>
          </w:tcPr>
          <w:p w:rsidR="00292470" w:rsidRPr="003446C0" w:rsidRDefault="00292470" w:rsidP="00292470">
            <w:pPr>
              <w:spacing w:before="8" w:line="272" w:lineRule="exact"/>
              <w:ind w:right="60"/>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340'170</w:t>
            </w:r>
          </w:p>
        </w:tc>
        <w:tc>
          <w:tcPr>
            <w:tcW w:w="1112" w:type="dxa"/>
            <w:tcBorders>
              <w:top w:val="nil"/>
              <w:bottom w:val="nil"/>
            </w:tcBorders>
          </w:tcPr>
          <w:p w:rsidR="00292470" w:rsidRPr="003446C0" w:rsidRDefault="00292470" w:rsidP="00BE751F">
            <w:pPr>
              <w:spacing w:before="8" w:line="272" w:lineRule="exact"/>
              <w:ind w:right="62"/>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­24'644</w:t>
            </w:r>
          </w:p>
        </w:tc>
        <w:tc>
          <w:tcPr>
            <w:tcW w:w="1069" w:type="dxa"/>
            <w:tcBorders>
              <w:top w:val="nil"/>
              <w:bottom w:val="nil"/>
              <w:right w:val="nil"/>
            </w:tcBorders>
          </w:tcPr>
          <w:p w:rsidR="00292470" w:rsidRPr="003446C0" w:rsidRDefault="00292470" w:rsidP="00BE751F">
            <w:pPr>
              <w:spacing w:before="8" w:line="272" w:lineRule="exact"/>
              <w:ind w:right="69"/>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4"/>
                <w:sz w:val="24"/>
                <w:lang w:val="it-IT"/>
              </w:rPr>
              <w:t>6.8%</w:t>
            </w:r>
          </w:p>
        </w:tc>
      </w:tr>
      <w:tr w:rsidR="00292470" w:rsidRPr="003446C0" w:rsidTr="00292470">
        <w:trPr>
          <w:trHeight w:val="298"/>
        </w:trPr>
        <w:tc>
          <w:tcPr>
            <w:tcW w:w="4349" w:type="dxa"/>
            <w:tcBorders>
              <w:top w:val="nil"/>
              <w:left w:val="nil"/>
              <w:bottom w:val="nil"/>
            </w:tcBorders>
          </w:tcPr>
          <w:p w:rsidR="00292470" w:rsidRPr="003446C0" w:rsidRDefault="00292470" w:rsidP="00292470">
            <w:pPr>
              <w:spacing w:before="8" w:line="270"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Durata</w:t>
            </w:r>
            <w:r w:rsidRPr="003446C0">
              <w:rPr>
                <w:rFonts w:asciiTheme="minorHAnsi" w:eastAsia="Arial" w:hAnsiTheme="minorHAnsi" w:cstheme="minorHAnsi"/>
                <w:spacing w:val="-4"/>
                <w:sz w:val="24"/>
                <w:lang w:val="it-IT"/>
              </w:rPr>
              <w:t xml:space="preserve"> </w:t>
            </w:r>
            <w:r w:rsidRPr="003446C0">
              <w:rPr>
                <w:rFonts w:asciiTheme="minorHAnsi" w:eastAsia="Arial" w:hAnsiTheme="minorHAnsi" w:cstheme="minorHAnsi"/>
                <w:sz w:val="24"/>
                <w:lang w:val="it-IT"/>
              </w:rPr>
              <w:t>media</w:t>
            </w:r>
            <w:r w:rsidRPr="003446C0">
              <w:rPr>
                <w:rFonts w:asciiTheme="minorHAnsi" w:eastAsia="Arial" w:hAnsiTheme="minorHAnsi" w:cstheme="minorHAnsi"/>
                <w:spacing w:val="-2"/>
                <w:sz w:val="24"/>
                <w:lang w:val="it-IT"/>
              </w:rPr>
              <w:t xml:space="preserve"> </w:t>
            </w:r>
            <w:r w:rsidRPr="003446C0">
              <w:rPr>
                <w:rFonts w:asciiTheme="minorHAnsi" w:eastAsia="Arial" w:hAnsiTheme="minorHAnsi" w:cstheme="minorHAnsi"/>
                <w:sz w:val="24"/>
                <w:lang w:val="it-IT"/>
              </w:rPr>
              <w:t>di</w:t>
            </w:r>
            <w:r w:rsidRPr="003446C0">
              <w:rPr>
                <w:rFonts w:asciiTheme="minorHAnsi" w:eastAsia="Arial" w:hAnsiTheme="minorHAnsi" w:cstheme="minorHAnsi"/>
                <w:spacing w:val="-5"/>
                <w:sz w:val="24"/>
                <w:lang w:val="it-IT"/>
              </w:rPr>
              <w:t xml:space="preserve"> </w:t>
            </w:r>
            <w:r w:rsidRPr="003446C0">
              <w:rPr>
                <w:rFonts w:asciiTheme="minorHAnsi" w:eastAsia="Arial" w:hAnsiTheme="minorHAnsi" w:cstheme="minorHAnsi"/>
                <w:sz w:val="24"/>
                <w:lang w:val="it-IT"/>
              </w:rPr>
              <w:t>degenza</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2"/>
                <w:sz w:val="24"/>
                <w:lang w:val="it-IT"/>
              </w:rPr>
              <w:t>(DMD)</w:t>
            </w:r>
          </w:p>
        </w:tc>
        <w:tc>
          <w:tcPr>
            <w:tcW w:w="1418" w:type="dxa"/>
            <w:tcBorders>
              <w:top w:val="nil"/>
              <w:bottom w:val="nil"/>
            </w:tcBorders>
          </w:tcPr>
          <w:p w:rsidR="00292470" w:rsidRPr="003446C0" w:rsidRDefault="00292470" w:rsidP="00292470">
            <w:pPr>
              <w:spacing w:before="8" w:line="270" w:lineRule="exact"/>
              <w:ind w:left="4" w:right="274"/>
              <w:jc w:val="right"/>
              <w:rPr>
                <w:rFonts w:asciiTheme="minorHAnsi" w:eastAsia="Arial" w:hAnsiTheme="minorHAnsi" w:cstheme="minorHAnsi"/>
                <w:sz w:val="24"/>
                <w:lang w:val="it-IT"/>
              </w:rPr>
            </w:pPr>
            <w:r w:rsidRPr="003446C0">
              <w:rPr>
                <w:rFonts w:asciiTheme="minorHAnsi" w:eastAsia="Arial" w:hAnsiTheme="minorHAnsi" w:cstheme="minorHAnsi"/>
                <w:spacing w:val="-5"/>
                <w:sz w:val="24"/>
                <w:lang w:val="it-IT"/>
              </w:rPr>
              <w:t>6.4</w:t>
            </w:r>
          </w:p>
        </w:tc>
        <w:tc>
          <w:tcPr>
            <w:tcW w:w="1275" w:type="dxa"/>
            <w:tcBorders>
              <w:top w:val="nil"/>
              <w:bottom w:val="nil"/>
            </w:tcBorders>
          </w:tcPr>
          <w:p w:rsidR="00292470" w:rsidRPr="003446C0" w:rsidRDefault="00292470" w:rsidP="00292470">
            <w:pPr>
              <w:spacing w:before="8" w:line="270"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5"/>
                <w:sz w:val="24"/>
                <w:lang w:val="it-IT"/>
              </w:rPr>
              <w:t>5.7</w:t>
            </w:r>
          </w:p>
        </w:tc>
        <w:tc>
          <w:tcPr>
            <w:tcW w:w="1112" w:type="dxa"/>
            <w:tcBorders>
              <w:top w:val="nil"/>
              <w:bottom w:val="nil"/>
            </w:tcBorders>
          </w:tcPr>
          <w:p w:rsidR="00292470" w:rsidRPr="003446C0" w:rsidRDefault="00292470" w:rsidP="00292470">
            <w:pPr>
              <w:spacing w:before="8" w:line="270"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5"/>
                <w:sz w:val="24"/>
                <w:lang w:val="it-IT"/>
              </w:rPr>
              <w:t>0.7</w:t>
            </w:r>
          </w:p>
        </w:tc>
        <w:tc>
          <w:tcPr>
            <w:tcW w:w="1069" w:type="dxa"/>
            <w:tcBorders>
              <w:top w:val="nil"/>
              <w:bottom w:val="nil"/>
              <w:right w:val="nil"/>
            </w:tcBorders>
          </w:tcPr>
          <w:p w:rsidR="00292470" w:rsidRPr="003446C0" w:rsidRDefault="00292470" w:rsidP="00BE751F">
            <w:pPr>
              <w:spacing w:before="8" w:line="270" w:lineRule="exact"/>
              <w:ind w:right="68"/>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­11.0%</w:t>
            </w:r>
          </w:p>
        </w:tc>
      </w:tr>
      <w:tr w:rsidR="00292470" w:rsidRPr="003446C0" w:rsidTr="00BE751F">
        <w:trPr>
          <w:trHeight w:val="88"/>
        </w:trPr>
        <w:tc>
          <w:tcPr>
            <w:tcW w:w="9223" w:type="dxa"/>
            <w:gridSpan w:val="5"/>
            <w:tcBorders>
              <w:top w:val="nil"/>
              <w:left w:val="nil"/>
              <w:right w:val="nil"/>
            </w:tcBorders>
          </w:tcPr>
          <w:p w:rsidR="00292470" w:rsidRPr="003446C0" w:rsidRDefault="00292470" w:rsidP="00292470">
            <w:pPr>
              <w:rPr>
                <w:rFonts w:asciiTheme="minorHAnsi" w:eastAsia="Arial" w:hAnsiTheme="minorHAnsi" w:cstheme="minorHAnsi"/>
                <w:sz w:val="4"/>
                <w:lang w:val="it-IT"/>
              </w:rPr>
            </w:pPr>
          </w:p>
        </w:tc>
      </w:tr>
      <w:tr w:rsidR="00292470" w:rsidRPr="003446C0" w:rsidTr="00292470">
        <w:trPr>
          <w:trHeight w:val="299"/>
        </w:trPr>
        <w:tc>
          <w:tcPr>
            <w:tcW w:w="4349" w:type="dxa"/>
            <w:vMerge w:val="restart"/>
            <w:tcBorders>
              <w:left w:val="nil"/>
            </w:tcBorders>
            <w:shd w:val="clear" w:color="auto" w:fill="9BC2E6"/>
          </w:tcPr>
          <w:p w:rsidR="00292470" w:rsidRPr="003446C0" w:rsidRDefault="00292470" w:rsidP="00292470">
            <w:pPr>
              <w:spacing w:before="166"/>
              <w:ind w:left="1234" w:right="2" w:firstLine="142"/>
              <w:jc w:val="both"/>
              <w:rPr>
                <w:rFonts w:asciiTheme="minorHAnsi" w:eastAsia="Arial" w:hAnsiTheme="minorHAnsi" w:cstheme="minorHAnsi"/>
                <w:b/>
                <w:sz w:val="24"/>
                <w:lang w:val="it-IT"/>
              </w:rPr>
            </w:pPr>
            <w:r w:rsidRPr="003446C0">
              <w:rPr>
                <w:rFonts w:asciiTheme="minorHAnsi" w:eastAsia="Arial" w:hAnsiTheme="minorHAnsi" w:cstheme="minorHAnsi"/>
                <w:b/>
                <w:spacing w:val="-2"/>
                <w:sz w:val="24"/>
                <w:lang w:val="it-IT"/>
              </w:rPr>
              <w:t>Psichiatria</w:t>
            </w:r>
          </w:p>
        </w:tc>
        <w:tc>
          <w:tcPr>
            <w:tcW w:w="1418" w:type="dxa"/>
            <w:vMerge w:val="restart"/>
            <w:shd w:val="clear" w:color="auto" w:fill="9BC2E6"/>
          </w:tcPr>
          <w:p w:rsidR="00292470" w:rsidRPr="003446C0" w:rsidRDefault="00292470" w:rsidP="00292470">
            <w:pPr>
              <w:spacing w:before="186"/>
              <w:ind w:left="331"/>
              <w:rPr>
                <w:rFonts w:asciiTheme="minorHAnsi" w:eastAsia="Arial" w:hAnsiTheme="minorHAnsi" w:cstheme="minorHAnsi"/>
                <w:b/>
                <w:sz w:val="20"/>
                <w:lang w:val="it-IT"/>
              </w:rPr>
            </w:pPr>
            <w:r w:rsidRPr="003446C0">
              <w:rPr>
                <w:rFonts w:asciiTheme="minorHAnsi" w:eastAsia="Arial" w:hAnsiTheme="minorHAnsi" w:cstheme="minorHAnsi"/>
                <w:b/>
                <w:spacing w:val="-4"/>
                <w:sz w:val="20"/>
                <w:lang w:val="it-IT"/>
              </w:rPr>
              <w:t>2019</w:t>
            </w:r>
          </w:p>
        </w:tc>
        <w:tc>
          <w:tcPr>
            <w:tcW w:w="3456" w:type="dxa"/>
            <w:gridSpan w:val="3"/>
            <w:tcBorders>
              <w:right w:val="nil"/>
            </w:tcBorders>
            <w:shd w:val="clear" w:color="auto" w:fill="9BC2E6"/>
          </w:tcPr>
          <w:p w:rsidR="00292470" w:rsidRPr="003446C0" w:rsidRDefault="00292470" w:rsidP="00292470">
            <w:pPr>
              <w:spacing w:before="33"/>
              <w:ind w:left="746"/>
              <w:rPr>
                <w:rFonts w:asciiTheme="minorHAnsi" w:eastAsia="Arial" w:hAnsiTheme="minorHAnsi" w:cstheme="minorHAnsi"/>
                <w:b/>
                <w:sz w:val="20"/>
                <w:lang w:val="it-IT"/>
              </w:rPr>
            </w:pPr>
            <w:r w:rsidRPr="003446C0">
              <w:rPr>
                <w:rFonts w:asciiTheme="minorHAnsi" w:eastAsia="Arial" w:hAnsiTheme="minorHAnsi" w:cstheme="minorHAnsi"/>
                <w:b/>
                <w:sz w:val="20"/>
                <w:lang w:val="it-IT"/>
              </w:rPr>
              <w:t>Scenario</w:t>
            </w:r>
            <w:r w:rsidRPr="003446C0">
              <w:rPr>
                <w:rFonts w:asciiTheme="minorHAnsi" w:eastAsia="Arial" w:hAnsiTheme="minorHAnsi" w:cstheme="minorHAnsi"/>
                <w:b/>
                <w:spacing w:val="-12"/>
                <w:sz w:val="20"/>
                <w:lang w:val="it-IT"/>
              </w:rPr>
              <w:t xml:space="preserve"> </w:t>
            </w:r>
            <w:r w:rsidRPr="003446C0">
              <w:rPr>
                <w:rFonts w:asciiTheme="minorHAnsi" w:eastAsia="Arial" w:hAnsiTheme="minorHAnsi" w:cstheme="minorHAnsi"/>
                <w:b/>
                <w:spacing w:val="-2"/>
                <w:sz w:val="20"/>
                <w:lang w:val="it-IT"/>
              </w:rPr>
              <w:t>principale</w:t>
            </w:r>
          </w:p>
        </w:tc>
      </w:tr>
      <w:tr w:rsidR="00292470" w:rsidRPr="003446C0" w:rsidTr="00292470">
        <w:trPr>
          <w:trHeight w:val="299"/>
        </w:trPr>
        <w:tc>
          <w:tcPr>
            <w:tcW w:w="4349" w:type="dxa"/>
            <w:vMerge/>
            <w:tcBorders>
              <w:top w:val="nil"/>
              <w:left w:val="nil"/>
            </w:tcBorders>
            <w:shd w:val="clear" w:color="auto" w:fill="9BC2E6"/>
          </w:tcPr>
          <w:p w:rsidR="00292470" w:rsidRPr="003446C0" w:rsidRDefault="00292470" w:rsidP="00292470">
            <w:pPr>
              <w:rPr>
                <w:rFonts w:asciiTheme="minorHAnsi" w:eastAsia="Arial" w:hAnsiTheme="minorHAnsi" w:cstheme="minorHAnsi"/>
                <w:sz w:val="2"/>
                <w:szCs w:val="2"/>
                <w:lang w:val="it-IT"/>
              </w:rPr>
            </w:pPr>
          </w:p>
        </w:tc>
        <w:tc>
          <w:tcPr>
            <w:tcW w:w="1418" w:type="dxa"/>
            <w:vMerge/>
            <w:tcBorders>
              <w:top w:val="nil"/>
            </w:tcBorders>
            <w:shd w:val="clear" w:color="auto" w:fill="9BC2E6"/>
          </w:tcPr>
          <w:p w:rsidR="00292470" w:rsidRPr="003446C0" w:rsidRDefault="00292470" w:rsidP="00292470">
            <w:pPr>
              <w:rPr>
                <w:rFonts w:asciiTheme="minorHAnsi" w:eastAsia="Arial" w:hAnsiTheme="minorHAnsi" w:cstheme="minorHAnsi"/>
                <w:sz w:val="2"/>
                <w:szCs w:val="2"/>
                <w:lang w:val="it-IT"/>
              </w:rPr>
            </w:pPr>
          </w:p>
        </w:tc>
        <w:tc>
          <w:tcPr>
            <w:tcW w:w="1275" w:type="dxa"/>
            <w:shd w:val="clear" w:color="auto" w:fill="9BC2E6"/>
          </w:tcPr>
          <w:p w:rsidR="00292470" w:rsidRPr="003446C0" w:rsidRDefault="00292470" w:rsidP="00292470">
            <w:pPr>
              <w:spacing w:before="33"/>
              <w:ind w:left="357"/>
              <w:rPr>
                <w:rFonts w:asciiTheme="minorHAnsi" w:eastAsia="Arial" w:hAnsiTheme="minorHAnsi" w:cstheme="minorHAnsi"/>
                <w:b/>
                <w:sz w:val="20"/>
                <w:lang w:val="it-IT"/>
              </w:rPr>
            </w:pPr>
            <w:r w:rsidRPr="003446C0">
              <w:rPr>
                <w:rFonts w:asciiTheme="minorHAnsi" w:eastAsia="Arial" w:hAnsiTheme="minorHAnsi" w:cstheme="minorHAnsi"/>
                <w:b/>
                <w:spacing w:val="-4"/>
                <w:sz w:val="20"/>
                <w:lang w:val="it-IT"/>
              </w:rPr>
              <w:t>2032</w:t>
            </w:r>
          </w:p>
        </w:tc>
        <w:tc>
          <w:tcPr>
            <w:tcW w:w="1112" w:type="dxa"/>
            <w:shd w:val="clear" w:color="auto" w:fill="9BC2E6"/>
          </w:tcPr>
          <w:p w:rsidR="00292470" w:rsidRPr="003446C0" w:rsidRDefault="00292470" w:rsidP="00292470">
            <w:pPr>
              <w:spacing w:before="33"/>
              <w:jc w:val="center"/>
              <w:rPr>
                <w:rFonts w:asciiTheme="minorHAnsi" w:eastAsia="Arial" w:hAnsiTheme="minorHAnsi" w:cstheme="minorHAnsi"/>
                <w:b/>
                <w:sz w:val="20"/>
                <w:lang w:val="it-IT"/>
              </w:rPr>
            </w:pPr>
            <w:r w:rsidRPr="003446C0">
              <w:rPr>
                <w:rFonts w:asciiTheme="minorHAnsi" w:eastAsia="Arial" w:hAnsiTheme="minorHAnsi" w:cstheme="minorHAnsi"/>
                <w:b/>
                <w:spacing w:val="-10"/>
                <w:sz w:val="20"/>
                <w:lang w:val="it-IT"/>
              </w:rPr>
              <w:t>∆</w:t>
            </w:r>
          </w:p>
        </w:tc>
        <w:tc>
          <w:tcPr>
            <w:tcW w:w="1069" w:type="dxa"/>
            <w:tcBorders>
              <w:right w:val="nil"/>
            </w:tcBorders>
            <w:shd w:val="clear" w:color="auto" w:fill="9BC2E6"/>
          </w:tcPr>
          <w:p w:rsidR="00292470" w:rsidRPr="003446C0" w:rsidRDefault="00292470" w:rsidP="00292470">
            <w:pPr>
              <w:spacing w:before="33"/>
              <w:ind w:right="11"/>
              <w:jc w:val="center"/>
              <w:rPr>
                <w:rFonts w:asciiTheme="minorHAnsi" w:eastAsia="Arial" w:hAnsiTheme="minorHAnsi" w:cstheme="minorHAnsi"/>
                <w:b/>
                <w:sz w:val="20"/>
                <w:lang w:val="it-IT"/>
              </w:rPr>
            </w:pPr>
            <w:r w:rsidRPr="003446C0">
              <w:rPr>
                <w:rFonts w:asciiTheme="minorHAnsi" w:eastAsia="Arial" w:hAnsiTheme="minorHAnsi" w:cstheme="minorHAnsi"/>
                <w:b/>
                <w:spacing w:val="-5"/>
                <w:sz w:val="20"/>
                <w:lang w:val="it-IT"/>
              </w:rPr>
              <w:t>∆%</w:t>
            </w:r>
          </w:p>
        </w:tc>
      </w:tr>
      <w:tr w:rsidR="00292470" w:rsidRPr="003446C0" w:rsidTr="00292470">
        <w:trPr>
          <w:trHeight w:val="304"/>
        </w:trPr>
        <w:tc>
          <w:tcPr>
            <w:tcW w:w="4349" w:type="dxa"/>
            <w:tcBorders>
              <w:left w:val="nil"/>
              <w:bottom w:val="nil"/>
            </w:tcBorders>
          </w:tcPr>
          <w:p w:rsidR="00292470" w:rsidRPr="003446C0" w:rsidRDefault="00292470" w:rsidP="00292470">
            <w:pPr>
              <w:spacing w:before="12" w:line="272"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Numero</w:t>
            </w:r>
            <w:r w:rsidRPr="003446C0">
              <w:rPr>
                <w:rFonts w:asciiTheme="minorHAnsi" w:eastAsia="Arial" w:hAnsiTheme="minorHAnsi" w:cstheme="minorHAnsi"/>
                <w:spacing w:val="-3"/>
                <w:sz w:val="24"/>
                <w:lang w:val="it-IT"/>
              </w:rPr>
              <w:t xml:space="preserve"> </w:t>
            </w:r>
            <w:r w:rsidRPr="003446C0">
              <w:rPr>
                <w:rFonts w:asciiTheme="minorHAnsi" w:eastAsia="Arial" w:hAnsiTheme="minorHAnsi" w:cstheme="minorHAnsi"/>
                <w:sz w:val="24"/>
                <w:lang w:val="it-IT"/>
              </w:rPr>
              <w:t>di</w:t>
            </w:r>
            <w:r w:rsidRPr="003446C0">
              <w:rPr>
                <w:rFonts w:asciiTheme="minorHAnsi" w:eastAsia="Arial" w:hAnsiTheme="minorHAnsi" w:cstheme="minorHAnsi"/>
                <w:spacing w:val="-2"/>
                <w:sz w:val="24"/>
                <w:lang w:val="it-IT"/>
              </w:rPr>
              <w:t xml:space="preserve"> </w:t>
            </w:r>
            <w:r w:rsidRPr="003446C0">
              <w:rPr>
                <w:rFonts w:asciiTheme="minorHAnsi" w:eastAsia="Arial" w:hAnsiTheme="minorHAnsi" w:cstheme="minorHAnsi"/>
                <w:sz w:val="24"/>
                <w:lang w:val="it-IT"/>
              </w:rPr>
              <w:t>pazienti</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2"/>
                <w:sz w:val="24"/>
                <w:lang w:val="it-IT"/>
              </w:rPr>
              <w:t>(casi)</w:t>
            </w:r>
          </w:p>
        </w:tc>
        <w:tc>
          <w:tcPr>
            <w:tcW w:w="1418" w:type="dxa"/>
            <w:tcBorders>
              <w:bottom w:val="nil"/>
            </w:tcBorders>
          </w:tcPr>
          <w:p w:rsidR="00292470" w:rsidRPr="003446C0" w:rsidRDefault="00292470" w:rsidP="00292470">
            <w:pPr>
              <w:spacing w:before="12" w:line="272" w:lineRule="exact"/>
              <w:ind w:right="66"/>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2'891</w:t>
            </w:r>
          </w:p>
        </w:tc>
        <w:tc>
          <w:tcPr>
            <w:tcW w:w="1275" w:type="dxa"/>
            <w:tcBorders>
              <w:bottom w:val="nil"/>
            </w:tcBorders>
          </w:tcPr>
          <w:p w:rsidR="00292470" w:rsidRPr="003446C0" w:rsidRDefault="00292470" w:rsidP="00292470">
            <w:pPr>
              <w:spacing w:before="12" w:line="272" w:lineRule="exact"/>
              <w:ind w:right="60"/>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2'724</w:t>
            </w:r>
          </w:p>
        </w:tc>
        <w:tc>
          <w:tcPr>
            <w:tcW w:w="1112" w:type="dxa"/>
            <w:tcBorders>
              <w:bottom w:val="nil"/>
            </w:tcBorders>
          </w:tcPr>
          <w:p w:rsidR="00292470" w:rsidRPr="003446C0" w:rsidRDefault="00292470" w:rsidP="00292470">
            <w:pPr>
              <w:spacing w:before="12"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5"/>
                <w:sz w:val="24"/>
                <w:lang w:val="it-IT"/>
              </w:rPr>
              <w:t>167</w:t>
            </w:r>
          </w:p>
        </w:tc>
        <w:tc>
          <w:tcPr>
            <w:tcW w:w="1069" w:type="dxa"/>
            <w:tcBorders>
              <w:bottom w:val="nil"/>
              <w:right w:val="nil"/>
            </w:tcBorders>
          </w:tcPr>
          <w:p w:rsidR="00292470" w:rsidRPr="003446C0" w:rsidRDefault="00292470" w:rsidP="00292470">
            <w:pPr>
              <w:spacing w:before="12" w:line="272" w:lineRule="exact"/>
              <w:ind w:right="69"/>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4"/>
                <w:sz w:val="24"/>
                <w:lang w:val="it-IT"/>
              </w:rPr>
              <w:t>5.8%</w:t>
            </w:r>
          </w:p>
        </w:tc>
      </w:tr>
      <w:tr w:rsidR="00292470" w:rsidRPr="003446C0" w:rsidTr="00292470">
        <w:trPr>
          <w:trHeight w:val="300"/>
        </w:trPr>
        <w:tc>
          <w:tcPr>
            <w:tcW w:w="4349" w:type="dxa"/>
            <w:tcBorders>
              <w:top w:val="nil"/>
              <w:left w:val="nil"/>
              <w:bottom w:val="nil"/>
            </w:tcBorders>
          </w:tcPr>
          <w:p w:rsidR="00292470" w:rsidRPr="003446C0" w:rsidRDefault="00292470" w:rsidP="00292470">
            <w:pPr>
              <w:spacing w:before="8" w:line="272"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Giornate</w:t>
            </w:r>
            <w:r w:rsidRPr="003446C0">
              <w:rPr>
                <w:rFonts w:asciiTheme="minorHAnsi" w:eastAsia="Arial" w:hAnsiTheme="minorHAnsi" w:cstheme="minorHAnsi"/>
                <w:spacing w:val="-4"/>
                <w:sz w:val="24"/>
                <w:lang w:val="it-IT"/>
              </w:rPr>
              <w:t xml:space="preserve"> </w:t>
            </w:r>
            <w:r w:rsidRPr="003446C0">
              <w:rPr>
                <w:rFonts w:asciiTheme="minorHAnsi" w:eastAsia="Arial" w:hAnsiTheme="minorHAnsi" w:cstheme="minorHAnsi"/>
                <w:sz w:val="24"/>
                <w:lang w:val="it-IT"/>
              </w:rPr>
              <w:t>di cura</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4"/>
                <w:sz w:val="24"/>
                <w:lang w:val="it-IT"/>
              </w:rPr>
              <w:t>(GC)</w:t>
            </w:r>
          </w:p>
        </w:tc>
        <w:tc>
          <w:tcPr>
            <w:tcW w:w="1418" w:type="dxa"/>
            <w:tcBorders>
              <w:top w:val="nil"/>
              <w:bottom w:val="nil"/>
            </w:tcBorders>
          </w:tcPr>
          <w:p w:rsidR="00292470" w:rsidRPr="003446C0" w:rsidRDefault="00292470" w:rsidP="00292470">
            <w:pPr>
              <w:spacing w:before="8" w:line="272" w:lineRule="exact"/>
              <w:ind w:right="67"/>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92'446</w:t>
            </w:r>
          </w:p>
        </w:tc>
        <w:tc>
          <w:tcPr>
            <w:tcW w:w="1275" w:type="dxa"/>
            <w:tcBorders>
              <w:top w:val="nil"/>
              <w:bottom w:val="nil"/>
            </w:tcBorders>
          </w:tcPr>
          <w:p w:rsidR="00292470" w:rsidRPr="003446C0" w:rsidRDefault="00292470" w:rsidP="00292470">
            <w:pPr>
              <w:spacing w:before="8"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88'296</w:t>
            </w:r>
          </w:p>
        </w:tc>
        <w:tc>
          <w:tcPr>
            <w:tcW w:w="1112" w:type="dxa"/>
            <w:tcBorders>
              <w:top w:val="nil"/>
              <w:bottom w:val="nil"/>
            </w:tcBorders>
          </w:tcPr>
          <w:p w:rsidR="00292470" w:rsidRPr="003446C0" w:rsidRDefault="00292470" w:rsidP="00292470">
            <w:pPr>
              <w:spacing w:before="8"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­4'150</w:t>
            </w:r>
          </w:p>
        </w:tc>
        <w:tc>
          <w:tcPr>
            <w:tcW w:w="1069" w:type="dxa"/>
            <w:tcBorders>
              <w:top w:val="nil"/>
              <w:bottom w:val="nil"/>
              <w:right w:val="nil"/>
            </w:tcBorders>
          </w:tcPr>
          <w:p w:rsidR="00292470" w:rsidRPr="003446C0" w:rsidRDefault="00292470" w:rsidP="00292470">
            <w:pPr>
              <w:spacing w:before="8" w:line="272" w:lineRule="exact"/>
              <w:ind w:right="69"/>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4"/>
                <w:sz w:val="24"/>
                <w:lang w:val="it-IT"/>
              </w:rPr>
              <w:t>4.5%</w:t>
            </w:r>
          </w:p>
        </w:tc>
      </w:tr>
      <w:tr w:rsidR="00292470" w:rsidRPr="003446C0" w:rsidTr="00292470">
        <w:trPr>
          <w:trHeight w:val="298"/>
        </w:trPr>
        <w:tc>
          <w:tcPr>
            <w:tcW w:w="4349" w:type="dxa"/>
            <w:tcBorders>
              <w:top w:val="nil"/>
              <w:left w:val="nil"/>
              <w:bottom w:val="nil"/>
            </w:tcBorders>
          </w:tcPr>
          <w:p w:rsidR="00292470" w:rsidRPr="003446C0" w:rsidRDefault="00292470" w:rsidP="00292470">
            <w:pPr>
              <w:spacing w:before="8" w:line="270"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Durata</w:t>
            </w:r>
            <w:r w:rsidRPr="003446C0">
              <w:rPr>
                <w:rFonts w:asciiTheme="minorHAnsi" w:eastAsia="Arial" w:hAnsiTheme="minorHAnsi" w:cstheme="minorHAnsi"/>
                <w:spacing w:val="-4"/>
                <w:sz w:val="24"/>
                <w:lang w:val="it-IT"/>
              </w:rPr>
              <w:t xml:space="preserve"> </w:t>
            </w:r>
            <w:r w:rsidRPr="003446C0">
              <w:rPr>
                <w:rFonts w:asciiTheme="minorHAnsi" w:eastAsia="Arial" w:hAnsiTheme="minorHAnsi" w:cstheme="minorHAnsi"/>
                <w:sz w:val="24"/>
                <w:lang w:val="it-IT"/>
              </w:rPr>
              <w:t>media</w:t>
            </w:r>
            <w:r w:rsidRPr="003446C0">
              <w:rPr>
                <w:rFonts w:asciiTheme="minorHAnsi" w:eastAsia="Arial" w:hAnsiTheme="minorHAnsi" w:cstheme="minorHAnsi"/>
                <w:spacing w:val="-2"/>
                <w:sz w:val="24"/>
                <w:lang w:val="it-IT"/>
              </w:rPr>
              <w:t xml:space="preserve"> </w:t>
            </w:r>
            <w:r w:rsidRPr="003446C0">
              <w:rPr>
                <w:rFonts w:asciiTheme="minorHAnsi" w:eastAsia="Arial" w:hAnsiTheme="minorHAnsi" w:cstheme="minorHAnsi"/>
                <w:sz w:val="24"/>
                <w:lang w:val="it-IT"/>
              </w:rPr>
              <w:t>di</w:t>
            </w:r>
            <w:r w:rsidRPr="003446C0">
              <w:rPr>
                <w:rFonts w:asciiTheme="minorHAnsi" w:eastAsia="Arial" w:hAnsiTheme="minorHAnsi" w:cstheme="minorHAnsi"/>
                <w:spacing w:val="-5"/>
                <w:sz w:val="24"/>
                <w:lang w:val="it-IT"/>
              </w:rPr>
              <w:t xml:space="preserve"> </w:t>
            </w:r>
            <w:r w:rsidRPr="003446C0">
              <w:rPr>
                <w:rFonts w:asciiTheme="minorHAnsi" w:eastAsia="Arial" w:hAnsiTheme="minorHAnsi" w:cstheme="minorHAnsi"/>
                <w:sz w:val="24"/>
                <w:lang w:val="it-IT"/>
              </w:rPr>
              <w:t>degenza</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2"/>
                <w:sz w:val="24"/>
                <w:lang w:val="it-IT"/>
              </w:rPr>
              <w:t>(DMD)</w:t>
            </w:r>
          </w:p>
        </w:tc>
        <w:tc>
          <w:tcPr>
            <w:tcW w:w="1418" w:type="dxa"/>
            <w:tcBorders>
              <w:top w:val="nil"/>
              <w:bottom w:val="nil"/>
            </w:tcBorders>
          </w:tcPr>
          <w:p w:rsidR="00292470" w:rsidRPr="003446C0" w:rsidRDefault="00292470" w:rsidP="00292470">
            <w:pPr>
              <w:spacing w:before="8" w:line="270" w:lineRule="exact"/>
              <w:ind w:right="66"/>
              <w:jc w:val="right"/>
              <w:rPr>
                <w:rFonts w:asciiTheme="minorHAnsi" w:eastAsia="Arial" w:hAnsiTheme="minorHAnsi" w:cstheme="minorHAnsi"/>
                <w:sz w:val="24"/>
                <w:lang w:val="it-IT"/>
              </w:rPr>
            </w:pPr>
            <w:r w:rsidRPr="003446C0">
              <w:rPr>
                <w:rFonts w:asciiTheme="minorHAnsi" w:eastAsia="Arial" w:hAnsiTheme="minorHAnsi" w:cstheme="minorHAnsi"/>
                <w:spacing w:val="-5"/>
                <w:sz w:val="24"/>
                <w:lang w:val="it-IT"/>
              </w:rPr>
              <w:t>32</w:t>
            </w:r>
          </w:p>
        </w:tc>
        <w:tc>
          <w:tcPr>
            <w:tcW w:w="1275" w:type="dxa"/>
            <w:tcBorders>
              <w:top w:val="nil"/>
              <w:bottom w:val="nil"/>
            </w:tcBorders>
          </w:tcPr>
          <w:p w:rsidR="00292470" w:rsidRPr="003446C0" w:rsidRDefault="00292470" w:rsidP="00292470">
            <w:pPr>
              <w:spacing w:before="8" w:line="270"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32.4</w:t>
            </w:r>
          </w:p>
        </w:tc>
        <w:tc>
          <w:tcPr>
            <w:tcW w:w="1112" w:type="dxa"/>
            <w:tcBorders>
              <w:top w:val="nil"/>
              <w:bottom w:val="nil"/>
            </w:tcBorders>
          </w:tcPr>
          <w:p w:rsidR="00292470" w:rsidRPr="003446C0" w:rsidRDefault="00292470" w:rsidP="00292470">
            <w:pPr>
              <w:spacing w:before="8" w:line="270" w:lineRule="exact"/>
              <w:ind w:right="64"/>
              <w:jc w:val="right"/>
              <w:rPr>
                <w:rFonts w:asciiTheme="minorHAnsi" w:eastAsia="Arial" w:hAnsiTheme="minorHAnsi" w:cstheme="minorHAnsi"/>
                <w:sz w:val="24"/>
                <w:lang w:val="it-IT"/>
              </w:rPr>
            </w:pPr>
            <w:r w:rsidRPr="003446C0">
              <w:rPr>
                <w:rFonts w:asciiTheme="minorHAnsi" w:eastAsia="Arial" w:hAnsiTheme="minorHAnsi" w:cstheme="minorHAnsi"/>
                <w:spacing w:val="-10"/>
                <w:sz w:val="24"/>
                <w:lang w:val="it-IT"/>
              </w:rPr>
              <w:t>0</w:t>
            </w:r>
          </w:p>
        </w:tc>
        <w:tc>
          <w:tcPr>
            <w:tcW w:w="1069" w:type="dxa"/>
            <w:tcBorders>
              <w:top w:val="nil"/>
              <w:bottom w:val="nil"/>
              <w:right w:val="nil"/>
            </w:tcBorders>
          </w:tcPr>
          <w:p w:rsidR="00292470" w:rsidRPr="003446C0" w:rsidRDefault="00292470" w:rsidP="00292470">
            <w:pPr>
              <w:spacing w:before="8" w:line="270" w:lineRule="exact"/>
              <w:ind w:right="69"/>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1.3%</w:t>
            </w:r>
          </w:p>
        </w:tc>
      </w:tr>
      <w:tr w:rsidR="00292470" w:rsidRPr="003446C0" w:rsidTr="00BE751F">
        <w:trPr>
          <w:trHeight w:val="102"/>
        </w:trPr>
        <w:tc>
          <w:tcPr>
            <w:tcW w:w="9223" w:type="dxa"/>
            <w:gridSpan w:val="5"/>
            <w:tcBorders>
              <w:top w:val="nil"/>
              <w:left w:val="nil"/>
              <w:right w:val="nil"/>
            </w:tcBorders>
          </w:tcPr>
          <w:p w:rsidR="00292470" w:rsidRPr="003446C0" w:rsidRDefault="00292470" w:rsidP="00292470">
            <w:pPr>
              <w:rPr>
                <w:rFonts w:asciiTheme="minorHAnsi" w:eastAsia="Arial" w:hAnsiTheme="minorHAnsi" w:cstheme="minorHAnsi"/>
                <w:sz w:val="4"/>
                <w:lang w:val="it-IT"/>
              </w:rPr>
            </w:pPr>
          </w:p>
        </w:tc>
      </w:tr>
      <w:tr w:rsidR="00292470" w:rsidRPr="003446C0" w:rsidTr="00292470">
        <w:trPr>
          <w:trHeight w:val="402"/>
        </w:trPr>
        <w:tc>
          <w:tcPr>
            <w:tcW w:w="4349" w:type="dxa"/>
            <w:vMerge w:val="restart"/>
            <w:tcBorders>
              <w:left w:val="nil"/>
            </w:tcBorders>
            <w:shd w:val="clear" w:color="auto" w:fill="9BC2E6"/>
          </w:tcPr>
          <w:p w:rsidR="00292470" w:rsidRPr="003446C0" w:rsidRDefault="00292470" w:rsidP="00292470">
            <w:pPr>
              <w:spacing w:before="269"/>
              <w:ind w:left="6" w:firstLine="1370"/>
              <w:jc w:val="both"/>
              <w:rPr>
                <w:rFonts w:asciiTheme="minorHAnsi" w:eastAsia="Arial" w:hAnsiTheme="minorHAnsi" w:cstheme="minorHAnsi"/>
                <w:b/>
                <w:sz w:val="24"/>
                <w:lang w:val="it-IT"/>
              </w:rPr>
            </w:pPr>
            <w:r w:rsidRPr="003446C0">
              <w:rPr>
                <w:rFonts w:asciiTheme="minorHAnsi" w:eastAsia="Arial" w:hAnsiTheme="minorHAnsi" w:cstheme="minorHAnsi"/>
                <w:b/>
                <w:spacing w:val="-2"/>
                <w:sz w:val="24"/>
                <w:lang w:val="it-IT"/>
              </w:rPr>
              <w:t>Riabilitazione</w:t>
            </w:r>
          </w:p>
        </w:tc>
        <w:tc>
          <w:tcPr>
            <w:tcW w:w="1418" w:type="dxa"/>
            <w:vMerge w:val="restart"/>
            <w:shd w:val="clear" w:color="auto" w:fill="9BC2E6"/>
          </w:tcPr>
          <w:p w:rsidR="00292470" w:rsidRPr="003446C0" w:rsidRDefault="00292470" w:rsidP="00292470">
            <w:pPr>
              <w:spacing w:before="59"/>
              <w:rPr>
                <w:rFonts w:asciiTheme="minorHAnsi" w:eastAsia="Arial" w:hAnsiTheme="minorHAnsi" w:cstheme="minorHAnsi"/>
                <w:sz w:val="20"/>
                <w:lang w:val="it-IT"/>
              </w:rPr>
            </w:pPr>
          </w:p>
          <w:p w:rsidR="00292470" w:rsidRPr="003446C0" w:rsidRDefault="00292470" w:rsidP="00292470">
            <w:pPr>
              <w:spacing w:before="1"/>
              <w:ind w:left="331"/>
              <w:rPr>
                <w:rFonts w:asciiTheme="minorHAnsi" w:eastAsia="Arial" w:hAnsiTheme="minorHAnsi" w:cstheme="minorHAnsi"/>
                <w:b/>
                <w:sz w:val="20"/>
                <w:lang w:val="it-IT"/>
              </w:rPr>
            </w:pPr>
            <w:r w:rsidRPr="003446C0">
              <w:rPr>
                <w:rFonts w:asciiTheme="minorHAnsi" w:eastAsia="Arial" w:hAnsiTheme="minorHAnsi" w:cstheme="minorHAnsi"/>
                <w:b/>
                <w:spacing w:val="-4"/>
                <w:sz w:val="20"/>
                <w:lang w:val="it-IT"/>
              </w:rPr>
              <w:t>2019</w:t>
            </w:r>
          </w:p>
        </w:tc>
        <w:tc>
          <w:tcPr>
            <w:tcW w:w="3456" w:type="dxa"/>
            <w:gridSpan w:val="3"/>
            <w:tcBorders>
              <w:right w:val="nil"/>
            </w:tcBorders>
            <w:shd w:val="clear" w:color="auto" w:fill="9BC2E6"/>
          </w:tcPr>
          <w:p w:rsidR="00292470" w:rsidRPr="003446C0" w:rsidRDefault="00292470" w:rsidP="00292470">
            <w:pPr>
              <w:spacing w:before="83"/>
              <w:ind w:left="746"/>
              <w:rPr>
                <w:rFonts w:asciiTheme="minorHAnsi" w:eastAsia="Arial" w:hAnsiTheme="minorHAnsi" w:cstheme="minorHAnsi"/>
                <w:b/>
                <w:sz w:val="20"/>
                <w:lang w:val="it-IT"/>
              </w:rPr>
            </w:pPr>
            <w:r w:rsidRPr="003446C0">
              <w:rPr>
                <w:rFonts w:asciiTheme="minorHAnsi" w:eastAsia="Arial" w:hAnsiTheme="minorHAnsi" w:cstheme="minorHAnsi"/>
                <w:b/>
                <w:sz w:val="20"/>
                <w:lang w:val="it-IT"/>
              </w:rPr>
              <w:t>Scenario</w:t>
            </w:r>
            <w:r w:rsidRPr="003446C0">
              <w:rPr>
                <w:rFonts w:asciiTheme="minorHAnsi" w:eastAsia="Arial" w:hAnsiTheme="minorHAnsi" w:cstheme="minorHAnsi"/>
                <w:b/>
                <w:spacing w:val="-12"/>
                <w:sz w:val="20"/>
                <w:lang w:val="it-IT"/>
              </w:rPr>
              <w:t xml:space="preserve"> </w:t>
            </w:r>
            <w:r w:rsidRPr="003446C0">
              <w:rPr>
                <w:rFonts w:asciiTheme="minorHAnsi" w:eastAsia="Arial" w:hAnsiTheme="minorHAnsi" w:cstheme="minorHAnsi"/>
                <w:b/>
                <w:spacing w:val="-2"/>
                <w:sz w:val="20"/>
                <w:lang w:val="it-IT"/>
              </w:rPr>
              <w:t>principale</w:t>
            </w:r>
          </w:p>
        </w:tc>
      </w:tr>
      <w:tr w:rsidR="00292470" w:rsidRPr="003446C0" w:rsidTr="00292470">
        <w:trPr>
          <w:trHeight w:val="402"/>
        </w:trPr>
        <w:tc>
          <w:tcPr>
            <w:tcW w:w="4349" w:type="dxa"/>
            <w:vMerge/>
            <w:tcBorders>
              <w:top w:val="nil"/>
              <w:left w:val="nil"/>
            </w:tcBorders>
            <w:shd w:val="clear" w:color="auto" w:fill="9BC2E6"/>
          </w:tcPr>
          <w:p w:rsidR="00292470" w:rsidRPr="003446C0" w:rsidRDefault="00292470" w:rsidP="00292470">
            <w:pPr>
              <w:rPr>
                <w:rFonts w:asciiTheme="minorHAnsi" w:eastAsia="Arial" w:hAnsiTheme="minorHAnsi" w:cstheme="minorHAnsi"/>
                <w:sz w:val="2"/>
                <w:szCs w:val="2"/>
                <w:lang w:val="it-IT"/>
              </w:rPr>
            </w:pPr>
          </w:p>
        </w:tc>
        <w:tc>
          <w:tcPr>
            <w:tcW w:w="1418" w:type="dxa"/>
            <w:vMerge/>
            <w:tcBorders>
              <w:top w:val="nil"/>
            </w:tcBorders>
            <w:shd w:val="clear" w:color="auto" w:fill="9BC2E6"/>
          </w:tcPr>
          <w:p w:rsidR="00292470" w:rsidRPr="003446C0" w:rsidRDefault="00292470" w:rsidP="00292470">
            <w:pPr>
              <w:rPr>
                <w:rFonts w:asciiTheme="minorHAnsi" w:eastAsia="Arial" w:hAnsiTheme="minorHAnsi" w:cstheme="minorHAnsi"/>
                <w:sz w:val="2"/>
                <w:szCs w:val="2"/>
                <w:lang w:val="it-IT"/>
              </w:rPr>
            </w:pPr>
          </w:p>
        </w:tc>
        <w:tc>
          <w:tcPr>
            <w:tcW w:w="1275" w:type="dxa"/>
            <w:shd w:val="clear" w:color="auto" w:fill="9BC2E6"/>
          </w:tcPr>
          <w:p w:rsidR="00292470" w:rsidRPr="003446C0" w:rsidRDefault="00292470" w:rsidP="00292470">
            <w:pPr>
              <w:spacing w:before="83"/>
              <w:ind w:left="357"/>
              <w:rPr>
                <w:rFonts w:asciiTheme="minorHAnsi" w:eastAsia="Arial" w:hAnsiTheme="minorHAnsi" w:cstheme="minorHAnsi"/>
                <w:b/>
                <w:sz w:val="20"/>
                <w:lang w:val="it-IT"/>
              </w:rPr>
            </w:pPr>
            <w:r w:rsidRPr="003446C0">
              <w:rPr>
                <w:rFonts w:asciiTheme="minorHAnsi" w:eastAsia="Arial" w:hAnsiTheme="minorHAnsi" w:cstheme="minorHAnsi"/>
                <w:b/>
                <w:spacing w:val="-4"/>
                <w:sz w:val="20"/>
                <w:lang w:val="it-IT"/>
              </w:rPr>
              <w:t>2032</w:t>
            </w:r>
          </w:p>
        </w:tc>
        <w:tc>
          <w:tcPr>
            <w:tcW w:w="1112" w:type="dxa"/>
            <w:shd w:val="clear" w:color="auto" w:fill="9BC2E6"/>
          </w:tcPr>
          <w:p w:rsidR="00292470" w:rsidRPr="003446C0" w:rsidRDefault="00292470" w:rsidP="00292470">
            <w:pPr>
              <w:spacing w:before="83"/>
              <w:jc w:val="center"/>
              <w:rPr>
                <w:rFonts w:asciiTheme="minorHAnsi" w:eastAsia="Arial" w:hAnsiTheme="minorHAnsi" w:cstheme="minorHAnsi"/>
                <w:b/>
                <w:sz w:val="20"/>
                <w:lang w:val="it-IT"/>
              </w:rPr>
            </w:pPr>
            <w:r w:rsidRPr="003446C0">
              <w:rPr>
                <w:rFonts w:asciiTheme="minorHAnsi" w:eastAsia="Arial" w:hAnsiTheme="minorHAnsi" w:cstheme="minorHAnsi"/>
                <w:b/>
                <w:spacing w:val="-10"/>
                <w:sz w:val="20"/>
                <w:lang w:val="it-IT"/>
              </w:rPr>
              <w:t>∆</w:t>
            </w:r>
          </w:p>
        </w:tc>
        <w:tc>
          <w:tcPr>
            <w:tcW w:w="1069" w:type="dxa"/>
            <w:tcBorders>
              <w:right w:val="nil"/>
            </w:tcBorders>
            <w:shd w:val="clear" w:color="auto" w:fill="9BC2E6"/>
          </w:tcPr>
          <w:p w:rsidR="00292470" w:rsidRPr="003446C0" w:rsidRDefault="00292470" w:rsidP="00292470">
            <w:pPr>
              <w:spacing w:before="83"/>
              <w:ind w:right="11"/>
              <w:jc w:val="center"/>
              <w:rPr>
                <w:rFonts w:asciiTheme="minorHAnsi" w:eastAsia="Arial" w:hAnsiTheme="minorHAnsi" w:cstheme="minorHAnsi"/>
                <w:b/>
                <w:sz w:val="20"/>
                <w:lang w:val="it-IT"/>
              </w:rPr>
            </w:pPr>
            <w:r w:rsidRPr="003446C0">
              <w:rPr>
                <w:rFonts w:asciiTheme="minorHAnsi" w:eastAsia="Arial" w:hAnsiTheme="minorHAnsi" w:cstheme="minorHAnsi"/>
                <w:b/>
                <w:spacing w:val="-5"/>
                <w:sz w:val="20"/>
                <w:lang w:val="it-IT"/>
              </w:rPr>
              <w:t>∆%</w:t>
            </w:r>
          </w:p>
        </w:tc>
      </w:tr>
      <w:tr w:rsidR="00292470" w:rsidRPr="003446C0" w:rsidTr="00292470">
        <w:trPr>
          <w:trHeight w:val="301"/>
        </w:trPr>
        <w:tc>
          <w:tcPr>
            <w:tcW w:w="4349" w:type="dxa"/>
            <w:tcBorders>
              <w:left w:val="nil"/>
              <w:bottom w:val="nil"/>
            </w:tcBorders>
          </w:tcPr>
          <w:p w:rsidR="00292470" w:rsidRPr="003446C0" w:rsidRDefault="00292470" w:rsidP="00292470">
            <w:pPr>
              <w:spacing w:before="10" w:line="272"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Numero</w:t>
            </w:r>
            <w:r w:rsidRPr="003446C0">
              <w:rPr>
                <w:rFonts w:asciiTheme="minorHAnsi" w:eastAsia="Arial" w:hAnsiTheme="minorHAnsi" w:cstheme="minorHAnsi"/>
                <w:spacing w:val="-3"/>
                <w:sz w:val="24"/>
                <w:lang w:val="it-IT"/>
              </w:rPr>
              <w:t xml:space="preserve"> </w:t>
            </w:r>
            <w:r w:rsidRPr="003446C0">
              <w:rPr>
                <w:rFonts w:asciiTheme="minorHAnsi" w:eastAsia="Arial" w:hAnsiTheme="minorHAnsi" w:cstheme="minorHAnsi"/>
                <w:sz w:val="24"/>
                <w:lang w:val="it-IT"/>
              </w:rPr>
              <w:t>di</w:t>
            </w:r>
            <w:r w:rsidRPr="003446C0">
              <w:rPr>
                <w:rFonts w:asciiTheme="minorHAnsi" w:eastAsia="Arial" w:hAnsiTheme="minorHAnsi" w:cstheme="minorHAnsi"/>
                <w:spacing w:val="-2"/>
                <w:sz w:val="24"/>
                <w:lang w:val="it-IT"/>
              </w:rPr>
              <w:t xml:space="preserve"> </w:t>
            </w:r>
            <w:r w:rsidRPr="003446C0">
              <w:rPr>
                <w:rFonts w:asciiTheme="minorHAnsi" w:eastAsia="Arial" w:hAnsiTheme="minorHAnsi" w:cstheme="minorHAnsi"/>
                <w:sz w:val="24"/>
                <w:lang w:val="it-IT"/>
              </w:rPr>
              <w:t>pazienti</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2"/>
                <w:sz w:val="24"/>
                <w:lang w:val="it-IT"/>
              </w:rPr>
              <w:t>(casi)</w:t>
            </w:r>
          </w:p>
        </w:tc>
        <w:tc>
          <w:tcPr>
            <w:tcW w:w="1418" w:type="dxa"/>
            <w:tcBorders>
              <w:bottom w:val="nil"/>
            </w:tcBorders>
          </w:tcPr>
          <w:p w:rsidR="00292470" w:rsidRPr="003446C0" w:rsidRDefault="00292470" w:rsidP="00292470">
            <w:pPr>
              <w:spacing w:before="10" w:line="272" w:lineRule="exact"/>
              <w:ind w:right="66"/>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3'027</w:t>
            </w:r>
          </w:p>
        </w:tc>
        <w:tc>
          <w:tcPr>
            <w:tcW w:w="1275" w:type="dxa"/>
            <w:tcBorders>
              <w:bottom w:val="nil"/>
            </w:tcBorders>
          </w:tcPr>
          <w:p w:rsidR="00292470" w:rsidRPr="003446C0" w:rsidRDefault="00292470" w:rsidP="00BE751F">
            <w:pPr>
              <w:spacing w:before="10" w:line="272" w:lineRule="exact"/>
              <w:ind w:right="60"/>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3'617</w:t>
            </w:r>
          </w:p>
        </w:tc>
        <w:tc>
          <w:tcPr>
            <w:tcW w:w="1112" w:type="dxa"/>
            <w:tcBorders>
              <w:bottom w:val="nil"/>
            </w:tcBorders>
          </w:tcPr>
          <w:p w:rsidR="00292470" w:rsidRPr="003446C0" w:rsidRDefault="00292470" w:rsidP="003936CD">
            <w:pPr>
              <w:spacing w:before="10"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5"/>
                <w:sz w:val="24"/>
                <w:lang w:val="it-IT"/>
              </w:rPr>
              <w:t>590</w:t>
            </w:r>
          </w:p>
        </w:tc>
        <w:tc>
          <w:tcPr>
            <w:tcW w:w="1069" w:type="dxa"/>
            <w:tcBorders>
              <w:bottom w:val="nil"/>
              <w:right w:val="nil"/>
            </w:tcBorders>
          </w:tcPr>
          <w:p w:rsidR="00292470" w:rsidRPr="003446C0" w:rsidRDefault="00292470" w:rsidP="00BE751F">
            <w:pPr>
              <w:spacing w:before="10" w:line="272" w:lineRule="exact"/>
              <w:ind w:right="68"/>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19.5%</w:t>
            </w:r>
          </w:p>
        </w:tc>
      </w:tr>
      <w:tr w:rsidR="00292470" w:rsidRPr="003446C0" w:rsidTr="00292470">
        <w:trPr>
          <w:trHeight w:val="300"/>
        </w:trPr>
        <w:tc>
          <w:tcPr>
            <w:tcW w:w="4349" w:type="dxa"/>
            <w:tcBorders>
              <w:top w:val="nil"/>
              <w:left w:val="nil"/>
              <w:bottom w:val="nil"/>
            </w:tcBorders>
          </w:tcPr>
          <w:p w:rsidR="00292470" w:rsidRPr="003446C0" w:rsidRDefault="00292470" w:rsidP="00292470">
            <w:pPr>
              <w:spacing w:before="8" w:line="272"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Giornate</w:t>
            </w:r>
            <w:r w:rsidRPr="003446C0">
              <w:rPr>
                <w:rFonts w:asciiTheme="minorHAnsi" w:eastAsia="Arial" w:hAnsiTheme="minorHAnsi" w:cstheme="minorHAnsi"/>
                <w:spacing w:val="-4"/>
                <w:sz w:val="24"/>
                <w:lang w:val="it-IT"/>
              </w:rPr>
              <w:t xml:space="preserve"> </w:t>
            </w:r>
            <w:r w:rsidRPr="003446C0">
              <w:rPr>
                <w:rFonts w:asciiTheme="minorHAnsi" w:eastAsia="Arial" w:hAnsiTheme="minorHAnsi" w:cstheme="minorHAnsi"/>
                <w:sz w:val="24"/>
                <w:lang w:val="it-IT"/>
              </w:rPr>
              <w:t>di cura</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4"/>
                <w:sz w:val="24"/>
                <w:lang w:val="it-IT"/>
              </w:rPr>
              <w:t>(GC)</w:t>
            </w:r>
          </w:p>
        </w:tc>
        <w:tc>
          <w:tcPr>
            <w:tcW w:w="1418" w:type="dxa"/>
            <w:tcBorders>
              <w:top w:val="nil"/>
              <w:bottom w:val="nil"/>
            </w:tcBorders>
          </w:tcPr>
          <w:p w:rsidR="00292470" w:rsidRPr="003446C0" w:rsidRDefault="00292470" w:rsidP="00292470">
            <w:pPr>
              <w:spacing w:before="8" w:line="272" w:lineRule="exact"/>
              <w:ind w:right="67"/>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82'227</w:t>
            </w:r>
          </w:p>
        </w:tc>
        <w:tc>
          <w:tcPr>
            <w:tcW w:w="1275" w:type="dxa"/>
            <w:tcBorders>
              <w:top w:val="nil"/>
              <w:bottom w:val="nil"/>
            </w:tcBorders>
          </w:tcPr>
          <w:p w:rsidR="00292470" w:rsidRPr="003446C0" w:rsidRDefault="00292470" w:rsidP="00BE751F">
            <w:pPr>
              <w:spacing w:before="8" w:line="272"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94'617</w:t>
            </w:r>
          </w:p>
        </w:tc>
        <w:tc>
          <w:tcPr>
            <w:tcW w:w="1112" w:type="dxa"/>
            <w:tcBorders>
              <w:top w:val="nil"/>
              <w:bottom w:val="nil"/>
            </w:tcBorders>
          </w:tcPr>
          <w:p w:rsidR="00292470" w:rsidRPr="003446C0" w:rsidRDefault="00292470" w:rsidP="003936CD">
            <w:pPr>
              <w:spacing w:before="8" w:line="272" w:lineRule="exact"/>
              <w:ind w:right="62"/>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12'390</w:t>
            </w:r>
          </w:p>
        </w:tc>
        <w:tc>
          <w:tcPr>
            <w:tcW w:w="1069" w:type="dxa"/>
            <w:tcBorders>
              <w:top w:val="nil"/>
              <w:bottom w:val="nil"/>
              <w:right w:val="nil"/>
            </w:tcBorders>
          </w:tcPr>
          <w:p w:rsidR="00292470" w:rsidRPr="003446C0" w:rsidRDefault="00292470" w:rsidP="00BE751F">
            <w:pPr>
              <w:spacing w:before="8" w:line="272" w:lineRule="exact"/>
              <w:ind w:right="68"/>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15.1%</w:t>
            </w:r>
          </w:p>
        </w:tc>
      </w:tr>
      <w:tr w:rsidR="00292470" w:rsidRPr="003446C0" w:rsidTr="00292470">
        <w:trPr>
          <w:trHeight w:val="298"/>
        </w:trPr>
        <w:tc>
          <w:tcPr>
            <w:tcW w:w="4349" w:type="dxa"/>
            <w:tcBorders>
              <w:top w:val="nil"/>
              <w:left w:val="nil"/>
              <w:bottom w:val="nil"/>
            </w:tcBorders>
          </w:tcPr>
          <w:p w:rsidR="00292470" w:rsidRPr="003446C0" w:rsidRDefault="00292470" w:rsidP="00292470">
            <w:pPr>
              <w:spacing w:before="8" w:line="270" w:lineRule="exact"/>
              <w:ind w:left="69"/>
              <w:rPr>
                <w:rFonts w:asciiTheme="minorHAnsi" w:eastAsia="Arial" w:hAnsiTheme="minorHAnsi" w:cstheme="minorHAnsi"/>
                <w:sz w:val="24"/>
                <w:lang w:val="it-IT"/>
              </w:rPr>
            </w:pPr>
            <w:r w:rsidRPr="003446C0">
              <w:rPr>
                <w:rFonts w:asciiTheme="minorHAnsi" w:eastAsia="Arial" w:hAnsiTheme="minorHAnsi" w:cstheme="minorHAnsi"/>
                <w:sz w:val="24"/>
                <w:lang w:val="it-IT"/>
              </w:rPr>
              <w:t>Durata</w:t>
            </w:r>
            <w:r w:rsidRPr="003446C0">
              <w:rPr>
                <w:rFonts w:asciiTheme="minorHAnsi" w:eastAsia="Arial" w:hAnsiTheme="minorHAnsi" w:cstheme="minorHAnsi"/>
                <w:spacing w:val="-4"/>
                <w:sz w:val="24"/>
                <w:lang w:val="it-IT"/>
              </w:rPr>
              <w:t xml:space="preserve"> </w:t>
            </w:r>
            <w:r w:rsidRPr="003446C0">
              <w:rPr>
                <w:rFonts w:asciiTheme="minorHAnsi" w:eastAsia="Arial" w:hAnsiTheme="minorHAnsi" w:cstheme="minorHAnsi"/>
                <w:sz w:val="24"/>
                <w:lang w:val="it-IT"/>
              </w:rPr>
              <w:t>media</w:t>
            </w:r>
            <w:r w:rsidRPr="003446C0">
              <w:rPr>
                <w:rFonts w:asciiTheme="minorHAnsi" w:eastAsia="Arial" w:hAnsiTheme="minorHAnsi" w:cstheme="minorHAnsi"/>
                <w:spacing w:val="-2"/>
                <w:sz w:val="24"/>
                <w:lang w:val="it-IT"/>
              </w:rPr>
              <w:t xml:space="preserve"> </w:t>
            </w:r>
            <w:r w:rsidRPr="003446C0">
              <w:rPr>
                <w:rFonts w:asciiTheme="minorHAnsi" w:eastAsia="Arial" w:hAnsiTheme="minorHAnsi" w:cstheme="minorHAnsi"/>
                <w:sz w:val="24"/>
                <w:lang w:val="it-IT"/>
              </w:rPr>
              <w:t>di</w:t>
            </w:r>
            <w:r w:rsidRPr="003446C0">
              <w:rPr>
                <w:rFonts w:asciiTheme="minorHAnsi" w:eastAsia="Arial" w:hAnsiTheme="minorHAnsi" w:cstheme="minorHAnsi"/>
                <w:spacing w:val="-5"/>
                <w:sz w:val="24"/>
                <w:lang w:val="it-IT"/>
              </w:rPr>
              <w:t xml:space="preserve"> </w:t>
            </w:r>
            <w:r w:rsidRPr="003446C0">
              <w:rPr>
                <w:rFonts w:asciiTheme="minorHAnsi" w:eastAsia="Arial" w:hAnsiTheme="minorHAnsi" w:cstheme="minorHAnsi"/>
                <w:sz w:val="24"/>
                <w:lang w:val="it-IT"/>
              </w:rPr>
              <w:t>degenza</w:t>
            </w:r>
            <w:r w:rsidRPr="003446C0">
              <w:rPr>
                <w:rFonts w:asciiTheme="minorHAnsi" w:eastAsia="Arial" w:hAnsiTheme="minorHAnsi" w:cstheme="minorHAnsi"/>
                <w:spacing w:val="-1"/>
                <w:sz w:val="24"/>
                <w:lang w:val="it-IT"/>
              </w:rPr>
              <w:t xml:space="preserve"> </w:t>
            </w:r>
            <w:r w:rsidRPr="003446C0">
              <w:rPr>
                <w:rFonts w:asciiTheme="minorHAnsi" w:eastAsia="Arial" w:hAnsiTheme="minorHAnsi" w:cstheme="minorHAnsi"/>
                <w:spacing w:val="-2"/>
                <w:sz w:val="24"/>
                <w:lang w:val="it-IT"/>
              </w:rPr>
              <w:t>(DMD)</w:t>
            </w:r>
          </w:p>
        </w:tc>
        <w:tc>
          <w:tcPr>
            <w:tcW w:w="1418" w:type="dxa"/>
            <w:tcBorders>
              <w:top w:val="nil"/>
              <w:bottom w:val="nil"/>
            </w:tcBorders>
          </w:tcPr>
          <w:p w:rsidR="00292470" w:rsidRPr="003446C0" w:rsidRDefault="00292470" w:rsidP="00292470">
            <w:pPr>
              <w:spacing w:before="8" w:line="270" w:lineRule="exact"/>
              <w:ind w:right="67"/>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27.2</w:t>
            </w:r>
          </w:p>
        </w:tc>
        <w:tc>
          <w:tcPr>
            <w:tcW w:w="1275" w:type="dxa"/>
            <w:tcBorders>
              <w:top w:val="nil"/>
              <w:bottom w:val="nil"/>
            </w:tcBorders>
          </w:tcPr>
          <w:p w:rsidR="00292470" w:rsidRPr="003446C0" w:rsidRDefault="00292470" w:rsidP="00BE751F">
            <w:pPr>
              <w:spacing w:before="8" w:line="270" w:lineRule="exact"/>
              <w:ind w:right="61"/>
              <w:jc w:val="right"/>
              <w:rPr>
                <w:rFonts w:asciiTheme="minorHAnsi" w:eastAsia="Arial" w:hAnsiTheme="minorHAnsi" w:cstheme="minorHAnsi"/>
                <w:sz w:val="24"/>
                <w:lang w:val="it-IT"/>
              </w:rPr>
            </w:pPr>
            <w:r w:rsidRPr="003446C0">
              <w:rPr>
                <w:rFonts w:asciiTheme="minorHAnsi" w:eastAsia="Arial" w:hAnsiTheme="minorHAnsi" w:cstheme="minorHAnsi"/>
                <w:spacing w:val="-4"/>
                <w:sz w:val="24"/>
                <w:lang w:val="it-IT"/>
              </w:rPr>
              <w:t>26.2</w:t>
            </w:r>
          </w:p>
        </w:tc>
        <w:tc>
          <w:tcPr>
            <w:tcW w:w="1112" w:type="dxa"/>
            <w:tcBorders>
              <w:top w:val="nil"/>
              <w:bottom w:val="nil"/>
            </w:tcBorders>
          </w:tcPr>
          <w:p w:rsidR="00292470" w:rsidRPr="003446C0" w:rsidRDefault="00292470" w:rsidP="00BE751F">
            <w:pPr>
              <w:spacing w:before="8" w:line="270" w:lineRule="exact"/>
              <w:ind w:right="64"/>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12"/>
                <w:sz w:val="24"/>
                <w:lang w:val="it-IT"/>
              </w:rPr>
              <w:t>1</w:t>
            </w:r>
          </w:p>
        </w:tc>
        <w:tc>
          <w:tcPr>
            <w:tcW w:w="1069" w:type="dxa"/>
            <w:tcBorders>
              <w:top w:val="nil"/>
              <w:bottom w:val="nil"/>
              <w:right w:val="nil"/>
            </w:tcBorders>
          </w:tcPr>
          <w:p w:rsidR="00292470" w:rsidRPr="003446C0" w:rsidRDefault="00292470" w:rsidP="00BE751F">
            <w:pPr>
              <w:spacing w:before="8" w:line="270" w:lineRule="exact"/>
              <w:ind w:right="69"/>
              <w:jc w:val="right"/>
              <w:rPr>
                <w:rFonts w:asciiTheme="minorHAnsi" w:eastAsia="Arial" w:hAnsiTheme="minorHAnsi" w:cstheme="minorHAnsi"/>
                <w:sz w:val="24"/>
                <w:lang w:val="it-IT"/>
              </w:rPr>
            </w:pPr>
            <w:r w:rsidRPr="003446C0">
              <w:rPr>
                <w:rFonts w:asciiTheme="minorHAnsi" w:eastAsia="Arial" w:hAnsiTheme="minorHAnsi" w:cstheme="minorHAnsi"/>
                <w:spacing w:val="-2"/>
                <w:sz w:val="24"/>
                <w:lang w:val="it-IT"/>
              </w:rPr>
              <w:t>­</w:t>
            </w:r>
            <w:r w:rsidRPr="003446C0">
              <w:rPr>
                <w:rFonts w:asciiTheme="minorHAnsi" w:eastAsia="Arial" w:hAnsiTheme="minorHAnsi" w:cstheme="minorHAnsi"/>
                <w:spacing w:val="-4"/>
                <w:sz w:val="24"/>
                <w:lang w:val="it-IT"/>
              </w:rPr>
              <w:t>3.7%</w:t>
            </w:r>
          </w:p>
        </w:tc>
      </w:tr>
    </w:tbl>
    <w:p w:rsidR="00292470" w:rsidRDefault="00292470" w:rsidP="001F439F">
      <w:pPr>
        <w:pStyle w:val="StandardRisoluzionedelConsigliodiStato"/>
        <w:ind w:right="-1"/>
      </w:pPr>
    </w:p>
    <w:p w:rsidR="00292470" w:rsidRDefault="00292470" w:rsidP="001F439F">
      <w:pPr>
        <w:pStyle w:val="StandardRisoluzionedelConsigliodiStato"/>
        <w:ind w:right="-1"/>
      </w:pPr>
    </w:p>
    <w:p w:rsidR="001F439F" w:rsidRDefault="001F439F" w:rsidP="001F439F">
      <w:pPr>
        <w:pStyle w:val="StandardRisoluzionedelConsigliodiStato"/>
        <w:ind w:right="-1"/>
      </w:pPr>
      <w:r>
        <w:t xml:space="preserve">Per il </w:t>
      </w:r>
      <w:r w:rsidRPr="00865778">
        <w:rPr>
          <w:u w:val="single"/>
        </w:rPr>
        <w:t>settore somatico­acuto</w:t>
      </w:r>
      <w:r>
        <w:t xml:space="preserve"> ci si attende:</w:t>
      </w:r>
    </w:p>
    <w:p w:rsidR="001F439F" w:rsidRDefault="001F439F" w:rsidP="003446C0">
      <w:pPr>
        <w:pStyle w:val="StandardRisoluzionedelConsigliodiStato"/>
        <w:numPr>
          <w:ilvl w:val="1"/>
          <w:numId w:val="23"/>
        </w:numPr>
        <w:ind w:left="284" w:hanging="284"/>
      </w:pPr>
      <w:r>
        <w:t>un incremento del numero di pazienti (casi) del 4.8%, dovuto essenzialmente all'invecchiamento della popolazione;</w:t>
      </w:r>
    </w:p>
    <w:p w:rsidR="001F439F" w:rsidRDefault="001F439F" w:rsidP="003446C0">
      <w:pPr>
        <w:pStyle w:val="StandardRisoluzionedelConsigliodiStato"/>
        <w:numPr>
          <w:ilvl w:val="1"/>
          <w:numId w:val="23"/>
        </w:numPr>
        <w:ind w:left="284" w:hanging="284"/>
      </w:pPr>
      <w:r>
        <w:t>una diminuzione delle giornate di cura del 6.8%;</w:t>
      </w:r>
    </w:p>
    <w:p w:rsidR="001F439F" w:rsidRDefault="001F439F" w:rsidP="003446C0">
      <w:pPr>
        <w:pStyle w:val="StandardRisoluzionedelConsigliodiStato"/>
        <w:numPr>
          <w:ilvl w:val="1"/>
          <w:numId w:val="23"/>
        </w:numPr>
        <w:ind w:left="284" w:hanging="284"/>
      </w:pPr>
      <w:r>
        <w:t>una riduzione della durata media di degenza dell'11%;</w:t>
      </w:r>
    </w:p>
    <w:p w:rsidR="001F439F" w:rsidRDefault="001F439F" w:rsidP="003446C0">
      <w:pPr>
        <w:pStyle w:val="StandardRisoluzionedelConsigliodiStato"/>
        <w:numPr>
          <w:ilvl w:val="1"/>
          <w:numId w:val="22"/>
        </w:numPr>
        <w:ind w:left="284" w:hanging="284"/>
      </w:pPr>
      <w:r>
        <w:t>un aumento del tasso di ospedalizzazione del 4.7%.</w:t>
      </w:r>
    </w:p>
    <w:p w:rsidR="00865778" w:rsidRDefault="00865778" w:rsidP="003446C0">
      <w:pPr>
        <w:pStyle w:val="StandardRisoluzionedelConsigliodiStato"/>
        <w:ind w:left="284" w:right="-1" w:hanging="284"/>
      </w:pPr>
      <w:r>
        <w:br w:type="page"/>
      </w:r>
    </w:p>
    <w:p w:rsidR="001F439F" w:rsidRDefault="001F439F" w:rsidP="001F439F">
      <w:pPr>
        <w:pStyle w:val="StandardRisoluzionedelConsigliodiStato"/>
        <w:ind w:right="-1"/>
      </w:pPr>
      <w:r>
        <w:lastRenderedPageBreak/>
        <w:t xml:space="preserve">Per la </w:t>
      </w:r>
      <w:r w:rsidRPr="00865778">
        <w:rPr>
          <w:u w:val="single"/>
        </w:rPr>
        <w:t>psichiatria</w:t>
      </w:r>
      <w:r>
        <w:t xml:space="preserve"> ci si attende:</w:t>
      </w:r>
    </w:p>
    <w:p w:rsidR="001F439F" w:rsidRDefault="001F439F" w:rsidP="003446C0">
      <w:pPr>
        <w:pStyle w:val="StandardRisoluzionedelConsigliodiStato"/>
        <w:numPr>
          <w:ilvl w:val="1"/>
          <w:numId w:val="18"/>
        </w:numPr>
        <w:ind w:left="284" w:right="-1" w:hanging="284"/>
      </w:pPr>
      <w:r>
        <w:t>una diminuzione del numero di pazienti (casi) del 5.8%, dovuto al trasferimento delle prestazioni stazionarie al settore ambulatoriale;</w:t>
      </w:r>
    </w:p>
    <w:p w:rsidR="001F439F" w:rsidRDefault="001F439F" w:rsidP="003446C0">
      <w:pPr>
        <w:pStyle w:val="StandardRisoluzionedelConsigliodiStato"/>
        <w:numPr>
          <w:ilvl w:val="1"/>
          <w:numId w:val="18"/>
        </w:numPr>
        <w:ind w:left="284" w:right="-1" w:hanging="284"/>
      </w:pPr>
      <w:r>
        <w:t>una diminuzione delle giornate di cura del 4.5%;</w:t>
      </w:r>
    </w:p>
    <w:p w:rsidR="001F439F" w:rsidRDefault="001F439F" w:rsidP="003446C0">
      <w:pPr>
        <w:pStyle w:val="StandardRisoluzionedelConsigliodiStato"/>
        <w:numPr>
          <w:ilvl w:val="1"/>
          <w:numId w:val="17"/>
        </w:numPr>
        <w:ind w:left="284" w:right="-1" w:hanging="284"/>
      </w:pPr>
      <w:r>
        <w:t>un incremento della durata media di degenza dell'1.4%;</w:t>
      </w:r>
    </w:p>
    <w:p w:rsidR="001F439F" w:rsidRDefault="001F439F" w:rsidP="003446C0">
      <w:pPr>
        <w:pStyle w:val="StandardRisoluzionedelConsigliodiStato"/>
        <w:numPr>
          <w:ilvl w:val="1"/>
          <w:numId w:val="19"/>
        </w:numPr>
        <w:ind w:left="284" w:right="-1" w:hanging="284"/>
      </w:pPr>
      <w:r>
        <w:t>una diminuzione del tasso di ospedalizzazione del 5.9%.</w:t>
      </w:r>
    </w:p>
    <w:p w:rsidR="00865778" w:rsidRDefault="00865778" w:rsidP="00865778">
      <w:pPr>
        <w:pStyle w:val="StandardRisoluzionedelConsigliodiStato"/>
        <w:ind w:left="284" w:right="-1" w:hanging="284"/>
      </w:pPr>
    </w:p>
    <w:p w:rsidR="001F439F" w:rsidRDefault="001F439F" w:rsidP="001F439F">
      <w:pPr>
        <w:pStyle w:val="StandardRisoluzionedelConsigliodiStato"/>
        <w:ind w:right="-1"/>
      </w:pPr>
      <w:r>
        <w:t xml:space="preserve">Per la </w:t>
      </w:r>
      <w:r w:rsidRPr="00865778">
        <w:rPr>
          <w:u w:val="single"/>
        </w:rPr>
        <w:t>riabilitazione stazionaria</w:t>
      </w:r>
      <w:r>
        <w:t xml:space="preserve"> ci si attende:</w:t>
      </w:r>
    </w:p>
    <w:p w:rsidR="001F439F" w:rsidRDefault="001F439F" w:rsidP="003446C0">
      <w:pPr>
        <w:pStyle w:val="StandardRisoluzionedelConsigliodiStato"/>
        <w:numPr>
          <w:ilvl w:val="1"/>
          <w:numId w:val="21"/>
        </w:numPr>
        <w:ind w:left="284" w:right="-1" w:hanging="284"/>
      </w:pPr>
      <w:r>
        <w:t>un incremento del numero di pazienti (casi) del 19.5%%, dovuto in gran parte allo sviluppo demografico riconducibile all'invecchiamento della popolazione ticinese e al conseguente aumento di pazienti fragili (polimorbidi);</w:t>
      </w:r>
    </w:p>
    <w:p w:rsidR="001F439F" w:rsidRDefault="001F439F" w:rsidP="003446C0">
      <w:pPr>
        <w:pStyle w:val="StandardRisoluzionedelConsigliodiStato"/>
        <w:numPr>
          <w:ilvl w:val="1"/>
          <w:numId w:val="21"/>
        </w:numPr>
        <w:ind w:left="284" w:right="-1" w:hanging="284"/>
      </w:pPr>
      <w:r>
        <w:t>un incremento delle giornate di cura del 15.1%;</w:t>
      </w:r>
    </w:p>
    <w:p w:rsidR="001F439F" w:rsidRDefault="001F439F" w:rsidP="003446C0">
      <w:pPr>
        <w:pStyle w:val="StandardRisoluzionedelConsigliodiStato"/>
        <w:numPr>
          <w:ilvl w:val="1"/>
          <w:numId w:val="21"/>
        </w:numPr>
        <w:ind w:left="284" w:right="-1" w:hanging="284"/>
      </w:pPr>
      <w:r>
        <w:t>una riduzione della durata media di degenza del 3.7%;</w:t>
      </w:r>
    </w:p>
    <w:p w:rsidR="001F439F" w:rsidRDefault="001F439F" w:rsidP="003446C0">
      <w:pPr>
        <w:pStyle w:val="StandardRisoluzionedelConsigliodiStato"/>
        <w:numPr>
          <w:ilvl w:val="1"/>
          <w:numId w:val="20"/>
        </w:numPr>
        <w:ind w:left="284" w:right="-1" w:hanging="284"/>
      </w:pPr>
      <w:r>
        <w:t>un aumento del tasso di ospedalizzazione del 19.3%.</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Per i dettagli relativi ai tre settori, si rimanda al Rapporto sul fabbisogno cantonale di cure ospedaliere orizzonte 2032 allegato al messaggio del Consiglio di Stato.</w:t>
      </w:r>
    </w:p>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Pr="00304AF2" w:rsidRDefault="00304AF2" w:rsidP="00304AF2">
      <w:pPr>
        <w:pStyle w:val="Titolo1"/>
        <w:numPr>
          <w:ilvl w:val="0"/>
          <w:numId w:val="0"/>
        </w:numPr>
        <w:spacing w:before="0"/>
        <w:ind w:left="567" w:hanging="567"/>
        <w:jc w:val="both"/>
        <w:rPr>
          <w:sz w:val="24"/>
          <w:szCs w:val="24"/>
        </w:rPr>
      </w:pPr>
      <w:bookmarkStart w:id="8" w:name="_Toc179882466"/>
      <w:r>
        <w:rPr>
          <w:sz w:val="24"/>
          <w:szCs w:val="24"/>
        </w:rPr>
        <w:t>5.</w:t>
      </w:r>
      <w:r>
        <w:rPr>
          <w:sz w:val="24"/>
          <w:szCs w:val="24"/>
        </w:rPr>
        <w:tab/>
      </w:r>
      <w:r w:rsidR="001F439F" w:rsidRPr="00304AF2">
        <w:rPr>
          <w:sz w:val="24"/>
          <w:szCs w:val="24"/>
        </w:rPr>
        <w:t>GLI INDIRIZZI STRATEGICI E OBIETTIVI DELLA PROSSIMA PIANIFICAZIONE OSPEDALIERA</w:t>
      </w:r>
      <w:bookmarkEnd w:id="8"/>
    </w:p>
    <w:p w:rsidR="001F439F" w:rsidRPr="00203B18" w:rsidRDefault="001F439F" w:rsidP="001F439F">
      <w:pPr>
        <w:pStyle w:val="StandardRisoluzionedelConsigliodiStato"/>
        <w:ind w:right="-1"/>
        <w:rPr>
          <w:b/>
        </w:rPr>
      </w:pPr>
      <w:r w:rsidRPr="00203B18">
        <w:rPr>
          <w:b/>
        </w:rPr>
        <w:t>Premessa:</w:t>
      </w:r>
    </w:p>
    <w:p w:rsidR="001F439F" w:rsidRDefault="001F439F" w:rsidP="001F439F">
      <w:pPr>
        <w:pStyle w:val="StandardRisoluzionedelConsigliodiStato"/>
        <w:ind w:right="-1"/>
      </w:pPr>
      <w:r>
        <w:t>Il Consiglio di Stato ha dato mandato alla Scuola universitaria professionale della Svizzera italiana</w:t>
      </w:r>
      <w:r w:rsidR="00203B18">
        <w:t xml:space="preserve"> (SUPSI)</w:t>
      </w:r>
      <w:r>
        <w:t>, la quale ha consegnato un rapporto di 65 pagine a settembre 2022.</w:t>
      </w:r>
    </w:p>
    <w:p w:rsidR="001F439F" w:rsidRDefault="001F439F" w:rsidP="001F439F">
      <w:pPr>
        <w:pStyle w:val="StandardRisoluzionedelConsigliodiStato"/>
        <w:ind w:right="-1"/>
      </w:pPr>
    </w:p>
    <w:p w:rsidR="001F439F" w:rsidRDefault="001F439F" w:rsidP="001F439F">
      <w:pPr>
        <w:pStyle w:val="StandardRisoluzionedelConsigliodiStato"/>
        <w:ind w:right="-1"/>
      </w:pPr>
      <w:r>
        <w:t>Il documento individua, per limiti dell’ambito della POC e/o per scelta del mandante, le sfide del sistema ospedaliero ticinese senza però entrare nell’ottica di una visione a 360° del sistema sanitario ed affini: segnatamente</w:t>
      </w:r>
      <w:r w:rsidR="00203B18">
        <w:t>,</w:t>
      </w:r>
      <w:r>
        <w:t xml:space="preserve"> non contemplando un sistema integrato con le cure a domicilio e case anziani, risp. con delle politiche di salute pubblica avente quale scopo la prevenzione o mantenimento della salute per rapporto alla cura della malattia.</w:t>
      </w:r>
    </w:p>
    <w:p w:rsidR="001F439F" w:rsidRDefault="001F439F" w:rsidP="001F439F">
      <w:pPr>
        <w:pStyle w:val="StandardRisoluzionedelConsigliodiStato"/>
        <w:ind w:right="-1"/>
      </w:pPr>
      <w:r>
        <w:t>Esso propone alcuni percorsi strategici che potrebbero essere un fattore determinante nell'ambito dell'attribuzione dei mandati. Per i dettagli, si rimanda al documento allegato al messaggio governativo.</w:t>
      </w:r>
    </w:p>
    <w:p w:rsidR="00203B18" w:rsidRDefault="00203B18" w:rsidP="001F439F">
      <w:pPr>
        <w:pStyle w:val="StandardRisoluzionedelConsigliodiStato"/>
        <w:ind w:right="-1"/>
      </w:pPr>
    </w:p>
    <w:p w:rsidR="001F439F" w:rsidRDefault="001F439F" w:rsidP="001F439F">
      <w:pPr>
        <w:pStyle w:val="StandardRisoluzionedelConsigliodiStato"/>
        <w:ind w:right="-1"/>
      </w:pPr>
      <w:r>
        <w:t>Le ragioni di pianificare i servizi d'interesse pubblico sono sostanzialmente tre:</w:t>
      </w:r>
    </w:p>
    <w:p w:rsidR="001F439F" w:rsidRDefault="001F439F" w:rsidP="003446C0">
      <w:pPr>
        <w:pStyle w:val="StandardRisoluzionedelConsigliodiStato"/>
        <w:numPr>
          <w:ilvl w:val="1"/>
          <w:numId w:val="15"/>
        </w:numPr>
        <w:ind w:left="284" w:right="-1" w:hanging="284"/>
      </w:pPr>
      <w:r>
        <w:t>il mercato imperfetto</w:t>
      </w:r>
      <w:r w:rsidR="00203B18">
        <w:t>,</w:t>
      </w:r>
      <w:r>
        <w:t xml:space="preserve"> dove domanda e offerta non producono condizioni di equità e secondariamente di efficienza;</w:t>
      </w:r>
    </w:p>
    <w:p w:rsidR="001F439F" w:rsidRDefault="001F439F" w:rsidP="003446C0">
      <w:pPr>
        <w:pStyle w:val="StandardRisoluzionedelConsigliodiStato"/>
        <w:numPr>
          <w:ilvl w:val="1"/>
          <w:numId w:val="14"/>
        </w:numPr>
        <w:ind w:left="284" w:right="-1" w:hanging="284"/>
      </w:pPr>
      <w:r>
        <w:t>la necessità di agire in prospettiva riguardo al fabbisogno di cure della popolazione;</w:t>
      </w:r>
    </w:p>
    <w:p w:rsidR="001F439F" w:rsidRDefault="001F439F" w:rsidP="003446C0">
      <w:pPr>
        <w:pStyle w:val="StandardRisoluzionedelConsigliodiStato"/>
        <w:numPr>
          <w:ilvl w:val="1"/>
          <w:numId w:val="16"/>
        </w:numPr>
        <w:ind w:left="284" w:right="-1" w:hanging="284"/>
      </w:pPr>
      <w:r>
        <w:t>la natura pubblica dei servizi erogati con conseguente allocazione di risorse pubbliche.</w:t>
      </w:r>
    </w:p>
    <w:p w:rsidR="00203B18" w:rsidRDefault="00203B18" w:rsidP="00203B18">
      <w:pPr>
        <w:pStyle w:val="StandardRisoluzionedelConsigliodiStato"/>
        <w:ind w:left="284" w:right="-1" w:hanging="284"/>
      </w:pPr>
    </w:p>
    <w:p w:rsidR="001F439F" w:rsidRDefault="001F439F" w:rsidP="001F439F">
      <w:pPr>
        <w:pStyle w:val="StandardRisoluzionedelConsigliodiStato"/>
        <w:ind w:right="-1"/>
      </w:pPr>
      <w:r>
        <w:t>Il rapporto commenta l'evoluzione avvenuta negli ultimi venti anni, nel corso dei quali vi è stata una riduzione del numero di siti, una leggera riduzione dei posti letto, un forte aumento del personale ospedaliero e un costo complessivo lievitato da 13.7 miliardi di franchi nel 2000 a 32.1 miliardi di franchi nel 2020, con un costo per giornata di cura passato da 830 franchi nel 2000 a 1'751 franchi nel 2020.</w:t>
      </w:r>
    </w:p>
    <w:p w:rsidR="001F439F" w:rsidRDefault="001F439F" w:rsidP="001F439F">
      <w:pPr>
        <w:pStyle w:val="StandardRisoluzionedelConsigliodiStato"/>
        <w:ind w:right="-1"/>
      </w:pPr>
      <w:r>
        <w:t>Il che evidenza e relativizza quanto indicato inizialmente nel Messaggio, il quale minimizza il problema finanziario dei costi ospedalieri.</w:t>
      </w:r>
    </w:p>
    <w:p w:rsidR="001F439F" w:rsidRDefault="001F439F" w:rsidP="001F439F">
      <w:pPr>
        <w:pStyle w:val="StandardRisoluzionedelConsigliodiStato"/>
        <w:ind w:right="-1"/>
      </w:pPr>
      <w:r>
        <w:lastRenderedPageBreak/>
        <w:t>Relativamente all'attività ospedaliera stazionaria, è confermata l'accresciuta intensità in competenze, in tecnologia, in efficienza e rapidità, correlata a un marcato aumento dell'età media dei pazienti ricoverati (nel 2020 il 41% delle giornate di cura riguardavano pazienti con più di settant'anni).</w:t>
      </w:r>
    </w:p>
    <w:p w:rsidR="001F439F" w:rsidRDefault="001F439F" w:rsidP="001F439F">
      <w:pPr>
        <w:pStyle w:val="StandardRisoluzionedelConsigliodiStato"/>
        <w:ind w:right="-1"/>
      </w:pPr>
      <w:r>
        <w:t>Gli ospedali hanno incrementato in misura notevole anche l'attività ambulatoriale, a causa dell'aumento della domanda legata all'invecchiamento della popolazione (sebbene un recente studio faccia riferimento a un frequente fabbisogno di cure da parte dei giovani) e alla prevalenza di malattie croniche che richiedono prestazioni specialistiche (diagnostica per immagini e laboratorio) disponibili soltanto in ospedale.</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La Commissione rileva che:</w:t>
      </w:r>
    </w:p>
    <w:p w:rsidR="001F439F" w:rsidRDefault="001F439F" w:rsidP="003446C0">
      <w:pPr>
        <w:pStyle w:val="StandardRisoluzionedelConsigliodiStato"/>
        <w:numPr>
          <w:ilvl w:val="0"/>
          <w:numId w:val="13"/>
        </w:numPr>
        <w:ind w:left="284" w:right="-1" w:hanging="284"/>
      </w:pPr>
      <w:r>
        <w:t>lo spostamento dei tr</w:t>
      </w:r>
      <w:r w:rsidR="00203B18">
        <w:t>attamenti dallo stazionario all'</w:t>
      </w:r>
      <w:r>
        <w:t>ambulatoriale è soprattutto dovuto all’evoluzione dei trattamenti medici sempre meno invasivi e quindi spostati a trattamenti ambulatoriali negli ospedali, nelle cliniche e centri medici.</w:t>
      </w:r>
    </w:p>
    <w:p w:rsidR="001F439F" w:rsidRDefault="001F439F" w:rsidP="003446C0">
      <w:pPr>
        <w:pStyle w:val="StandardRisoluzionedelConsigliodiStato"/>
        <w:numPr>
          <w:ilvl w:val="0"/>
          <w:numId w:val="13"/>
        </w:numPr>
        <w:ind w:left="284" w:right="-1" w:hanging="284"/>
      </w:pPr>
      <w:r>
        <w:t xml:space="preserve">anche i programmi di prevenzione segnatamente sui giovani – screening </w:t>
      </w:r>
      <w:r w:rsidR="00203B18">
        <w:t>–</w:t>
      </w:r>
      <w:r>
        <w:t xml:space="preserve"> possono far incrementare la domanda – si risparmia su lungo termine? Sarà una questiona da monitorare pe</w:t>
      </w:r>
      <w:r w:rsidR="00203B18">
        <w:t>r una verifica sull'</w:t>
      </w:r>
      <w:r>
        <w:t>efficienza.</w:t>
      </w:r>
    </w:p>
    <w:p w:rsidR="001F439F" w:rsidRDefault="001F439F" w:rsidP="001F439F">
      <w:pPr>
        <w:pStyle w:val="StandardRisoluzionedelConsigliodiStato"/>
        <w:ind w:right="-1"/>
      </w:pPr>
    </w:p>
    <w:p w:rsidR="001F439F" w:rsidRDefault="001F439F" w:rsidP="001F439F">
      <w:pPr>
        <w:pStyle w:val="StandardRisoluzionedelConsigliodiStato"/>
        <w:ind w:right="-1"/>
      </w:pPr>
      <w:r>
        <w:t>Inoltre, le disposizioni dell'Ordinanza sulle prestazioni dell'assicurazione obbligatoria delle cure medico­sanitarie, del 29 settembre 1995 (OPre) prevedono l'assunzione dei costi in regime stazionario per determinate prestazioni soltanto se un'esecuzione ambulatoriale non è appropriata o non è economica a causa di circostanze particolari.</w:t>
      </w:r>
    </w:p>
    <w:p w:rsidR="001F439F" w:rsidRDefault="001F439F" w:rsidP="001F439F">
      <w:pPr>
        <w:pStyle w:val="StandardRisoluzionedelConsigliodiStato"/>
        <w:ind w:right="-1"/>
      </w:pPr>
    </w:p>
    <w:p w:rsidR="001F439F" w:rsidRDefault="001F439F" w:rsidP="001F439F">
      <w:pPr>
        <w:pStyle w:val="StandardRisoluzionedelConsigliodiStato"/>
        <w:ind w:right="-1"/>
      </w:pPr>
      <w:r>
        <w:t>In sintesi, si conferma che l'ospedale continua a svolgere un ruolo centrale nei sistemi sanitari avanzati e a concentrare tecnologia e competenze per erogare servizi specializzati e complessi, favorito dallo sviluppo quantitativo e qualitativo dei servizi esterni all'ospedale quali, in particolare nel nostro Cantone, i reparti acuti di minore intensità (RAMI), i letti di cure acute e transitorie (CAT) e di soggiorni temporanei e terapeutici temporanei (ST e STT), le case per anziani medicalizzate, i centri diurni, i servizi di appoggio e le cure a domicilio.</w:t>
      </w:r>
    </w:p>
    <w:p w:rsidR="001F439F" w:rsidRDefault="001F439F" w:rsidP="001F439F">
      <w:pPr>
        <w:pStyle w:val="StandardRisoluzionedelConsigliodiStato"/>
        <w:ind w:right="-1"/>
      </w:pPr>
    </w:p>
    <w:p w:rsidR="001F439F" w:rsidRDefault="001F439F" w:rsidP="001F439F">
      <w:pPr>
        <w:pStyle w:val="StandardRisoluzionedelConsigliodiStato"/>
        <w:ind w:right="-1"/>
      </w:pPr>
      <w:r>
        <w:t>Il rapporto si sofferma anche sul ruolo che gli ospedali hanno assunto nell'ambito della ricerca e della formazione: il legame tra assistenza, formazione e ricerca deve restare centrale quando si pianifica l'evoluzione del settore ospedaliero (anche se gli oneri di spesa per questi ultimi due ambiti sono esclusi dal finanziamento a carico della LAMal). Alla base della ricerca clinica, ma anche della formazione di base, del perfezionamento e dell'aggiornamento continuo ci deve essere una sufficiente casistica al fine di disporre di competenze adeguate che, nel caso della ricerca clinica, permettano di partecipare a bandi di ricerca competitivi. La casistica minima è anche richiesta dall'Istituto svizzero per la formazione medica per i reparti che vogliono essere riconosciuti quali centri di formazione. Per quanto attiene alla casistica minima si rinvia a quanto sopra indicato (Messaggio pag. 35 cap. 1.3.2.).</w:t>
      </w:r>
    </w:p>
    <w:p w:rsidR="001F439F" w:rsidRDefault="001F439F" w:rsidP="001F439F">
      <w:pPr>
        <w:pStyle w:val="StandardRisoluzionedelConsigliodiStato"/>
        <w:ind w:right="-1"/>
      </w:pPr>
    </w:p>
    <w:p w:rsidR="001F439F" w:rsidRDefault="001F439F" w:rsidP="001F439F">
      <w:pPr>
        <w:pStyle w:val="StandardRisoluzionedelConsigliodiStato"/>
        <w:ind w:right="-1"/>
      </w:pPr>
      <w:r>
        <w:t>Il rapporto osserva infine che gli ospedali svolgono un ruolo importante in termini:</w:t>
      </w:r>
    </w:p>
    <w:p w:rsidR="001F439F" w:rsidRDefault="001F439F" w:rsidP="003446C0">
      <w:pPr>
        <w:pStyle w:val="StandardRisoluzionedelConsigliodiStato"/>
        <w:numPr>
          <w:ilvl w:val="1"/>
          <w:numId w:val="12"/>
        </w:numPr>
        <w:ind w:left="284" w:right="-1" w:hanging="284"/>
      </w:pPr>
      <w:r>
        <w:t>sociali</w:t>
      </w:r>
      <w:r w:rsidR="00203B18">
        <w:t>,</w:t>
      </w:r>
      <w:r>
        <w:t xml:space="preserve"> in quanto infondono un senso di sicurezza (accesso più facile ai servizi per le comunità locali), al di là che alcune patologie (ictus e infarto) richiedono una centralizzazione vista la complessità e la specializzazione della presa a carico, </w:t>
      </w:r>
      <w:r>
        <w:lastRenderedPageBreak/>
        <w:t>veicolando una maggiore attrattività nella scelta del luogo di residenza, in particolare per le famiglie giovani.</w:t>
      </w:r>
    </w:p>
    <w:p w:rsidR="001F439F" w:rsidRDefault="001F439F" w:rsidP="003446C0">
      <w:pPr>
        <w:pStyle w:val="StandardRisoluzionedelConsigliodiStato"/>
        <w:numPr>
          <w:ilvl w:val="1"/>
          <w:numId w:val="12"/>
        </w:numPr>
        <w:ind w:left="284" w:right="-1" w:hanging="284"/>
      </w:pPr>
      <w:r>
        <w:t>Economici poiché essi offrono numerosi e qualificati posti di lavoro, stabili e ben pagati, propiziano i commerci e aiutano i fornitori di beni e servizi. L'importanza di questi fattori spiega la maggior parte delle resistenze allorquando si decide un ridimensionamento dell'offerta e una concentrazione dei servizi.</w:t>
      </w:r>
    </w:p>
    <w:p w:rsidR="00203B18" w:rsidRDefault="00203B18" w:rsidP="00203B18">
      <w:pPr>
        <w:pStyle w:val="StandardRisoluzionedelConsigliodiStato"/>
        <w:ind w:left="284" w:right="-1" w:hanging="284"/>
      </w:pPr>
    </w:p>
    <w:p w:rsidR="001F439F" w:rsidRDefault="001F439F" w:rsidP="001F439F">
      <w:pPr>
        <w:pStyle w:val="StandardRisoluzionedelConsigliodiStato"/>
        <w:ind w:right="-1"/>
      </w:pPr>
      <w:r>
        <w:t>A tal proposito la Commissione evidenzia che tali affermazioni si prestano a possibili interpretazioni e non sempre sono fondate su studi scientifici. Ad es. non è certo, o non consta esservi un’evidenza documentale, che la scelta del luogo di residenza sia dettata dalla presenza di un ospedale (piuttosto che ad es. la vicinanza al lavoro, a un asilo nido,</w:t>
      </w:r>
      <w:r w:rsidR="00203B18">
        <w:t xml:space="preserve"> </w:t>
      </w:r>
      <w:r>
        <w:t>o un moltiplicatore d’imposta attrattivo) tanto più che oggi vi sono diversi centri medici e medici sul territorio.</w:t>
      </w:r>
    </w:p>
    <w:p w:rsidR="001F439F" w:rsidRDefault="001F439F" w:rsidP="001F439F">
      <w:pPr>
        <w:pStyle w:val="StandardRisoluzionedelConsigliodiStato"/>
        <w:ind w:right="-1"/>
      </w:pPr>
      <w:r>
        <w:t xml:space="preserve">Inoltre, bisognerebbe fare uno studio su costi­benefici della frammentazione degli ospedali per </w:t>
      </w:r>
      <w:r w:rsidR="00203B18">
        <w:t>rapporto a quanto apportano all'</w:t>
      </w:r>
      <w:r>
        <w:t>economia locale.</w:t>
      </w:r>
    </w:p>
    <w:p w:rsidR="001F439F" w:rsidRDefault="001F439F" w:rsidP="001F439F">
      <w:pPr>
        <w:pStyle w:val="StandardRisoluzionedelConsigliodiStato"/>
        <w:ind w:right="-1"/>
      </w:pPr>
    </w:p>
    <w:p w:rsidR="001F439F" w:rsidRDefault="0067245E" w:rsidP="0072473B">
      <w:pPr>
        <w:pStyle w:val="Titolo2"/>
        <w:numPr>
          <w:ilvl w:val="0"/>
          <w:numId w:val="0"/>
        </w:numPr>
        <w:tabs>
          <w:tab w:val="left" w:pos="567"/>
        </w:tabs>
        <w:jc w:val="both"/>
      </w:pPr>
      <w:bookmarkStart w:id="9" w:name="_Toc179882467"/>
      <w:r>
        <w:t>5.1</w:t>
      </w:r>
      <w:r>
        <w:tab/>
      </w:r>
      <w:r w:rsidR="001F439F">
        <w:t>OBIETTIVI DELLA PIANIFICAZIONE</w:t>
      </w:r>
      <w:bookmarkEnd w:id="9"/>
    </w:p>
    <w:p w:rsidR="001F439F" w:rsidRDefault="001F439F" w:rsidP="001F439F">
      <w:pPr>
        <w:pStyle w:val="StandardRisoluzionedelConsigliodiStato"/>
        <w:ind w:right="-1"/>
      </w:pPr>
      <w:r>
        <w:t>Garanti</w:t>
      </w:r>
      <w:r w:rsidR="0067245E">
        <w:t>re alla popolazione ticinese un'</w:t>
      </w:r>
      <w:r>
        <w:t>offerta sufficiente in prestazioni ospedaliere stazionarie, tenendo conto in particolare:</w:t>
      </w:r>
    </w:p>
    <w:p w:rsidR="00BE751F" w:rsidRDefault="00BE751F" w:rsidP="001F439F">
      <w:pPr>
        <w:pStyle w:val="StandardRisoluzionedelConsigliodiStato"/>
        <w:ind w:right="-1"/>
      </w:pPr>
    </w:p>
    <w:p w:rsidR="001F439F" w:rsidRDefault="001F439F" w:rsidP="003446C0">
      <w:pPr>
        <w:pStyle w:val="StandardRisoluzionedelConsigliodiStato"/>
        <w:ind w:left="284" w:right="-1" w:hanging="284"/>
      </w:pPr>
      <w:r>
        <w:t>●</w:t>
      </w:r>
      <w:r>
        <w:tab/>
        <w:t xml:space="preserve">della </w:t>
      </w:r>
      <w:r w:rsidRPr="0067245E">
        <w:rPr>
          <w:u w:val="single"/>
        </w:rPr>
        <w:t>qualità</w:t>
      </w:r>
      <w:r>
        <w:t xml:space="preserve"> della forn</w:t>
      </w:r>
      <w:r w:rsidR="0067245E">
        <w:t>itura di prestazioni (secondo l'</w:t>
      </w:r>
      <w:r>
        <w:t>ele</w:t>
      </w:r>
      <w:r w:rsidR="0067245E">
        <w:t>nco di condizioni previste dall'</w:t>
      </w:r>
      <w:r>
        <w:t>art. 58d OAMal) dei servizi di qualità attraverso indicatori di struttura: sufficiente assistenza medica, necessaria presenza di personale specializzato, istallazione adeguata di attrezzature mediche e fornitura di medicamenti, nonché presenza di una cartella informatizzata certificata, oltre ch</w:t>
      </w:r>
      <w:r w:rsidR="0067245E">
        <w:t>e di processo e di esito e dell'</w:t>
      </w:r>
      <w:r w:rsidRPr="0067245E">
        <w:rPr>
          <w:u w:val="single"/>
        </w:rPr>
        <w:t>economicità</w:t>
      </w:r>
      <w:r>
        <w:t xml:space="preserve"> (che vorrebbe concentrazione delle strutture per conseguire sufficienti economie di scala);</w:t>
      </w:r>
    </w:p>
    <w:p w:rsidR="001F439F" w:rsidRDefault="0067245E" w:rsidP="003446C0">
      <w:pPr>
        <w:pStyle w:val="StandardRisoluzionedelConsigliodiStato"/>
        <w:ind w:left="284" w:right="-1" w:hanging="284"/>
      </w:pPr>
      <w:r>
        <w:t>●</w:t>
      </w:r>
      <w:r>
        <w:tab/>
        <w:t>dell'</w:t>
      </w:r>
      <w:r w:rsidR="001F439F">
        <w:t xml:space="preserve">accesso dei pazienti alle cure entro un termine utile. Il criterio </w:t>
      </w:r>
      <w:r w:rsidR="001F439F" w:rsidRPr="0067245E">
        <w:rPr>
          <w:b/>
          <w:u w:val="single"/>
        </w:rPr>
        <w:t>dell'accessibilità territoriale</w:t>
      </w:r>
      <w:r w:rsidR="001F439F">
        <w:t>, che vorrebbe strutture numerose, piccole e diffuse, deve essere affiancato da quelli della qualità e della sicurezza e del contenimento dei costi (che vorrebbero una spinta invece verso concentrazione della casistica), anche considerata la presenza di ottimi servizi pre-ospedalieri;</w:t>
      </w:r>
    </w:p>
    <w:p w:rsidR="001F439F" w:rsidRDefault="001F439F" w:rsidP="003446C0">
      <w:pPr>
        <w:pStyle w:val="StandardRisoluzionedelConsigliodiStato"/>
        <w:ind w:left="284" w:right="-1" w:hanging="284"/>
      </w:pPr>
      <w:r>
        <w:t>●</w:t>
      </w:r>
      <w:r>
        <w:tab/>
        <w:t>della disponibilità e della capacità dell</w:t>
      </w:r>
      <w:r w:rsidR="00BE751F">
        <w:t>'</w:t>
      </w:r>
      <w:r>
        <w:t>istituto ad adempiere il mandato di pre</w:t>
      </w:r>
      <w:r w:rsidR="00BE751F">
        <w:t>stazioni. Con l’iscrizione sull'elenco ospedaliero, l'</w:t>
      </w:r>
      <w:r>
        <w:t>istituto sanitario è autorizzato a fatturare l</w:t>
      </w:r>
      <w:r w:rsidR="00BE751F">
        <w:t>e sue prestazioni a carico dell'</w:t>
      </w:r>
      <w:r>
        <w:t>AOMS per i mandati attribuiti.</w:t>
      </w:r>
    </w:p>
    <w:p w:rsidR="00BE751F" w:rsidRDefault="00BE751F" w:rsidP="0067245E">
      <w:pPr>
        <w:pStyle w:val="StandardRisoluzionedelConsigliodiStato"/>
        <w:ind w:left="284" w:right="-1" w:hanging="284"/>
      </w:pPr>
    </w:p>
    <w:p w:rsidR="001F439F" w:rsidRDefault="001F439F" w:rsidP="0067245E">
      <w:pPr>
        <w:pStyle w:val="StandardRisoluzionedelConsigliodiStato"/>
        <w:ind w:left="284" w:right="-1" w:hanging="284"/>
      </w:pPr>
      <w:r>
        <w:t>La P</w:t>
      </w:r>
      <w:r w:rsidR="00BE751F">
        <w:t>OC</w:t>
      </w:r>
      <w:r>
        <w:t xml:space="preserve"> ripartisce i mandati di prestazione tra i seguenti fornitori di prestazioni:</w:t>
      </w:r>
    </w:p>
    <w:p w:rsidR="001F439F" w:rsidRDefault="001F439F" w:rsidP="003446C0">
      <w:pPr>
        <w:pStyle w:val="StandardRisoluzionedelConsigliodiStato"/>
        <w:ind w:left="284" w:right="-1" w:hanging="284"/>
      </w:pPr>
      <w:r>
        <w:t>●</w:t>
      </w:r>
      <w:r>
        <w:tab/>
        <w:t>«</w:t>
      </w:r>
      <w:r w:rsidRPr="00BE751F">
        <w:rPr>
          <w:i/>
        </w:rPr>
        <w:t>gli stabilimenti e i rispettivi reparti adibiti alla cura ospedaliera di malattie acute o all’attuazione ospedaliera di provvedimenti medici di riabilitazione (ospedali)</w:t>
      </w:r>
      <w:r>
        <w:t>» (art. 39 cpv. 1 LAMal), e</w:t>
      </w:r>
    </w:p>
    <w:p w:rsidR="001F439F" w:rsidRDefault="001F439F" w:rsidP="003446C0">
      <w:pPr>
        <w:pStyle w:val="StandardRisoluzionedelConsigliodiStato"/>
        <w:ind w:left="284" w:right="-1" w:hanging="284"/>
      </w:pPr>
      <w:r>
        <w:t>●</w:t>
      </w:r>
      <w:r>
        <w:tab/>
        <w:t xml:space="preserve">«[… gli] </w:t>
      </w:r>
      <w:r w:rsidRPr="00BE751F">
        <w:rPr>
          <w:i/>
        </w:rPr>
        <w:t>stabilimenti,</w:t>
      </w:r>
      <w:r>
        <w:t xml:space="preserve"> [gli] </w:t>
      </w:r>
      <w:r w:rsidRPr="00BE751F">
        <w:rPr>
          <w:i/>
        </w:rPr>
        <w:t>istituti o</w:t>
      </w:r>
      <w:r>
        <w:t xml:space="preserve"> [i] </w:t>
      </w:r>
      <w:r w:rsidRPr="00BE751F">
        <w:rPr>
          <w:i/>
        </w:rPr>
        <w:t>rispettivi reparti che dispensano cure, assistenza medica e misure di riabilitazione per pazienti lungodegenti (case di cura)</w:t>
      </w:r>
      <w:r>
        <w:t>» (art. 39 cpv. 3 LAMal)</w:t>
      </w:r>
      <w:r w:rsidR="00BE751F">
        <w:t>.</w:t>
      </w:r>
    </w:p>
    <w:p w:rsidR="00BE751F" w:rsidRDefault="00BE751F" w:rsidP="00BE751F">
      <w:pPr>
        <w:pStyle w:val="StandardRisoluzionedelConsigliodiStato"/>
        <w:ind w:left="284" w:right="-1" w:hanging="284"/>
      </w:pPr>
    </w:p>
    <w:p w:rsidR="001F439F" w:rsidRDefault="001F439F" w:rsidP="001F439F">
      <w:pPr>
        <w:pStyle w:val="StandardRisoluzionedelConsigliodiStato"/>
        <w:ind w:right="-1"/>
      </w:pPr>
      <w:r>
        <w:t>Garantire a tutta la popolazione un accesso e un trattamento alle cure secondo equità, valutata secondo tre dimensioni:</w:t>
      </w:r>
    </w:p>
    <w:p w:rsidR="001F439F" w:rsidRDefault="001F439F" w:rsidP="003446C0">
      <w:pPr>
        <w:pStyle w:val="StandardRisoluzionedelConsigliodiStato"/>
        <w:ind w:left="284" w:right="-1" w:hanging="284"/>
      </w:pPr>
      <w:r>
        <w:t>1.</w:t>
      </w:r>
      <w:r>
        <w:tab/>
        <w:t>l'accessibilità fisica alle strutture</w:t>
      </w:r>
      <w:r w:rsidR="00D418A5">
        <w:t>;</w:t>
      </w:r>
    </w:p>
    <w:p w:rsidR="001F439F" w:rsidRDefault="001F439F" w:rsidP="003446C0">
      <w:pPr>
        <w:pStyle w:val="StandardRisoluzionedelConsigliodiStato"/>
        <w:ind w:left="284" w:right="-1" w:hanging="284"/>
      </w:pPr>
      <w:r>
        <w:lastRenderedPageBreak/>
        <w:t>2.</w:t>
      </w:r>
      <w:r>
        <w:tab/>
        <w:t>l'assenza</w:t>
      </w:r>
      <w:r w:rsidR="00D418A5">
        <w:t xml:space="preserve"> </w:t>
      </w:r>
      <w:r>
        <w:t>di</w:t>
      </w:r>
      <w:r w:rsidR="00D418A5">
        <w:t xml:space="preserve"> </w:t>
      </w:r>
      <w:r>
        <w:t>barriere</w:t>
      </w:r>
      <w:r w:rsidR="00D418A5">
        <w:t xml:space="preserve"> </w:t>
      </w:r>
      <w:r>
        <w:t>all'entrata</w:t>
      </w:r>
      <w:r w:rsidR="00D418A5">
        <w:t xml:space="preserve"> </w:t>
      </w:r>
      <w:r>
        <w:t>connesse</w:t>
      </w:r>
      <w:r w:rsidR="00D418A5">
        <w:t xml:space="preserve"> </w:t>
      </w:r>
      <w:r>
        <w:t>allo</w:t>
      </w:r>
      <w:r w:rsidR="00D418A5">
        <w:t xml:space="preserve"> </w:t>
      </w:r>
      <w:r>
        <w:t>status</w:t>
      </w:r>
      <w:r w:rsidR="00D418A5">
        <w:t xml:space="preserve"> </w:t>
      </w:r>
      <w:r>
        <w:t>socio­economico, all'appartenenza culturale o al passato migratorio e</w:t>
      </w:r>
    </w:p>
    <w:p w:rsidR="001F439F" w:rsidRDefault="001F439F" w:rsidP="003446C0">
      <w:pPr>
        <w:pStyle w:val="StandardRisoluzionedelConsigliodiStato"/>
        <w:ind w:left="284" w:right="-1" w:hanging="284"/>
      </w:pPr>
      <w:r>
        <w:t>3.</w:t>
      </w:r>
      <w:r>
        <w:tab/>
        <w:t>la garanzia di trattamento indipendentemente dalla copertura assicurativa.</w:t>
      </w:r>
    </w:p>
    <w:p w:rsidR="00D418A5" w:rsidRDefault="00D418A5" w:rsidP="00D418A5">
      <w:pPr>
        <w:pStyle w:val="StandardRisoluzionedelConsigliodiStato"/>
        <w:ind w:left="284" w:right="-1" w:hanging="284"/>
      </w:pPr>
    </w:p>
    <w:p w:rsidR="001F439F" w:rsidRDefault="001F439F" w:rsidP="001F439F">
      <w:pPr>
        <w:pStyle w:val="StandardRisoluzionedelConsigliodiStato"/>
        <w:ind w:right="-1"/>
      </w:pPr>
      <w:r>
        <w:t>Lo studio SUPSI pone l'accento anche su un obiettivo non indicato nella LAMal:</w:t>
      </w:r>
    </w:p>
    <w:p w:rsidR="001F439F" w:rsidRDefault="001F439F" w:rsidP="003446C0">
      <w:pPr>
        <w:pStyle w:val="StandardRisoluzionedelConsigliodiStato"/>
        <w:numPr>
          <w:ilvl w:val="0"/>
          <w:numId w:val="40"/>
        </w:numPr>
        <w:ind w:left="284" w:right="-1" w:hanging="284"/>
      </w:pPr>
      <w:r>
        <w:t>promuovere condizioni idonee a rispondere ai bisogni formativi del territorio e di favorire (e finanziare) la ricerca.</w:t>
      </w:r>
    </w:p>
    <w:p w:rsidR="00D418A5" w:rsidRDefault="00D418A5" w:rsidP="00D418A5">
      <w:pPr>
        <w:pStyle w:val="StandardRisoluzionedelConsigliodiStato"/>
        <w:ind w:left="284" w:right="-1"/>
      </w:pPr>
    </w:p>
    <w:p w:rsidR="001F439F" w:rsidRDefault="001F439F" w:rsidP="001F439F">
      <w:pPr>
        <w:pStyle w:val="StandardRisoluzionedelConsigliodiStato"/>
        <w:ind w:right="-1"/>
      </w:pPr>
      <w:r>
        <w:t xml:space="preserve">In quest'ottica richiama le iniziative federali per aumentare i posti nei curricula universitari (bachelor e master), con il masterplan su quattro anni e una dotazione di cento milioni di franchi, la concretizzazione dell'iniziativa </w:t>
      </w:r>
      <w:r w:rsidR="00D418A5">
        <w:t>"P</w:t>
      </w:r>
      <w:r>
        <w:t>er cure infermieristiche forti</w:t>
      </w:r>
      <w:r w:rsidR="00D418A5">
        <w:t>"</w:t>
      </w:r>
      <w:r>
        <w:t>, con incentivi promossi a più livelli per incrementare l'attrattività della professione e il pacchetto PROSAN votato dal Gran Consiglio a febbraio 2022, che ha l'obiettivo di incentivare più persone a</w:t>
      </w:r>
      <w:r w:rsidR="00D418A5">
        <w:t xml:space="preserve"> </w:t>
      </w:r>
      <w:r>
        <w:t>intraprendere una formazione sanitaria tramite adeguati sostegni finanziari e di sostenere e incrementare l'</w:t>
      </w:r>
      <w:r w:rsidRPr="00D418A5">
        <w:rPr>
          <w:b/>
        </w:rPr>
        <w:t xml:space="preserve">impegno formativo </w:t>
      </w:r>
      <w:r>
        <w:t>delle strutture sanitarie.</w:t>
      </w:r>
    </w:p>
    <w:p w:rsidR="001F439F" w:rsidRDefault="001F439F" w:rsidP="001F439F">
      <w:pPr>
        <w:pStyle w:val="StandardRisoluzionedelConsigliodiStato"/>
        <w:ind w:right="-1"/>
      </w:pPr>
      <w:r>
        <w:t>Qualcuno ha sollevato di recente – e quindi successivamente allo studio della SUPSI – il tema delle partenze di medici non accademici dagli o</w:t>
      </w:r>
      <w:r w:rsidR="00D418A5">
        <w:t>spedali EOC ritenendo che quest'</w:t>
      </w:r>
      <w:r>
        <w:t>ultimo abbia assunto troppi professori a discapito di medici clinici, di reparto. Tesi su cui la dirigenza EOC ha fornito le sue motivazioni a sostegno di questa scelta e indicando che il ricambio è fisiologico. Il turnover di primari e capocl</w:t>
      </w:r>
      <w:r w:rsidR="00D418A5">
        <w:t>inica – soprattutto in seno all'</w:t>
      </w:r>
      <w:r>
        <w:t>EOC</w:t>
      </w:r>
      <w:r w:rsidR="00D418A5">
        <w:t xml:space="preserve"> –</w:t>
      </w:r>
      <w:r>
        <w:t xml:space="preserve"> sembra comunque rimanere eccessivo, ragion</w:t>
      </w:r>
      <w:r w:rsidR="00D418A5">
        <w:t>e</w:t>
      </w:r>
      <w:r>
        <w:t xml:space="preserve"> per cui la Commissione auspica una ricerca mirata di medici di talent</w:t>
      </w:r>
      <w:r w:rsidR="00D418A5">
        <w:t>o</w:t>
      </w:r>
      <w:r>
        <w:t xml:space="preserve"> ticinesi attivi e formati in Svizzera.</w:t>
      </w:r>
    </w:p>
    <w:p w:rsidR="001F439F" w:rsidRDefault="001F439F" w:rsidP="001F439F">
      <w:pPr>
        <w:pStyle w:val="StandardRisoluzionedelConsigliodiStato"/>
        <w:ind w:right="-1"/>
      </w:pPr>
    </w:p>
    <w:p w:rsidR="001F439F" w:rsidRDefault="001F439F" w:rsidP="001F439F">
      <w:pPr>
        <w:pStyle w:val="StandardRisoluzionedelConsigliodiStato"/>
        <w:ind w:right="-1"/>
      </w:pPr>
      <w:r>
        <w:t>Per quanto riguarda la ricerca, il rapporto ammette le difficoltà nel correlare questa realtà con il settore ospedaliero, limitandosi a citare gli istituti collegati all'USI (IOR, IRB</w:t>
      </w:r>
      <w:r w:rsidR="00D418A5">
        <w:t xml:space="preserve"> e</w:t>
      </w:r>
      <w:r>
        <w:t xml:space="preserve"> IOSI) quali elementi centrali in quest'ambito.</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Un altro obiettivo, sicuramente assai rilevante, è la </w:t>
      </w:r>
      <w:r w:rsidRPr="00D418A5">
        <w:rPr>
          <w:b/>
          <w:u w:val="single"/>
        </w:rPr>
        <w:t>finalità economica</w:t>
      </w:r>
      <w:r>
        <w:t xml:space="preserve">, </w:t>
      </w:r>
      <w:r w:rsidRPr="00D418A5">
        <w:rPr>
          <w:u w:val="single"/>
        </w:rPr>
        <w:t>nel senso che le prestazioni previste devono essere efficaci, appropriate ed economiche</w:t>
      </w:r>
      <w:r>
        <w:t>. Per dare concretezza al concetto, l'OAMal prevede che si debbano operare dei confronti dei costi corretti per grado di gravità e tener conto dello sfruttamento di sinergie, del numero minimo di casi e del potenziale di concentrazione delle prestazioni (art. 58d cpv. 1 e 4 OAMal).</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Secondo il rapporto sono </w:t>
      </w:r>
      <w:r w:rsidRPr="00D418A5">
        <w:rPr>
          <w:b/>
        </w:rPr>
        <w:t>cinque gli elementi chiave che favoriscono l'efficienza e dunque la sostenibilità economica</w:t>
      </w:r>
      <w:r>
        <w:t>:</w:t>
      </w:r>
    </w:p>
    <w:p w:rsidR="001F439F" w:rsidRDefault="001F439F" w:rsidP="003446C0">
      <w:pPr>
        <w:pStyle w:val="StandardRisoluzionedelConsigliodiStato"/>
        <w:numPr>
          <w:ilvl w:val="1"/>
          <w:numId w:val="41"/>
        </w:numPr>
        <w:ind w:left="284" w:right="-1" w:hanging="284"/>
      </w:pPr>
      <w:r>
        <w:t>l'appropriatezza clinica (prestazioni utili allo stato di salute del paziente);</w:t>
      </w:r>
    </w:p>
    <w:p w:rsidR="001F439F" w:rsidRDefault="001F439F" w:rsidP="003446C0">
      <w:pPr>
        <w:pStyle w:val="StandardRisoluzionedelConsigliodiStato"/>
        <w:numPr>
          <w:ilvl w:val="1"/>
          <w:numId w:val="41"/>
        </w:numPr>
        <w:ind w:left="284" w:right="-1" w:hanging="284"/>
      </w:pPr>
      <w:r>
        <w:t>l'appropriatezza organizzativa (ricorso al ricovero dopo aver escluso altri setting organizzativi meno onerosi);</w:t>
      </w:r>
    </w:p>
    <w:p w:rsidR="001F439F" w:rsidRDefault="001F439F" w:rsidP="003446C0">
      <w:pPr>
        <w:pStyle w:val="StandardRisoluzionedelConsigliodiStato"/>
        <w:numPr>
          <w:ilvl w:val="1"/>
          <w:numId w:val="41"/>
        </w:numPr>
        <w:ind w:left="284" w:right="-1" w:hanging="284"/>
      </w:pPr>
      <w:r>
        <w:t>l'appropriatezza tecnica (utilizzo delle risorse disponibili massimizzando l'output e minimizzando l'input, ad es. accorciamento della durata media di degenza);</w:t>
      </w:r>
    </w:p>
    <w:p w:rsidR="001F439F" w:rsidRDefault="001F439F" w:rsidP="003446C0">
      <w:pPr>
        <w:pStyle w:val="StandardRisoluzionedelConsigliodiStato"/>
        <w:numPr>
          <w:ilvl w:val="1"/>
          <w:numId w:val="41"/>
        </w:numPr>
        <w:ind w:left="284" w:right="-1" w:hanging="284"/>
      </w:pPr>
      <w:r>
        <w:t>il contenimento dei prezzi unitari dei fattori produttivi (ad es. utilizzo di farmaci generici);</w:t>
      </w:r>
    </w:p>
    <w:p w:rsidR="001F439F" w:rsidRDefault="001F439F" w:rsidP="003446C0">
      <w:pPr>
        <w:pStyle w:val="StandardRisoluzionedelConsigliodiStato"/>
        <w:numPr>
          <w:ilvl w:val="1"/>
          <w:numId w:val="41"/>
        </w:numPr>
        <w:ind w:left="284" w:right="-1" w:hanging="284"/>
      </w:pPr>
      <w:r>
        <w:t>le economie di scala possibili con dimensioni e volumi sufficientemente ampi.</w:t>
      </w:r>
    </w:p>
    <w:p w:rsidR="00D418A5" w:rsidRDefault="00D418A5" w:rsidP="00D418A5">
      <w:pPr>
        <w:pStyle w:val="StandardRisoluzionedelConsigliodiStato"/>
        <w:ind w:left="284" w:right="-1"/>
      </w:pPr>
    </w:p>
    <w:p w:rsidR="001F439F" w:rsidRDefault="001F439F" w:rsidP="00D418A5">
      <w:pPr>
        <w:pStyle w:val="StandardRisoluzionedelConsigliodiStato"/>
        <w:ind w:right="-1"/>
      </w:pPr>
      <w:r>
        <w:t>Da ultimo, il rapporto segnala due aspetti centrali del sistema sanitario svizzero:</w:t>
      </w:r>
    </w:p>
    <w:p w:rsidR="001F439F" w:rsidRDefault="001F439F" w:rsidP="003446C0">
      <w:pPr>
        <w:pStyle w:val="StandardRisoluzionedelConsigliodiStato"/>
        <w:numPr>
          <w:ilvl w:val="1"/>
          <w:numId w:val="41"/>
        </w:numPr>
        <w:ind w:left="284" w:right="-1" w:hanging="284"/>
      </w:pPr>
      <w:r>
        <w:t>la libertà di scelta dell'assicurato riguardo a operatori e strutture e</w:t>
      </w:r>
    </w:p>
    <w:p w:rsidR="001F439F" w:rsidRDefault="001F439F" w:rsidP="003446C0">
      <w:pPr>
        <w:pStyle w:val="StandardRisoluzionedelConsigliodiStato"/>
        <w:numPr>
          <w:ilvl w:val="1"/>
          <w:numId w:val="41"/>
        </w:numPr>
        <w:ind w:left="284" w:right="-1" w:hanging="284"/>
      </w:pPr>
      <w:r>
        <w:t>la libertà d'iniziativa economica per i fornitori di cura.</w:t>
      </w:r>
    </w:p>
    <w:p w:rsidR="001F439F" w:rsidRDefault="001F439F" w:rsidP="001F439F">
      <w:pPr>
        <w:pStyle w:val="StandardRisoluzionedelConsigliodiStato"/>
        <w:ind w:right="-1"/>
      </w:pPr>
      <w:r>
        <w:lastRenderedPageBreak/>
        <w:t>I Cantoni devono mantenere una certa contendibilità del mercato, ad esempio riconoscendo a più strutture (ovviamente anche pubbliche e private) lo stesso mandato (a parità di requisiti).</w:t>
      </w:r>
    </w:p>
    <w:p w:rsidR="001F439F" w:rsidRDefault="001F439F" w:rsidP="001F439F">
      <w:pPr>
        <w:pStyle w:val="StandardRisoluzionedelConsigliodiStato"/>
        <w:ind w:right="-1"/>
      </w:pPr>
      <w:r>
        <w:t>Il tutto senza dimenticare la competizione a livello nazionale e le strategie della Politica sanitaria federale.</w:t>
      </w:r>
    </w:p>
    <w:p w:rsidR="001F439F" w:rsidRDefault="001F439F" w:rsidP="001F439F">
      <w:pPr>
        <w:pStyle w:val="StandardRisoluzionedelConsigliodiStato"/>
        <w:ind w:right="-1"/>
      </w:pPr>
    </w:p>
    <w:p w:rsidR="001F439F" w:rsidRDefault="00464C96" w:rsidP="0072473B">
      <w:pPr>
        <w:pStyle w:val="Titolo2"/>
        <w:numPr>
          <w:ilvl w:val="0"/>
          <w:numId w:val="0"/>
        </w:numPr>
        <w:tabs>
          <w:tab w:val="left" w:pos="284"/>
        </w:tabs>
        <w:ind w:left="284" w:hanging="284"/>
        <w:jc w:val="both"/>
      </w:pPr>
      <w:bookmarkStart w:id="10" w:name="_Toc179882468"/>
      <w:r>
        <w:t>5.2</w:t>
      </w:r>
      <w:r>
        <w:tab/>
      </w:r>
      <w:r w:rsidR="001F439F">
        <w:t>LE SFIDE DEL SETTORE OSPEDALIERO TICINESE</w:t>
      </w:r>
      <w:bookmarkEnd w:id="10"/>
    </w:p>
    <w:p w:rsidR="001F439F" w:rsidRDefault="001F439F" w:rsidP="001F439F">
      <w:pPr>
        <w:pStyle w:val="StandardRisoluzionedelConsigliodiStato"/>
        <w:ind w:right="-1"/>
      </w:pPr>
      <w:r>
        <w:t>Il rapporto sugli indirizzi evidenzia che:</w:t>
      </w:r>
    </w:p>
    <w:p w:rsidR="001F439F" w:rsidRDefault="001F439F" w:rsidP="003446C0">
      <w:pPr>
        <w:pStyle w:val="StandardRisoluzionedelConsigliodiStato"/>
        <w:numPr>
          <w:ilvl w:val="1"/>
          <w:numId w:val="43"/>
        </w:numPr>
        <w:ind w:left="284" w:right="-1" w:hanging="284"/>
      </w:pPr>
      <w:r>
        <w:t>il 72% delle giornate di cura complessive nel settore somatico­acuto è assicurato dall'EOC (compreso CCT);</w:t>
      </w:r>
    </w:p>
    <w:p w:rsidR="001F439F" w:rsidRDefault="001F439F" w:rsidP="003446C0">
      <w:pPr>
        <w:pStyle w:val="StandardRisoluzionedelConsigliodiStato"/>
        <w:numPr>
          <w:ilvl w:val="1"/>
          <w:numId w:val="43"/>
        </w:numPr>
        <w:ind w:left="284" w:right="-1" w:hanging="284"/>
      </w:pPr>
      <w:r>
        <w:t>il 46% delle giornate di cura nel settore psichiatrico è garantito dalla Clinica psichiatrica cantonale, Mendrisio;</w:t>
      </w:r>
    </w:p>
    <w:p w:rsidR="001F439F" w:rsidRDefault="001F439F" w:rsidP="003446C0">
      <w:pPr>
        <w:pStyle w:val="StandardRisoluzionedelConsigliodiStato"/>
        <w:numPr>
          <w:ilvl w:val="1"/>
          <w:numId w:val="43"/>
        </w:numPr>
        <w:ind w:left="284" w:right="-1" w:hanging="284"/>
      </w:pPr>
      <w:r>
        <w:t>il 54% delle cure nel settore riabilitativo avviene alla Clinica Hildebrand, Brissago;</w:t>
      </w:r>
    </w:p>
    <w:p w:rsidR="001F439F" w:rsidRDefault="001F439F" w:rsidP="003446C0">
      <w:pPr>
        <w:pStyle w:val="StandardRisoluzionedelConsigliodiStato"/>
        <w:numPr>
          <w:ilvl w:val="1"/>
          <w:numId w:val="42"/>
        </w:numPr>
        <w:ind w:left="284" w:right="-1" w:hanging="284"/>
      </w:pPr>
      <w:r>
        <w:t>il settore ospedaliero ticinese dà lavoro a ca. 7'000 persone equivalenti a tempo pieno con un indotto lavorativo ed economico di grande i</w:t>
      </w:r>
      <w:r w:rsidR="00464C96">
        <w:t>mpatto. Già solo dai conti dell'</w:t>
      </w:r>
      <w:r>
        <w:t>EOC si evince che dell</w:t>
      </w:r>
      <w:r w:rsidR="00464C96">
        <w:t>'</w:t>
      </w:r>
      <w:r>
        <w:t>intero valore generato, circa il 72% è distribuito in Ticino (606 milioni nel 2021).</w:t>
      </w:r>
    </w:p>
    <w:p w:rsidR="00464C96" w:rsidRDefault="00464C96" w:rsidP="00464C96">
      <w:pPr>
        <w:pStyle w:val="StandardRisoluzionedelConsigliodiStato"/>
        <w:ind w:left="284" w:right="-1"/>
      </w:pPr>
    </w:p>
    <w:p w:rsidR="001F439F" w:rsidRDefault="001F439F" w:rsidP="001F439F">
      <w:pPr>
        <w:pStyle w:val="StandardRisoluzionedelConsigliodiStato"/>
        <w:ind w:right="-1"/>
      </w:pPr>
      <w:r>
        <w:t>Da un punto di vista geografico vi è una grande concentrazione dell'offerta di cure nel Luganese e nel Locarnese.</w:t>
      </w:r>
    </w:p>
    <w:p w:rsidR="001F439F" w:rsidRDefault="001F439F" w:rsidP="001F439F">
      <w:pPr>
        <w:pStyle w:val="StandardRisoluzionedelConsigliodiStato"/>
        <w:ind w:right="-1"/>
      </w:pPr>
    </w:p>
    <w:p w:rsidR="001F439F" w:rsidRDefault="001F439F" w:rsidP="001F439F">
      <w:pPr>
        <w:pStyle w:val="StandardRisoluzionedelConsigliodiStato"/>
        <w:ind w:right="-1"/>
      </w:pPr>
      <w:r>
        <w:t>Partendo dalla considerazione che il sistema sanitario cantonale è articolato in innumerevoli strutture e numerosi operatori, a fronte di pochi strumenti di coordinamento e a una scarsa diffusione delle reti integrate di cura, il rapporto sviluppa alcuni argomenti a favore di:</w:t>
      </w:r>
    </w:p>
    <w:p w:rsidR="001F439F" w:rsidRDefault="001F439F" w:rsidP="003446C0">
      <w:pPr>
        <w:pStyle w:val="StandardRisoluzionedelConsigliodiStato"/>
        <w:numPr>
          <w:ilvl w:val="1"/>
          <w:numId w:val="44"/>
        </w:numPr>
        <w:ind w:left="284" w:right="-1" w:hanging="284"/>
      </w:pPr>
      <w:r>
        <w:t>una maggiore concentrazione quali la sicurezza del paziente e la qualità delle cure collegate alle maggiori competenze degli operatori e alla presenza di servizi diversi sotto lo stesso tetto;</w:t>
      </w:r>
    </w:p>
    <w:p w:rsidR="001F439F" w:rsidRDefault="001F439F" w:rsidP="003446C0">
      <w:pPr>
        <w:pStyle w:val="StandardRisoluzionedelConsigliodiStato"/>
        <w:numPr>
          <w:ilvl w:val="1"/>
          <w:numId w:val="45"/>
        </w:numPr>
        <w:ind w:left="284" w:right="-1" w:hanging="284"/>
      </w:pPr>
      <w:r>
        <w:t>la formazione legata ai volumi minimi e l'attrattività professionale.</w:t>
      </w:r>
    </w:p>
    <w:p w:rsidR="00464C96" w:rsidRDefault="00464C96" w:rsidP="00464C96">
      <w:pPr>
        <w:pStyle w:val="StandardRisoluzionedelConsigliodiStato"/>
        <w:ind w:left="567" w:right="-1"/>
      </w:pPr>
    </w:p>
    <w:p w:rsidR="001F439F" w:rsidRDefault="001F439F" w:rsidP="001F439F">
      <w:pPr>
        <w:pStyle w:val="StandardRisoluzionedelConsigliodiStato"/>
        <w:ind w:right="-1"/>
      </w:pPr>
      <w:r>
        <w:t>Una maggiore concentrazione favorisce lo sviluppo di contesti lavorativi capaci di attirare un numero sufficiente di professionisti, ne permette la selezione e contribuisce alla loro motivazione, così che non abbandonino il settore o il nostro territorio.</w:t>
      </w:r>
    </w:p>
    <w:p w:rsidR="001F439F" w:rsidRDefault="001F439F" w:rsidP="001F439F">
      <w:pPr>
        <w:pStyle w:val="StandardRisoluzionedelConsigliodiStato"/>
        <w:ind w:right="-1"/>
      </w:pPr>
      <w:r>
        <w:t>Pure le economie di scala e di scopo, dipendenti dai volumi, dal genere di prestazioni offerte e dalle dimensioni ne sarebbero avvantaggiate.</w:t>
      </w:r>
    </w:p>
    <w:p w:rsidR="001F439F" w:rsidRDefault="001F439F" w:rsidP="001F439F">
      <w:pPr>
        <w:pStyle w:val="StandardRisoluzionedelConsigliodiStato"/>
        <w:ind w:right="-1"/>
      </w:pPr>
      <w:r>
        <w:t>La concentrazione deve però essere bilanciata da una rete di servizi di prossimità che garantisca un accesso equo.</w:t>
      </w:r>
    </w:p>
    <w:p w:rsidR="001F439F" w:rsidRDefault="001F439F" w:rsidP="001F439F">
      <w:pPr>
        <w:pStyle w:val="StandardRisoluzionedelConsigliodiStato"/>
        <w:ind w:right="-1"/>
      </w:pPr>
      <w:r>
        <w:t xml:space="preserve">Il rapporto indica </w:t>
      </w:r>
      <w:r w:rsidRPr="00343A1A">
        <w:rPr>
          <w:b/>
          <w:u w:val="single"/>
        </w:rPr>
        <w:t>cinque possibili indirizzi strategici</w:t>
      </w:r>
      <w:r>
        <w:t xml:space="preserve"> della prossima Pianificazione:</w:t>
      </w:r>
    </w:p>
    <w:p w:rsidR="001F439F" w:rsidRDefault="001F439F" w:rsidP="001F439F">
      <w:pPr>
        <w:pStyle w:val="StandardRisoluzionedelConsigliodiStato"/>
        <w:ind w:right="-1"/>
      </w:pPr>
    </w:p>
    <w:p w:rsidR="001F439F" w:rsidRPr="003446C0" w:rsidRDefault="001F439F" w:rsidP="003446C0">
      <w:pPr>
        <w:pStyle w:val="StandardRisoluzionedelConsigliodiStato"/>
        <w:ind w:left="284" w:right="-1" w:hanging="284"/>
        <w:rPr>
          <w:b/>
        </w:rPr>
      </w:pPr>
      <w:r w:rsidRPr="003446C0">
        <w:rPr>
          <w:b/>
        </w:rPr>
        <w:t>1.</w:t>
      </w:r>
      <w:r w:rsidRPr="003446C0">
        <w:rPr>
          <w:b/>
        </w:rPr>
        <w:tab/>
        <w:t>perseguire con determinazione un'adeguata allocazione dei servizi sull'asse prossimità/concentrazione</w:t>
      </w:r>
      <w:r w:rsidR="00343A1A" w:rsidRPr="003446C0">
        <w:rPr>
          <w:b/>
        </w:rPr>
        <w:t>.</w:t>
      </w:r>
    </w:p>
    <w:p w:rsidR="001F439F" w:rsidRDefault="003446C0" w:rsidP="003446C0">
      <w:pPr>
        <w:pStyle w:val="StandardRisoluzionedelConsigliodiStato"/>
        <w:ind w:left="284" w:right="-1" w:hanging="284"/>
      </w:pPr>
      <w:r>
        <w:tab/>
      </w:r>
      <w:r w:rsidR="001F439F">
        <w:t xml:space="preserve">Oggi gran parte dei bisogni di cura della popolazione residente trova risposta di facile accesso e nelle immediate vicinanze della propria abitazione o del proprio luogo di lavoro, grazie alla densa e </w:t>
      </w:r>
      <w:r w:rsidR="00343A1A">
        <w:t>forte rete di cure primarie e l'</w:t>
      </w:r>
      <w:r w:rsidR="001F439F">
        <w:t>ampia e crescente diffusione sul territorio di case per anziani medicalizzate e di altre strutture sanitarie non ospedaliere. In media, nel 90% dei casi, i mezzi di s</w:t>
      </w:r>
      <w:r w:rsidR="00343A1A">
        <w:t>occorso arrivano sul luogo dell'</w:t>
      </w:r>
      <w:r w:rsidR="001F439F">
        <w:t>evento in quindici minuti.</w:t>
      </w:r>
    </w:p>
    <w:p w:rsidR="001F439F" w:rsidRDefault="003446C0" w:rsidP="003446C0">
      <w:pPr>
        <w:pStyle w:val="StandardRisoluzionedelConsigliodiStato"/>
        <w:ind w:left="284" w:right="-1" w:hanging="284"/>
      </w:pPr>
      <w:r>
        <w:lastRenderedPageBreak/>
        <w:tab/>
      </w:r>
      <w:r w:rsidR="001F439F">
        <w:t>Gran parte delle prestazioni stazionarie che fino a un recente passato erano erogate in ambito ospedaliero, oggi, senza alcun problema qualitativo, sono assicurate da strutture non ospedaliere, anche in zone periferiche.</w:t>
      </w:r>
    </w:p>
    <w:p w:rsidR="001F439F" w:rsidRDefault="003446C0" w:rsidP="003446C0">
      <w:pPr>
        <w:pStyle w:val="StandardRisoluzionedelConsigliodiStato"/>
        <w:ind w:left="284" w:right="-1" w:hanging="284"/>
      </w:pPr>
      <w:r>
        <w:tab/>
      </w:r>
      <w:r w:rsidR="001F439F">
        <w:t>Ciò depone a favore di una concentrazione spinta della casistica e delle prestazioni in pochi centri ospe</w:t>
      </w:r>
      <w:r w:rsidR="00343A1A">
        <w:t>dalieri. Nel rapporto si cita l'</w:t>
      </w:r>
      <w:r w:rsidR="001F439F">
        <w:t>esempio delle sei maternità in esercizio nel Cantone, i cui volumi d’attività limitati potrebbero comportare rischi in termini di sicurezza, difficoltà nel mantenere aggiornate le co</w:t>
      </w:r>
      <w:r w:rsidR="00343A1A">
        <w:t>mpetenze degli operatori e nell'</w:t>
      </w:r>
      <w:r w:rsidR="001F439F">
        <w:t>attrarre professionisti e costi di infrastruttura non utilizzata a pieno regime.</w:t>
      </w:r>
    </w:p>
    <w:p w:rsidR="00514E36" w:rsidRPr="00B0026D" w:rsidRDefault="003446C0" w:rsidP="003446C0">
      <w:pPr>
        <w:pStyle w:val="StandardRisoluzionedelConsigliodiStato"/>
        <w:ind w:left="284" w:right="-1" w:hanging="284"/>
        <w:rPr>
          <w:lang w:val="it-IT"/>
        </w:rPr>
      </w:pPr>
      <w:r>
        <w:rPr>
          <w:lang w:val="it-IT"/>
        </w:rPr>
        <w:tab/>
      </w:r>
      <w:r w:rsidR="00514E36" w:rsidRPr="00B0026D">
        <w:rPr>
          <w:lang w:val="it-IT"/>
        </w:rPr>
        <w:t xml:space="preserve">La Commissione, consapevole che al centro di qualsiasi pianificazione e decisione in ambito sanitario occorra porre la sicurezza e la qualità delle cure, auspica che </w:t>
      </w:r>
      <w:r w:rsidR="00514E36" w:rsidRPr="00B0026D">
        <w:t>–</w:t>
      </w:r>
      <w:r w:rsidR="00514E36" w:rsidRPr="00B0026D">
        <w:rPr>
          <w:lang w:val="it-IT"/>
        </w:rPr>
        <w:t xml:space="preserve"> compatibilmente con le esigenze poste dalla Legislazione federale </w:t>
      </w:r>
      <w:r w:rsidR="00514E36" w:rsidRPr="00B0026D">
        <w:t>–</w:t>
      </w:r>
      <w:r w:rsidR="00514E36" w:rsidRPr="00B0026D">
        <w:rPr>
          <w:lang w:val="it-IT"/>
        </w:rPr>
        <w:t xml:space="preserve"> sia dedicata una particolare attenzione all'accessibilità di alcune prestazioni di base, in particolare quelle legate alla nascita e alla cura dei minori. Questa riflessione si impone a maggior ragione per le strutture in cui queste prestazioni sono attualmente offerte e fornite nel rispetto delle esigenze qualitative.</w:t>
      </w:r>
    </w:p>
    <w:p w:rsidR="001F439F" w:rsidRDefault="001F439F" w:rsidP="003446C0">
      <w:pPr>
        <w:pStyle w:val="StandardRisoluzionedelConsigliodiStato"/>
        <w:ind w:left="284" w:right="-1" w:hanging="284"/>
      </w:pPr>
    </w:p>
    <w:p w:rsidR="001F439F" w:rsidRPr="003446C0" w:rsidRDefault="001F439F" w:rsidP="003446C0">
      <w:pPr>
        <w:pStyle w:val="StandardRisoluzionedelConsigliodiStato"/>
        <w:ind w:left="284" w:right="-1" w:hanging="284"/>
        <w:rPr>
          <w:b/>
        </w:rPr>
      </w:pPr>
      <w:r w:rsidRPr="003446C0">
        <w:rPr>
          <w:b/>
        </w:rPr>
        <w:t>2.</w:t>
      </w:r>
      <w:r w:rsidRPr="003446C0">
        <w:rPr>
          <w:b/>
        </w:rPr>
        <w:tab/>
        <w:t>Puntare a un ospedale di riferimento per la medicina somatico-acuta e altamente specializzata</w:t>
      </w:r>
      <w:r w:rsidR="00343A1A" w:rsidRPr="003446C0">
        <w:rPr>
          <w:b/>
        </w:rPr>
        <w:t>.</w:t>
      </w:r>
    </w:p>
    <w:p w:rsidR="001F439F" w:rsidRDefault="003446C0" w:rsidP="003446C0">
      <w:pPr>
        <w:pStyle w:val="StandardRisoluzionedelConsigliodiStato"/>
        <w:ind w:left="284" w:right="-1" w:hanging="284"/>
      </w:pPr>
      <w:r>
        <w:tab/>
      </w:r>
      <w:r w:rsidR="00343A1A">
        <w:t>L'</w:t>
      </w:r>
      <w:r w:rsidR="001F439F">
        <w:t>accento viene qui messo sulla necessità della formaz</w:t>
      </w:r>
      <w:r w:rsidR="00343A1A">
        <w:t>ione e della ricerca insieme all'</w:t>
      </w:r>
      <w:r w:rsidR="001F439F">
        <w:t>impegno di rendere il sistema ospedaliero attrattivo per i professionisti e a sostegno d</w:t>
      </w:r>
      <w:r w:rsidR="00343A1A">
        <w:t>ell'</w:t>
      </w:r>
      <w:r w:rsidR="001F439F">
        <w:t>opportunità di disporre di un ospedale di riferimento per la medicina altamente specializzata e per le prestazioni multidisciplinari e complesse. Non si tratta solo de</w:t>
      </w:r>
      <w:r w:rsidR="00343A1A">
        <w:t>l Master in medicina umana dell'</w:t>
      </w:r>
      <w:r w:rsidR="001F439F">
        <w:t>USI</w:t>
      </w:r>
      <w:r w:rsidR="00343A1A">
        <w:t>,</w:t>
      </w:r>
      <w:r w:rsidR="001F439F">
        <w:t xml:space="preserve"> ma altrettanto quale presupposto per poter offrire un partner affidabile e competente alla filiera della ricerca e dell</w:t>
      </w:r>
      <w:r w:rsidR="00343A1A">
        <w:t>'</w:t>
      </w:r>
      <w:r w:rsidR="001F439F">
        <w:t>industria biomedicale sviluppatasi in Ticino, e poter offrire formazioni specialistiche di qualità ad altri professionisti sanitari non medici.</w:t>
      </w:r>
    </w:p>
    <w:p w:rsidR="001F439F" w:rsidRDefault="001F439F" w:rsidP="003446C0">
      <w:pPr>
        <w:pStyle w:val="StandardRisoluzionedelConsigliodiStato"/>
        <w:ind w:left="284" w:right="-1" w:hanging="284"/>
      </w:pPr>
    </w:p>
    <w:p w:rsidR="001F439F" w:rsidRDefault="003446C0" w:rsidP="003446C0">
      <w:pPr>
        <w:pStyle w:val="StandardRisoluzionedelConsigliodiStato"/>
        <w:ind w:left="284" w:right="-1" w:hanging="284"/>
      </w:pPr>
      <w:r>
        <w:tab/>
      </w:r>
      <w:r w:rsidR="001F439F">
        <w:t xml:space="preserve">Il Messaggio non accenna a un vero e proprio </w:t>
      </w:r>
      <w:r w:rsidR="001F439F" w:rsidRPr="00182675">
        <w:rPr>
          <w:b/>
        </w:rPr>
        <w:t>ospedale universitario</w:t>
      </w:r>
      <w:r w:rsidR="001F439F">
        <w:t>. Verosimilmente il tema dovrà essere affrontato nel corso del periodo prospettato per la presente POC alfine di capire meglio i pro e i contr</w:t>
      </w:r>
      <w:r w:rsidR="00343A1A">
        <w:t>o</w:t>
      </w:r>
      <w:r w:rsidR="001F439F">
        <w:t xml:space="preserve"> di questa ipotesi, visto che in alcune altre realtà cantonali degli ospedali universitari hanno riscontrato</w:t>
      </w:r>
      <w:r w:rsidR="00343A1A">
        <w:t>,</w:t>
      </w:r>
      <w:r w:rsidR="001F439F">
        <w:t xml:space="preserve"> o riscontrano</w:t>
      </w:r>
      <w:r w:rsidR="00343A1A">
        <w:t>,</w:t>
      </w:r>
      <w:r w:rsidR="001F439F">
        <w:t xml:space="preserve"> delle difficoltà.</w:t>
      </w:r>
    </w:p>
    <w:p w:rsidR="001F439F" w:rsidRDefault="001F439F" w:rsidP="003446C0">
      <w:pPr>
        <w:pStyle w:val="StandardRisoluzionedelConsigliodiStato"/>
        <w:ind w:left="284" w:right="-1" w:hanging="284"/>
      </w:pPr>
    </w:p>
    <w:p w:rsidR="001F439F" w:rsidRPr="003446C0" w:rsidRDefault="001F439F" w:rsidP="003446C0">
      <w:pPr>
        <w:pStyle w:val="StandardRisoluzionedelConsigliodiStato"/>
        <w:ind w:left="284" w:right="-1" w:hanging="284"/>
        <w:rPr>
          <w:b/>
        </w:rPr>
      </w:pPr>
      <w:r w:rsidRPr="003446C0">
        <w:rPr>
          <w:b/>
        </w:rPr>
        <w:t>3.</w:t>
      </w:r>
      <w:r w:rsidRPr="003446C0">
        <w:rPr>
          <w:b/>
        </w:rPr>
        <w:tab/>
        <w:t>Continuare a favorire dinamicamente l'appropriatezza organizzativa</w:t>
      </w:r>
      <w:r w:rsidR="00343A1A" w:rsidRPr="003446C0">
        <w:rPr>
          <w:b/>
        </w:rPr>
        <w:t>.</w:t>
      </w:r>
    </w:p>
    <w:p w:rsidR="001F439F" w:rsidRDefault="003446C0" w:rsidP="003446C0">
      <w:pPr>
        <w:pStyle w:val="StandardRisoluzionedelConsigliodiStato"/>
        <w:ind w:left="284" w:right="-1" w:hanging="284"/>
      </w:pPr>
      <w:r>
        <w:tab/>
      </w:r>
      <w:r w:rsidR="001F439F">
        <w:t>Vista la costante diminuzione della degenza media e la progressiva differenziazione dei setting di cura integrati ai diversi percorsi di assistenza (RAMI, CAT/STT, case per anziani, cure a domicilio),</w:t>
      </w:r>
      <w:r w:rsidR="00343A1A">
        <w:t xml:space="preserve"> occorre monitorare i criteri d'</w:t>
      </w:r>
      <w:r w:rsidR="001F439F">
        <w:t>accesso dei pazienti ai vari comparti, la loro eff</w:t>
      </w:r>
      <w:r w:rsidR="00343A1A">
        <w:t>icacia clinica­assistenziale, l'</w:t>
      </w:r>
      <w:r w:rsidR="001F439F">
        <w:t>adeguatezza del mix di personale assegnato e le modalità di finanziamento.</w:t>
      </w:r>
    </w:p>
    <w:p w:rsidR="001F439F" w:rsidRDefault="001F439F" w:rsidP="003446C0">
      <w:pPr>
        <w:pStyle w:val="StandardRisoluzionedelConsigliodiStato"/>
        <w:ind w:left="284" w:right="-1" w:hanging="284"/>
      </w:pPr>
    </w:p>
    <w:p w:rsidR="001F439F" w:rsidRPr="003446C0" w:rsidRDefault="001F439F" w:rsidP="003446C0">
      <w:pPr>
        <w:pStyle w:val="StandardRisoluzionedelConsigliodiStato"/>
        <w:ind w:left="284" w:right="-1" w:hanging="284"/>
        <w:rPr>
          <w:b/>
        </w:rPr>
      </w:pPr>
      <w:r w:rsidRPr="003446C0">
        <w:rPr>
          <w:b/>
        </w:rPr>
        <w:t>4.</w:t>
      </w:r>
      <w:r w:rsidRPr="003446C0">
        <w:rPr>
          <w:b/>
        </w:rPr>
        <w:tab/>
        <w:t>Promuovere la definizione di percorsi diagnostici terapeutici assistenziali (PDTA) di tipo integrato per le patologie ad alta prevalenza o rilevanza</w:t>
      </w:r>
      <w:r w:rsidR="00343A1A" w:rsidRPr="003446C0">
        <w:rPr>
          <w:b/>
        </w:rPr>
        <w:t>.</w:t>
      </w:r>
    </w:p>
    <w:p w:rsidR="001F439F" w:rsidRDefault="003446C0" w:rsidP="003446C0">
      <w:pPr>
        <w:pStyle w:val="StandardRisoluzionedelConsigliodiStato"/>
        <w:ind w:left="284" w:right="-1" w:hanging="284"/>
      </w:pPr>
      <w:r>
        <w:tab/>
      </w:r>
      <w:r w:rsidR="001F439F">
        <w:t xml:space="preserve">I PDTA favoriscono la standardizzazione di alcuni </w:t>
      </w:r>
      <w:r w:rsidR="00343A1A">
        <w:t>"</w:t>
      </w:r>
      <w:r w:rsidR="001F439F">
        <w:t>itinerari clinici</w:t>
      </w:r>
      <w:r w:rsidR="00343A1A">
        <w:t>"</w:t>
      </w:r>
      <w:r w:rsidR="001F439F">
        <w:t xml:space="preserve"> interni al contesto ospedaliero e coinvolgono i principali attori a monte e a valle del ricovero. I PDTA facilitano la promozione della conoscenza e del confronto </w:t>
      </w:r>
      <w:r w:rsidR="00343A1A">
        <w:t>tra gli attori, nonché ad es. l'</w:t>
      </w:r>
      <w:r w:rsidR="001F439F">
        <w:t>integrazione dei sistemi informatici. Ne è un esempio la rete REHA Ticino che promuove la progettazione di percorsi del paziente condivisi tra strutture pubbliche (EOC) e private (Clinica Hildebrand, centro di riabilitazione, Brissago).</w:t>
      </w:r>
    </w:p>
    <w:p w:rsidR="001F439F" w:rsidRDefault="001F439F" w:rsidP="003446C0">
      <w:pPr>
        <w:pStyle w:val="StandardRisoluzionedelConsigliodiStato"/>
        <w:ind w:left="284" w:right="-1" w:hanging="284"/>
      </w:pPr>
    </w:p>
    <w:p w:rsidR="001F439F" w:rsidRPr="00182675" w:rsidRDefault="001F439F" w:rsidP="003446C0">
      <w:pPr>
        <w:pStyle w:val="StandardRisoluzionedelConsigliodiStato"/>
        <w:ind w:left="284" w:right="-1" w:hanging="284"/>
        <w:rPr>
          <w:b/>
        </w:rPr>
      </w:pPr>
      <w:r w:rsidRPr="003446C0">
        <w:rPr>
          <w:b/>
        </w:rPr>
        <w:t>5.</w:t>
      </w:r>
      <w:r w:rsidRPr="003446C0">
        <w:rPr>
          <w:b/>
        </w:rPr>
        <w:tab/>
        <w:t>Migliorare</w:t>
      </w:r>
      <w:r w:rsidRPr="00182675">
        <w:rPr>
          <w:b/>
        </w:rPr>
        <w:t xml:space="preserve"> le informazioni a disposizione di pazienti e popolazione.</w:t>
      </w:r>
    </w:p>
    <w:p w:rsidR="001F439F" w:rsidRDefault="003446C0" w:rsidP="003446C0">
      <w:pPr>
        <w:pStyle w:val="StandardRisoluzionedelConsigliodiStato"/>
        <w:ind w:left="284" w:right="-1" w:hanging="284"/>
      </w:pPr>
      <w:r>
        <w:tab/>
      </w:r>
      <w:r w:rsidR="001F439F">
        <w:t>Vista la centralità della libertà di scelta medico­sanitaria</w:t>
      </w:r>
      <w:r w:rsidR="00343A1A">
        <w:t>,</w:t>
      </w:r>
      <w:r w:rsidR="001F439F">
        <w:t xml:space="preserve"> bisogna permettere al paziente di usufruire di informazioni rilevanti, trasparenti, veritiere e chiare come ad es. </w:t>
      </w:r>
      <w:r w:rsidR="00343A1A">
        <w:t>il numero di casi trattati dall'</w:t>
      </w:r>
      <w:r w:rsidR="001F439F">
        <w:t>ospedale, dalle équipe e dai singoli medici, i titoli dei medici, i contratti­tipo, i rapporti delle ispezioni di qualità o i risultati dei sondaggi tra i pazienti. Il tutto creando una sana competizi</w:t>
      </w:r>
      <w:r w:rsidR="00343A1A">
        <w:t>one tra i vari attori. In quest'</w:t>
      </w:r>
      <w:r w:rsidR="001F439F">
        <w:t>ottica la Commissione ritiene però che</w:t>
      </w:r>
      <w:r w:rsidR="00343A1A">
        <w:t>, oltre all'</w:t>
      </w:r>
      <w:r w:rsidR="001F439F">
        <w:t>informazione</w:t>
      </w:r>
      <w:r w:rsidR="00343A1A">
        <w:t>,</w:t>
      </w:r>
      <w:r w:rsidR="001F439F">
        <w:t xml:space="preserve"> vada contemporaneamente promosso anche lo sviluppo di una comunicazione rispettosa ed esperta fra curanti e pazienti, in particolare attraverso la specifica formazione degli operatori medici, sanitari e amministrativi su questa tematica.</w:t>
      </w:r>
    </w:p>
    <w:p w:rsidR="001F439F" w:rsidRDefault="001F439F" w:rsidP="001F439F">
      <w:pPr>
        <w:pStyle w:val="StandardRisoluzionedelConsigliodiStato"/>
        <w:ind w:right="-1"/>
      </w:pPr>
    </w:p>
    <w:p w:rsidR="001F439F" w:rsidRDefault="0030370F" w:rsidP="0030370F">
      <w:pPr>
        <w:pStyle w:val="StandardRisoluzionedelConsigliodiStato"/>
      </w:pPr>
      <w:r>
        <w:t xml:space="preserve">Circa la </w:t>
      </w:r>
      <w:r w:rsidRPr="0030370F">
        <w:rPr>
          <w:b/>
        </w:rPr>
        <w:t>d</w:t>
      </w:r>
      <w:r w:rsidR="001F439F" w:rsidRPr="0030370F">
        <w:rPr>
          <w:b/>
        </w:rPr>
        <w:t>igitalizzazione della medicina</w:t>
      </w:r>
      <w:r>
        <w:t>, i</w:t>
      </w:r>
      <w:r w:rsidR="001F439F">
        <w:t>l Messaggio non spende molte parole su questo ambito molto attuale e di cui si parla molto in vari altri ambiti.</w:t>
      </w:r>
    </w:p>
    <w:p w:rsidR="001F439F" w:rsidRDefault="001F439F" w:rsidP="0030370F">
      <w:pPr>
        <w:pStyle w:val="StandardRisoluzionedelConsigliodiStato"/>
        <w:ind w:right="-1"/>
      </w:pPr>
      <w:r>
        <w:t>La scrivente Commissione ritiene che la digitalizzazione potrebbe diventare un asse strategico di innovazione interessante considerando che in Ticino abbiamo un EOC con numeri importanti, una facoltà di biomedicina con la formazione di mast</w:t>
      </w:r>
      <w:r w:rsidR="00343A1A">
        <w:t>er in medicina, un istituto all'avanguardia nell'IA come l'</w:t>
      </w:r>
      <w:r>
        <w:t>ISDI,</w:t>
      </w:r>
      <w:r w:rsidR="00343A1A">
        <w:t xml:space="preserve"> una facoltà di informatica all'</w:t>
      </w:r>
      <w:r>
        <w:t>USI e il Centro svizzero di calcolo.</w:t>
      </w:r>
    </w:p>
    <w:p w:rsidR="001F439F" w:rsidRDefault="001F439F" w:rsidP="001F439F">
      <w:pPr>
        <w:pStyle w:val="StandardRisoluzionedelConsigliodiStato"/>
        <w:ind w:right="-1"/>
      </w:pPr>
    </w:p>
    <w:p w:rsidR="001F439F" w:rsidRDefault="001F439F" w:rsidP="00343A1A">
      <w:pPr>
        <w:pStyle w:val="StandardRisoluzionedelConsigliodiStato"/>
        <w:ind w:right="-1"/>
      </w:pPr>
    </w:p>
    <w:p w:rsidR="001F439F" w:rsidRPr="0072473B" w:rsidRDefault="00343A1A" w:rsidP="003446C0">
      <w:pPr>
        <w:pStyle w:val="Titolo1"/>
        <w:numPr>
          <w:ilvl w:val="0"/>
          <w:numId w:val="0"/>
        </w:numPr>
        <w:spacing w:before="0"/>
        <w:ind w:left="567" w:hanging="567"/>
        <w:jc w:val="both"/>
        <w:rPr>
          <w:sz w:val="24"/>
          <w:szCs w:val="24"/>
        </w:rPr>
      </w:pPr>
      <w:bookmarkStart w:id="11" w:name="_Toc179882469"/>
      <w:r w:rsidRPr="0072473B">
        <w:rPr>
          <w:sz w:val="24"/>
          <w:szCs w:val="24"/>
        </w:rPr>
        <w:t>6</w:t>
      </w:r>
      <w:r w:rsidR="001F439F" w:rsidRPr="0072473B">
        <w:rPr>
          <w:sz w:val="24"/>
          <w:szCs w:val="24"/>
        </w:rPr>
        <w:t>.</w:t>
      </w:r>
      <w:r w:rsidR="001F439F" w:rsidRPr="0072473B">
        <w:rPr>
          <w:sz w:val="24"/>
          <w:szCs w:val="24"/>
        </w:rPr>
        <w:tab/>
        <w:t>I LAVORI DELLA COMMISSIONE DI PIANIFICAZIONE SANITARIA</w:t>
      </w:r>
      <w:bookmarkEnd w:id="11"/>
    </w:p>
    <w:p w:rsidR="001F439F" w:rsidRDefault="001F439F" w:rsidP="00343A1A">
      <w:pPr>
        <w:pStyle w:val="StandardRisoluzionedelConsigliodiStato"/>
      </w:pPr>
      <w:r>
        <w:t>La Commissione della pianificazione sanitaria, prevista quale organo consultivo del C</w:t>
      </w:r>
      <w:r w:rsidR="00343A1A">
        <w:t>onsiglio di Stato ai sensi dell'</w:t>
      </w:r>
      <w:r>
        <w:t>art. 64 lett. b LCAMal, è stata costituita dal Consiglio di Stato il 31 agosto 2022. Essa ha coinvolto tutti gli ambienti interessati e ha riunito rappresentanti della Divisione dell</w:t>
      </w:r>
      <w:r w:rsidR="00343A1A">
        <w:t>a salute pubblica del DSS, dell'EOC, dell'</w:t>
      </w:r>
      <w:r>
        <w:t xml:space="preserve">Associazione </w:t>
      </w:r>
      <w:r w:rsidR="00343A1A">
        <w:t>Cliniche Private Ticinesi, dell'</w:t>
      </w:r>
      <w:r>
        <w:t>Ordine dei medici del Canton</w:t>
      </w:r>
      <w:r w:rsidR="00343A1A">
        <w:t>e</w:t>
      </w:r>
      <w:r>
        <w:t xml:space="preserve"> Ticino, de</w:t>
      </w:r>
      <w:r w:rsidR="00343A1A">
        <w:t>gli assicuratori malattia, dell'</w:t>
      </w:r>
      <w:r>
        <w:t xml:space="preserve">Associazione consumatrici e consumatori della Svizzera italiana, della Federazione Cantonale Ticinese </w:t>
      </w:r>
      <w:r w:rsidR="00343A1A">
        <w:t>dei Servizi Autoambulanze, dell'</w:t>
      </w:r>
      <w:r>
        <w:t>Associazione dei Comuni i</w:t>
      </w:r>
      <w:r w:rsidR="00343A1A">
        <w:t>n ambito socio­sanitario e dell'</w:t>
      </w:r>
      <w:r>
        <w:t>Associazione dei direttori delle Case per anziani della Svizzera Italiana.</w:t>
      </w:r>
    </w:p>
    <w:p w:rsidR="001F439F" w:rsidRDefault="001F439F" w:rsidP="00343A1A">
      <w:pPr>
        <w:pStyle w:val="StandardRisoluzionedelConsigliodiStato"/>
      </w:pPr>
    </w:p>
    <w:p w:rsidR="001F439F" w:rsidRDefault="001F439F" w:rsidP="00343A1A">
      <w:pPr>
        <w:pStyle w:val="StandardRisoluzionedelConsigliodiStato"/>
      </w:pPr>
      <w:r>
        <w:t>Oltre alle discussioni durante le riunioni, ai membri è stato richiesto un parere scritto che è raccolto in un</w:t>
      </w:r>
      <w:r w:rsidR="00343A1A">
        <w:t xml:space="preserve"> file di 57 pagine allegato al M</w:t>
      </w:r>
      <w:r>
        <w:t>essaggio sulla POC. Alcuni di questi membri sono stati sentiti durante i lavori commissionali pertanto si tornerà, per quanto necessario in tema nell</w:t>
      </w:r>
      <w:r w:rsidR="00343A1A">
        <w:t>'</w:t>
      </w:r>
      <w:r>
        <w:t>apposito capitolo. Va evidenziato, senza troppa sorpresa</w:t>
      </w:r>
      <w:r w:rsidR="00343A1A">
        <w:t>,</w:t>
      </w:r>
      <w:r>
        <w:t xml:space="preserve"> che spesso</w:t>
      </w:r>
      <w:r w:rsidR="00343A1A">
        <w:t xml:space="preserve"> le posizioni si contrappongono</w:t>
      </w:r>
      <w:r>
        <w:t>. Non sono mancate alcune critiche sulle tempistiche di coinvolgimento dei membri della Commissione di panificazione sanitaria. Da qui almeno lo sf</w:t>
      </w:r>
      <w:r w:rsidR="00343A1A">
        <w:t>orzo della S</w:t>
      </w:r>
      <w:r>
        <w:t>ottoc</w:t>
      </w:r>
      <w:r w:rsidR="00343A1A">
        <w:t>ommissione POC della scrivente C</w:t>
      </w:r>
      <w:r>
        <w:t>ommissione di sentire alcuni di essi al di là delle singole prese di posizione scritte.</w:t>
      </w:r>
    </w:p>
    <w:p w:rsidR="001F439F" w:rsidRDefault="001F439F" w:rsidP="001F439F">
      <w:pPr>
        <w:pStyle w:val="StandardRisoluzionedelConsigliodiStato"/>
        <w:ind w:right="-1"/>
      </w:pPr>
    </w:p>
    <w:p w:rsidR="001F439F" w:rsidRPr="0072473B" w:rsidRDefault="00182675" w:rsidP="0072473B">
      <w:pPr>
        <w:pStyle w:val="Titolo2"/>
        <w:numPr>
          <w:ilvl w:val="0"/>
          <w:numId w:val="0"/>
        </w:numPr>
        <w:jc w:val="both"/>
      </w:pPr>
      <w:bookmarkStart w:id="12" w:name="_Toc179882470"/>
      <w:r w:rsidRPr="0072473B">
        <w:t>6.1</w:t>
      </w:r>
      <w:r w:rsidR="001F439F" w:rsidRPr="0072473B">
        <w:t>.</w:t>
      </w:r>
      <w:r w:rsidR="001F439F" w:rsidRPr="0072473B">
        <w:tab/>
        <w:t>SULLO STUDIO SUL FABBISOGNO</w:t>
      </w:r>
      <w:bookmarkEnd w:id="12"/>
    </w:p>
    <w:p w:rsidR="001F439F" w:rsidRDefault="00182675" w:rsidP="0072473B">
      <w:pPr>
        <w:pStyle w:val="Titolo3"/>
        <w:numPr>
          <w:ilvl w:val="0"/>
          <w:numId w:val="0"/>
        </w:numPr>
        <w:jc w:val="both"/>
      </w:pPr>
      <w:bookmarkStart w:id="13" w:name="_Toc179882471"/>
      <w:r>
        <w:t>6.1.1</w:t>
      </w:r>
      <w:r w:rsidR="001F439F">
        <w:tab/>
        <w:t>Valutazione critica tra previsioni e dati storici</w:t>
      </w:r>
      <w:bookmarkEnd w:id="13"/>
    </w:p>
    <w:p w:rsidR="001F439F" w:rsidRDefault="001F439F" w:rsidP="001F439F">
      <w:pPr>
        <w:pStyle w:val="StandardRisoluzionedelConsigliodiStato"/>
        <w:ind w:right="-1"/>
      </w:pPr>
      <w:r>
        <w:t>Per quanto riguarda il fabbisogno nel settore s</w:t>
      </w:r>
      <w:r w:rsidR="00182675">
        <w:t>omatico­acuto, per verificare l'</w:t>
      </w:r>
      <w:r>
        <w:t xml:space="preserve">attendibilità del modello della GD­ZH, la Commissione ha ritenuto importante confrontare i dati della </w:t>
      </w:r>
      <w:r>
        <w:lastRenderedPageBreak/>
        <w:t>prev</w:t>
      </w:r>
      <w:r w:rsidR="00182675">
        <w:t>isione fatta per la precedente P</w:t>
      </w:r>
      <w:r>
        <w:t>ianificazione con i dati effettivi consolidati nel frattempo.</w:t>
      </w:r>
    </w:p>
    <w:p w:rsidR="001F439F" w:rsidRDefault="001F439F" w:rsidP="001F439F">
      <w:pPr>
        <w:pStyle w:val="StandardRisoluzionedelConsigliodiStato"/>
        <w:ind w:right="-1"/>
      </w:pPr>
    </w:p>
    <w:tbl>
      <w:tblPr>
        <w:tblStyle w:val="TableNormal1"/>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550"/>
        <w:gridCol w:w="1552"/>
        <w:gridCol w:w="1341"/>
        <w:gridCol w:w="1339"/>
        <w:gridCol w:w="1339"/>
      </w:tblGrid>
      <w:tr w:rsidR="00B97A2D" w:rsidRPr="00B97A2D" w:rsidTr="00C06D71">
        <w:trPr>
          <w:trHeight w:val="899"/>
        </w:trPr>
        <w:tc>
          <w:tcPr>
            <w:tcW w:w="5058" w:type="dxa"/>
            <w:gridSpan w:val="3"/>
            <w:shd w:val="clear" w:color="auto" w:fill="F1F1F1"/>
          </w:tcPr>
          <w:p w:rsidR="00B97A2D" w:rsidRPr="00B97A2D" w:rsidRDefault="00B97A2D" w:rsidP="00B97A2D">
            <w:pPr>
              <w:spacing w:before="105"/>
              <w:ind w:left="278" w:right="268"/>
              <w:jc w:val="both"/>
              <w:rPr>
                <w:rFonts w:eastAsia="Arial" w:cs="Arial"/>
                <w:sz w:val="20"/>
                <w:lang w:val="it-IT"/>
              </w:rPr>
            </w:pPr>
            <w:r w:rsidRPr="00B97A2D">
              <w:rPr>
                <w:rFonts w:eastAsia="Arial" w:cs="Arial"/>
                <w:sz w:val="20"/>
                <w:lang w:val="it-IT"/>
              </w:rPr>
              <w:t>Studio</w:t>
            </w:r>
            <w:r w:rsidRPr="00B97A2D">
              <w:rPr>
                <w:rFonts w:eastAsia="Arial" w:cs="Arial"/>
                <w:spacing w:val="-7"/>
                <w:sz w:val="20"/>
                <w:lang w:val="it-IT"/>
              </w:rPr>
              <w:t xml:space="preserve"> </w:t>
            </w:r>
            <w:r w:rsidRPr="00B97A2D">
              <w:rPr>
                <w:rFonts w:eastAsia="Arial" w:cs="Arial"/>
                <w:sz w:val="20"/>
                <w:lang w:val="it-IT"/>
              </w:rPr>
              <w:t>sul</w:t>
            </w:r>
            <w:r w:rsidRPr="00B97A2D">
              <w:rPr>
                <w:rFonts w:eastAsia="Arial" w:cs="Arial"/>
                <w:spacing w:val="-8"/>
                <w:sz w:val="20"/>
                <w:lang w:val="it-IT"/>
              </w:rPr>
              <w:t xml:space="preserve"> </w:t>
            </w:r>
            <w:r w:rsidRPr="00B97A2D">
              <w:rPr>
                <w:rFonts w:eastAsia="Arial" w:cs="Arial"/>
                <w:sz w:val="20"/>
                <w:lang w:val="it-IT"/>
              </w:rPr>
              <w:t>fabbisogno</w:t>
            </w:r>
            <w:r w:rsidRPr="00B97A2D">
              <w:rPr>
                <w:rFonts w:eastAsia="Arial" w:cs="Arial"/>
                <w:spacing w:val="-7"/>
                <w:sz w:val="20"/>
                <w:lang w:val="it-IT"/>
              </w:rPr>
              <w:t xml:space="preserve"> </w:t>
            </w:r>
            <w:r w:rsidRPr="00B97A2D">
              <w:rPr>
                <w:rFonts w:eastAsia="Arial" w:cs="Arial"/>
                <w:sz w:val="20"/>
                <w:lang w:val="it-IT"/>
              </w:rPr>
              <w:t>2010­2020</w:t>
            </w:r>
            <w:r w:rsidRPr="00B97A2D">
              <w:rPr>
                <w:rFonts w:eastAsia="Arial" w:cs="Arial"/>
                <w:spacing w:val="-7"/>
                <w:sz w:val="20"/>
                <w:lang w:val="it-IT"/>
              </w:rPr>
              <w:t xml:space="preserve"> </w:t>
            </w:r>
            <w:r w:rsidRPr="00B97A2D">
              <w:rPr>
                <w:rFonts w:eastAsia="Arial" w:cs="Arial"/>
                <w:sz w:val="20"/>
                <w:lang w:val="it-IT"/>
              </w:rPr>
              <w:t>con</w:t>
            </w:r>
            <w:r w:rsidRPr="00B97A2D">
              <w:rPr>
                <w:rFonts w:eastAsia="Arial" w:cs="Arial"/>
                <w:spacing w:val="-7"/>
                <w:sz w:val="20"/>
                <w:lang w:val="it-IT"/>
              </w:rPr>
              <w:t xml:space="preserve"> </w:t>
            </w:r>
            <w:r w:rsidRPr="00B97A2D">
              <w:rPr>
                <w:rFonts w:eastAsia="Arial" w:cs="Arial"/>
                <w:sz w:val="20"/>
                <w:lang w:val="it-IT"/>
              </w:rPr>
              <w:t>la</w:t>
            </w:r>
            <w:r w:rsidRPr="00B97A2D">
              <w:rPr>
                <w:rFonts w:eastAsia="Arial" w:cs="Arial"/>
                <w:spacing w:val="-7"/>
                <w:sz w:val="20"/>
                <w:lang w:val="it-IT"/>
              </w:rPr>
              <w:t xml:space="preserve"> </w:t>
            </w:r>
            <w:r w:rsidRPr="00B97A2D">
              <w:rPr>
                <w:rFonts w:eastAsia="Arial" w:cs="Arial"/>
                <w:sz w:val="20"/>
                <w:lang w:val="it-IT"/>
              </w:rPr>
              <w:t>correzione apportata ai dati di partenza che includevano ospedalizzazioni improprie</w:t>
            </w:r>
          </w:p>
        </w:tc>
        <w:tc>
          <w:tcPr>
            <w:tcW w:w="4019" w:type="dxa"/>
            <w:gridSpan w:val="3"/>
            <w:tcBorders>
              <w:top w:val="nil"/>
              <w:right w:val="nil"/>
            </w:tcBorders>
          </w:tcPr>
          <w:p w:rsidR="00B97A2D" w:rsidRPr="00B97A2D" w:rsidRDefault="00B97A2D" w:rsidP="00B97A2D">
            <w:pPr>
              <w:rPr>
                <w:rFonts w:ascii="Times New Roman" w:eastAsia="Arial" w:cs="Arial"/>
                <w:lang w:val="it-IT"/>
              </w:rPr>
            </w:pPr>
          </w:p>
        </w:tc>
      </w:tr>
      <w:tr w:rsidR="00B97A2D" w:rsidRPr="00B97A2D" w:rsidTr="00C06D71">
        <w:trPr>
          <w:trHeight w:val="616"/>
        </w:trPr>
        <w:tc>
          <w:tcPr>
            <w:tcW w:w="1956" w:type="dxa"/>
            <w:tcBorders>
              <w:bottom w:val="nil"/>
            </w:tcBorders>
            <w:shd w:val="clear" w:color="auto" w:fill="F1F1F1"/>
          </w:tcPr>
          <w:p w:rsidR="00B97A2D" w:rsidRPr="00B97A2D" w:rsidRDefault="00B97A2D" w:rsidP="00B97A2D">
            <w:pPr>
              <w:rPr>
                <w:rFonts w:ascii="Times New Roman" w:eastAsia="Arial" w:cs="Arial"/>
                <w:lang w:val="it-IT"/>
              </w:rPr>
            </w:pPr>
          </w:p>
        </w:tc>
        <w:tc>
          <w:tcPr>
            <w:tcW w:w="1550" w:type="dxa"/>
            <w:shd w:val="clear" w:color="auto" w:fill="F1F1F1"/>
          </w:tcPr>
          <w:p w:rsidR="00B97A2D" w:rsidRPr="00B97A2D" w:rsidRDefault="00B97A2D" w:rsidP="00B97A2D">
            <w:pPr>
              <w:spacing w:before="136" w:line="230" w:lineRule="atLeast"/>
              <w:ind w:left="551" w:right="238"/>
              <w:jc w:val="center"/>
              <w:rPr>
                <w:rFonts w:eastAsia="Arial" w:cs="Arial"/>
                <w:sz w:val="20"/>
                <w:lang w:val="it-IT"/>
              </w:rPr>
            </w:pPr>
            <w:r w:rsidRPr="00B97A2D">
              <w:rPr>
                <w:rFonts w:eastAsia="Arial" w:cs="Arial"/>
                <w:sz w:val="20"/>
                <w:lang w:val="it-IT"/>
              </w:rPr>
              <w:t>Dati</w:t>
            </w:r>
            <w:r w:rsidRPr="00B97A2D">
              <w:rPr>
                <w:rFonts w:eastAsia="Arial" w:cs="Arial"/>
                <w:spacing w:val="-14"/>
                <w:sz w:val="20"/>
                <w:lang w:val="it-IT"/>
              </w:rPr>
              <w:t xml:space="preserve"> </w:t>
            </w:r>
            <w:r w:rsidRPr="00B97A2D">
              <w:rPr>
                <w:rFonts w:eastAsia="Arial" w:cs="Arial"/>
                <w:sz w:val="20"/>
                <w:lang w:val="it-IT"/>
              </w:rPr>
              <w:t xml:space="preserve">effettivi </w:t>
            </w:r>
            <w:r w:rsidRPr="00B97A2D">
              <w:rPr>
                <w:rFonts w:eastAsia="Arial" w:cs="Arial"/>
                <w:spacing w:val="-4"/>
                <w:sz w:val="20"/>
                <w:lang w:val="it-IT"/>
              </w:rPr>
              <w:t>2010</w:t>
            </w:r>
          </w:p>
        </w:tc>
        <w:tc>
          <w:tcPr>
            <w:tcW w:w="1552" w:type="dxa"/>
            <w:shd w:val="clear" w:color="auto" w:fill="F1F1F1"/>
          </w:tcPr>
          <w:p w:rsidR="00B97A2D" w:rsidRPr="00B97A2D" w:rsidRDefault="00B97A2D" w:rsidP="00B97A2D">
            <w:pPr>
              <w:spacing w:before="136" w:line="230" w:lineRule="atLeast"/>
              <w:ind w:left="556"/>
              <w:jc w:val="center"/>
              <w:rPr>
                <w:rFonts w:eastAsia="Arial" w:cs="Arial"/>
                <w:sz w:val="20"/>
                <w:lang w:val="it-IT"/>
              </w:rPr>
            </w:pPr>
            <w:r w:rsidRPr="00B97A2D">
              <w:rPr>
                <w:rFonts w:eastAsia="Arial" w:cs="Arial"/>
                <w:spacing w:val="-2"/>
                <w:sz w:val="20"/>
                <w:lang w:val="it-IT"/>
              </w:rPr>
              <w:t xml:space="preserve">Previsione </w:t>
            </w:r>
            <w:r w:rsidRPr="00B97A2D">
              <w:rPr>
                <w:rFonts w:eastAsia="Arial" w:cs="Arial"/>
                <w:spacing w:val="-4"/>
                <w:sz w:val="20"/>
                <w:lang w:val="it-IT"/>
              </w:rPr>
              <w:t>2020</w:t>
            </w:r>
          </w:p>
        </w:tc>
        <w:tc>
          <w:tcPr>
            <w:tcW w:w="1341" w:type="dxa"/>
          </w:tcPr>
          <w:p w:rsidR="00B97A2D" w:rsidRPr="00B97A2D" w:rsidRDefault="00B97A2D" w:rsidP="00B97A2D">
            <w:pPr>
              <w:spacing w:before="136" w:line="230" w:lineRule="atLeast"/>
              <w:ind w:left="449" w:right="131"/>
              <w:jc w:val="center"/>
              <w:rPr>
                <w:rFonts w:eastAsia="Arial" w:cs="Arial"/>
                <w:sz w:val="20"/>
                <w:lang w:val="it-IT"/>
              </w:rPr>
            </w:pPr>
            <w:r w:rsidRPr="00B97A2D">
              <w:rPr>
                <w:rFonts w:eastAsia="Arial" w:cs="Arial"/>
                <w:sz w:val="20"/>
                <w:lang w:val="it-IT"/>
              </w:rPr>
              <w:t>Dati</w:t>
            </w:r>
            <w:r w:rsidRPr="00B97A2D">
              <w:rPr>
                <w:rFonts w:eastAsia="Arial" w:cs="Arial"/>
                <w:spacing w:val="-14"/>
                <w:sz w:val="20"/>
                <w:lang w:val="it-IT"/>
              </w:rPr>
              <w:t xml:space="preserve"> </w:t>
            </w:r>
            <w:r w:rsidRPr="00B97A2D">
              <w:rPr>
                <w:rFonts w:eastAsia="Arial" w:cs="Arial"/>
                <w:sz w:val="20"/>
                <w:lang w:val="it-IT"/>
              </w:rPr>
              <w:t xml:space="preserve">effettivi </w:t>
            </w:r>
            <w:r w:rsidRPr="00B97A2D">
              <w:rPr>
                <w:rFonts w:eastAsia="Arial" w:cs="Arial"/>
                <w:spacing w:val="-4"/>
                <w:sz w:val="20"/>
                <w:lang w:val="it-IT"/>
              </w:rPr>
              <w:t>2019</w:t>
            </w:r>
          </w:p>
        </w:tc>
        <w:tc>
          <w:tcPr>
            <w:tcW w:w="2678" w:type="dxa"/>
            <w:gridSpan w:val="2"/>
          </w:tcPr>
          <w:p w:rsidR="00B97A2D" w:rsidRPr="00B97A2D" w:rsidRDefault="00B97A2D" w:rsidP="00B97A2D">
            <w:pPr>
              <w:spacing w:before="136" w:line="230" w:lineRule="atLeast"/>
              <w:ind w:left="707" w:right="86"/>
              <w:jc w:val="center"/>
              <w:rPr>
                <w:rFonts w:eastAsia="Arial" w:cs="Arial"/>
                <w:sz w:val="20"/>
                <w:lang w:val="it-IT"/>
              </w:rPr>
            </w:pPr>
            <w:r w:rsidRPr="00B97A2D">
              <w:rPr>
                <w:rFonts w:eastAsia="Arial" w:cs="Arial"/>
                <w:sz w:val="20"/>
                <w:lang w:val="it-IT"/>
              </w:rPr>
              <w:t>Differenza</w:t>
            </w:r>
            <w:r w:rsidRPr="00B97A2D">
              <w:rPr>
                <w:rFonts w:eastAsia="Arial" w:cs="Arial"/>
                <w:spacing w:val="-13"/>
                <w:sz w:val="20"/>
                <w:lang w:val="it-IT"/>
              </w:rPr>
              <w:t xml:space="preserve"> </w:t>
            </w:r>
            <w:r w:rsidRPr="00B97A2D">
              <w:rPr>
                <w:rFonts w:eastAsia="Arial" w:cs="Arial"/>
                <w:sz w:val="20"/>
                <w:lang w:val="it-IT"/>
              </w:rPr>
              <w:t>dati</w:t>
            </w:r>
            <w:r w:rsidRPr="00B97A2D">
              <w:rPr>
                <w:rFonts w:eastAsia="Arial" w:cs="Arial"/>
                <w:spacing w:val="-12"/>
                <w:sz w:val="20"/>
                <w:lang w:val="it-IT"/>
              </w:rPr>
              <w:t xml:space="preserve"> </w:t>
            </w:r>
            <w:r w:rsidRPr="00B97A2D">
              <w:rPr>
                <w:rFonts w:eastAsia="Arial" w:cs="Arial"/>
                <w:sz w:val="20"/>
                <w:lang w:val="it-IT"/>
              </w:rPr>
              <w:t>effettivi</w:t>
            </w:r>
            <w:r w:rsidRPr="00B97A2D">
              <w:rPr>
                <w:rFonts w:eastAsia="Arial" w:cs="Arial"/>
                <w:spacing w:val="-13"/>
                <w:sz w:val="20"/>
                <w:lang w:val="it-IT"/>
              </w:rPr>
              <w:t xml:space="preserve"> </w:t>
            </w:r>
            <w:r w:rsidRPr="00B97A2D">
              <w:rPr>
                <w:rFonts w:eastAsia="Arial" w:cs="Arial"/>
                <w:sz w:val="20"/>
                <w:lang w:val="it-IT"/>
              </w:rPr>
              <w:t>2019 vs Stima 2020</w:t>
            </w:r>
          </w:p>
        </w:tc>
      </w:tr>
      <w:tr w:rsidR="00B97A2D" w:rsidRPr="00B97A2D" w:rsidTr="00C06D71">
        <w:trPr>
          <w:trHeight w:val="489"/>
        </w:trPr>
        <w:tc>
          <w:tcPr>
            <w:tcW w:w="1956" w:type="dxa"/>
            <w:tcBorders>
              <w:top w:val="nil"/>
              <w:bottom w:val="nil"/>
            </w:tcBorders>
            <w:shd w:val="clear" w:color="auto" w:fill="F1F1F1"/>
          </w:tcPr>
          <w:p w:rsidR="00B97A2D" w:rsidRPr="00B97A2D" w:rsidRDefault="00B97A2D" w:rsidP="00B97A2D">
            <w:pPr>
              <w:spacing w:before="170"/>
              <w:ind w:left="69"/>
              <w:rPr>
                <w:rFonts w:eastAsia="Arial" w:cs="Arial"/>
                <w:sz w:val="20"/>
                <w:lang w:val="it-IT"/>
              </w:rPr>
            </w:pPr>
            <w:r w:rsidRPr="00B97A2D">
              <w:rPr>
                <w:rFonts w:eastAsia="Arial" w:cs="Arial"/>
                <w:spacing w:val="-4"/>
                <w:sz w:val="20"/>
                <w:lang w:val="it-IT"/>
              </w:rPr>
              <w:t>CASI</w:t>
            </w:r>
          </w:p>
        </w:tc>
        <w:tc>
          <w:tcPr>
            <w:tcW w:w="1550" w:type="dxa"/>
            <w:tcBorders>
              <w:bottom w:val="nil"/>
            </w:tcBorders>
            <w:shd w:val="clear" w:color="auto" w:fill="F1F1F1"/>
          </w:tcPr>
          <w:p w:rsidR="00B97A2D" w:rsidRPr="00B97A2D" w:rsidRDefault="00B97A2D" w:rsidP="00B97A2D">
            <w:pPr>
              <w:spacing w:before="170"/>
              <w:ind w:right="59"/>
              <w:jc w:val="right"/>
              <w:rPr>
                <w:rFonts w:eastAsia="Arial" w:cs="Arial"/>
                <w:sz w:val="20"/>
                <w:lang w:val="it-IT"/>
              </w:rPr>
            </w:pPr>
            <w:r w:rsidRPr="00B97A2D">
              <w:rPr>
                <w:rFonts w:eastAsia="Arial" w:cs="Arial"/>
                <w:spacing w:val="-2"/>
                <w:sz w:val="20"/>
                <w:lang w:val="it-IT"/>
              </w:rPr>
              <w:t>53'891</w:t>
            </w:r>
          </w:p>
        </w:tc>
        <w:tc>
          <w:tcPr>
            <w:tcW w:w="1552" w:type="dxa"/>
            <w:tcBorders>
              <w:bottom w:val="nil"/>
            </w:tcBorders>
            <w:shd w:val="clear" w:color="auto" w:fill="F1F1F1"/>
          </w:tcPr>
          <w:p w:rsidR="00B97A2D" w:rsidRPr="00B97A2D" w:rsidRDefault="00B97A2D" w:rsidP="00B97A2D">
            <w:pPr>
              <w:spacing w:before="170"/>
              <w:ind w:right="56"/>
              <w:jc w:val="right"/>
              <w:rPr>
                <w:rFonts w:eastAsia="Arial" w:cs="Arial"/>
                <w:sz w:val="20"/>
                <w:lang w:val="it-IT"/>
              </w:rPr>
            </w:pPr>
            <w:r w:rsidRPr="00B97A2D">
              <w:rPr>
                <w:rFonts w:eastAsia="Arial" w:cs="Arial"/>
                <w:spacing w:val="-2"/>
                <w:sz w:val="20"/>
                <w:lang w:val="it-IT"/>
              </w:rPr>
              <w:t>58'591</w:t>
            </w:r>
          </w:p>
        </w:tc>
        <w:tc>
          <w:tcPr>
            <w:tcW w:w="1341" w:type="dxa"/>
            <w:tcBorders>
              <w:bottom w:val="nil"/>
            </w:tcBorders>
          </w:tcPr>
          <w:p w:rsidR="00B97A2D" w:rsidRPr="00B97A2D" w:rsidRDefault="00B97A2D" w:rsidP="00B97A2D">
            <w:pPr>
              <w:spacing w:before="170"/>
              <w:ind w:right="58"/>
              <w:jc w:val="right"/>
              <w:rPr>
                <w:rFonts w:eastAsia="Arial" w:cs="Arial"/>
                <w:sz w:val="20"/>
                <w:lang w:val="it-IT"/>
              </w:rPr>
            </w:pPr>
            <w:r w:rsidRPr="00B97A2D">
              <w:rPr>
                <w:rFonts w:eastAsia="Arial" w:cs="Arial"/>
                <w:spacing w:val="-2"/>
                <w:sz w:val="20"/>
                <w:lang w:val="it-IT"/>
              </w:rPr>
              <w:t>57'095</w:t>
            </w:r>
          </w:p>
        </w:tc>
        <w:tc>
          <w:tcPr>
            <w:tcW w:w="1339" w:type="dxa"/>
            <w:tcBorders>
              <w:bottom w:val="nil"/>
            </w:tcBorders>
          </w:tcPr>
          <w:p w:rsidR="00B97A2D" w:rsidRPr="00B97A2D" w:rsidRDefault="00B97A2D" w:rsidP="00B97A2D">
            <w:pPr>
              <w:spacing w:before="170"/>
              <w:ind w:right="58"/>
              <w:jc w:val="right"/>
              <w:rPr>
                <w:rFonts w:eastAsia="Arial" w:cs="Arial"/>
                <w:sz w:val="20"/>
                <w:lang w:val="it-IT"/>
              </w:rPr>
            </w:pPr>
            <w:r w:rsidRPr="00B97A2D">
              <w:rPr>
                <w:rFonts w:eastAsia="Arial" w:cs="Arial"/>
                <w:spacing w:val="-2"/>
                <w:sz w:val="20"/>
                <w:lang w:val="it-IT"/>
              </w:rPr>
              <w:t>­</w:t>
            </w:r>
            <w:r w:rsidRPr="00B97A2D">
              <w:rPr>
                <w:rFonts w:eastAsia="Arial" w:cs="Arial"/>
                <w:spacing w:val="-4"/>
                <w:sz w:val="20"/>
                <w:lang w:val="it-IT"/>
              </w:rPr>
              <w:t>1'496</w:t>
            </w:r>
          </w:p>
        </w:tc>
        <w:tc>
          <w:tcPr>
            <w:tcW w:w="1339" w:type="dxa"/>
            <w:tcBorders>
              <w:bottom w:val="nil"/>
            </w:tcBorders>
          </w:tcPr>
          <w:p w:rsidR="00B97A2D" w:rsidRPr="00B97A2D" w:rsidRDefault="00B97A2D" w:rsidP="00B97A2D">
            <w:pPr>
              <w:spacing w:before="170"/>
              <w:ind w:right="58"/>
              <w:jc w:val="right"/>
              <w:rPr>
                <w:rFonts w:eastAsia="Arial" w:cs="Arial"/>
                <w:sz w:val="20"/>
                <w:lang w:val="it-IT"/>
              </w:rPr>
            </w:pPr>
            <w:r w:rsidRPr="00B97A2D">
              <w:rPr>
                <w:rFonts w:eastAsia="Arial" w:cs="Arial"/>
                <w:spacing w:val="-2"/>
                <w:sz w:val="20"/>
                <w:lang w:val="it-IT"/>
              </w:rPr>
              <w:t>­</w:t>
            </w:r>
            <w:r w:rsidRPr="00B97A2D">
              <w:rPr>
                <w:rFonts w:eastAsia="Arial" w:cs="Arial"/>
                <w:spacing w:val="-4"/>
                <w:sz w:val="20"/>
                <w:lang w:val="it-IT"/>
              </w:rPr>
              <w:t>2.6%</w:t>
            </w:r>
          </w:p>
        </w:tc>
      </w:tr>
      <w:tr w:rsidR="00B97A2D" w:rsidRPr="00B97A2D" w:rsidTr="00C06D71">
        <w:trPr>
          <w:trHeight w:val="402"/>
        </w:trPr>
        <w:tc>
          <w:tcPr>
            <w:tcW w:w="1956" w:type="dxa"/>
            <w:tcBorders>
              <w:top w:val="nil"/>
              <w:bottom w:val="nil"/>
            </w:tcBorders>
            <w:shd w:val="clear" w:color="auto" w:fill="F1F1F1"/>
          </w:tcPr>
          <w:p w:rsidR="00B97A2D" w:rsidRPr="00B97A2D" w:rsidRDefault="00B97A2D" w:rsidP="00B97A2D">
            <w:pPr>
              <w:spacing w:before="83"/>
              <w:ind w:left="69"/>
              <w:rPr>
                <w:rFonts w:eastAsia="Arial" w:cs="Arial"/>
                <w:sz w:val="20"/>
                <w:lang w:val="it-IT"/>
              </w:rPr>
            </w:pPr>
            <w:r w:rsidRPr="00B97A2D">
              <w:rPr>
                <w:rFonts w:eastAsia="Arial" w:cs="Arial"/>
                <w:spacing w:val="-2"/>
                <w:sz w:val="20"/>
                <w:lang w:val="it-IT"/>
              </w:rPr>
              <w:t>GIORNATE</w:t>
            </w:r>
          </w:p>
        </w:tc>
        <w:tc>
          <w:tcPr>
            <w:tcW w:w="1550" w:type="dxa"/>
            <w:tcBorders>
              <w:top w:val="nil"/>
              <w:bottom w:val="nil"/>
            </w:tcBorders>
            <w:shd w:val="clear" w:color="auto" w:fill="F1F1F1"/>
          </w:tcPr>
          <w:p w:rsidR="00B97A2D" w:rsidRPr="00B97A2D" w:rsidRDefault="00B97A2D" w:rsidP="00B97A2D">
            <w:pPr>
              <w:spacing w:before="83"/>
              <w:ind w:right="59"/>
              <w:jc w:val="right"/>
              <w:rPr>
                <w:rFonts w:eastAsia="Arial" w:cs="Arial"/>
                <w:sz w:val="20"/>
                <w:lang w:val="it-IT"/>
              </w:rPr>
            </w:pPr>
            <w:r w:rsidRPr="00B97A2D">
              <w:rPr>
                <w:rFonts w:eastAsia="Arial" w:cs="Arial"/>
                <w:spacing w:val="-2"/>
                <w:sz w:val="20"/>
                <w:lang w:val="it-IT"/>
              </w:rPr>
              <w:t>365'878</w:t>
            </w:r>
          </w:p>
        </w:tc>
        <w:tc>
          <w:tcPr>
            <w:tcW w:w="1552" w:type="dxa"/>
            <w:tcBorders>
              <w:top w:val="nil"/>
              <w:bottom w:val="nil"/>
            </w:tcBorders>
            <w:shd w:val="clear" w:color="auto" w:fill="F1F1F1"/>
          </w:tcPr>
          <w:p w:rsidR="00B97A2D" w:rsidRPr="00B97A2D" w:rsidRDefault="00B97A2D" w:rsidP="00B97A2D">
            <w:pPr>
              <w:spacing w:before="83"/>
              <w:ind w:right="56"/>
              <w:jc w:val="right"/>
              <w:rPr>
                <w:rFonts w:eastAsia="Arial" w:cs="Arial"/>
                <w:sz w:val="20"/>
                <w:lang w:val="it-IT"/>
              </w:rPr>
            </w:pPr>
            <w:r w:rsidRPr="00B97A2D">
              <w:rPr>
                <w:rFonts w:eastAsia="Arial" w:cs="Arial"/>
                <w:spacing w:val="-2"/>
                <w:sz w:val="20"/>
                <w:lang w:val="it-IT"/>
              </w:rPr>
              <w:t>338'045</w:t>
            </w:r>
          </w:p>
        </w:tc>
        <w:tc>
          <w:tcPr>
            <w:tcW w:w="1341" w:type="dxa"/>
            <w:tcBorders>
              <w:top w:val="nil"/>
              <w:bottom w:val="nil"/>
            </w:tcBorders>
          </w:tcPr>
          <w:p w:rsidR="00B97A2D" w:rsidRPr="00B97A2D" w:rsidRDefault="00B97A2D" w:rsidP="00B97A2D">
            <w:pPr>
              <w:spacing w:before="83"/>
              <w:ind w:right="58"/>
              <w:jc w:val="right"/>
              <w:rPr>
                <w:rFonts w:eastAsia="Arial" w:cs="Arial"/>
                <w:sz w:val="20"/>
                <w:lang w:val="it-IT"/>
              </w:rPr>
            </w:pPr>
            <w:r w:rsidRPr="00B97A2D">
              <w:rPr>
                <w:rFonts w:eastAsia="Arial" w:cs="Arial"/>
                <w:spacing w:val="-2"/>
                <w:sz w:val="20"/>
                <w:lang w:val="it-IT"/>
              </w:rPr>
              <w:t>364'214</w:t>
            </w:r>
          </w:p>
        </w:tc>
        <w:tc>
          <w:tcPr>
            <w:tcW w:w="1339" w:type="dxa"/>
            <w:tcBorders>
              <w:top w:val="nil"/>
              <w:bottom w:val="nil"/>
            </w:tcBorders>
          </w:tcPr>
          <w:p w:rsidR="00B97A2D" w:rsidRPr="00B97A2D" w:rsidRDefault="00B97A2D" w:rsidP="00B97A2D">
            <w:pPr>
              <w:spacing w:before="83"/>
              <w:ind w:right="57"/>
              <w:jc w:val="right"/>
              <w:rPr>
                <w:rFonts w:eastAsia="Arial" w:cs="Arial"/>
                <w:sz w:val="20"/>
                <w:lang w:val="it-IT"/>
              </w:rPr>
            </w:pPr>
            <w:r w:rsidRPr="00B97A2D">
              <w:rPr>
                <w:rFonts w:eastAsia="Arial" w:cs="Arial"/>
                <w:spacing w:val="-2"/>
                <w:sz w:val="20"/>
                <w:lang w:val="it-IT"/>
              </w:rPr>
              <w:t>26'169</w:t>
            </w:r>
          </w:p>
        </w:tc>
        <w:tc>
          <w:tcPr>
            <w:tcW w:w="1339" w:type="dxa"/>
            <w:tcBorders>
              <w:top w:val="nil"/>
              <w:bottom w:val="nil"/>
            </w:tcBorders>
          </w:tcPr>
          <w:p w:rsidR="00B97A2D" w:rsidRPr="00B97A2D" w:rsidRDefault="00B97A2D" w:rsidP="00B97A2D">
            <w:pPr>
              <w:spacing w:before="83"/>
              <w:ind w:right="58"/>
              <w:jc w:val="right"/>
              <w:rPr>
                <w:rFonts w:eastAsia="Arial" w:cs="Arial"/>
                <w:sz w:val="20"/>
                <w:lang w:val="it-IT"/>
              </w:rPr>
            </w:pPr>
            <w:r w:rsidRPr="00B97A2D">
              <w:rPr>
                <w:rFonts w:eastAsia="Arial" w:cs="Arial"/>
                <w:spacing w:val="-4"/>
                <w:sz w:val="20"/>
                <w:lang w:val="it-IT"/>
              </w:rPr>
              <w:t>7.7%</w:t>
            </w:r>
          </w:p>
        </w:tc>
      </w:tr>
      <w:tr w:rsidR="00B97A2D" w:rsidRPr="00B97A2D" w:rsidTr="00C06D71">
        <w:trPr>
          <w:trHeight w:val="314"/>
        </w:trPr>
        <w:tc>
          <w:tcPr>
            <w:tcW w:w="1956" w:type="dxa"/>
            <w:tcBorders>
              <w:top w:val="nil"/>
            </w:tcBorders>
            <w:shd w:val="clear" w:color="auto" w:fill="F1F1F1"/>
          </w:tcPr>
          <w:p w:rsidR="00B97A2D" w:rsidRPr="00B97A2D" w:rsidRDefault="00B97A2D" w:rsidP="00B97A2D">
            <w:pPr>
              <w:spacing w:before="82" w:line="213" w:lineRule="exact"/>
              <w:ind w:left="69"/>
              <w:rPr>
                <w:rFonts w:eastAsia="Arial" w:cs="Arial"/>
                <w:sz w:val="20"/>
                <w:lang w:val="it-IT"/>
              </w:rPr>
            </w:pPr>
            <w:r w:rsidRPr="00B97A2D">
              <w:rPr>
                <w:rFonts w:eastAsia="Arial" w:cs="Arial"/>
                <w:sz w:val="20"/>
                <w:lang w:val="it-IT"/>
              </w:rPr>
              <w:t>DEGENZA</w:t>
            </w:r>
            <w:r w:rsidRPr="00B97A2D">
              <w:rPr>
                <w:rFonts w:eastAsia="Arial" w:cs="Arial"/>
                <w:spacing w:val="-10"/>
                <w:sz w:val="20"/>
                <w:lang w:val="it-IT"/>
              </w:rPr>
              <w:t xml:space="preserve"> </w:t>
            </w:r>
            <w:r w:rsidRPr="00B97A2D">
              <w:rPr>
                <w:rFonts w:eastAsia="Arial" w:cs="Arial"/>
                <w:spacing w:val="-4"/>
                <w:sz w:val="20"/>
                <w:lang w:val="it-IT"/>
              </w:rPr>
              <w:t>MEDIA</w:t>
            </w:r>
          </w:p>
        </w:tc>
        <w:tc>
          <w:tcPr>
            <w:tcW w:w="1550" w:type="dxa"/>
            <w:tcBorders>
              <w:top w:val="nil"/>
            </w:tcBorders>
            <w:shd w:val="clear" w:color="auto" w:fill="F1F1F1"/>
          </w:tcPr>
          <w:p w:rsidR="00B97A2D" w:rsidRPr="00B97A2D" w:rsidRDefault="00B97A2D" w:rsidP="00B97A2D">
            <w:pPr>
              <w:spacing w:before="82" w:line="213" w:lineRule="exact"/>
              <w:ind w:right="59"/>
              <w:jc w:val="right"/>
              <w:rPr>
                <w:rFonts w:eastAsia="Arial" w:cs="Arial"/>
                <w:sz w:val="20"/>
                <w:lang w:val="it-IT"/>
              </w:rPr>
            </w:pPr>
            <w:r w:rsidRPr="00B97A2D">
              <w:rPr>
                <w:rFonts w:eastAsia="Arial" w:cs="Arial"/>
                <w:spacing w:val="-5"/>
                <w:sz w:val="20"/>
                <w:lang w:val="it-IT"/>
              </w:rPr>
              <w:t>6.8</w:t>
            </w:r>
          </w:p>
        </w:tc>
        <w:tc>
          <w:tcPr>
            <w:tcW w:w="1552" w:type="dxa"/>
            <w:tcBorders>
              <w:top w:val="nil"/>
            </w:tcBorders>
            <w:shd w:val="clear" w:color="auto" w:fill="F1F1F1"/>
          </w:tcPr>
          <w:p w:rsidR="00B97A2D" w:rsidRPr="00B97A2D" w:rsidRDefault="00B97A2D" w:rsidP="00B97A2D">
            <w:pPr>
              <w:spacing w:before="82" w:line="213" w:lineRule="exact"/>
              <w:ind w:right="56"/>
              <w:jc w:val="right"/>
              <w:rPr>
                <w:rFonts w:eastAsia="Arial" w:cs="Arial"/>
                <w:sz w:val="20"/>
                <w:lang w:val="it-IT"/>
              </w:rPr>
            </w:pPr>
            <w:r w:rsidRPr="00B97A2D">
              <w:rPr>
                <w:rFonts w:eastAsia="Arial" w:cs="Arial"/>
                <w:spacing w:val="-5"/>
                <w:sz w:val="20"/>
                <w:lang w:val="it-IT"/>
              </w:rPr>
              <w:t>5.8</w:t>
            </w:r>
          </w:p>
        </w:tc>
        <w:tc>
          <w:tcPr>
            <w:tcW w:w="1341" w:type="dxa"/>
            <w:tcBorders>
              <w:top w:val="nil"/>
            </w:tcBorders>
          </w:tcPr>
          <w:p w:rsidR="00B97A2D" w:rsidRPr="00B97A2D" w:rsidRDefault="00B97A2D" w:rsidP="00B97A2D">
            <w:pPr>
              <w:spacing w:before="82" w:line="213" w:lineRule="exact"/>
              <w:ind w:right="59"/>
              <w:jc w:val="right"/>
              <w:rPr>
                <w:rFonts w:eastAsia="Arial" w:cs="Arial"/>
                <w:sz w:val="20"/>
                <w:lang w:val="it-IT"/>
              </w:rPr>
            </w:pPr>
            <w:r w:rsidRPr="00B97A2D">
              <w:rPr>
                <w:rFonts w:eastAsia="Arial" w:cs="Arial"/>
                <w:spacing w:val="-5"/>
                <w:sz w:val="20"/>
                <w:lang w:val="it-IT"/>
              </w:rPr>
              <w:t>6.4</w:t>
            </w:r>
          </w:p>
        </w:tc>
        <w:tc>
          <w:tcPr>
            <w:tcW w:w="1339" w:type="dxa"/>
            <w:tcBorders>
              <w:top w:val="nil"/>
            </w:tcBorders>
          </w:tcPr>
          <w:p w:rsidR="00B97A2D" w:rsidRPr="00B97A2D" w:rsidRDefault="00B97A2D" w:rsidP="00B97A2D">
            <w:pPr>
              <w:spacing w:before="82" w:line="213" w:lineRule="exact"/>
              <w:ind w:right="57"/>
              <w:jc w:val="right"/>
              <w:rPr>
                <w:rFonts w:eastAsia="Arial" w:cs="Arial"/>
                <w:sz w:val="20"/>
                <w:lang w:val="it-IT"/>
              </w:rPr>
            </w:pPr>
            <w:r w:rsidRPr="00B97A2D">
              <w:rPr>
                <w:rFonts w:eastAsia="Arial" w:cs="Arial"/>
                <w:spacing w:val="-5"/>
                <w:sz w:val="20"/>
                <w:lang w:val="it-IT"/>
              </w:rPr>
              <w:t>0.6</w:t>
            </w:r>
          </w:p>
        </w:tc>
        <w:tc>
          <w:tcPr>
            <w:tcW w:w="1339" w:type="dxa"/>
            <w:tcBorders>
              <w:top w:val="nil"/>
            </w:tcBorders>
          </w:tcPr>
          <w:p w:rsidR="00B97A2D" w:rsidRPr="00B97A2D" w:rsidRDefault="00B97A2D" w:rsidP="00B97A2D">
            <w:pPr>
              <w:spacing w:before="82" w:line="213" w:lineRule="exact"/>
              <w:ind w:right="58"/>
              <w:jc w:val="right"/>
              <w:rPr>
                <w:rFonts w:eastAsia="Arial" w:cs="Arial"/>
                <w:sz w:val="20"/>
                <w:lang w:val="it-IT"/>
              </w:rPr>
            </w:pPr>
            <w:r w:rsidRPr="00B97A2D">
              <w:rPr>
                <w:rFonts w:eastAsia="Arial" w:cs="Arial"/>
                <w:spacing w:val="-2"/>
                <w:sz w:val="20"/>
                <w:lang w:val="it-IT"/>
              </w:rPr>
              <w:t>10.6%</w:t>
            </w:r>
          </w:p>
        </w:tc>
      </w:tr>
    </w:tbl>
    <w:p w:rsidR="00B97A2D" w:rsidRDefault="00B97A2D" w:rsidP="001F439F">
      <w:pPr>
        <w:pStyle w:val="StandardRisoluzionedelConsigliodiStato"/>
        <w:ind w:right="-1"/>
      </w:pPr>
    </w:p>
    <w:p w:rsidR="001F439F" w:rsidRDefault="001F439F" w:rsidP="001F439F">
      <w:pPr>
        <w:pStyle w:val="StandardRisoluzionedelConsigliodiStato"/>
        <w:ind w:right="-1"/>
      </w:pPr>
      <w:r>
        <w:t>Rispetto a quanto prospettato, la degenza media non è diminuita nella misura prevista. Ciò potrebbe essere spiegabile fondamentalmente con tre fattori:</w:t>
      </w:r>
    </w:p>
    <w:p w:rsidR="001F439F" w:rsidRDefault="001F439F" w:rsidP="003446C0">
      <w:pPr>
        <w:pStyle w:val="StandardRisoluzionedelConsigliodiStato"/>
        <w:numPr>
          <w:ilvl w:val="1"/>
          <w:numId w:val="46"/>
        </w:numPr>
        <w:ind w:left="284" w:right="-1" w:hanging="284"/>
      </w:pPr>
      <w:r>
        <w:t>la percentuale di persone anziane più al</w:t>
      </w:r>
      <w:r w:rsidR="00B97A2D">
        <w:t>ta che nel resto della Svizzera;</w:t>
      </w:r>
    </w:p>
    <w:p w:rsidR="001F439F" w:rsidRDefault="00B97A2D" w:rsidP="003446C0">
      <w:pPr>
        <w:pStyle w:val="StandardRisoluzionedelConsigliodiStato"/>
        <w:numPr>
          <w:ilvl w:val="1"/>
          <w:numId w:val="46"/>
        </w:numPr>
        <w:ind w:left="284" w:right="-1" w:hanging="284"/>
      </w:pPr>
      <w:r>
        <w:t>lo sviluppo più lento dell'</w:t>
      </w:r>
      <w:r w:rsidR="001F439F">
        <w:t>effetto di sostituzione tra stazionario e ambulatoriale e</w:t>
      </w:r>
    </w:p>
    <w:p w:rsidR="001F439F" w:rsidRDefault="001F439F" w:rsidP="003446C0">
      <w:pPr>
        <w:pStyle w:val="StandardRisoluzionedelConsigliodiStato"/>
        <w:numPr>
          <w:ilvl w:val="1"/>
          <w:numId w:val="46"/>
        </w:numPr>
        <w:ind w:left="284" w:right="-1" w:hanging="284"/>
      </w:pPr>
      <w:r>
        <w:t>la mancanza di posti letto per la fase post­acuta rispe</w:t>
      </w:r>
      <w:r w:rsidR="00B97A2D">
        <w:t>tto a quanto prospettato dalla P</w:t>
      </w:r>
      <w:r>
        <w:t>ianificazione del 2015 (30 letti RAMI OBV aperti solo al 1° gennaio 2022 e mancata apertura di 60 letti RAMI nel Lugane</w:t>
      </w:r>
      <w:r w:rsidR="00B97A2D">
        <w:t>se, previsti come sviluppo dell'</w:t>
      </w:r>
      <w:r>
        <w:t>offerta di medicina di base presso la Clinica San Rocco, ma non attivati a seguito del ricorso della Clinica Luganese Moncucco SA che ha assorbito la struttura).</w:t>
      </w:r>
    </w:p>
    <w:p w:rsidR="001F439F" w:rsidRDefault="001F439F" w:rsidP="001F439F">
      <w:pPr>
        <w:pStyle w:val="StandardRisoluzionedelConsigliodiStato"/>
        <w:ind w:right="-1"/>
      </w:pPr>
    </w:p>
    <w:p w:rsidR="001F439F" w:rsidRPr="00F67F38" w:rsidRDefault="001F439F" w:rsidP="001F439F">
      <w:pPr>
        <w:pStyle w:val="StandardRisoluzionedelConsigliodiStato"/>
        <w:ind w:right="-1"/>
        <w:rPr>
          <w:b/>
        </w:rPr>
      </w:pPr>
      <w:r w:rsidRPr="00F67F38">
        <w:rPr>
          <w:b/>
        </w:rPr>
        <w:t>Nel complesso</w:t>
      </w:r>
      <w:r>
        <w:t>, tenuto conto delle innumerevoli incertezze e dei tanti fatto</w:t>
      </w:r>
      <w:r w:rsidR="00B97A2D">
        <w:t>ri aleatori, il confronto con l'</w:t>
      </w:r>
      <w:r>
        <w:t xml:space="preserve">evoluzione effettiva ha </w:t>
      </w:r>
      <w:r w:rsidRPr="00F67F38">
        <w:rPr>
          <w:b/>
        </w:rPr>
        <w:t>comunque</w:t>
      </w:r>
      <w:r>
        <w:t xml:space="preserve"> dimostrato </w:t>
      </w:r>
      <w:r w:rsidRPr="00F67F38">
        <w:rPr>
          <w:b/>
        </w:rPr>
        <w:t>un buon grado</w:t>
      </w:r>
      <w:r>
        <w:t xml:space="preserve"> </w:t>
      </w:r>
      <w:r w:rsidRPr="00F67F38">
        <w:rPr>
          <w:b/>
        </w:rPr>
        <w:t>di affidabilità del modello previsionale.</w:t>
      </w:r>
    </w:p>
    <w:p w:rsidR="001F439F" w:rsidRDefault="001F439F" w:rsidP="001F439F">
      <w:pPr>
        <w:pStyle w:val="StandardRisoluzionedelConsigliodiStato"/>
        <w:ind w:right="-1"/>
      </w:pPr>
      <w:r>
        <w:t>La Commissione ha inoltre chiesto spiegazioni relativamente</w:t>
      </w:r>
      <w:r w:rsidR="00B97A2D">
        <w:t xml:space="preserve"> al fabbisogno in crescita nell'</w:t>
      </w:r>
      <w:r>
        <w:t>ambito di ostetricia e neonatologia (131 nascite in più dal 2019 al 2032) ap</w:t>
      </w:r>
      <w:r w:rsidR="00B97A2D">
        <w:t>parentemente in contrasto con l'evoluzione demografica. L'</w:t>
      </w:r>
      <w:r>
        <w:t>Ufficio federale di statistica ha indicato che i calcoli GD­ZH si basano sulle sue previsioni demografiche: il fenomeno migratorio comporta un aumento sia delle donne in età fertile, sia del numero di figli per donna, da 1.29 nel 2019 a 1.37 nel 2032.</w:t>
      </w:r>
    </w:p>
    <w:p w:rsidR="001F439F" w:rsidRDefault="001F439F" w:rsidP="001F439F">
      <w:pPr>
        <w:pStyle w:val="StandardRisoluzionedelConsigliodiStato"/>
        <w:ind w:right="-1"/>
      </w:pPr>
    </w:p>
    <w:p w:rsidR="001F439F" w:rsidRDefault="00B97A2D" w:rsidP="00B97A2D">
      <w:pPr>
        <w:pStyle w:val="Titolo3"/>
        <w:numPr>
          <w:ilvl w:val="0"/>
          <w:numId w:val="0"/>
        </w:numPr>
      </w:pPr>
      <w:bookmarkStart w:id="14" w:name="_Toc179882472"/>
      <w:r>
        <w:t>6.1.2</w:t>
      </w:r>
      <w:r>
        <w:tab/>
      </w:r>
      <w:r w:rsidR="001F439F">
        <w:t>Modello di Zurigo e correttivi</w:t>
      </w:r>
      <w:bookmarkEnd w:id="14"/>
    </w:p>
    <w:p w:rsidR="001F439F" w:rsidRDefault="001F439F" w:rsidP="001F439F">
      <w:pPr>
        <w:pStyle w:val="StandardRisoluzionedelConsigliodiStato"/>
        <w:ind w:right="-1"/>
      </w:pPr>
      <w:r>
        <w:t>La Commissione ha</w:t>
      </w:r>
      <w:r w:rsidR="00596A9E">
        <w:t xml:space="preserve"> criticato l'</w:t>
      </w:r>
      <w:r>
        <w:t>applicazione dei correttivi adottati dalla metodologia della G</w:t>
      </w:r>
      <w:r w:rsidR="00596A9E">
        <w:t>D­ZH per la previsione 2032 e l'</w:t>
      </w:r>
      <w:r>
        <w:t>allineamento parziale alla durata media di degenza svizzera e al tasso di ospedalizzazione svizzero.</w:t>
      </w:r>
    </w:p>
    <w:p w:rsidR="001F439F" w:rsidRDefault="001F439F" w:rsidP="001F439F">
      <w:pPr>
        <w:pStyle w:val="StandardRisoluzionedelConsigliodiStato"/>
        <w:ind w:right="-1"/>
      </w:pPr>
    </w:p>
    <w:p w:rsidR="001F439F" w:rsidRDefault="001F439F" w:rsidP="001F439F">
      <w:pPr>
        <w:pStyle w:val="StandardRisoluzionedelConsigliodiStato"/>
        <w:ind w:right="-1"/>
      </w:pPr>
      <w:r>
        <w:t>Sentito in merito un esperto della GD­ZH, quest</w:t>
      </w:r>
      <w:r w:rsidR="00596A9E">
        <w:t>'</w:t>
      </w:r>
      <w:r>
        <w:t>ultimo, dopo spiegazioni tecniche per cui si rinvia il lettore curioso al Messaggio, ha confermato che</w:t>
      </w:r>
    </w:p>
    <w:p w:rsidR="001F439F" w:rsidRDefault="001F439F" w:rsidP="001F439F">
      <w:pPr>
        <w:pStyle w:val="StandardRisoluzionedelConsigliodiStato"/>
        <w:ind w:right="-1"/>
      </w:pPr>
    </w:p>
    <w:p w:rsidR="001F439F" w:rsidRDefault="001F439F" w:rsidP="00C64DEF">
      <w:pPr>
        <w:pStyle w:val="StandardRisoluzionedelConsigliodiStato"/>
        <w:numPr>
          <w:ilvl w:val="1"/>
          <w:numId w:val="47"/>
        </w:numPr>
        <w:ind w:left="284" w:right="-1" w:hanging="284"/>
      </w:pPr>
      <w:r>
        <w:t xml:space="preserve">la tendenza alla </w:t>
      </w:r>
      <w:r w:rsidRPr="00C210A6">
        <w:rPr>
          <w:u w:val="single"/>
        </w:rPr>
        <w:t>riduzione della durata di degenza media</w:t>
      </w:r>
      <w:r>
        <w:t xml:space="preserve"> è un trend già in corso negli ultimi anni anche nel Canton</w:t>
      </w:r>
      <w:r w:rsidR="00596A9E">
        <w:t>e</w:t>
      </w:r>
      <w:r>
        <w:t xml:space="preserve"> Ticino, come nel resto della Svizzera, e si veri</w:t>
      </w:r>
      <w:r w:rsidR="00596A9E">
        <w:t>fica soprattutto nelle classi d'</w:t>
      </w:r>
      <w:r>
        <w:t>età più avanzate, come risulta dalla tabella seguente.</w:t>
      </w:r>
    </w:p>
    <w:p w:rsidR="001F439F" w:rsidRDefault="001F439F" w:rsidP="001F439F">
      <w:pPr>
        <w:pStyle w:val="StandardRisoluzionedelConsigliodiStato"/>
        <w:ind w:right="-1"/>
      </w:pPr>
    </w:p>
    <w:tbl>
      <w:tblPr>
        <w:tblStyle w:val="TableNormal2"/>
        <w:tblW w:w="0" w:type="auto"/>
        <w:tblInd w:w="1710" w:type="dxa"/>
        <w:tblLayout w:type="fixed"/>
        <w:tblLook w:val="01E0" w:firstRow="1" w:lastRow="1" w:firstColumn="1" w:lastColumn="1" w:noHBand="0" w:noVBand="0"/>
      </w:tblPr>
      <w:tblGrid>
        <w:gridCol w:w="1975"/>
        <w:gridCol w:w="960"/>
        <w:gridCol w:w="1109"/>
        <w:gridCol w:w="812"/>
        <w:gridCol w:w="961"/>
        <w:gridCol w:w="961"/>
      </w:tblGrid>
      <w:tr w:rsidR="00F67F38" w:rsidRPr="00F67F38" w:rsidTr="00C06D71">
        <w:trPr>
          <w:trHeight w:val="402"/>
        </w:trPr>
        <w:tc>
          <w:tcPr>
            <w:tcW w:w="1975" w:type="dxa"/>
            <w:vMerge w:val="restart"/>
            <w:tcBorders>
              <w:top w:val="single" w:sz="4" w:space="0" w:color="000000"/>
              <w:bottom w:val="single" w:sz="4" w:space="0" w:color="000000"/>
              <w:right w:val="single" w:sz="4" w:space="0" w:color="000000"/>
            </w:tcBorders>
          </w:tcPr>
          <w:p w:rsidR="00F67F38" w:rsidRPr="00F67F38" w:rsidRDefault="00F67F38" w:rsidP="00F67F38">
            <w:pPr>
              <w:spacing w:before="59"/>
              <w:rPr>
                <w:rFonts w:eastAsia="Arial" w:cs="Arial"/>
                <w:sz w:val="20"/>
                <w:lang w:val="it-IT"/>
              </w:rPr>
            </w:pPr>
          </w:p>
          <w:p w:rsidR="00F67F38" w:rsidRPr="00F67F38" w:rsidRDefault="00F67F38" w:rsidP="00F67F38">
            <w:pPr>
              <w:spacing w:before="1"/>
              <w:ind w:right="65"/>
              <w:jc w:val="center"/>
              <w:rPr>
                <w:rFonts w:eastAsia="Arial" w:cs="Arial"/>
                <w:b/>
                <w:sz w:val="20"/>
                <w:lang w:val="it-IT"/>
              </w:rPr>
            </w:pPr>
            <w:r w:rsidRPr="00F67F38">
              <w:rPr>
                <w:rFonts w:eastAsia="Arial" w:cs="Arial"/>
                <w:b/>
                <w:spacing w:val="-4"/>
                <w:sz w:val="20"/>
                <w:lang w:val="it-IT"/>
              </w:rPr>
              <w:t>Anno</w:t>
            </w:r>
          </w:p>
        </w:tc>
        <w:tc>
          <w:tcPr>
            <w:tcW w:w="4803" w:type="dxa"/>
            <w:gridSpan w:val="5"/>
            <w:tcBorders>
              <w:top w:val="single" w:sz="4" w:space="0" w:color="000000"/>
              <w:left w:val="single" w:sz="4" w:space="0" w:color="000000"/>
              <w:bottom w:val="single" w:sz="4" w:space="0" w:color="000000"/>
            </w:tcBorders>
          </w:tcPr>
          <w:p w:rsidR="00F67F38" w:rsidRPr="00F67F38" w:rsidRDefault="00F67F38" w:rsidP="00F67F38">
            <w:pPr>
              <w:spacing w:before="170" w:line="213" w:lineRule="exact"/>
              <w:ind w:right="10"/>
              <w:jc w:val="center"/>
              <w:rPr>
                <w:rFonts w:eastAsia="Arial" w:cs="Arial"/>
                <w:b/>
                <w:sz w:val="20"/>
                <w:lang w:val="it-IT"/>
              </w:rPr>
            </w:pPr>
            <w:r w:rsidRPr="00F67F38">
              <w:rPr>
                <w:rFonts w:eastAsia="Arial" w:cs="Arial"/>
                <w:b/>
                <w:sz w:val="20"/>
                <w:lang w:val="it-IT"/>
              </w:rPr>
              <w:t>classi</w:t>
            </w:r>
            <w:r w:rsidRPr="00F67F38">
              <w:rPr>
                <w:rFonts w:eastAsia="Arial" w:cs="Arial"/>
                <w:b/>
                <w:spacing w:val="-6"/>
                <w:sz w:val="20"/>
                <w:lang w:val="it-IT"/>
              </w:rPr>
              <w:t xml:space="preserve"> </w:t>
            </w:r>
            <w:r w:rsidRPr="00F67F38">
              <w:rPr>
                <w:rFonts w:eastAsia="Arial" w:cs="Arial"/>
                <w:b/>
                <w:sz w:val="20"/>
                <w:lang w:val="it-IT"/>
              </w:rPr>
              <w:t>di</w:t>
            </w:r>
            <w:r w:rsidRPr="00F67F38">
              <w:rPr>
                <w:rFonts w:eastAsia="Arial" w:cs="Arial"/>
                <w:b/>
                <w:spacing w:val="-6"/>
                <w:sz w:val="20"/>
                <w:lang w:val="it-IT"/>
              </w:rPr>
              <w:t xml:space="preserve"> </w:t>
            </w:r>
            <w:r w:rsidRPr="00F67F38">
              <w:rPr>
                <w:rFonts w:eastAsia="Arial" w:cs="Arial"/>
                <w:b/>
                <w:spacing w:val="-5"/>
                <w:sz w:val="20"/>
                <w:lang w:val="it-IT"/>
              </w:rPr>
              <w:t>età</w:t>
            </w:r>
          </w:p>
        </w:tc>
      </w:tr>
      <w:tr w:rsidR="00F67F38" w:rsidRPr="00F67F38" w:rsidTr="00C06D71">
        <w:trPr>
          <w:trHeight w:val="402"/>
        </w:trPr>
        <w:tc>
          <w:tcPr>
            <w:tcW w:w="1975" w:type="dxa"/>
            <w:vMerge/>
            <w:tcBorders>
              <w:top w:val="nil"/>
              <w:bottom w:val="single" w:sz="4" w:space="0" w:color="000000"/>
              <w:right w:val="single" w:sz="4" w:space="0" w:color="000000"/>
            </w:tcBorders>
          </w:tcPr>
          <w:p w:rsidR="00F67F38" w:rsidRPr="00F67F38" w:rsidRDefault="00F67F38" w:rsidP="00F67F38">
            <w:pPr>
              <w:rPr>
                <w:rFonts w:eastAsia="Arial" w:cs="Arial"/>
                <w:sz w:val="2"/>
                <w:szCs w:val="2"/>
                <w:lang w:val="it-IT"/>
              </w:rPr>
            </w:pPr>
          </w:p>
        </w:tc>
        <w:tc>
          <w:tcPr>
            <w:tcW w:w="960" w:type="dxa"/>
            <w:tcBorders>
              <w:top w:val="single" w:sz="4" w:space="0" w:color="000000"/>
              <w:left w:val="single" w:sz="4" w:space="0" w:color="000000"/>
              <w:bottom w:val="single" w:sz="4" w:space="0" w:color="000000"/>
              <w:right w:val="single" w:sz="4" w:space="0" w:color="000000"/>
            </w:tcBorders>
          </w:tcPr>
          <w:p w:rsidR="00F67F38" w:rsidRPr="00F67F38" w:rsidRDefault="00F67F38" w:rsidP="00F67F38">
            <w:pPr>
              <w:spacing w:before="172" w:line="211" w:lineRule="exact"/>
              <w:ind w:right="64"/>
              <w:jc w:val="right"/>
              <w:rPr>
                <w:rFonts w:eastAsia="Arial" w:cs="Arial"/>
                <w:sz w:val="20"/>
                <w:lang w:val="it-IT"/>
              </w:rPr>
            </w:pPr>
            <w:r w:rsidRPr="00F67F38">
              <w:rPr>
                <w:rFonts w:eastAsia="Arial" w:cs="Arial"/>
                <w:spacing w:val="-2"/>
                <w:sz w:val="20"/>
                <w:lang w:val="it-IT"/>
              </w:rPr>
              <w:t>0­</w:t>
            </w:r>
            <w:r w:rsidRPr="00F67F38">
              <w:rPr>
                <w:rFonts w:eastAsia="Arial" w:cs="Arial"/>
                <w:spacing w:val="-5"/>
                <w:sz w:val="20"/>
                <w:lang w:val="it-IT"/>
              </w:rPr>
              <w:t>59</w:t>
            </w:r>
          </w:p>
        </w:tc>
        <w:tc>
          <w:tcPr>
            <w:tcW w:w="1109" w:type="dxa"/>
            <w:tcBorders>
              <w:top w:val="single" w:sz="4" w:space="0" w:color="000000"/>
              <w:left w:val="single" w:sz="4" w:space="0" w:color="000000"/>
              <w:bottom w:val="single" w:sz="4" w:space="0" w:color="000000"/>
            </w:tcBorders>
          </w:tcPr>
          <w:p w:rsidR="00F67F38" w:rsidRPr="00F67F38" w:rsidRDefault="00F67F38" w:rsidP="00F67F38">
            <w:pPr>
              <w:spacing w:before="172" w:line="211" w:lineRule="exact"/>
              <w:ind w:right="218"/>
              <w:jc w:val="right"/>
              <w:rPr>
                <w:rFonts w:eastAsia="Arial" w:cs="Arial"/>
                <w:sz w:val="20"/>
                <w:lang w:val="it-IT"/>
              </w:rPr>
            </w:pPr>
            <w:r w:rsidRPr="00F67F38">
              <w:rPr>
                <w:rFonts w:eastAsia="Arial" w:cs="Arial"/>
                <w:spacing w:val="-2"/>
                <w:sz w:val="20"/>
                <w:lang w:val="it-IT"/>
              </w:rPr>
              <w:t>60­</w:t>
            </w:r>
            <w:r w:rsidRPr="00F67F38">
              <w:rPr>
                <w:rFonts w:eastAsia="Arial" w:cs="Arial"/>
                <w:spacing w:val="-7"/>
                <w:sz w:val="20"/>
                <w:lang w:val="it-IT"/>
              </w:rPr>
              <w:t>69</w:t>
            </w:r>
          </w:p>
        </w:tc>
        <w:tc>
          <w:tcPr>
            <w:tcW w:w="812" w:type="dxa"/>
            <w:tcBorders>
              <w:top w:val="single" w:sz="4" w:space="0" w:color="000000"/>
              <w:bottom w:val="single" w:sz="4" w:space="0" w:color="000000"/>
              <w:right w:val="single" w:sz="4" w:space="0" w:color="000000"/>
            </w:tcBorders>
          </w:tcPr>
          <w:p w:rsidR="00F67F38" w:rsidRPr="00F67F38" w:rsidRDefault="00F67F38" w:rsidP="00F67F38">
            <w:pPr>
              <w:spacing w:before="172" w:line="211" w:lineRule="exact"/>
              <w:ind w:right="65"/>
              <w:jc w:val="right"/>
              <w:rPr>
                <w:rFonts w:eastAsia="Arial" w:cs="Arial"/>
                <w:sz w:val="20"/>
                <w:lang w:val="it-IT"/>
              </w:rPr>
            </w:pPr>
            <w:r w:rsidRPr="00F67F38">
              <w:rPr>
                <w:rFonts w:eastAsia="Arial" w:cs="Arial"/>
                <w:spacing w:val="-2"/>
                <w:sz w:val="20"/>
                <w:lang w:val="it-IT"/>
              </w:rPr>
              <w:t>70­</w:t>
            </w:r>
            <w:r w:rsidRPr="00F67F38">
              <w:rPr>
                <w:rFonts w:eastAsia="Arial" w:cs="Arial"/>
                <w:spacing w:val="-7"/>
                <w:sz w:val="20"/>
                <w:lang w:val="it-IT"/>
              </w:rPr>
              <w:t>79</w:t>
            </w:r>
          </w:p>
        </w:tc>
        <w:tc>
          <w:tcPr>
            <w:tcW w:w="961" w:type="dxa"/>
            <w:tcBorders>
              <w:top w:val="single" w:sz="4" w:space="0" w:color="000000"/>
              <w:left w:val="single" w:sz="4" w:space="0" w:color="000000"/>
              <w:bottom w:val="single" w:sz="4" w:space="0" w:color="000000"/>
              <w:right w:val="single" w:sz="4" w:space="0" w:color="000000"/>
            </w:tcBorders>
          </w:tcPr>
          <w:p w:rsidR="00F67F38" w:rsidRPr="00F67F38" w:rsidRDefault="00F67F38" w:rsidP="00F67F38">
            <w:pPr>
              <w:spacing w:before="172" w:line="211" w:lineRule="exact"/>
              <w:ind w:right="66"/>
              <w:jc w:val="right"/>
              <w:rPr>
                <w:rFonts w:eastAsia="Arial" w:cs="Arial"/>
                <w:sz w:val="20"/>
                <w:lang w:val="it-IT"/>
              </w:rPr>
            </w:pPr>
            <w:r w:rsidRPr="00F67F38">
              <w:rPr>
                <w:rFonts w:eastAsia="Arial" w:cs="Arial"/>
                <w:spacing w:val="-2"/>
                <w:sz w:val="20"/>
                <w:lang w:val="it-IT"/>
              </w:rPr>
              <w:t>80­</w:t>
            </w:r>
            <w:r w:rsidRPr="00F67F38">
              <w:rPr>
                <w:rFonts w:eastAsia="Arial" w:cs="Arial"/>
                <w:spacing w:val="-7"/>
                <w:sz w:val="20"/>
                <w:lang w:val="it-IT"/>
              </w:rPr>
              <w:t>89</w:t>
            </w:r>
          </w:p>
        </w:tc>
        <w:tc>
          <w:tcPr>
            <w:tcW w:w="961" w:type="dxa"/>
            <w:tcBorders>
              <w:top w:val="single" w:sz="4" w:space="0" w:color="000000"/>
              <w:left w:val="single" w:sz="4" w:space="0" w:color="000000"/>
              <w:bottom w:val="single" w:sz="4" w:space="0" w:color="000000"/>
            </w:tcBorders>
          </w:tcPr>
          <w:p w:rsidR="00F67F38" w:rsidRPr="00F67F38" w:rsidRDefault="00F67F38" w:rsidP="00F67F38">
            <w:pPr>
              <w:spacing w:before="172" w:line="211" w:lineRule="exact"/>
              <w:ind w:right="72"/>
              <w:jc w:val="right"/>
              <w:rPr>
                <w:rFonts w:eastAsia="Arial" w:cs="Arial"/>
                <w:sz w:val="20"/>
                <w:lang w:val="it-IT"/>
              </w:rPr>
            </w:pPr>
            <w:r w:rsidRPr="00F67F38">
              <w:rPr>
                <w:rFonts w:eastAsia="Arial" w:cs="Arial"/>
                <w:spacing w:val="-5"/>
                <w:sz w:val="20"/>
                <w:lang w:val="it-IT"/>
              </w:rPr>
              <w:t>90+</w:t>
            </w:r>
          </w:p>
        </w:tc>
      </w:tr>
      <w:tr w:rsidR="00F67F38" w:rsidRPr="00F67F38" w:rsidTr="00C06D71">
        <w:trPr>
          <w:trHeight w:val="489"/>
        </w:trPr>
        <w:tc>
          <w:tcPr>
            <w:tcW w:w="1975" w:type="dxa"/>
            <w:tcBorders>
              <w:top w:val="single" w:sz="4" w:space="0" w:color="000000"/>
              <w:right w:val="single" w:sz="4" w:space="0" w:color="000000"/>
            </w:tcBorders>
          </w:tcPr>
          <w:p w:rsidR="00F67F38" w:rsidRPr="00F67F38" w:rsidRDefault="00F67F38" w:rsidP="00F67F38">
            <w:pPr>
              <w:spacing w:before="170"/>
              <w:ind w:right="67"/>
              <w:jc w:val="right"/>
              <w:rPr>
                <w:rFonts w:eastAsia="Arial" w:cs="Arial"/>
                <w:sz w:val="20"/>
                <w:lang w:val="it-IT"/>
              </w:rPr>
            </w:pPr>
            <w:r w:rsidRPr="00F67F38">
              <w:rPr>
                <w:rFonts w:eastAsia="Arial" w:cs="Arial"/>
                <w:spacing w:val="-4"/>
                <w:sz w:val="20"/>
                <w:lang w:val="it-IT"/>
              </w:rPr>
              <w:t>2012</w:t>
            </w:r>
          </w:p>
        </w:tc>
        <w:tc>
          <w:tcPr>
            <w:tcW w:w="960" w:type="dxa"/>
            <w:tcBorders>
              <w:top w:val="single" w:sz="4" w:space="0" w:color="000000"/>
              <w:left w:val="single" w:sz="4" w:space="0" w:color="000000"/>
              <w:right w:val="single" w:sz="4" w:space="0" w:color="000000"/>
            </w:tcBorders>
          </w:tcPr>
          <w:p w:rsidR="00F67F38" w:rsidRPr="00F67F38" w:rsidRDefault="00F67F38" w:rsidP="00F67F38">
            <w:pPr>
              <w:spacing w:before="170"/>
              <w:ind w:right="64"/>
              <w:jc w:val="right"/>
              <w:rPr>
                <w:rFonts w:eastAsia="Arial" w:cs="Arial"/>
                <w:sz w:val="20"/>
                <w:lang w:val="it-IT"/>
              </w:rPr>
            </w:pPr>
            <w:r w:rsidRPr="00F67F38">
              <w:rPr>
                <w:rFonts w:eastAsia="Arial" w:cs="Arial"/>
                <w:spacing w:val="-4"/>
                <w:sz w:val="20"/>
                <w:lang w:val="it-IT"/>
              </w:rPr>
              <w:t>4.62</w:t>
            </w:r>
          </w:p>
        </w:tc>
        <w:tc>
          <w:tcPr>
            <w:tcW w:w="1109" w:type="dxa"/>
            <w:tcBorders>
              <w:top w:val="single" w:sz="4" w:space="0" w:color="000000"/>
              <w:left w:val="single" w:sz="4" w:space="0" w:color="000000"/>
            </w:tcBorders>
          </w:tcPr>
          <w:p w:rsidR="00F67F38" w:rsidRPr="00F67F38" w:rsidRDefault="00F67F38" w:rsidP="00F67F38">
            <w:pPr>
              <w:spacing w:before="170"/>
              <w:ind w:right="218"/>
              <w:jc w:val="right"/>
              <w:rPr>
                <w:rFonts w:eastAsia="Arial" w:cs="Arial"/>
                <w:sz w:val="20"/>
                <w:lang w:val="it-IT"/>
              </w:rPr>
            </w:pPr>
            <w:r w:rsidRPr="00F67F38">
              <w:rPr>
                <w:rFonts w:eastAsia="Arial" w:cs="Arial"/>
                <w:spacing w:val="-4"/>
                <w:sz w:val="20"/>
                <w:lang w:val="it-IT"/>
              </w:rPr>
              <w:t>6.96</w:t>
            </w:r>
          </w:p>
        </w:tc>
        <w:tc>
          <w:tcPr>
            <w:tcW w:w="812" w:type="dxa"/>
            <w:tcBorders>
              <w:top w:val="single" w:sz="4" w:space="0" w:color="000000"/>
              <w:right w:val="single" w:sz="4" w:space="0" w:color="000000"/>
            </w:tcBorders>
          </w:tcPr>
          <w:p w:rsidR="00F67F38" w:rsidRPr="00F67F38" w:rsidRDefault="00F67F38" w:rsidP="00F67F38">
            <w:pPr>
              <w:spacing w:before="170"/>
              <w:ind w:right="65"/>
              <w:jc w:val="right"/>
              <w:rPr>
                <w:rFonts w:eastAsia="Arial" w:cs="Arial"/>
                <w:sz w:val="20"/>
                <w:lang w:val="it-IT"/>
              </w:rPr>
            </w:pPr>
            <w:r w:rsidRPr="00F67F38">
              <w:rPr>
                <w:rFonts w:eastAsia="Arial" w:cs="Arial"/>
                <w:spacing w:val="-4"/>
                <w:sz w:val="20"/>
                <w:lang w:val="it-IT"/>
              </w:rPr>
              <w:t>8.79</w:t>
            </w:r>
          </w:p>
        </w:tc>
        <w:tc>
          <w:tcPr>
            <w:tcW w:w="961" w:type="dxa"/>
            <w:tcBorders>
              <w:top w:val="single" w:sz="4" w:space="0" w:color="000000"/>
              <w:left w:val="single" w:sz="4" w:space="0" w:color="000000"/>
              <w:right w:val="single" w:sz="4" w:space="0" w:color="000000"/>
            </w:tcBorders>
          </w:tcPr>
          <w:p w:rsidR="00F67F38" w:rsidRPr="00F67F38" w:rsidRDefault="00F67F38" w:rsidP="00F67F38">
            <w:pPr>
              <w:spacing w:before="170"/>
              <w:ind w:right="66"/>
              <w:jc w:val="right"/>
              <w:rPr>
                <w:rFonts w:eastAsia="Arial" w:cs="Arial"/>
                <w:sz w:val="20"/>
                <w:lang w:val="it-IT"/>
              </w:rPr>
            </w:pPr>
            <w:r w:rsidRPr="00F67F38">
              <w:rPr>
                <w:rFonts w:eastAsia="Arial" w:cs="Arial"/>
                <w:spacing w:val="-2"/>
                <w:sz w:val="20"/>
                <w:lang w:val="it-IT"/>
              </w:rPr>
              <w:t>11.11</w:t>
            </w:r>
          </w:p>
        </w:tc>
        <w:tc>
          <w:tcPr>
            <w:tcW w:w="961" w:type="dxa"/>
            <w:tcBorders>
              <w:top w:val="single" w:sz="4" w:space="0" w:color="000000"/>
              <w:left w:val="single" w:sz="4" w:space="0" w:color="000000"/>
            </w:tcBorders>
          </w:tcPr>
          <w:p w:rsidR="00F67F38" w:rsidRPr="00F67F38" w:rsidRDefault="00F67F38" w:rsidP="00F67F38">
            <w:pPr>
              <w:spacing w:before="170"/>
              <w:ind w:right="72"/>
              <w:jc w:val="right"/>
              <w:rPr>
                <w:rFonts w:eastAsia="Arial" w:cs="Arial"/>
                <w:sz w:val="20"/>
                <w:lang w:val="it-IT"/>
              </w:rPr>
            </w:pPr>
            <w:r w:rsidRPr="00F67F38">
              <w:rPr>
                <w:rFonts w:eastAsia="Arial" w:cs="Arial"/>
                <w:spacing w:val="-2"/>
                <w:sz w:val="20"/>
                <w:lang w:val="it-IT"/>
              </w:rPr>
              <w:t>11.98</w:t>
            </w:r>
          </w:p>
        </w:tc>
      </w:tr>
      <w:tr w:rsidR="00F67F38" w:rsidRPr="00F67F38" w:rsidTr="00C06D71">
        <w:trPr>
          <w:trHeight w:val="402"/>
        </w:trPr>
        <w:tc>
          <w:tcPr>
            <w:tcW w:w="1975" w:type="dxa"/>
            <w:tcBorders>
              <w:right w:val="single" w:sz="4" w:space="0" w:color="000000"/>
            </w:tcBorders>
          </w:tcPr>
          <w:p w:rsidR="00F67F38" w:rsidRPr="00F67F38" w:rsidRDefault="00F67F38" w:rsidP="00F67F38">
            <w:pPr>
              <w:spacing w:before="83"/>
              <w:ind w:right="67"/>
              <w:jc w:val="right"/>
              <w:rPr>
                <w:rFonts w:eastAsia="Arial" w:cs="Arial"/>
                <w:sz w:val="20"/>
                <w:lang w:val="it-IT"/>
              </w:rPr>
            </w:pPr>
            <w:r w:rsidRPr="00F67F38">
              <w:rPr>
                <w:rFonts w:eastAsia="Arial" w:cs="Arial"/>
                <w:spacing w:val="-4"/>
                <w:sz w:val="20"/>
                <w:lang w:val="it-IT"/>
              </w:rPr>
              <w:t>2013</w:t>
            </w:r>
          </w:p>
        </w:tc>
        <w:tc>
          <w:tcPr>
            <w:tcW w:w="960" w:type="dxa"/>
            <w:tcBorders>
              <w:left w:val="single" w:sz="4" w:space="0" w:color="000000"/>
              <w:right w:val="single" w:sz="4" w:space="0" w:color="000000"/>
            </w:tcBorders>
          </w:tcPr>
          <w:p w:rsidR="00F67F38" w:rsidRPr="00F67F38" w:rsidRDefault="00F67F38" w:rsidP="00F67F38">
            <w:pPr>
              <w:spacing w:before="83"/>
              <w:ind w:right="64"/>
              <w:jc w:val="right"/>
              <w:rPr>
                <w:rFonts w:eastAsia="Arial" w:cs="Arial"/>
                <w:sz w:val="20"/>
                <w:lang w:val="it-IT"/>
              </w:rPr>
            </w:pPr>
            <w:r w:rsidRPr="00F67F38">
              <w:rPr>
                <w:rFonts w:eastAsia="Arial" w:cs="Arial"/>
                <w:spacing w:val="-4"/>
                <w:sz w:val="20"/>
                <w:lang w:val="it-IT"/>
              </w:rPr>
              <w:t>4.50</w:t>
            </w:r>
          </w:p>
        </w:tc>
        <w:tc>
          <w:tcPr>
            <w:tcW w:w="1109" w:type="dxa"/>
            <w:tcBorders>
              <w:left w:val="single" w:sz="4" w:space="0" w:color="000000"/>
            </w:tcBorders>
          </w:tcPr>
          <w:p w:rsidR="00F67F38" w:rsidRPr="00F67F38" w:rsidRDefault="00F67F38" w:rsidP="00F67F38">
            <w:pPr>
              <w:spacing w:before="83"/>
              <w:ind w:right="218"/>
              <w:jc w:val="right"/>
              <w:rPr>
                <w:rFonts w:eastAsia="Arial" w:cs="Arial"/>
                <w:sz w:val="20"/>
                <w:lang w:val="it-IT"/>
              </w:rPr>
            </w:pPr>
            <w:r w:rsidRPr="00F67F38">
              <w:rPr>
                <w:rFonts w:eastAsia="Arial" w:cs="Arial"/>
                <w:spacing w:val="-4"/>
                <w:sz w:val="20"/>
                <w:lang w:val="it-IT"/>
              </w:rPr>
              <w:t>6.95</w:t>
            </w:r>
          </w:p>
        </w:tc>
        <w:tc>
          <w:tcPr>
            <w:tcW w:w="812" w:type="dxa"/>
            <w:tcBorders>
              <w:right w:val="single" w:sz="4" w:space="0" w:color="000000"/>
            </w:tcBorders>
          </w:tcPr>
          <w:p w:rsidR="00F67F38" w:rsidRPr="00F67F38" w:rsidRDefault="00F67F38" w:rsidP="00F67F38">
            <w:pPr>
              <w:spacing w:before="83"/>
              <w:ind w:right="65"/>
              <w:jc w:val="right"/>
              <w:rPr>
                <w:rFonts w:eastAsia="Arial" w:cs="Arial"/>
                <w:sz w:val="20"/>
                <w:lang w:val="it-IT"/>
              </w:rPr>
            </w:pPr>
            <w:r w:rsidRPr="00F67F38">
              <w:rPr>
                <w:rFonts w:eastAsia="Arial" w:cs="Arial"/>
                <w:spacing w:val="-4"/>
                <w:sz w:val="20"/>
                <w:lang w:val="it-IT"/>
              </w:rPr>
              <w:t>8.62</w:t>
            </w:r>
          </w:p>
        </w:tc>
        <w:tc>
          <w:tcPr>
            <w:tcW w:w="961" w:type="dxa"/>
            <w:tcBorders>
              <w:left w:val="single" w:sz="4" w:space="0" w:color="000000"/>
              <w:right w:val="single" w:sz="4" w:space="0" w:color="000000"/>
            </w:tcBorders>
          </w:tcPr>
          <w:p w:rsidR="00F67F38" w:rsidRPr="00F67F38" w:rsidRDefault="00F67F38" w:rsidP="00F67F38">
            <w:pPr>
              <w:spacing w:before="83"/>
              <w:ind w:right="66"/>
              <w:jc w:val="right"/>
              <w:rPr>
                <w:rFonts w:eastAsia="Arial" w:cs="Arial"/>
                <w:sz w:val="20"/>
                <w:lang w:val="it-IT"/>
              </w:rPr>
            </w:pPr>
            <w:r w:rsidRPr="00F67F38">
              <w:rPr>
                <w:rFonts w:eastAsia="Arial" w:cs="Arial"/>
                <w:spacing w:val="-2"/>
                <w:sz w:val="20"/>
                <w:lang w:val="it-IT"/>
              </w:rPr>
              <w:t>10.95</w:t>
            </w:r>
          </w:p>
        </w:tc>
        <w:tc>
          <w:tcPr>
            <w:tcW w:w="961" w:type="dxa"/>
            <w:tcBorders>
              <w:left w:val="single" w:sz="4" w:space="0" w:color="000000"/>
            </w:tcBorders>
          </w:tcPr>
          <w:p w:rsidR="00F67F38" w:rsidRPr="00F67F38" w:rsidRDefault="00F67F38" w:rsidP="00F67F38">
            <w:pPr>
              <w:spacing w:before="83"/>
              <w:ind w:right="72"/>
              <w:jc w:val="right"/>
              <w:rPr>
                <w:rFonts w:eastAsia="Arial" w:cs="Arial"/>
                <w:sz w:val="20"/>
                <w:lang w:val="it-IT"/>
              </w:rPr>
            </w:pPr>
            <w:r w:rsidRPr="00F67F38">
              <w:rPr>
                <w:rFonts w:eastAsia="Arial" w:cs="Arial"/>
                <w:spacing w:val="-2"/>
                <w:sz w:val="20"/>
                <w:lang w:val="it-IT"/>
              </w:rPr>
              <w:t>11.59</w:t>
            </w:r>
          </w:p>
        </w:tc>
      </w:tr>
      <w:tr w:rsidR="00F67F38" w:rsidRPr="00F67F38" w:rsidTr="00C06D71">
        <w:trPr>
          <w:trHeight w:val="401"/>
        </w:trPr>
        <w:tc>
          <w:tcPr>
            <w:tcW w:w="1975" w:type="dxa"/>
            <w:tcBorders>
              <w:right w:val="single" w:sz="4" w:space="0" w:color="000000"/>
            </w:tcBorders>
          </w:tcPr>
          <w:p w:rsidR="00F67F38" w:rsidRPr="00F67F38" w:rsidRDefault="00F67F38" w:rsidP="00F67F38">
            <w:pPr>
              <w:spacing w:before="82"/>
              <w:ind w:right="67"/>
              <w:jc w:val="right"/>
              <w:rPr>
                <w:rFonts w:eastAsia="Arial" w:cs="Arial"/>
                <w:sz w:val="20"/>
                <w:lang w:val="it-IT"/>
              </w:rPr>
            </w:pPr>
            <w:r w:rsidRPr="00F67F38">
              <w:rPr>
                <w:rFonts w:eastAsia="Arial" w:cs="Arial"/>
                <w:spacing w:val="-4"/>
                <w:sz w:val="20"/>
                <w:lang w:val="it-IT"/>
              </w:rPr>
              <w:t>2014</w:t>
            </w:r>
          </w:p>
        </w:tc>
        <w:tc>
          <w:tcPr>
            <w:tcW w:w="960" w:type="dxa"/>
            <w:tcBorders>
              <w:left w:val="single" w:sz="4" w:space="0" w:color="000000"/>
              <w:right w:val="single" w:sz="4" w:space="0" w:color="000000"/>
            </w:tcBorders>
          </w:tcPr>
          <w:p w:rsidR="00F67F38" w:rsidRPr="00F67F38" w:rsidRDefault="00F67F38" w:rsidP="00F67F38">
            <w:pPr>
              <w:spacing w:before="82"/>
              <w:ind w:right="64"/>
              <w:jc w:val="right"/>
              <w:rPr>
                <w:rFonts w:eastAsia="Arial" w:cs="Arial"/>
                <w:sz w:val="20"/>
                <w:lang w:val="it-IT"/>
              </w:rPr>
            </w:pPr>
            <w:r w:rsidRPr="00F67F38">
              <w:rPr>
                <w:rFonts w:eastAsia="Arial" w:cs="Arial"/>
                <w:spacing w:val="-4"/>
                <w:sz w:val="20"/>
                <w:lang w:val="it-IT"/>
              </w:rPr>
              <w:t>4.48</w:t>
            </w:r>
          </w:p>
        </w:tc>
        <w:tc>
          <w:tcPr>
            <w:tcW w:w="1109" w:type="dxa"/>
            <w:tcBorders>
              <w:left w:val="single" w:sz="4" w:space="0" w:color="000000"/>
            </w:tcBorders>
          </w:tcPr>
          <w:p w:rsidR="00F67F38" w:rsidRPr="00F67F38" w:rsidRDefault="00F67F38" w:rsidP="00F67F38">
            <w:pPr>
              <w:spacing w:before="82"/>
              <w:ind w:right="218"/>
              <w:jc w:val="right"/>
              <w:rPr>
                <w:rFonts w:eastAsia="Arial" w:cs="Arial"/>
                <w:sz w:val="20"/>
                <w:lang w:val="it-IT"/>
              </w:rPr>
            </w:pPr>
            <w:r w:rsidRPr="00F67F38">
              <w:rPr>
                <w:rFonts w:eastAsia="Arial" w:cs="Arial"/>
                <w:spacing w:val="-4"/>
                <w:sz w:val="20"/>
                <w:lang w:val="it-IT"/>
              </w:rPr>
              <w:t>6.73</w:t>
            </w:r>
          </w:p>
        </w:tc>
        <w:tc>
          <w:tcPr>
            <w:tcW w:w="812" w:type="dxa"/>
            <w:tcBorders>
              <w:right w:val="single" w:sz="4" w:space="0" w:color="000000"/>
            </w:tcBorders>
          </w:tcPr>
          <w:p w:rsidR="00F67F38" w:rsidRPr="00F67F38" w:rsidRDefault="00F67F38" w:rsidP="00F67F38">
            <w:pPr>
              <w:spacing w:before="82"/>
              <w:ind w:right="65"/>
              <w:jc w:val="right"/>
              <w:rPr>
                <w:rFonts w:eastAsia="Arial" w:cs="Arial"/>
                <w:sz w:val="20"/>
                <w:lang w:val="it-IT"/>
              </w:rPr>
            </w:pPr>
            <w:r w:rsidRPr="00F67F38">
              <w:rPr>
                <w:rFonts w:eastAsia="Arial" w:cs="Arial"/>
                <w:spacing w:val="-4"/>
                <w:sz w:val="20"/>
                <w:lang w:val="it-IT"/>
              </w:rPr>
              <w:t>8.76</w:t>
            </w:r>
          </w:p>
        </w:tc>
        <w:tc>
          <w:tcPr>
            <w:tcW w:w="961" w:type="dxa"/>
            <w:tcBorders>
              <w:left w:val="single" w:sz="4" w:space="0" w:color="000000"/>
              <w:right w:val="single" w:sz="4" w:space="0" w:color="000000"/>
            </w:tcBorders>
          </w:tcPr>
          <w:p w:rsidR="00F67F38" w:rsidRPr="00F67F38" w:rsidRDefault="00F67F38" w:rsidP="00F67F38">
            <w:pPr>
              <w:spacing w:before="82"/>
              <w:ind w:right="66"/>
              <w:jc w:val="right"/>
              <w:rPr>
                <w:rFonts w:eastAsia="Arial" w:cs="Arial"/>
                <w:sz w:val="20"/>
                <w:lang w:val="it-IT"/>
              </w:rPr>
            </w:pPr>
            <w:r w:rsidRPr="00F67F38">
              <w:rPr>
                <w:rFonts w:eastAsia="Arial" w:cs="Arial"/>
                <w:spacing w:val="-2"/>
                <w:sz w:val="20"/>
                <w:lang w:val="it-IT"/>
              </w:rPr>
              <w:t>10.99</w:t>
            </w:r>
          </w:p>
        </w:tc>
        <w:tc>
          <w:tcPr>
            <w:tcW w:w="961" w:type="dxa"/>
            <w:tcBorders>
              <w:left w:val="single" w:sz="4" w:space="0" w:color="000000"/>
            </w:tcBorders>
          </w:tcPr>
          <w:p w:rsidR="00F67F38" w:rsidRPr="00F67F38" w:rsidRDefault="00F67F38" w:rsidP="00F67F38">
            <w:pPr>
              <w:spacing w:before="82"/>
              <w:ind w:right="72"/>
              <w:jc w:val="right"/>
              <w:rPr>
                <w:rFonts w:eastAsia="Arial" w:cs="Arial"/>
                <w:sz w:val="20"/>
                <w:lang w:val="it-IT"/>
              </w:rPr>
            </w:pPr>
            <w:r w:rsidRPr="00F67F38">
              <w:rPr>
                <w:rFonts w:eastAsia="Arial" w:cs="Arial"/>
                <w:spacing w:val="-2"/>
                <w:sz w:val="20"/>
                <w:lang w:val="it-IT"/>
              </w:rPr>
              <w:t>11.95</w:t>
            </w:r>
          </w:p>
        </w:tc>
      </w:tr>
      <w:tr w:rsidR="00F67F38" w:rsidRPr="00F67F38" w:rsidTr="00C06D71">
        <w:trPr>
          <w:trHeight w:val="401"/>
        </w:trPr>
        <w:tc>
          <w:tcPr>
            <w:tcW w:w="1975" w:type="dxa"/>
            <w:tcBorders>
              <w:right w:val="single" w:sz="4" w:space="0" w:color="000000"/>
            </w:tcBorders>
          </w:tcPr>
          <w:p w:rsidR="00F67F38" w:rsidRPr="00F67F38" w:rsidRDefault="00F67F38" w:rsidP="00F67F38">
            <w:pPr>
              <w:spacing w:before="83"/>
              <w:ind w:right="67"/>
              <w:jc w:val="right"/>
              <w:rPr>
                <w:rFonts w:eastAsia="Arial" w:cs="Arial"/>
                <w:sz w:val="20"/>
                <w:lang w:val="it-IT"/>
              </w:rPr>
            </w:pPr>
            <w:r w:rsidRPr="00F67F38">
              <w:rPr>
                <w:rFonts w:eastAsia="Arial" w:cs="Arial"/>
                <w:spacing w:val="-4"/>
                <w:sz w:val="20"/>
                <w:lang w:val="it-IT"/>
              </w:rPr>
              <w:t>2015</w:t>
            </w:r>
          </w:p>
        </w:tc>
        <w:tc>
          <w:tcPr>
            <w:tcW w:w="960" w:type="dxa"/>
            <w:tcBorders>
              <w:left w:val="single" w:sz="4" w:space="0" w:color="000000"/>
              <w:right w:val="single" w:sz="4" w:space="0" w:color="000000"/>
            </w:tcBorders>
          </w:tcPr>
          <w:p w:rsidR="00F67F38" w:rsidRPr="00F67F38" w:rsidRDefault="00F67F38" w:rsidP="00F67F38">
            <w:pPr>
              <w:spacing w:before="83"/>
              <w:ind w:right="64"/>
              <w:jc w:val="right"/>
              <w:rPr>
                <w:rFonts w:eastAsia="Arial" w:cs="Arial"/>
                <w:sz w:val="20"/>
                <w:lang w:val="it-IT"/>
              </w:rPr>
            </w:pPr>
            <w:r w:rsidRPr="00F67F38">
              <w:rPr>
                <w:rFonts w:eastAsia="Arial" w:cs="Arial"/>
                <w:spacing w:val="-4"/>
                <w:sz w:val="20"/>
                <w:lang w:val="it-IT"/>
              </w:rPr>
              <w:t>4.33</w:t>
            </w:r>
          </w:p>
        </w:tc>
        <w:tc>
          <w:tcPr>
            <w:tcW w:w="1109" w:type="dxa"/>
            <w:tcBorders>
              <w:left w:val="single" w:sz="4" w:space="0" w:color="000000"/>
            </w:tcBorders>
          </w:tcPr>
          <w:p w:rsidR="00F67F38" w:rsidRPr="00F67F38" w:rsidRDefault="00F67F38" w:rsidP="00F67F38">
            <w:pPr>
              <w:spacing w:before="83"/>
              <w:ind w:right="218"/>
              <w:jc w:val="right"/>
              <w:rPr>
                <w:rFonts w:eastAsia="Arial" w:cs="Arial"/>
                <w:sz w:val="20"/>
                <w:lang w:val="it-IT"/>
              </w:rPr>
            </w:pPr>
            <w:r w:rsidRPr="00F67F38">
              <w:rPr>
                <w:rFonts w:eastAsia="Arial" w:cs="Arial"/>
                <w:spacing w:val="-4"/>
                <w:sz w:val="20"/>
                <w:lang w:val="it-IT"/>
              </w:rPr>
              <w:t>6.77</w:t>
            </w:r>
          </w:p>
        </w:tc>
        <w:tc>
          <w:tcPr>
            <w:tcW w:w="812" w:type="dxa"/>
            <w:tcBorders>
              <w:right w:val="single" w:sz="4" w:space="0" w:color="000000"/>
            </w:tcBorders>
          </w:tcPr>
          <w:p w:rsidR="00F67F38" w:rsidRPr="00F67F38" w:rsidRDefault="00F67F38" w:rsidP="00F67F38">
            <w:pPr>
              <w:spacing w:before="83"/>
              <w:ind w:right="65"/>
              <w:jc w:val="right"/>
              <w:rPr>
                <w:rFonts w:eastAsia="Arial" w:cs="Arial"/>
                <w:sz w:val="20"/>
                <w:lang w:val="it-IT"/>
              </w:rPr>
            </w:pPr>
            <w:r w:rsidRPr="00F67F38">
              <w:rPr>
                <w:rFonts w:eastAsia="Arial" w:cs="Arial"/>
                <w:spacing w:val="-4"/>
                <w:sz w:val="20"/>
                <w:lang w:val="it-IT"/>
              </w:rPr>
              <w:t>8.50</w:t>
            </w:r>
          </w:p>
        </w:tc>
        <w:tc>
          <w:tcPr>
            <w:tcW w:w="961" w:type="dxa"/>
            <w:tcBorders>
              <w:left w:val="single" w:sz="4" w:space="0" w:color="000000"/>
              <w:right w:val="single" w:sz="4" w:space="0" w:color="000000"/>
            </w:tcBorders>
          </w:tcPr>
          <w:p w:rsidR="00F67F38" w:rsidRPr="00F67F38" w:rsidRDefault="00F67F38" w:rsidP="00F67F38">
            <w:pPr>
              <w:spacing w:before="83"/>
              <w:ind w:right="66"/>
              <w:jc w:val="right"/>
              <w:rPr>
                <w:rFonts w:eastAsia="Arial" w:cs="Arial"/>
                <w:sz w:val="20"/>
                <w:lang w:val="it-IT"/>
              </w:rPr>
            </w:pPr>
            <w:r w:rsidRPr="00F67F38">
              <w:rPr>
                <w:rFonts w:eastAsia="Arial" w:cs="Arial"/>
                <w:spacing w:val="-2"/>
                <w:sz w:val="20"/>
                <w:lang w:val="it-IT"/>
              </w:rPr>
              <w:t>10.58</w:t>
            </w:r>
          </w:p>
        </w:tc>
        <w:tc>
          <w:tcPr>
            <w:tcW w:w="961" w:type="dxa"/>
            <w:tcBorders>
              <w:left w:val="single" w:sz="4" w:space="0" w:color="000000"/>
            </w:tcBorders>
          </w:tcPr>
          <w:p w:rsidR="00F67F38" w:rsidRPr="00F67F38" w:rsidRDefault="00F67F38" w:rsidP="00F67F38">
            <w:pPr>
              <w:spacing w:before="83"/>
              <w:ind w:right="72"/>
              <w:jc w:val="right"/>
              <w:rPr>
                <w:rFonts w:eastAsia="Arial" w:cs="Arial"/>
                <w:sz w:val="20"/>
                <w:lang w:val="it-IT"/>
              </w:rPr>
            </w:pPr>
            <w:r w:rsidRPr="00F67F38">
              <w:rPr>
                <w:rFonts w:eastAsia="Arial" w:cs="Arial"/>
                <w:spacing w:val="-2"/>
                <w:sz w:val="20"/>
                <w:lang w:val="it-IT"/>
              </w:rPr>
              <w:t>11.71</w:t>
            </w:r>
          </w:p>
        </w:tc>
      </w:tr>
      <w:tr w:rsidR="00F67F38" w:rsidRPr="00F67F38" w:rsidTr="00C06D71">
        <w:trPr>
          <w:trHeight w:val="402"/>
        </w:trPr>
        <w:tc>
          <w:tcPr>
            <w:tcW w:w="1975" w:type="dxa"/>
            <w:tcBorders>
              <w:right w:val="single" w:sz="4" w:space="0" w:color="000000"/>
            </w:tcBorders>
          </w:tcPr>
          <w:p w:rsidR="00F67F38" w:rsidRPr="00F67F38" w:rsidRDefault="00F67F38" w:rsidP="00F67F38">
            <w:pPr>
              <w:spacing w:before="82"/>
              <w:ind w:right="67"/>
              <w:jc w:val="right"/>
              <w:rPr>
                <w:rFonts w:eastAsia="Arial" w:cs="Arial"/>
                <w:sz w:val="20"/>
                <w:lang w:val="it-IT"/>
              </w:rPr>
            </w:pPr>
            <w:r w:rsidRPr="00F67F38">
              <w:rPr>
                <w:rFonts w:eastAsia="Arial" w:cs="Arial"/>
                <w:spacing w:val="-4"/>
                <w:sz w:val="20"/>
                <w:lang w:val="it-IT"/>
              </w:rPr>
              <w:t>2016</w:t>
            </w:r>
          </w:p>
        </w:tc>
        <w:tc>
          <w:tcPr>
            <w:tcW w:w="960" w:type="dxa"/>
            <w:tcBorders>
              <w:left w:val="single" w:sz="4" w:space="0" w:color="000000"/>
              <w:right w:val="single" w:sz="4" w:space="0" w:color="000000"/>
            </w:tcBorders>
          </w:tcPr>
          <w:p w:rsidR="00F67F38" w:rsidRPr="00F67F38" w:rsidRDefault="00F67F38" w:rsidP="00F67F38">
            <w:pPr>
              <w:spacing w:before="82"/>
              <w:ind w:right="64"/>
              <w:jc w:val="right"/>
              <w:rPr>
                <w:rFonts w:eastAsia="Arial" w:cs="Arial"/>
                <w:sz w:val="20"/>
                <w:lang w:val="it-IT"/>
              </w:rPr>
            </w:pPr>
            <w:r w:rsidRPr="00F67F38">
              <w:rPr>
                <w:rFonts w:eastAsia="Arial" w:cs="Arial"/>
                <w:spacing w:val="-4"/>
                <w:sz w:val="20"/>
                <w:lang w:val="it-IT"/>
              </w:rPr>
              <w:t>4.26</w:t>
            </w:r>
          </w:p>
        </w:tc>
        <w:tc>
          <w:tcPr>
            <w:tcW w:w="1109" w:type="dxa"/>
            <w:tcBorders>
              <w:left w:val="single" w:sz="4" w:space="0" w:color="000000"/>
            </w:tcBorders>
          </w:tcPr>
          <w:p w:rsidR="00F67F38" w:rsidRPr="00F67F38" w:rsidRDefault="00F67F38" w:rsidP="00F67F38">
            <w:pPr>
              <w:spacing w:before="82"/>
              <w:ind w:right="218"/>
              <w:jc w:val="right"/>
              <w:rPr>
                <w:rFonts w:eastAsia="Arial" w:cs="Arial"/>
                <w:sz w:val="20"/>
                <w:lang w:val="it-IT"/>
              </w:rPr>
            </w:pPr>
            <w:r w:rsidRPr="00F67F38">
              <w:rPr>
                <w:rFonts w:eastAsia="Arial" w:cs="Arial"/>
                <w:spacing w:val="-4"/>
                <w:sz w:val="20"/>
                <w:lang w:val="it-IT"/>
              </w:rPr>
              <w:t>6.84</w:t>
            </w:r>
          </w:p>
        </w:tc>
        <w:tc>
          <w:tcPr>
            <w:tcW w:w="812" w:type="dxa"/>
            <w:tcBorders>
              <w:right w:val="single" w:sz="4" w:space="0" w:color="000000"/>
            </w:tcBorders>
          </w:tcPr>
          <w:p w:rsidR="00F67F38" w:rsidRPr="00F67F38" w:rsidRDefault="00F67F38" w:rsidP="00F67F38">
            <w:pPr>
              <w:spacing w:before="82"/>
              <w:ind w:right="65"/>
              <w:jc w:val="right"/>
              <w:rPr>
                <w:rFonts w:eastAsia="Arial" w:cs="Arial"/>
                <w:sz w:val="20"/>
                <w:lang w:val="it-IT"/>
              </w:rPr>
            </w:pPr>
            <w:r w:rsidRPr="00F67F38">
              <w:rPr>
                <w:rFonts w:eastAsia="Arial" w:cs="Arial"/>
                <w:spacing w:val="-4"/>
                <w:sz w:val="20"/>
                <w:lang w:val="it-IT"/>
              </w:rPr>
              <w:t>8.34</w:t>
            </w:r>
          </w:p>
        </w:tc>
        <w:tc>
          <w:tcPr>
            <w:tcW w:w="961" w:type="dxa"/>
            <w:tcBorders>
              <w:left w:val="single" w:sz="4" w:space="0" w:color="000000"/>
              <w:right w:val="single" w:sz="4" w:space="0" w:color="000000"/>
            </w:tcBorders>
          </w:tcPr>
          <w:p w:rsidR="00F67F38" w:rsidRPr="00F67F38" w:rsidRDefault="00F67F38" w:rsidP="00F67F38">
            <w:pPr>
              <w:spacing w:before="82"/>
              <w:ind w:right="66"/>
              <w:jc w:val="right"/>
              <w:rPr>
                <w:rFonts w:eastAsia="Arial" w:cs="Arial"/>
                <w:sz w:val="20"/>
                <w:lang w:val="it-IT"/>
              </w:rPr>
            </w:pPr>
            <w:r w:rsidRPr="00F67F38">
              <w:rPr>
                <w:rFonts w:eastAsia="Arial" w:cs="Arial"/>
                <w:spacing w:val="-2"/>
                <w:sz w:val="20"/>
                <w:lang w:val="it-IT"/>
              </w:rPr>
              <w:t>10.60</w:t>
            </w:r>
          </w:p>
        </w:tc>
        <w:tc>
          <w:tcPr>
            <w:tcW w:w="961" w:type="dxa"/>
            <w:tcBorders>
              <w:left w:val="single" w:sz="4" w:space="0" w:color="000000"/>
            </w:tcBorders>
          </w:tcPr>
          <w:p w:rsidR="00F67F38" w:rsidRPr="00F67F38" w:rsidRDefault="00F67F38" w:rsidP="00F67F38">
            <w:pPr>
              <w:spacing w:before="82"/>
              <w:ind w:right="72"/>
              <w:jc w:val="right"/>
              <w:rPr>
                <w:rFonts w:eastAsia="Arial" w:cs="Arial"/>
                <w:sz w:val="20"/>
                <w:lang w:val="it-IT"/>
              </w:rPr>
            </w:pPr>
            <w:r w:rsidRPr="00F67F38">
              <w:rPr>
                <w:rFonts w:eastAsia="Arial" w:cs="Arial"/>
                <w:spacing w:val="-2"/>
                <w:sz w:val="20"/>
                <w:lang w:val="it-IT"/>
              </w:rPr>
              <w:t>11.52</w:t>
            </w:r>
          </w:p>
        </w:tc>
      </w:tr>
      <w:tr w:rsidR="00F67F38" w:rsidRPr="00F67F38" w:rsidTr="00C06D71">
        <w:trPr>
          <w:trHeight w:val="402"/>
        </w:trPr>
        <w:tc>
          <w:tcPr>
            <w:tcW w:w="1975" w:type="dxa"/>
            <w:tcBorders>
              <w:right w:val="single" w:sz="4" w:space="0" w:color="000000"/>
            </w:tcBorders>
          </w:tcPr>
          <w:p w:rsidR="00F67F38" w:rsidRPr="00F67F38" w:rsidRDefault="00F67F38" w:rsidP="00F67F38">
            <w:pPr>
              <w:spacing w:before="83"/>
              <w:ind w:right="67"/>
              <w:jc w:val="right"/>
              <w:rPr>
                <w:rFonts w:eastAsia="Arial" w:cs="Arial"/>
                <w:sz w:val="20"/>
                <w:lang w:val="it-IT"/>
              </w:rPr>
            </w:pPr>
            <w:r w:rsidRPr="00F67F38">
              <w:rPr>
                <w:rFonts w:eastAsia="Arial" w:cs="Arial"/>
                <w:spacing w:val="-4"/>
                <w:sz w:val="20"/>
                <w:lang w:val="it-IT"/>
              </w:rPr>
              <w:t>2017</w:t>
            </w:r>
          </w:p>
        </w:tc>
        <w:tc>
          <w:tcPr>
            <w:tcW w:w="960" w:type="dxa"/>
            <w:tcBorders>
              <w:left w:val="single" w:sz="4" w:space="0" w:color="000000"/>
              <w:right w:val="single" w:sz="4" w:space="0" w:color="000000"/>
            </w:tcBorders>
          </w:tcPr>
          <w:p w:rsidR="00F67F38" w:rsidRPr="00F67F38" w:rsidRDefault="00F67F38" w:rsidP="00F67F38">
            <w:pPr>
              <w:spacing w:before="83"/>
              <w:ind w:right="64"/>
              <w:jc w:val="right"/>
              <w:rPr>
                <w:rFonts w:eastAsia="Arial" w:cs="Arial"/>
                <w:sz w:val="20"/>
                <w:lang w:val="it-IT"/>
              </w:rPr>
            </w:pPr>
            <w:r w:rsidRPr="00F67F38">
              <w:rPr>
                <w:rFonts w:eastAsia="Arial" w:cs="Arial"/>
                <w:spacing w:val="-4"/>
                <w:sz w:val="20"/>
                <w:lang w:val="it-IT"/>
              </w:rPr>
              <w:t>4.17</w:t>
            </w:r>
          </w:p>
        </w:tc>
        <w:tc>
          <w:tcPr>
            <w:tcW w:w="1109" w:type="dxa"/>
            <w:tcBorders>
              <w:left w:val="single" w:sz="4" w:space="0" w:color="000000"/>
            </w:tcBorders>
          </w:tcPr>
          <w:p w:rsidR="00F67F38" w:rsidRPr="00F67F38" w:rsidRDefault="00F67F38" w:rsidP="00F67F38">
            <w:pPr>
              <w:spacing w:before="83"/>
              <w:ind w:right="218"/>
              <w:jc w:val="right"/>
              <w:rPr>
                <w:rFonts w:eastAsia="Arial" w:cs="Arial"/>
                <w:sz w:val="20"/>
                <w:lang w:val="it-IT"/>
              </w:rPr>
            </w:pPr>
            <w:r w:rsidRPr="00F67F38">
              <w:rPr>
                <w:rFonts w:eastAsia="Arial" w:cs="Arial"/>
                <w:spacing w:val="-4"/>
                <w:sz w:val="20"/>
                <w:lang w:val="it-IT"/>
              </w:rPr>
              <w:t>6.58</w:t>
            </w:r>
          </w:p>
        </w:tc>
        <w:tc>
          <w:tcPr>
            <w:tcW w:w="812" w:type="dxa"/>
            <w:tcBorders>
              <w:right w:val="single" w:sz="4" w:space="0" w:color="000000"/>
            </w:tcBorders>
          </w:tcPr>
          <w:p w:rsidR="00F67F38" w:rsidRPr="00F67F38" w:rsidRDefault="00F67F38" w:rsidP="00F67F38">
            <w:pPr>
              <w:spacing w:before="83"/>
              <w:ind w:right="65"/>
              <w:jc w:val="right"/>
              <w:rPr>
                <w:rFonts w:eastAsia="Arial" w:cs="Arial"/>
                <w:sz w:val="20"/>
                <w:lang w:val="it-IT"/>
              </w:rPr>
            </w:pPr>
            <w:r w:rsidRPr="00F67F38">
              <w:rPr>
                <w:rFonts w:eastAsia="Arial" w:cs="Arial"/>
                <w:spacing w:val="-4"/>
                <w:sz w:val="20"/>
                <w:lang w:val="it-IT"/>
              </w:rPr>
              <w:t>8.12</w:t>
            </w:r>
          </w:p>
        </w:tc>
        <w:tc>
          <w:tcPr>
            <w:tcW w:w="961" w:type="dxa"/>
            <w:tcBorders>
              <w:left w:val="single" w:sz="4" w:space="0" w:color="000000"/>
              <w:right w:val="single" w:sz="4" w:space="0" w:color="000000"/>
            </w:tcBorders>
          </w:tcPr>
          <w:p w:rsidR="00F67F38" w:rsidRPr="00F67F38" w:rsidRDefault="00F67F38" w:rsidP="00F67F38">
            <w:pPr>
              <w:spacing w:before="83"/>
              <w:ind w:right="66"/>
              <w:jc w:val="right"/>
              <w:rPr>
                <w:rFonts w:eastAsia="Arial" w:cs="Arial"/>
                <w:sz w:val="20"/>
                <w:lang w:val="it-IT"/>
              </w:rPr>
            </w:pPr>
            <w:r w:rsidRPr="00F67F38">
              <w:rPr>
                <w:rFonts w:eastAsia="Arial" w:cs="Arial"/>
                <w:spacing w:val="-2"/>
                <w:sz w:val="20"/>
                <w:lang w:val="it-IT"/>
              </w:rPr>
              <w:t>10.14</w:t>
            </w:r>
          </w:p>
        </w:tc>
        <w:tc>
          <w:tcPr>
            <w:tcW w:w="961" w:type="dxa"/>
            <w:tcBorders>
              <w:left w:val="single" w:sz="4" w:space="0" w:color="000000"/>
            </w:tcBorders>
          </w:tcPr>
          <w:p w:rsidR="00F67F38" w:rsidRPr="00F67F38" w:rsidRDefault="00F67F38" w:rsidP="00F67F38">
            <w:pPr>
              <w:spacing w:before="83"/>
              <w:ind w:right="72"/>
              <w:jc w:val="right"/>
              <w:rPr>
                <w:rFonts w:eastAsia="Arial" w:cs="Arial"/>
                <w:sz w:val="20"/>
                <w:lang w:val="it-IT"/>
              </w:rPr>
            </w:pPr>
            <w:r w:rsidRPr="00F67F38">
              <w:rPr>
                <w:rFonts w:eastAsia="Arial" w:cs="Arial"/>
                <w:spacing w:val="-2"/>
                <w:sz w:val="20"/>
                <w:lang w:val="it-IT"/>
              </w:rPr>
              <w:t>11.11</w:t>
            </w:r>
          </w:p>
        </w:tc>
      </w:tr>
      <w:tr w:rsidR="00F67F38" w:rsidRPr="00F67F38" w:rsidTr="00C06D71">
        <w:trPr>
          <w:trHeight w:val="401"/>
        </w:trPr>
        <w:tc>
          <w:tcPr>
            <w:tcW w:w="1975" w:type="dxa"/>
            <w:tcBorders>
              <w:right w:val="single" w:sz="4" w:space="0" w:color="000000"/>
            </w:tcBorders>
          </w:tcPr>
          <w:p w:rsidR="00F67F38" w:rsidRPr="00F67F38" w:rsidRDefault="00F67F38" w:rsidP="00F67F38">
            <w:pPr>
              <w:spacing w:before="82"/>
              <w:ind w:right="67"/>
              <w:jc w:val="right"/>
              <w:rPr>
                <w:rFonts w:eastAsia="Arial" w:cs="Arial"/>
                <w:sz w:val="20"/>
                <w:lang w:val="it-IT"/>
              </w:rPr>
            </w:pPr>
            <w:r w:rsidRPr="00F67F38">
              <w:rPr>
                <w:rFonts w:eastAsia="Arial" w:cs="Arial"/>
                <w:spacing w:val="-4"/>
                <w:sz w:val="20"/>
                <w:lang w:val="it-IT"/>
              </w:rPr>
              <w:t>2018</w:t>
            </w:r>
          </w:p>
        </w:tc>
        <w:tc>
          <w:tcPr>
            <w:tcW w:w="960" w:type="dxa"/>
            <w:tcBorders>
              <w:left w:val="single" w:sz="4" w:space="0" w:color="000000"/>
              <w:right w:val="single" w:sz="4" w:space="0" w:color="000000"/>
            </w:tcBorders>
          </w:tcPr>
          <w:p w:rsidR="00F67F38" w:rsidRPr="00F67F38" w:rsidRDefault="00F67F38" w:rsidP="00F67F38">
            <w:pPr>
              <w:spacing w:before="82"/>
              <w:ind w:right="64"/>
              <w:jc w:val="right"/>
              <w:rPr>
                <w:rFonts w:eastAsia="Arial" w:cs="Arial"/>
                <w:sz w:val="20"/>
                <w:lang w:val="it-IT"/>
              </w:rPr>
            </w:pPr>
            <w:r w:rsidRPr="00F67F38">
              <w:rPr>
                <w:rFonts w:eastAsia="Arial" w:cs="Arial"/>
                <w:spacing w:val="-4"/>
                <w:sz w:val="20"/>
                <w:lang w:val="it-IT"/>
              </w:rPr>
              <w:t>4.16</w:t>
            </w:r>
          </w:p>
        </w:tc>
        <w:tc>
          <w:tcPr>
            <w:tcW w:w="1109" w:type="dxa"/>
            <w:tcBorders>
              <w:left w:val="single" w:sz="4" w:space="0" w:color="000000"/>
            </w:tcBorders>
          </w:tcPr>
          <w:p w:rsidR="00F67F38" w:rsidRPr="00F67F38" w:rsidRDefault="00F67F38" w:rsidP="00F67F38">
            <w:pPr>
              <w:spacing w:before="82"/>
              <w:ind w:right="218"/>
              <w:jc w:val="right"/>
              <w:rPr>
                <w:rFonts w:eastAsia="Arial" w:cs="Arial"/>
                <w:sz w:val="20"/>
                <w:lang w:val="it-IT"/>
              </w:rPr>
            </w:pPr>
            <w:r w:rsidRPr="00F67F38">
              <w:rPr>
                <w:rFonts w:eastAsia="Arial" w:cs="Arial"/>
                <w:spacing w:val="-4"/>
                <w:sz w:val="20"/>
                <w:lang w:val="it-IT"/>
              </w:rPr>
              <w:t>6.28</w:t>
            </w:r>
          </w:p>
        </w:tc>
        <w:tc>
          <w:tcPr>
            <w:tcW w:w="812" w:type="dxa"/>
            <w:tcBorders>
              <w:right w:val="single" w:sz="4" w:space="0" w:color="000000"/>
            </w:tcBorders>
          </w:tcPr>
          <w:p w:rsidR="00F67F38" w:rsidRPr="00F67F38" w:rsidRDefault="00F67F38" w:rsidP="00F67F38">
            <w:pPr>
              <w:spacing w:before="82"/>
              <w:ind w:right="65"/>
              <w:jc w:val="right"/>
              <w:rPr>
                <w:rFonts w:eastAsia="Arial" w:cs="Arial"/>
                <w:sz w:val="20"/>
                <w:lang w:val="it-IT"/>
              </w:rPr>
            </w:pPr>
            <w:r w:rsidRPr="00F67F38">
              <w:rPr>
                <w:rFonts w:eastAsia="Arial" w:cs="Arial"/>
                <w:spacing w:val="-4"/>
                <w:sz w:val="20"/>
                <w:lang w:val="it-IT"/>
              </w:rPr>
              <w:t>7.65</w:t>
            </w:r>
          </w:p>
        </w:tc>
        <w:tc>
          <w:tcPr>
            <w:tcW w:w="961" w:type="dxa"/>
            <w:tcBorders>
              <w:left w:val="single" w:sz="4" w:space="0" w:color="000000"/>
              <w:right w:val="single" w:sz="4" w:space="0" w:color="000000"/>
            </w:tcBorders>
          </w:tcPr>
          <w:p w:rsidR="00F67F38" w:rsidRPr="00F67F38" w:rsidRDefault="00F67F38" w:rsidP="00F67F38">
            <w:pPr>
              <w:spacing w:before="82"/>
              <w:ind w:right="66"/>
              <w:jc w:val="right"/>
              <w:rPr>
                <w:rFonts w:eastAsia="Arial" w:cs="Arial"/>
                <w:sz w:val="20"/>
                <w:lang w:val="it-IT"/>
              </w:rPr>
            </w:pPr>
            <w:r w:rsidRPr="00F67F38">
              <w:rPr>
                <w:rFonts w:eastAsia="Arial" w:cs="Arial"/>
                <w:spacing w:val="-4"/>
                <w:sz w:val="20"/>
                <w:lang w:val="it-IT"/>
              </w:rPr>
              <w:t>9.50</w:t>
            </w:r>
          </w:p>
        </w:tc>
        <w:tc>
          <w:tcPr>
            <w:tcW w:w="961" w:type="dxa"/>
            <w:tcBorders>
              <w:left w:val="single" w:sz="4" w:space="0" w:color="000000"/>
            </w:tcBorders>
          </w:tcPr>
          <w:p w:rsidR="00F67F38" w:rsidRPr="00F67F38" w:rsidRDefault="00F67F38" w:rsidP="00F67F38">
            <w:pPr>
              <w:spacing w:before="82"/>
              <w:ind w:right="72"/>
              <w:jc w:val="right"/>
              <w:rPr>
                <w:rFonts w:eastAsia="Arial" w:cs="Arial"/>
                <w:sz w:val="20"/>
                <w:lang w:val="it-IT"/>
              </w:rPr>
            </w:pPr>
            <w:r w:rsidRPr="00F67F38">
              <w:rPr>
                <w:rFonts w:eastAsia="Arial" w:cs="Arial"/>
                <w:spacing w:val="-2"/>
                <w:sz w:val="20"/>
                <w:lang w:val="it-IT"/>
              </w:rPr>
              <w:t>10.15</w:t>
            </w:r>
          </w:p>
        </w:tc>
      </w:tr>
      <w:tr w:rsidR="00F67F38" w:rsidRPr="00F67F38" w:rsidTr="00C06D71">
        <w:trPr>
          <w:trHeight w:val="313"/>
        </w:trPr>
        <w:tc>
          <w:tcPr>
            <w:tcW w:w="1975" w:type="dxa"/>
            <w:tcBorders>
              <w:bottom w:val="single" w:sz="4" w:space="0" w:color="000000"/>
              <w:right w:val="single" w:sz="4" w:space="0" w:color="000000"/>
            </w:tcBorders>
          </w:tcPr>
          <w:p w:rsidR="00F67F38" w:rsidRPr="00F67F38" w:rsidRDefault="00F67F38" w:rsidP="00F67F38">
            <w:pPr>
              <w:spacing w:before="83" w:line="211" w:lineRule="exact"/>
              <w:ind w:right="67"/>
              <w:jc w:val="right"/>
              <w:rPr>
                <w:rFonts w:eastAsia="Arial" w:cs="Arial"/>
                <w:sz w:val="20"/>
                <w:lang w:val="it-IT"/>
              </w:rPr>
            </w:pPr>
            <w:r w:rsidRPr="00F67F38">
              <w:rPr>
                <w:rFonts w:eastAsia="Arial" w:cs="Arial"/>
                <w:spacing w:val="-4"/>
                <w:sz w:val="20"/>
                <w:lang w:val="it-IT"/>
              </w:rPr>
              <w:t>2019</w:t>
            </w:r>
          </w:p>
        </w:tc>
        <w:tc>
          <w:tcPr>
            <w:tcW w:w="960" w:type="dxa"/>
            <w:tcBorders>
              <w:left w:val="single" w:sz="4" w:space="0" w:color="000000"/>
              <w:bottom w:val="single" w:sz="4" w:space="0" w:color="000000"/>
              <w:right w:val="single" w:sz="4" w:space="0" w:color="000000"/>
            </w:tcBorders>
          </w:tcPr>
          <w:p w:rsidR="00F67F38" w:rsidRPr="00F67F38" w:rsidRDefault="00F67F38" w:rsidP="00F67F38">
            <w:pPr>
              <w:spacing w:before="83" w:line="211" w:lineRule="exact"/>
              <w:ind w:right="64"/>
              <w:jc w:val="right"/>
              <w:rPr>
                <w:rFonts w:eastAsia="Arial" w:cs="Arial"/>
                <w:sz w:val="20"/>
                <w:lang w:val="it-IT"/>
              </w:rPr>
            </w:pPr>
            <w:r w:rsidRPr="00F67F38">
              <w:rPr>
                <w:rFonts w:eastAsia="Arial" w:cs="Arial"/>
                <w:spacing w:val="-4"/>
                <w:sz w:val="20"/>
                <w:lang w:val="it-IT"/>
              </w:rPr>
              <w:t>4.11</w:t>
            </w:r>
          </w:p>
        </w:tc>
        <w:tc>
          <w:tcPr>
            <w:tcW w:w="1109" w:type="dxa"/>
            <w:tcBorders>
              <w:left w:val="single" w:sz="4" w:space="0" w:color="000000"/>
              <w:bottom w:val="single" w:sz="4" w:space="0" w:color="000000"/>
            </w:tcBorders>
          </w:tcPr>
          <w:p w:rsidR="00F67F38" w:rsidRPr="00F67F38" w:rsidRDefault="00F67F38" w:rsidP="00F67F38">
            <w:pPr>
              <w:spacing w:before="83" w:line="211" w:lineRule="exact"/>
              <w:ind w:right="218"/>
              <w:jc w:val="right"/>
              <w:rPr>
                <w:rFonts w:eastAsia="Arial" w:cs="Arial"/>
                <w:sz w:val="20"/>
                <w:lang w:val="it-IT"/>
              </w:rPr>
            </w:pPr>
            <w:r w:rsidRPr="00F67F38">
              <w:rPr>
                <w:rFonts w:eastAsia="Arial" w:cs="Arial"/>
                <w:spacing w:val="-4"/>
                <w:sz w:val="20"/>
                <w:lang w:val="it-IT"/>
              </w:rPr>
              <w:t>6.38</w:t>
            </w:r>
          </w:p>
        </w:tc>
        <w:tc>
          <w:tcPr>
            <w:tcW w:w="812" w:type="dxa"/>
            <w:tcBorders>
              <w:bottom w:val="single" w:sz="4" w:space="0" w:color="000000"/>
              <w:right w:val="single" w:sz="4" w:space="0" w:color="000000"/>
            </w:tcBorders>
          </w:tcPr>
          <w:p w:rsidR="00F67F38" w:rsidRPr="00F67F38" w:rsidRDefault="00F67F38" w:rsidP="00F67F38">
            <w:pPr>
              <w:spacing w:before="83" w:line="211" w:lineRule="exact"/>
              <w:ind w:right="65"/>
              <w:jc w:val="right"/>
              <w:rPr>
                <w:rFonts w:eastAsia="Arial" w:cs="Arial"/>
                <w:sz w:val="20"/>
                <w:lang w:val="it-IT"/>
              </w:rPr>
            </w:pPr>
            <w:r w:rsidRPr="00F67F38">
              <w:rPr>
                <w:rFonts w:eastAsia="Arial" w:cs="Arial"/>
                <w:spacing w:val="-4"/>
                <w:sz w:val="20"/>
                <w:lang w:val="it-IT"/>
              </w:rPr>
              <w:t>7.66</w:t>
            </w:r>
          </w:p>
        </w:tc>
        <w:tc>
          <w:tcPr>
            <w:tcW w:w="961" w:type="dxa"/>
            <w:tcBorders>
              <w:left w:val="single" w:sz="4" w:space="0" w:color="000000"/>
              <w:bottom w:val="single" w:sz="4" w:space="0" w:color="000000"/>
              <w:right w:val="single" w:sz="4" w:space="0" w:color="000000"/>
            </w:tcBorders>
          </w:tcPr>
          <w:p w:rsidR="00F67F38" w:rsidRPr="00F67F38" w:rsidRDefault="00F67F38" w:rsidP="00F67F38">
            <w:pPr>
              <w:spacing w:before="83" w:line="211" w:lineRule="exact"/>
              <w:ind w:right="66"/>
              <w:jc w:val="right"/>
              <w:rPr>
                <w:rFonts w:eastAsia="Arial" w:cs="Arial"/>
                <w:sz w:val="20"/>
                <w:lang w:val="it-IT"/>
              </w:rPr>
            </w:pPr>
            <w:r w:rsidRPr="00F67F38">
              <w:rPr>
                <w:rFonts w:eastAsia="Arial" w:cs="Arial"/>
                <w:spacing w:val="-4"/>
                <w:sz w:val="20"/>
                <w:lang w:val="it-IT"/>
              </w:rPr>
              <w:t>9.27</w:t>
            </w:r>
          </w:p>
        </w:tc>
        <w:tc>
          <w:tcPr>
            <w:tcW w:w="961" w:type="dxa"/>
            <w:tcBorders>
              <w:left w:val="single" w:sz="4" w:space="0" w:color="000000"/>
              <w:bottom w:val="single" w:sz="4" w:space="0" w:color="000000"/>
            </w:tcBorders>
          </w:tcPr>
          <w:p w:rsidR="00F67F38" w:rsidRPr="00F67F38" w:rsidRDefault="00F67F38" w:rsidP="00F67F38">
            <w:pPr>
              <w:spacing w:before="83" w:line="211" w:lineRule="exact"/>
              <w:ind w:right="72"/>
              <w:jc w:val="right"/>
              <w:rPr>
                <w:rFonts w:eastAsia="Arial" w:cs="Arial"/>
                <w:sz w:val="20"/>
                <w:lang w:val="it-IT"/>
              </w:rPr>
            </w:pPr>
            <w:r w:rsidRPr="00F67F38">
              <w:rPr>
                <w:rFonts w:eastAsia="Arial" w:cs="Arial"/>
                <w:spacing w:val="-2"/>
                <w:sz w:val="20"/>
                <w:lang w:val="it-IT"/>
              </w:rPr>
              <w:t>10.21</w:t>
            </w:r>
          </w:p>
        </w:tc>
      </w:tr>
      <w:tr w:rsidR="00F67F38" w:rsidRPr="00F67F38" w:rsidTr="00C06D71">
        <w:trPr>
          <w:trHeight w:val="765"/>
        </w:trPr>
        <w:tc>
          <w:tcPr>
            <w:tcW w:w="1975" w:type="dxa"/>
            <w:tcBorders>
              <w:top w:val="single" w:sz="4" w:space="0" w:color="000000"/>
              <w:bottom w:val="single" w:sz="4" w:space="0" w:color="000000"/>
              <w:right w:val="single" w:sz="4" w:space="0" w:color="000000"/>
            </w:tcBorders>
          </w:tcPr>
          <w:p w:rsidR="00F67F38" w:rsidRPr="00F67F38" w:rsidRDefault="00F67F38" w:rsidP="00F67F38">
            <w:pPr>
              <w:spacing w:before="35"/>
              <w:ind w:left="714" w:right="64"/>
              <w:rPr>
                <w:rFonts w:eastAsia="Arial" w:cs="Arial"/>
                <w:b/>
                <w:sz w:val="20"/>
                <w:lang w:val="it-IT"/>
              </w:rPr>
            </w:pPr>
            <w:r w:rsidRPr="00F67F38">
              <w:rPr>
                <w:rFonts w:eastAsia="Arial" w:cs="Arial"/>
                <w:b/>
                <w:spacing w:val="-2"/>
                <w:sz w:val="20"/>
                <w:lang w:val="it-IT"/>
              </w:rPr>
              <w:t xml:space="preserve">Diminuzione </w:t>
            </w:r>
            <w:r w:rsidRPr="00F67F38">
              <w:rPr>
                <w:rFonts w:eastAsia="Arial" w:cs="Arial"/>
                <w:b/>
                <w:sz w:val="20"/>
                <w:lang w:val="it-IT"/>
              </w:rPr>
              <w:t>media</w:t>
            </w:r>
            <w:r w:rsidRPr="00F67F38">
              <w:rPr>
                <w:rFonts w:eastAsia="Arial" w:cs="Arial"/>
                <w:b/>
                <w:spacing w:val="-9"/>
                <w:sz w:val="20"/>
                <w:lang w:val="it-IT"/>
              </w:rPr>
              <w:t xml:space="preserve"> </w:t>
            </w:r>
            <w:r w:rsidRPr="00F67F38">
              <w:rPr>
                <w:rFonts w:eastAsia="Arial" w:cs="Arial"/>
                <w:b/>
                <w:sz w:val="20"/>
                <w:lang w:val="it-IT"/>
              </w:rPr>
              <w:t>annua</w:t>
            </w:r>
            <w:r w:rsidRPr="00F67F38">
              <w:rPr>
                <w:rFonts w:eastAsia="Arial" w:cs="Arial"/>
                <w:b/>
                <w:spacing w:val="-6"/>
                <w:sz w:val="20"/>
                <w:lang w:val="it-IT"/>
              </w:rPr>
              <w:t xml:space="preserve"> </w:t>
            </w:r>
            <w:r w:rsidRPr="00F67F38">
              <w:rPr>
                <w:rFonts w:eastAsia="Arial" w:cs="Arial"/>
                <w:b/>
                <w:spacing w:val="-4"/>
                <w:sz w:val="20"/>
                <w:lang w:val="it-IT"/>
              </w:rPr>
              <w:t>2012-</w:t>
            </w:r>
          </w:p>
          <w:p w:rsidR="00F67F38" w:rsidRPr="00F67F38" w:rsidRDefault="00F67F38" w:rsidP="00F67F38">
            <w:pPr>
              <w:spacing w:line="228" w:lineRule="exact"/>
              <w:ind w:right="67"/>
              <w:jc w:val="center"/>
              <w:rPr>
                <w:rFonts w:eastAsia="Arial" w:cs="Arial"/>
                <w:b/>
                <w:sz w:val="20"/>
                <w:lang w:val="it-IT"/>
              </w:rPr>
            </w:pPr>
            <w:r w:rsidRPr="00F67F38">
              <w:rPr>
                <w:rFonts w:eastAsia="Arial" w:cs="Arial"/>
                <w:b/>
                <w:spacing w:val="-4"/>
                <w:sz w:val="20"/>
                <w:lang w:val="it-IT"/>
              </w:rPr>
              <w:t>2019</w:t>
            </w:r>
          </w:p>
        </w:tc>
        <w:tc>
          <w:tcPr>
            <w:tcW w:w="960" w:type="dxa"/>
            <w:tcBorders>
              <w:top w:val="single" w:sz="4" w:space="0" w:color="000000"/>
              <w:left w:val="single" w:sz="4" w:space="0" w:color="000000"/>
              <w:bottom w:val="single" w:sz="4" w:space="0" w:color="000000"/>
              <w:right w:val="single" w:sz="4" w:space="0" w:color="000000"/>
            </w:tcBorders>
          </w:tcPr>
          <w:p w:rsidR="00F67F38" w:rsidRPr="00F67F38" w:rsidRDefault="00F67F38" w:rsidP="00F67F38">
            <w:pPr>
              <w:spacing w:before="33"/>
              <w:rPr>
                <w:rFonts w:eastAsia="Arial" w:cs="Arial"/>
                <w:sz w:val="20"/>
                <w:lang w:val="it-IT"/>
              </w:rPr>
            </w:pPr>
          </w:p>
          <w:p w:rsidR="00F67F38" w:rsidRPr="00F67F38" w:rsidRDefault="00F67F38" w:rsidP="00F67F38">
            <w:pPr>
              <w:ind w:right="62"/>
              <w:jc w:val="right"/>
              <w:rPr>
                <w:rFonts w:eastAsia="Arial" w:cs="Arial"/>
                <w:b/>
                <w:sz w:val="20"/>
                <w:lang w:val="it-IT"/>
              </w:rPr>
            </w:pPr>
            <w:r w:rsidRPr="00F67F38">
              <w:rPr>
                <w:rFonts w:eastAsia="Arial" w:cs="Arial"/>
                <w:b/>
                <w:spacing w:val="-2"/>
                <w:sz w:val="20"/>
                <w:lang w:val="it-IT"/>
              </w:rPr>
              <w:t>-</w:t>
            </w:r>
            <w:r w:rsidRPr="00F67F38">
              <w:rPr>
                <w:rFonts w:eastAsia="Arial" w:cs="Arial"/>
                <w:b/>
                <w:spacing w:val="-4"/>
                <w:sz w:val="20"/>
                <w:lang w:val="it-IT"/>
              </w:rPr>
              <w:t>1.9%</w:t>
            </w:r>
          </w:p>
        </w:tc>
        <w:tc>
          <w:tcPr>
            <w:tcW w:w="1109" w:type="dxa"/>
            <w:tcBorders>
              <w:top w:val="single" w:sz="4" w:space="0" w:color="000000"/>
              <w:left w:val="single" w:sz="4" w:space="0" w:color="000000"/>
              <w:bottom w:val="single" w:sz="4" w:space="0" w:color="000000"/>
            </w:tcBorders>
          </w:tcPr>
          <w:p w:rsidR="00F67F38" w:rsidRDefault="00F67F38" w:rsidP="00F67F38">
            <w:pPr>
              <w:ind w:right="216"/>
              <w:jc w:val="center"/>
              <w:rPr>
                <w:rFonts w:eastAsia="Arial" w:cs="Arial"/>
                <w:b/>
                <w:spacing w:val="-2"/>
                <w:sz w:val="20"/>
                <w:lang w:val="it-IT"/>
              </w:rPr>
            </w:pPr>
          </w:p>
          <w:p w:rsidR="00F67F38" w:rsidRPr="00F67F38" w:rsidRDefault="00F67F38" w:rsidP="00F67F38">
            <w:pPr>
              <w:ind w:right="216"/>
              <w:jc w:val="right"/>
              <w:rPr>
                <w:rFonts w:eastAsia="Arial" w:cs="Arial"/>
                <w:b/>
                <w:sz w:val="20"/>
                <w:lang w:val="it-IT"/>
              </w:rPr>
            </w:pPr>
            <w:r w:rsidRPr="00F67F38">
              <w:rPr>
                <w:rFonts w:eastAsia="Arial" w:cs="Arial"/>
                <w:b/>
                <w:spacing w:val="-2"/>
                <w:sz w:val="20"/>
                <w:lang w:val="it-IT"/>
              </w:rPr>
              <w:t>-</w:t>
            </w:r>
            <w:r w:rsidRPr="00F67F38">
              <w:rPr>
                <w:rFonts w:eastAsia="Arial" w:cs="Arial"/>
                <w:b/>
                <w:spacing w:val="-4"/>
                <w:sz w:val="20"/>
                <w:lang w:val="it-IT"/>
              </w:rPr>
              <w:t>1.8%</w:t>
            </w:r>
          </w:p>
        </w:tc>
        <w:tc>
          <w:tcPr>
            <w:tcW w:w="812" w:type="dxa"/>
            <w:tcBorders>
              <w:top w:val="single" w:sz="4" w:space="0" w:color="000000"/>
              <w:bottom w:val="single" w:sz="4" w:space="0" w:color="000000"/>
              <w:right w:val="single" w:sz="4" w:space="0" w:color="000000"/>
            </w:tcBorders>
          </w:tcPr>
          <w:p w:rsidR="00F67F38" w:rsidRPr="00F67F38" w:rsidRDefault="00F67F38" w:rsidP="00F67F38">
            <w:pPr>
              <w:spacing w:before="33"/>
              <w:rPr>
                <w:rFonts w:eastAsia="Arial" w:cs="Arial"/>
                <w:sz w:val="20"/>
                <w:lang w:val="it-IT"/>
              </w:rPr>
            </w:pPr>
          </w:p>
          <w:p w:rsidR="00F67F38" w:rsidRPr="00F67F38" w:rsidRDefault="00F67F38" w:rsidP="00F67F38">
            <w:pPr>
              <w:ind w:right="63"/>
              <w:jc w:val="right"/>
              <w:rPr>
                <w:rFonts w:eastAsia="Arial" w:cs="Arial"/>
                <w:b/>
                <w:sz w:val="20"/>
                <w:lang w:val="it-IT"/>
              </w:rPr>
            </w:pPr>
            <w:r w:rsidRPr="00F67F38">
              <w:rPr>
                <w:rFonts w:eastAsia="Arial" w:cs="Arial"/>
                <w:b/>
                <w:spacing w:val="-2"/>
                <w:sz w:val="20"/>
                <w:lang w:val="it-IT"/>
              </w:rPr>
              <w:t>-</w:t>
            </w:r>
            <w:r w:rsidRPr="00F67F38">
              <w:rPr>
                <w:rFonts w:eastAsia="Arial" w:cs="Arial"/>
                <w:b/>
                <w:spacing w:val="-4"/>
                <w:sz w:val="20"/>
                <w:lang w:val="it-IT"/>
              </w:rPr>
              <w:t>2.0%</w:t>
            </w:r>
          </w:p>
        </w:tc>
        <w:tc>
          <w:tcPr>
            <w:tcW w:w="961" w:type="dxa"/>
            <w:tcBorders>
              <w:top w:val="single" w:sz="4" w:space="0" w:color="000000"/>
              <w:left w:val="single" w:sz="4" w:space="0" w:color="000000"/>
              <w:bottom w:val="single" w:sz="4" w:space="0" w:color="000000"/>
              <w:right w:val="single" w:sz="4" w:space="0" w:color="000000"/>
            </w:tcBorders>
          </w:tcPr>
          <w:p w:rsidR="00F67F38" w:rsidRPr="00F67F38" w:rsidRDefault="00F67F38" w:rsidP="00F67F38">
            <w:pPr>
              <w:spacing w:before="33"/>
              <w:rPr>
                <w:rFonts w:eastAsia="Arial" w:cs="Arial"/>
                <w:sz w:val="20"/>
                <w:lang w:val="it-IT"/>
              </w:rPr>
            </w:pPr>
          </w:p>
          <w:p w:rsidR="00F67F38" w:rsidRPr="00F67F38" w:rsidRDefault="00F67F38" w:rsidP="00F67F38">
            <w:pPr>
              <w:ind w:right="64"/>
              <w:jc w:val="right"/>
              <w:rPr>
                <w:rFonts w:eastAsia="Arial" w:cs="Arial"/>
                <w:b/>
                <w:sz w:val="20"/>
                <w:lang w:val="it-IT"/>
              </w:rPr>
            </w:pPr>
            <w:r w:rsidRPr="00F67F38">
              <w:rPr>
                <w:rFonts w:eastAsia="Arial" w:cs="Arial"/>
                <w:b/>
                <w:spacing w:val="-2"/>
                <w:sz w:val="20"/>
                <w:lang w:val="it-IT"/>
              </w:rPr>
              <w:t>-</w:t>
            </w:r>
            <w:r w:rsidRPr="00F67F38">
              <w:rPr>
                <w:rFonts w:eastAsia="Arial" w:cs="Arial"/>
                <w:b/>
                <w:spacing w:val="-4"/>
                <w:sz w:val="20"/>
                <w:lang w:val="it-IT"/>
              </w:rPr>
              <w:t>2.7%</w:t>
            </w:r>
          </w:p>
        </w:tc>
        <w:tc>
          <w:tcPr>
            <w:tcW w:w="961" w:type="dxa"/>
            <w:tcBorders>
              <w:top w:val="single" w:sz="4" w:space="0" w:color="000000"/>
              <w:left w:val="single" w:sz="4" w:space="0" w:color="000000"/>
              <w:bottom w:val="single" w:sz="4" w:space="0" w:color="000000"/>
            </w:tcBorders>
          </w:tcPr>
          <w:p w:rsidR="00F67F38" w:rsidRPr="00F67F38" w:rsidRDefault="00F67F38" w:rsidP="00F67F38">
            <w:pPr>
              <w:spacing w:before="33"/>
              <w:rPr>
                <w:rFonts w:eastAsia="Arial" w:cs="Arial"/>
                <w:sz w:val="20"/>
                <w:lang w:val="it-IT"/>
              </w:rPr>
            </w:pPr>
          </w:p>
          <w:p w:rsidR="00F67F38" w:rsidRPr="00F67F38" w:rsidRDefault="00F67F38" w:rsidP="00F67F38">
            <w:pPr>
              <w:ind w:right="70"/>
              <w:jc w:val="right"/>
              <w:rPr>
                <w:rFonts w:eastAsia="Arial" w:cs="Arial"/>
                <w:b/>
                <w:sz w:val="20"/>
                <w:lang w:val="it-IT"/>
              </w:rPr>
            </w:pPr>
            <w:r w:rsidRPr="00F67F38">
              <w:rPr>
                <w:rFonts w:eastAsia="Arial" w:cs="Arial"/>
                <w:b/>
                <w:spacing w:val="-2"/>
                <w:sz w:val="20"/>
                <w:lang w:val="it-IT"/>
              </w:rPr>
              <w:t>-</w:t>
            </w:r>
            <w:r w:rsidRPr="00F67F38">
              <w:rPr>
                <w:rFonts w:eastAsia="Arial" w:cs="Arial"/>
                <w:b/>
                <w:spacing w:val="-4"/>
                <w:sz w:val="20"/>
                <w:lang w:val="it-IT"/>
              </w:rPr>
              <w:t>2.8%</w:t>
            </w:r>
          </w:p>
        </w:tc>
      </w:tr>
    </w:tbl>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Default="001F439F" w:rsidP="00C210A6">
      <w:pPr>
        <w:pStyle w:val="StandardRisoluzionedelConsigliodiStato"/>
        <w:ind w:left="567" w:right="-1"/>
      </w:pPr>
      <w:r>
        <w:t>Inol</w:t>
      </w:r>
      <w:r w:rsidR="00B034E9">
        <w:t>tre, la durata di degenza ha un'influenza solo relativa sull'esito della P</w:t>
      </w:r>
      <w:r>
        <w:t>ianificazione ospedaliera. Quest’ultima deve in effetti basarsi sulle prestazioni (casi) e non sulle giornate. Le giornate di cura (derivanti dalla durata media di degenza) influenzano le capacità in termini di letti, che tuttavia per il settore somatico­acuto non possono più essere pianificati, ma la cui stima è lasciata ai s</w:t>
      </w:r>
      <w:r w:rsidR="00C210A6">
        <w:t>ingoli fornitori di prestazione.</w:t>
      </w:r>
    </w:p>
    <w:p w:rsidR="001F439F" w:rsidRDefault="001F439F" w:rsidP="001F439F">
      <w:pPr>
        <w:pStyle w:val="StandardRisoluzionedelConsigliodiStato"/>
        <w:ind w:right="-1"/>
      </w:pPr>
    </w:p>
    <w:p w:rsidR="001F439F" w:rsidRDefault="00B034E9" w:rsidP="00C64DEF">
      <w:pPr>
        <w:pStyle w:val="StandardRisoluzionedelConsigliodiStato"/>
        <w:numPr>
          <w:ilvl w:val="1"/>
          <w:numId w:val="48"/>
        </w:numPr>
        <w:ind w:left="567" w:right="-1" w:hanging="283"/>
      </w:pPr>
      <w:r>
        <w:t xml:space="preserve">Circa </w:t>
      </w:r>
      <w:r w:rsidRPr="00C210A6">
        <w:rPr>
          <w:u w:val="single"/>
        </w:rPr>
        <w:t>l'</w:t>
      </w:r>
      <w:r w:rsidR="001F439F" w:rsidRPr="00C210A6">
        <w:rPr>
          <w:u w:val="single"/>
        </w:rPr>
        <w:t>allineamento al tasso di ospedalizzazione svizzero</w:t>
      </w:r>
      <w:r w:rsidR="00C210A6">
        <w:rPr>
          <w:u w:val="single"/>
        </w:rPr>
        <w:t>.</w:t>
      </w:r>
    </w:p>
    <w:p w:rsidR="001F439F" w:rsidRDefault="001F439F" w:rsidP="00C210A6">
      <w:pPr>
        <w:pStyle w:val="StandardRisoluzionedelConsigliodiStato"/>
        <w:ind w:left="567" w:right="-1"/>
      </w:pPr>
      <w:r>
        <w:t>Il</w:t>
      </w:r>
      <w:r w:rsidR="00C210A6">
        <w:t xml:space="preserve"> modello della GD­ZH parte dall'</w:t>
      </w:r>
      <w:r>
        <w:t>assunto che n</w:t>
      </w:r>
      <w:r w:rsidR="00C210A6">
        <w:t>ell'</w:t>
      </w:r>
      <w:r>
        <w:t>ambito sanitario (e anche nel settore stazionario somatico­acuto) esista una sovra offerta e non una sotto dotazione. Tale ipotesi è suffragata da studi scientifici indipe</w:t>
      </w:r>
      <w:r w:rsidR="00C210A6">
        <w:t>ndenti che dimostrano come nell'</w:t>
      </w:r>
      <w:r>
        <w:t>ambito stazionario somatico­acuto vi sia un poten</w:t>
      </w:r>
      <w:r w:rsidR="00C210A6">
        <w:t>ziale di miglioramento dell'efficienza nell'</w:t>
      </w:r>
      <w:r>
        <w:t>erogazione delle prestazioni del 20%.</w:t>
      </w:r>
    </w:p>
    <w:p w:rsidR="001F439F" w:rsidRDefault="001F439F" w:rsidP="00C210A6">
      <w:pPr>
        <w:pStyle w:val="StandardRisoluzionedelConsigliodiStato"/>
        <w:ind w:left="567" w:right="-1"/>
      </w:pPr>
      <w:r>
        <w:t xml:space="preserve">Va ricordato che le sentenze del TAF sulla POC 2015 hanno stigmatizzato le modifiche effettuate dal Cantone applicando criteri propri al modello scientifico scelto. Si ritiene </w:t>
      </w:r>
      <w:r w:rsidR="00C210A6">
        <w:t>pertanto che le risultanze dell'</w:t>
      </w:r>
      <w:r>
        <w:t>analisi della GD­</w:t>
      </w:r>
      <w:r w:rsidR="00C210A6">
        <w:t>ZH, non debbano essere corrette.</w:t>
      </w:r>
    </w:p>
    <w:p w:rsidR="001F439F" w:rsidRDefault="001F439F" w:rsidP="001F439F">
      <w:pPr>
        <w:pStyle w:val="StandardRisoluzionedelConsigliodiStato"/>
        <w:ind w:right="-1"/>
      </w:pPr>
    </w:p>
    <w:p w:rsidR="001F439F" w:rsidRPr="00C210A6" w:rsidRDefault="001F439F" w:rsidP="00C64DEF">
      <w:pPr>
        <w:pStyle w:val="StandardRisoluzionedelConsigliodiStato"/>
        <w:numPr>
          <w:ilvl w:val="1"/>
          <w:numId w:val="49"/>
        </w:numPr>
        <w:ind w:left="567" w:right="-1" w:hanging="283"/>
        <w:rPr>
          <w:u w:val="single"/>
        </w:rPr>
      </w:pPr>
      <w:r w:rsidRPr="00C210A6">
        <w:rPr>
          <w:u w:val="single"/>
        </w:rPr>
        <w:t>Variabilità degli scenari</w:t>
      </w:r>
      <w:r w:rsidR="00C210A6">
        <w:rPr>
          <w:u w:val="single"/>
        </w:rPr>
        <w:t>.</w:t>
      </w:r>
    </w:p>
    <w:p w:rsidR="001F439F" w:rsidRDefault="001F439F" w:rsidP="00C210A6">
      <w:pPr>
        <w:pStyle w:val="StandardRisoluzionedelConsigliodiStato"/>
        <w:ind w:left="567" w:right="-1"/>
      </w:pPr>
      <w:r>
        <w:t>La Commissione ha rilevato che la presentazione di tre scenari con uno scarto fra gli stessi di n</w:t>
      </w:r>
      <w:r w:rsidR="00C210A6">
        <w:t>otevole entità non favorisce un'</w:t>
      </w:r>
      <w:r>
        <w:t>analisi accurata del fabbisogno, né permette di identificare ove vi sia un esubero di offerta, documentata a livello svizzero attorno al 20%. Un altro appunto alla metodologia di Zurigo è relativo alla mancata considerazione del fattore epidemiologico, che ha portato alcuni membri a suggerire di adottare la previsione di casi dello scenario massimo, mentre altri hanno considerato troppo alto già lo scenario di riferimento.</w:t>
      </w:r>
    </w:p>
    <w:p w:rsidR="001F439F" w:rsidRDefault="001F439F" w:rsidP="001F439F">
      <w:pPr>
        <w:pStyle w:val="StandardRisoluzionedelConsigliodiStato"/>
        <w:ind w:right="-1"/>
      </w:pPr>
    </w:p>
    <w:p w:rsidR="001F439F" w:rsidRPr="00C210A6" w:rsidRDefault="00C210A6" w:rsidP="00C64DEF">
      <w:pPr>
        <w:pStyle w:val="StandardRisoluzionedelConsigliodiStato"/>
        <w:numPr>
          <w:ilvl w:val="1"/>
          <w:numId w:val="50"/>
        </w:numPr>
        <w:ind w:left="567" w:right="-1" w:hanging="283"/>
        <w:rPr>
          <w:u w:val="single"/>
        </w:rPr>
      </w:pPr>
      <w:r w:rsidRPr="00C210A6">
        <w:rPr>
          <w:u w:val="single"/>
        </w:rPr>
        <w:lastRenderedPageBreak/>
        <w:t>Coordinamento tra le varie P</w:t>
      </w:r>
      <w:r w:rsidR="001F439F" w:rsidRPr="00C210A6">
        <w:rPr>
          <w:u w:val="single"/>
        </w:rPr>
        <w:t>ianificazioni e incidenza delle modifiche legislative in atto</w:t>
      </w:r>
      <w:r>
        <w:rPr>
          <w:u w:val="single"/>
        </w:rPr>
        <w:t>.</w:t>
      </w:r>
    </w:p>
    <w:p w:rsidR="001F439F" w:rsidRDefault="001F439F" w:rsidP="00C210A6">
      <w:pPr>
        <w:pStyle w:val="StandardRisoluzionedelConsigliodiStato"/>
        <w:ind w:left="567" w:right="-1"/>
      </w:pPr>
      <w:r>
        <w:t>Sono state solle</w:t>
      </w:r>
      <w:r w:rsidR="00C210A6">
        <w:t>vate critiche relativamente all'allestimento delle P</w:t>
      </w:r>
      <w:r>
        <w:t xml:space="preserve">ianificazioni di settore senza considerare a sufficienza le interconnessioni tra le stesse (anziani e cure a domicilio – invalidi – sociopsichiatria), quando invece per garantire la stabilità e </w:t>
      </w:r>
      <w:r w:rsidR="00C210A6">
        <w:t>l'adeguatezza dell'</w:t>
      </w:r>
      <w:r>
        <w:t>offerta ospedaliera andrebbe rafforzata e coordinata la presa in carico a monte e a valle della degenza ospedaliera.</w:t>
      </w:r>
    </w:p>
    <w:p w:rsidR="001F439F" w:rsidRDefault="001F439F" w:rsidP="00C210A6">
      <w:pPr>
        <w:pStyle w:val="StandardRisoluzionedelConsigliodiStato"/>
        <w:ind w:left="567" w:right="-1"/>
      </w:pPr>
      <w:r>
        <w:t>Il Governo ritiene per contro che in realtà una risposta sia stata data con la Pianificazione integrata LAnz­LACD 2021­2030 (cfr. Messaggio n. 8095 del 15 dicembre 2021 approvato dal Gran Consiglio il 23 gennaio 2023), su uno scenario strat</w:t>
      </w:r>
      <w:r w:rsidR="00C210A6">
        <w:t>egico di sviluppo moderato dell'offerta stazionaria (+26% all'</w:t>
      </w:r>
      <w:r>
        <w:t>orizzonte 2030) e al rafforzamento invece del mantenimento a domicilio (+6</w:t>
      </w:r>
      <w:r w:rsidR="00C210A6">
        <w:t>2%) e dei servizi d'</w:t>
      </w:r>
      <w:r>
        <w:t>appoggio e aiuti diretti (105%).</w:t>
      </w:r>
    </w:p>
    <w:p w:rsidR="001F439F" w:rsidRDefault="001F439F" w:rsidP="00C210A6">
      <w:pPr>
        <w:pStyle w:val="StandardRisoluzionedelConsigliodiStato"/>
        <w:ind w:left="567" w:right="-1"/>
      </w:pPr>
    </w:p>
    <w:p w:rsidR="001F439F" w:rsidRDefault="001F439F" w:rsidP="00C210A6">
      <w:pPr>
        <w:pStyle w:val="StandardRisoluzionedelConsigliodiStato"/>
        <w:ind w:left="567" w:right="-1"/>
      </w:pPr>
      <w:r>
        <w:t>La Commissione ritiene</w:t>
      </w:r>
      <w:r w:rsidR="00C210A6">
        <w:t>, tuttavia,</w:t>
      </w:r>
      <w:r>
        <w:t xml:space="preserve"> che una migl</w:t>
      </w:r>
      <w:r w:rsidR="00C210A6">
        <w:t>iore integrazione tra le varie P</w:t>
      </w:r>
      <w:r>
        <w:t>ianificazioni debba essere fatta in quanto spesso fanno parte di un unico iter continuativo del paziente e cittadino</w:t>
      </w:r>
      <w:r w:rsidR="00C210A6">
        <w:t>,</w:t>
      </w:r>
      <w:r>
        <w:t xml:space="preserve"> il quale prim</w:t>
      </w:r>
      <w:r w:rsidR="00C210A6">
        <w:t>a della casa anziani passa dall'</w:t>
      </w:r>
      <w:r>
        <w:t>ospedale e prima di dover essere ricoverato disponeva di un aiuto domiciliare.</w:t>
      </w:r>
    </w:p>
    <w:p w:rsidR="001F439F" w:rsidRDefault="001F439F" w:rsidP="00C210A6">
      <w:pPr>
        <w:pStyle w:val="StandardRisoluzionedelConsigliodiStato"/>
        <w:ind w:left="567" w:right="-1"/>
      </w:pPr>
    </w:p>
    <w:p w:rsidR="001F439F" w:rsidRDefault="001F439F" w:rsidP="00C210A6">
      <w:pPr>
        <w:pStyle w:val="StandardRisoluzionedelConsigliodiStato"/>
        <w:ind w:left="567" w:right="-1"/>
      </w:pPr>
      <w:r>
        <w:t>In</w:t>
      </w:r>
      <w:r w:rsidR="00C210A6">
        <w:t xml:space="preserve"> riferimento allo sviluppo dell'</w:t>
      </w:r>
      <w:r>
        <w:t>offerta ambulatoriale, che potrebbe ess</w:t>
      </w:r>
      <w:r w:rsidR="00C210A6">
        <w:t>ere fortemente influenzata dall'</w:t>
      </w:r>
      <w:r>
        <w:t>applicazione delle disposizioni</w:t>
      </w:r>
      <w:r w:rsidR="00C210A6">
        <w:t xml:space="preserve"> sulla limitazione dell'</w:t>
      </w:r>
      <w:r>
        <w:t xml:space="preserve">ammissione </w:t>
      </w:r>
      <w:r w:rsidR="00C210A6">
        <w:t>di nuovi medici, da quelle sull'</w:t>
      </w:r>
      <w:r>
        <w:t>obbligo di presa a carico ambulatoriale per alcuni interventi chirurgici (AvoS) e dal sistema di finanziamento uniforme delle prestazioni (EFAS), sono però emerse due visioni opposte: chi ritiene il ricorso alle cure ambulatoriali sottostimato e chi invece lo vede sopravvalutato.</w:t>
      </w:r>
    </w:p>
    <w:p w:rsidR="001F439F" w:rsidRDefault="001F439F" w:rsidP="001F439F">
      <w:pPr>
        <w:pStyle w:val="StandardRisoluzionedelConsigliodiStato"/>
        <w:ind w:right="-1"/>
      </w:pPr>
    </w:p>
    <w:p w:rsidR="001F439F" w:rsidRPr="00C210A6" w:rsidRDefault="001F439F" w:rsidP="00C64DEF">
      <w:pPr>
        <w:pStyle w:val="StandardRisoluzionedelConsigliodiStato"/>
        <w:numPr>
          <w:ilvl w:val="1"/>
          <w:numId w:val="50"/>
        </w:numPr>
        <w:ind w:left="567" w:right="-1" w:hanging="283"/>
        <w:rPr>
          <w:u w:val="single"/>
        </w:rPr>
      </w:pPr>
      <w:r w:rsidRPr="00C210A6">
        <w:rPr>
          <w:u w:val="single"/>
        </w:rPr>
        <w:t>Incidenza della scarsità di risorse di personale</w:t>
      </w:r>
      <w:r w:rsidR="00C210A6">
        <w:rPr>
          <w:u w:val="single"/>
        </w:rPr>
        <w:t>.</w:t>
      </w:r>
    </w:p>
    <w:p w:rsidR="001F439F" w:rsidRDefault="001F439F" w:rsidP="00C210A6">
      <w:pPr>
        <w:pStyle w:val="StandardRisoluzionedelConsigliodiStato"/>
        <w:ind w:left="567" w:right="-1"/>
      </w:pPr>
      <w:r>
        <w:t>La Commissione ha criticato il fatto che la penuria di personale (in particolare medici e infermieri) non sia stata considerata quale fattore d</w:t>
      </w:r>
      <w:r w:rsidR="00C210A6">
        <w:t>'</w:t>
      </w:r>
      <w:r>
        <w:t>incidenza nello studio del fabbisogno di cure. A questo proposito, la GD­ZH ritiene che non sia possibile parametrizzare, standardizzare e rendere misurabile nel tempo questo aspetto.</w:t>
      </w:r>
    </w:p>
    <w:p w:rsidR="001F439F" w:rsidRDefault="001F439F" w:rsidP="001F439F">
      <w:pPr>
        <w:pStyle w:val="StandardRisoluzionedelConsigliodiStato"/>
        <w:ind w:right="-1"/>
      </w:pPr>
    </w:p>
    <w:p w:rsidR="001F439F" w:rsidRDefault="00AB4752" w:rsidP="0072473B">
      <w:pPr>
        <w:pStyle w:val="Titolo2"/>
        <w:numPr>
          <w:ilvl w:val="0"/>
          <w:numId w:val="0"/>
        </w:numPr>
        <w:jc w:val="both"/>
      </w:pPr>
      <w:bookmarkStart w:id="15" w:name="_Toc179882473"/>
      <w:r>
        <w:t>6.2</w:t>
      </w:r>
      <w:r>
        <w:tab/>
      </w:r>
      <w:r w:rsidR="001F439F">
        <w:t>INDIRIZZI STRATEGICI</w:t>
      </w:r>
      <w:bookmarkEnd w:id="15"/>
    </w:p>
    <w:p w:rsidR="001F439F" w:rsidRDefault="001F439F" w:rsidP="001F439F">
      <w:pPr>
        <w:pStyle w:val="StandardRisoluzionedelConsigliodiStato"/>
        <w:ind w:right="-1"/>
      </w:pPr>
      <w:r>
        <w:t>La Commissione ha giudicato in parte lo studio troppo discorsivo e troppo parco di dati su costi, tassi di occupazione e numeri di casi, ritenuti elementi fondamentali sui quali basare le scelte pianificatorie, aggiungendo che il testo avrebbe dovuto includere maggiori confronti intercantonali, con esempi concreti di pianificazioni ospedaliere e relative implicazioni su qualità e costi. Alcuni hanno lamentato anche una scarsa contestualizzazione della realtà ticinese, che vede una forte presenza di istituti privati, rimproverando allo studio la predominanza di temi a</w:t>
      </w:r>
      <w:r w:rsidR="00AB4752">
        <w:t>nalizzati prevalentemente da un'</w:t>
      </w:r>
      <w:r>
        <w:t>ottica pubblica. Infine, sembra essere mancata una riflessione sulle, purtroppo, probabili epidemie e pandemi</w:t>
      </w:r>
      <w:r w:rsidR="00AB4752">
        <w:t>e</w:t>
      </w:r>
      <w:r>
        <w:t xml:space="preserve"> che il sistema potrebbe essere chiamato ad affrontare.</w:t>
      </w:r>
    </w:p>
    <w:p w:rsidR="001F439F" w:rsidRDefault="001F439F" w:rsidP="001F439F">
      <w:pPr>
        <w:pStyle w:val="StandardRisoluzionedelConsigliodiStato"/>
        <w:ind w:right="-1"/>
      </w:pPr>
    </w:p>
    <w:p w:rsidR="001F439F" w:rsidRDefault="00AB4752" w:rsidP="0072473B">
      <w:pPr>
        <w:pStyle w:val="Titolo3"/>
        <w:numPr>
          <w:ilvl w:val="0"/>
          <w:numId w:val="0"/>
        </w:numPr>
        <w:jc w:val="both"/>
      </w:pPr>
      <w:bookmarkStart w:id="16" w:name="_Toc179882474"/>
      <w:r>
        <w:t>6.2.1</w:t>
      </w:r>
      <w:r>
        <w:tab/>
      </w:r>
      <w:r w:rsidR="001F439F">
        <w:t>Concentrazione e prossimità</w:t>
      </w:r>
      <w:bookmarkEnd w:id="16"/>
    </w:p>
    <w:p w:rsidR="001F439F" w:rsidRDefault="001F439F" w:rsidP="001F439F">
      <w:pPr>
        <w:pStyle w:val="StandardRisoluzionedelConsigliodiStato"/>
        <w:ind w:right="-1"/>
      </w:pPr>
      <w:r>
        <w:t>La Commissione è unanime nel concordare che la concentrazione della medicina specialistica vada sostenuta.</w:t>
      </w:r>
    </w:p>
    <w:p w:rsidR="001F439F" w:rsidRDefault="001F439F" w:rsidP="001F439F">
      <w:pPr>
        <w:pStyle w:val="StandardRisoluzionedelConsigliodiStato"/>
        <w:ind w:right="-1"/>
      </w:pPr>
      <w:r>
        <w:lastRenderedPageBreak/>
        <w:t xml:space="preserve">Il suggerimento di mantenere un certo </w:t>
      </w:r>
      <w:r w:rsidR="00AB4752">
        <w:t>livello di concentrazione con l'</w:t>
      </w:r>
      <w:r>
        <w:t>obiettivo di migliorare sicurezza, qualità e livello di formazione per il personale medico e curante, nonché di a</w:t>
      </w:r>
      <w:r w:rsidR="00AB4752">
        <w:t>ttirare profili di spessore, d'</w:t>
      </w:r>
      <w:r>
        <w:t>investire nella ricerca e operare econo</w:t>
      </w:r>
      <w:r w:rsidR="00AB4752">
        <w:t>mie di scala, non ha raccolto l'</w:t>
      </w:r>
      <w:r>
        <w:t>unanimità della Commissione. Alcuni membri hanno sostenuto che la pluralità di mandati assicurata su</w:t>
      </w:r>
      <w:r w:rsidR="00AB4752">
        <w:t xml:space="preserve"> più sedi favorisca invece l'</w:t>
      </w:r>
      <w:r>
        <w:t>arrivo di nuovi medici in Ticino e permetta di evitare monopoli che rendono meno attrattivo il posto di lavoro, con uno scadimento qualitativo nelle strutture che si vedono ridotti i mandati. Altri hanno insistito sull’ospedale unico di riferimento per la medicina altamente specializzata, ciò che permetterebbe di convogliare formazione e ricerca su un unico polo, in sinergia con</w:t>
      </w:r>
      <w:r w:rsidR="00C06D71">
        <w:t xml:space="preserve"> il Master in medicina umana. C'</w:t>
      </w:r>
      <w:r>
        <w:t>è chi ha osservato che la concentrazione come la prossimità richiedera</w:t>
      </w:r>
      <w:r w:rsidR="00AB4752">
        <w:t>nno un ripensamento dell'</w:t>
      </w:r>
      <w:r>
        <w:t xml:space="preserve">organizzazione dei servizi preospedalieri con il rafforzamento di prestazioni come la guardia </w:t>
      </w:r>
      <w:r w:rsidR="00AB4752">
        <w:t>medica presente alla centrale d'</w:t>
      </w:r>
      <w:r>
        <w:t>allarme, la telemedicina e la gestione dei trasferimenti tra istituti.</w:t>
      </w:r>
    </w:p>
    <w:p w:rsidR="001F439F" w:rsidRDefault="001F439F" w:rsidP="001F439F">
      <w:pPr>
        <w:pStyle w:val="StandardRisoluzionedelConsigliodiStato"/>
        <w:ind w:right="-1"/>
      </w:pPr>
    </w:p>
    <w:p w:rsidR="001F439F" w:rsidRDefault="001F439F" w:rsidP="001F439F">
      <w:pPr>
        <w:pStyle w:val="StandardRisoluzionedelConsigliodiStato"/>
        <w:ind w:right="-1"/>
      </w:pPr>
      <w:r>
        <w:t>La Commissione rileva che sia un peccato quanto emerso in quella Commissione: si ritiene che in ambito somatico­acuto, in particolare nelle attività chirurgiche, sarà importante concentrare le attività chirurgiche più sofisticate in uno o due strutture in modo da raggiungere i numeri auspicati anche dalle Casse malati.</w:t>
      </w:r>
    </w:p>
    <w:p w:rsidR="001F439F" w:rsidRDefault="001F439F" w:rsidP="001F439F">
      <w:pPr>
        <w:pStyle w:val="StandardRisoluzionedelConsigliodiStato"/>
        <w:ind w:right="-1"/>
      </w:pPr>
      <w:r>
        <w:t>Più piccole e diffuse sul territorio saranno le strutture stazionarie e meno attrattive saranno per i medici svizzeri o formati in Svizzera negli ospedali universitari, con conseguente impiego di medici stranieri (italiani) e allontanamento del Ticino dalla rete di ospedali svizzeri.</w:t>
      </w:r>
    </w:p>
    <w:p w:rsidR="001F439F" w:rsidRDefault="001F439F" w:rsidP="001F439F">
      <w:pPr>
        <w:pStyle w:val="StandardRisoluzionedelConsigliodiStato"/>
        <w:ind w:right="-1"/>
      </w:pPr>
      <w:r>
        <w:t>Invero</w:t>
      </w:r>
      <w:r w:rsidR="00AB4752">
        <w:t>,</w:t>
      </w:r>
      <w:r>
        <w:t xml:space="preserve"> vi è chi ritiene che siamo già in ritardo rispetto alla volontà parlamentare espressa già qualche anno fa di convogliare formazione e ricerca su un unico polo, in sinergia con il Master in medicina umana. Sarà fondamentale che EOC e in particolare Clinica</w:t>
      </w:r>
      <w:r w:rsidR="00AB4752">
        <w:t xml:space="preserve"> Luganese (Moncucco) superino l'</w:t>
      </w:r>
      <w:r>
        <w:t>attuale difficoltà di condividere i mandati MAS sotto un unico cappello onde evitare di far perdere mandati importanti al Ticino, soprattutto per l’incapacità di raggiungere i numeri (casi) minimi fissati a livello nazionale. Riflessione, questa, da ricollegare al tema precedente dell’ospedale universitario</w:t>
      </w:r>
      <w:r w:rsidR="00AB4752">
        <w:t>.</w:t>
      </w:r>
    </w:p>
    <w:p w:rsidR="001F439F" w:rsidRDefault="001F439F" w:rsidP="001F439F">
      <w:pPr>
        <w:pStyle w:val="StandardRisoluzionedelConsigliodiStato"/>
        <w:ind w:right="-1"/>
      </w:pPr>
    </w:p>
    <w:p w:rsidR="001F439F" w:rsidRDefault="00C06D71" w:rsidP="0072473B">
      <w:pPr>
        <w:pStyle w:val="Titolo3"/>
        <w:numPr>
          <w:ilvl w:val="0"/>
          <w:numId w:val="0"/>
        </w:numPr>
        <w:jc w:val="both"/>
      </w:pPr>
      <w:bookmarkStart w:id="17" w:name="_Toc179882475"/>
      <w:r>
        <w:t>6.2.2</w:t>
      </w:r>
      <w:r w:rsidR="001F439F">
        <w:tab/>
        <w:t>Problematiche legate al personale</w:t>
      </w:r>
      <w:bookmarkEnd w:id="17"/>
    </w:p>
    <w:p w:rsidR="001F439F" w:rsidRDefault="001F439F" w:rsidP="001F439F">
      <w:pPr>
        <w:pStyle w:val="StandardRisoluzionedelConsigliodiStato"/>
        <w:ind w:right="-1"/>
      </w:pPr>
      <w:r>
        <w:t>Il tema non è stato ritenuto sviluppato a sufficienza. La questione non può essere risolta con una maggior concentrazione dei mandati. Una maggiore attenzione per la formazione del personale attivo in casa per anziani e una collaborazione strutturata tra le case per anziani e gli ospedali in ambito geriatrico e psicogeriatrico potrebbero evitare ospedalizzazioni oggi necessarie a seguito di competenze non adeguate a gestire casi problematici. Ad ogni buon conto</w:t>
      </w:r>
      <w:r w:rsidR="00C06D71">
        <w:t>,</w:t>
      </w:r>
      <w:r>
        <w:t xml:space="preserve"> la Commissione ritiene che si debba agire sul lato formativo (cfr. ProSan) ma anche su quello volto a</w:t>
      </w:r>
      <w:r w:rsidR="00C06D71">
        <w:t xml:space="preserve"> evitare l'</w:t>
      </w:r>
      <w:r>
        <w:t>abbandono precoce del mestiere.</w:t>
      </w:r>
    </w:p>
    <w:p w:rsidR="001F439F" w:rsidRDefault="001F439F" w:rsidP="001F439F">
      <w:pPr>
        <w:pStyle w:val="StandardRisoluzionedelConsigliodiStato"/>
        <w:ind w:right="-1"/>
      </w:pPr>
    </w:p>
    <w:p w:rsidR="001F439F" w:rsidRDefault="00C06D71" w:rsidP="0072473B">
      <w:pPr>
        <w:pStyle w:val="Titolo3"/>
        <w:numPr>
          <w:ilvl w:val="0"/>
          <w:numId w:val="0"/>
        </w:numPr>
        <w:jc w:val="both"/>
      </w:pPr>
      <w:bookmarkStart w:id="18" w:name="_Toc179882476"/>
      <w:r>
        <w:t>6.2.3</w:t>
      </w:r>
      <w:r>
        <w:tab/>
      </w:r>
      <w:r w:rsidR="001F439F">
        <w:t>Mandati e sostenibilità finanziaria</w:t>
      </w:r>
      <w:bookmarkEnd w:id="18"/>
    </w:p>
    <w:p w:rsidR="001F439F" w:rsidRDefault="001F439F" w:rsidP="001F439F">
      <w:pPr>
        <w:pStyle w:val="StandardRisoluzionedelConsigliodiStato"/>
        <w:ind w:right="-1"/>
      </w:pPr>
      <w:r>
        <w:t>A dire della Commissione</w:t>
      </w:r>
      <w:r w:rsidR="00C06D71">
        <w:t>,</w:t>
      </w:r>
      <w:r>
        <w:t xml:space="preserve"> questo aspetto non è stato trattato adeguatamente nello studio SUPSI. Alcuni mandati richiedono requisiti sempre più onerosi (cure intense, cure intermedie</w:t>
      </w:r>
      <w:r w:rsidR="00C06D71">
        <w:t xml:space="preserve"> e</w:t>
      </w:r>
      <w:r>
        <w:t xml:space="preserve"> presenza di specialisti in sede) ciò che potrebbe indurre alcuni istituti a rinunciare a determinate prestazioni ponendo gli attori restanti in gravi difficoltà. È stato </w:t>
      </w:r>
      <w:r>
        <w:lastRenderedPageBreak/>
        <w:t>pertanto evidenziato che il Cantone potrebbe essere chiamato a intervenire finanziariamen</w:t>
      </w:r>
      <w:r w:rsidR="00C06D71">
        <w:t>te per garantire l'</w:t>
      </w:r>
      <w:r>
        <w:t>erogazione di determinate prestazioni.</w:t>
      </w:r>
    </w:p>
    <w:p w:rsidR="001F439F" w:rsidRDefault="001F439F" w:rsidP="001F439F">
      <w:pPr>
        <w:pStyle w:val="StandardRisoluzionedelConsigliodiStato"/>
        <w:ind w:right="-1"/>
      </w:pPr>
    </w:p>
    <w:p w:rsidR="001F439F" w:rsidRDefault="00C06D71" w:rsidP="0072473B">
      <w:pPr>
        <w:pStyle w:val="Titolo3"/>
        <w:numPr>
          <w:ilvl w:val="0"/>
          <w:numId w:val="0"/>
        </w:numPr>
        <w:jc w:val="both"/>
      </w:pPr>
      <w:bookmarkStart w:id="19" w:name="_Toc179882477"/>
      <w:r>
        <w:t>6.2.4</w:t>
      </w:r>
      <w:r>
        <w:tab/>
      </w:r>
      <w:r w:rsidR="001F439F">
        <w:t>Percorsi di cura standardizzati</w:t>
      </w:r>
      <w:bookmarkEnd w:id="19"/>
    </w:p>
    <w:p w:rsidR="001F439F" w:rsidRDefault="001F439F" w:rsidP="001F439F">
      <w:pPr>
        <w:pStyle w:val="StandardRisoluzionedelConsigliodiStato"/>
        <w:ind w:right="-1"/>
      </w:pPr>
      <w:r>
        <w:t>La Commissione è apparsa divisa: alcuni hanno ritenuto questo obiettivo un passo importante che</w:t>
      </w:r>
      <w:r w:rsidR="00C06D71">
        <w:t xml:space="preserve"> sarà sicuramente favorito dall'</w:t>
      </w:r>
      <w:r>
        <w:t>introduzione generalizzata della cartella informatizzata, altri hanno intravvisto il pericolo che gli ospedali si approprino di ulteriori spazi nella medicina ambulatoriale senza un vero miglioramento per il paziente, altri ancora ne hanno sottolineato le potenzialità per una riorganizzazione del settore sanitario, che possa promuovere collaborazioni e sinergie, ridefinire gli obiettivi e condividere risorse umane, tecnologiche e finanziarie.</w:t>
      </w:r>
    </w:p>
    <w:p w:rsidR="001F439F" w:rsidRDefault="001F439F" w:rsidP="001F439F">
      <w:pPr>
        <w:pStyle w:val="StandardRisoluzionedelConsigliodiStato"/>
        <w:ind w:right="-1"/>
      </w:pPr>
    </w:p>
    <w:p w:rsidR="001F439F" w:rsidRDefault="00572409" w:rsidP="0072473B">
      <w:pPr>
        <w:pStyle w:val="Titolo3"/>
        <w:numPr>
          <w:ilvl w:val="0"/>
          <w:numId w:val="0"/>
        </w:numPr>
        <w:jc w:val="both"/>
      </w:pPr>
      <w:bookmarkStart w:id="20" w:name="_Toc179882478"/>
      <w:r>
        <w:t>6.2.5</w:t>
      </w:r>
      <w:r>
        <w:tab/>
      </w:r>
      <w:r w:rsidR="001F439F">
        <w:t>Informazione alla popolazione</w:t>
      </w:r>
      <w:bookmarkEnd w:id="20"/>
    </w:p>
    <w:p w:rsidR="001F439F" w:rsidRDefault="00572409" w:rsidP="001F439F">
      <w:pPr>
        <w:pStyle w:val="StandardRisoluzionedelConsigliodiStato"/>
        <w:ind w:right="-1"/>
      </w:pPr>
      <w:r>
        <w:t>La Commissione ha condiviso l'importanza di un'</w:t>
      </w:r>
      <w:r w:rsidR="001F439F">
        <w:t>informazione fruibile per il paziente (anche sui costi del sistema sanitario), al fine di consentire scelte consapevoli. Questo sarebbe un compito però precipuo del Cantone che dovrebbe organizzare un sistema informativo obiettivo sulla qualità delle prestazioni erogate dai vari attori sul territorio. Si rinvia a quanto sopra indicato per quanto attiene anche la necessità di incentivare anche la comunicazione fra attori sanitari e pazienti.</w:t>
      </w:r>
    </w:p>
    <w:p w:rsidR="001F439F" w:rsidRDefault="001F439F" w:rsidP="001F439F">
      <w:pPr>
        <w:pStyle w:val="StandardRisoluzionedelConsigliodiStato"/>
        <w:ind w:right="-1"/>
      </w:pPr>
    </w:p>
    <w:p w:rsidR="001F439F" w:rsidRDefault="001F439F" w:rsidP="00572409">
      <w:pPr>
        <w:pStyle w:val="StandardRisoluzionedelConsigliodiStato"/>
        <w:ind w:right="-1"/>
      </w:pPr>
    </w:p>
    <w:p w:rsidR="001F439F" w:rsidRPr="0072473B" w:rsidRDefault="00C905A6" w:rsidP="00572409">
      <w:pPr>
        <w:pStyle w:val="Titolo1"/>
        <w:numPr>
          <w:ilvl w:val="0"/>
          <w:numId w:val="0"/>
        </w:numPr>
        <w:spacing w:before="0"/>
        <w:ind w:left="567" w:hanging="567"/>
        <w:rPr>
          <w:sz w:val="24"/>
          <w:szCs w:val="24"/>
        </w:rPr>
      </w:pPr>
      <w:bookmarkStart w:id="21" w:name="_Toc179882479"/>
      <w:r>
        <w:rPr>
          <w:sz w:val="24"/>
          <w:szCs w:val="24"/>
        </w:rPr>
        <w:t>7.</w:t>
      </w:r>
      <w:r>
        <w:rPr>
          <w:sz w:val="24"/>
          <w:szCs w:val="24"/>
        </w:rPr>
        <w:tab/>
      </w:r>
      <w:r w:rsidR="001F439F" w:rsidRPr="0072473B">
        <w:rPr>
          <w:sz w:val="24"/>
          <w:szCs w:val="24"/>
        </w:rPr>
        <w:t>LE PRESTAZIONI ECONOMICAMENTE D'INTERESSE GENERALE</w:t>
      </w:r>
      <w:bookmarkEnd w:id="21"/>
    </w:p>
    <w:p w:rsidR="001F439F" w:rsidRDefault="001F439F" w:rsidP="001F439F">
      <w:pPr>
        <w:pStyle w:val="StandardRisoluzionedelConsigliodiStato"/>
        <w:ind w:right="-1"/>
      </w:pPr>
      <w:r>
        <w:t xml:space="preserve">Il nuovo art. 65 lett. </w:t>
      </w:r>
      <w:r w:rsidR="00AA1185">
        <w:t>d)</w:t>
      </w:r>
      <w:r>
        <w:t xml:space="preserve"> LCAMal attribuisce al Gran Consiglio la competenza di determinare la partecipazione del Cantone ai costi dell</w:t>
      </w:r>
      <w:r w:rsidR="00AA1185">
        <w:t>e prestazioni economicamente d'</w:t>
      </w:r>
      <w:r>
        <w:t>interesse generale. Il Governo</w:t>
      </w:r>
      <w:r w:rsidR="00AA1185">
        <w:t>,</w:t>
      </w:r>
      <w:r>
        <w:t xml:space="preserve"> di fatto</w:t>
      </w:r>
      <w:r w:rsidR="00AA1185">
        <w:t>,</w:t>
      </w:r>
      <w:r>
        <w:t xml:space="preserve"> riprende le prestazioni finanziate al momento attuale. In seguito, eventuali cambiamenti verranno sottoposti per preavviso alla speciale Commissione di controllo istituita in base al nuovo art. 65a LCAMal.</w:t>
      </w:r>
    </w:p>
    <w:p w:rsidR="001F439F" w:rsidRDefault="001F439F" w:rsidP="001F439F">
      <w:pPr>
        <w:pStyle w:val="StandardRisoluzionedelConsigliodiStato"/>
        <w:ind w:right="-1"/>
      </w:pPr>
    </w:p>
    <w:p w:rsidR="001F439F" w:rsidRDefault="001F439F" w:rsidP="001F439F">
      <w:pPr>
        <w:pStyle w:val="StandardRisoluzionedelConsigliodiStato"/>
        <w:ind w:right="-1"/>
      </w:pPr>
      <w:r>
        <w:t>Il messaggio annuale sui conti consuntivi del Cantone dettaglia in un capitolo apposito le singole componenti del contributo globale versato agli istituti riferite all'anno precedente. Per contro</w:t>
      </w:r>
      <w:r w:rsidR="00AA1185">
        <w:t>, con l'approvazione del P</w:t>
      </w:r>
      <w:r>
        <w:t>reventivo del Cantone il Gran Consiglio prende atto</w:t>
      </w:r>
      <w:r w:rsidR="00AA1185">
        <w:t xml:space="preserve"> </w:t>
      </w:r>
      <w:r>
        <w:t>della spesa globale prevista per il comparto ospedaliero, spesa che co</w:t>
      </w:r>
      <w:r w:rsidR="00AA1185">
        <w:t>mprende anche le prestazioni d'</w:t>
      </w:r>
      <w:r>
        <w:t>interesse generale e che non è dettagliata per struttura, per non influenzare i margini di trattativa con i singoli istituti.</w:t>
      </w:r>
    </w:p>
    <w:p w:rsidR="001F439F" w:rsidRDefault="001F439F" w:rsidP="001F439F">
      <w:pPr>
        <w:pStyle w:val="StandardRisoluzionedelConsigliodiStato"/>
        <w:ind w:right="-1"/>
      </w:pPr>
    </w:p>
    <w:p w:rsidR="00AA1185" w:rsidRDefault="00AA1185" w:rsidP="001F439F">
      <w:pPr>
        <w:pStyle w:val="StandardRisoluzionedelConsigliodiStato"/>
        <w:ind w:right="-1"/>
      </w:pPr>
    </w:p>
    <w:p w:rsidR="001F439F" w:rsidRDefault="00AA1185" w:rsidP="0072473B">
      <w:pPr>
        <w:pStyle w:val="Titolo2"/>
        <w:numPr>
          <w:ilvl w:val="0"/>
          <w:numId w:val="0"/>
        </w:numPr>
        <w:ind w:left="567" w:hanging="567"/>
        <w:jc w:val="both"/>
      </w:pPr>
      <w:bookmarkStart w:id="22" w:name="_Toc179882480"/>
      <w:r>
        <w:t>7.1</w:t>
      </w:r>
      <w:r>
        <w:tab/>
      </w:r>
      <w:r w:rsidR="001F439F">
        <w:t>PRESTAZIONI D'INTERESSE GENERALE PREVISTE PER TUTTI GLI ISTITUTI OSPEDALIERI</w:t>
      </w:r>
      <w:bookmarkEnd w:id="22"/>
    </w:p>
    <w:p w:rsidR="001F439F" w:rsidRDefault="00AA1185" w:rsidP="0072473B">
      <w:pPr>
        <w:pStyle w:val="Titolo3"/>
        <w:numPr>
          <w:ilvl w:val="0"/>
          <w:numId w:val="0"/>
        </w:numPr>
        <w:jc w:val="both"/>
      </w:pPr>
      <w:bookmarkStart w:id="23" w:name="_Toc179882481"/>
      <w:r>
        <w:t>7.1.1</w:t>
      </w:r>
      <w:r w:rsidR="001F439F">
        <w:tab/>
        <w:t>Formazione post-diploma dei medici assistenti</w:t>
      </w:r>
      <w:bookmarkEnd w:id="23"/>
    </w:p>
    <w:p w:rsidR="001F439F" w:rsidRDefault="001F439F" w:rsidP="001F439F">
      <w:pPr>
        <w:pStyle w:val="StandardRisoluzionedelConsigliodiStato"/>
        <w:ind w:right="-1"/>
      </w:pPr>
      <w:r>
        <w:t>Il Cantone riconosce a tutti gli istituti ospedalieri un contributo per la formazione post­ diploma dei medici assistenti. Il finanziamento è previsto per i medici assistenti in perfezionamento ai sensi del Regolamento per il perfezionamento professionale (R</w:t>
      </w:r>
      <w:r w:rsidR="00AA1185">
        <w:t>PP) dell'</w:t>
      </w:r>
      <w:r>
        <w:t>Istituto svizzero per la formazione medica (ISFM), versione del 19 dicembre 2019</w:t>
      </w:r>
      <w:r w:rsidR="00AA1185">
        <w:rPr>
          <w:rStyle w:val="Rimandonotaapidipagina"/>
        </w:rPr>
        <w:footnoteReference w:id="1"/>
      </w:r>
      <w:r>
        <w:t xml:space="preserve">; in </w:t>
      </w:r>
      <w:r>
        <w:lastRenderedPageBreak/>
        <w:t xml:space="preserve">particolare, è sovvenzionato il primo perfezionamento e l'eventuale formazione approfondita (ad esempio quella in geriatria che presuppone inizialmente il perfezionamento in medicina interna generale). Questo contributo è stabilito in 15'000 </w:t>
      </w:r>
      <w:r w:rsidR="00AA1185">
        <w:t xml:space="preserve">franchi </w:t>
      </w:r>
      <w:r>
        <w:t>all'anno per posto di medico assistente a tempo pieno.</w:t>
      </w:r>
    </w:p>
    <w:p w:rsidR="001F439F" w:rsidRDefault="001F439F" w:rsidP="001F439F">
      <w:pPr>
        <w:pStyle w:val="StandardRisoluzionedelConsigliodiStato"/>
        <w:ind w:right="-1"/>
      </w:pPr>
      <w:r>
        <w:t>Per l'anno 2021 (ultimo dato disponibile) sono stati versati 4.7 milioni di franchi per un totale di 312.5 medici assistenti a tempo pieno.</w:t>
      </w:r>
    </w:p>
    <w:p w:rsidR="001F439F" w:rsidRDefault="001F439F" w:rsidP="001F439F">
      <w:pPr>
        <w:pStyle w:val="StandardRisoluzionedelConsigliodiStato"/>
        <w:ind w:right="-1"/>
      </w:pPr>
    </w:p>
    <w:p w:rsidR="001F439F" w:rsidRDefault="00AA1185" w:rsidP="0072473B">
      <w:pPr>
        <w:pStyle w:val="Titolo3"/>
        <w:numPr>
          <w:ilvl w:val="0"/>
          <w:numId w:val="0"/>
        </w:numPr>
        <w:ind w:left="567" w:hanging="567"/>
        <w:jc w:val="both"/>
      </w:pPr>
      <w:bookmarkStart w:id="24" w:name="_Toc179882482"/>
      <w:r>
        <w:t>7.1.2</w:t>
      </w:r>
      <w:r>
        <w:tab/>
      </w:r>
      <w:r w:rsidR="001F439F">
        <w:t>Riconoscimento di uno sgravio per l'accompagnamento formativo negli enti sociosanitari</w:t>
      </w:r>
      <w:bookmarkEnd w:id="24"/>
    </w:p>
    <w:p w:rsidR="001F439F" w:rsidRDefault="001F439F" w:rsidP="001F439F">
      <w:pPr>
        <w:pStyle w:val="StandardRisoluzionedelConsigliodiStato"/>
        <w:ind w:right="-1"/>
      </w:pPr>
      <w:r>
        <w:t>Si tratta di una delle misure previste dal Piano d'azione per il rafforzamento della formazione professionale nel settore sociosanitario (PR</w:t>
      </w:r>
      <w:r w:rsidR="00AA1185">
        <w:t>O SAN 2021­2024) oggetto del M</w:t>
      </w:r>
      <w:r>
        <w:t>essaggio n. 8009 del 9 giugno 2021, evaso dal Gran Consiglio il 23 febbraio 2022.</w:t>
      </w:r>
    </w:p>
    <w:p w:rsidR="001F439F" w:rsidRDefault="001F439F" w:rsidP="001F439F">
      <w:pPr>
        <w:pStyle w:val="StandardRisoluzionedelConsigliodiStato"/>
        <w:ind w:right="-1"/>
      </w:pPr>
      <w:r>
        <w:t>Con questa misura si è inteso estendere</w:t>
      </w:r>
      <w:r w:rsidR="00AA1185">
        <w:t>,</w:t>
      </w:r>
      <w:r>
        <w:t xml:space="preserve"> a partire dal 2023</w:t>
      </w:r>
      <w:r w:rsidR="00AA1185">
        <w:t>,</w:t>
      </w:r>
      <w:r>
        <w:t xml:space="preserve"> a tutte le strutture ospedaliere finanziate con contratto di prestazione il riconoscimento di uno sgravio per l'accompagnamento formativo, sgravio previsto a titolo sperimentale dal 2019 nel calcolo della dotazione del personale di cura e assistenza degli enti finanziati dall'Ufficio anziani e cure a domicilio.</w:t>
      </w:r>
    </w:p>
    <w:p w:rsidR="001F439F" w:rsidRDefault="001F439F" w:rsidP="001F439F">
      <w:pPr>
        <w:pStyle w:val="StandardRisoluzionedelConsigliodiStato"/>
        <w:ind w:right="-1"/>
      </w:pPr>
    </w:p>
    <w:p w:rsidR="001F439F" w:rsidRDefault="001F439F" w:rsidP="001F439F">
      <w:pPr>
        <w:pStyle w:val="StandardRisoluzionedelConsigliodiStato"/>
        <w:ind w:right="-1"/>
      </w:pPr>
      <w:r>
        <w:t>L'obiettivo di questa misura, auspicata da diversi atti parlamentari e prevista anche dalla nuova Legge federale sulla promozione della formazione in cure infermieristiche, adottata il 16 dicembre 2022 come prima tappa d'attuazione dell'iniziativa popolare "Per cure infermieristiche</w:t>
      </w:r>
      <w:r w:rsidR="00AA1185">
        <w:t xml:space="preserve"> forti" accolta dal p</w:t>
      </w:r>
      <w:r>
        <w:t>opolo il 28 novembre 2021, è di permettere agli enti una gestione della formazione pratica degli studenti del settore sociosanitario maggiormente organizzata e riconosciuta anche dal punto di vista finanziario. Con questa misura, compl</w:t>
      </w:r>
      <w:r w:rsidR="00AA1185">
        <w:t>ementare all'</w:t>
      </w:r>
      <w:r>
        <w:t>adozione di un sistema di incentivi (modello bernese), s'intende quindi sostenere gli enti nello svolgimento della loro attività formativa, accordando loro un'adeguata dotazione di personale dedicato a questo importante compito di accompagnamento di apprendisti e allievi delle scuole sociosanitarie della Divisione della formazione professionale e della SUPSI.</w:t>
      </w:r>
    </w:p>
    <w:p w:rsidR="001F439F" w:rsidRDefault="001F439F" w:rsidP="001F439F">
      <w:pPr>
        <w:pStyle w:val="StandardRisoluzionedelConsigliodiStato"/>
        <w:ind w:right="-1"/>
      </w:pPr>
    </w:p>
    <w:p w:rsidR="001F439F" w:rsidRDefault="001F439F" w:rsidP="001F439F">
      <w:pPr>
        <w:pStyle w:val="StandardRisoluzionedelConsigliodiStato"/>
        <w:ind w:right="-1"/>
      </w:pPr>
      <w:r>
        <w:t>Lo sgravio</w:t>
      </w:r>
      <w:r w:rsidR="00AA1185">
        <w:t>,</w:t>
      </w:r>
      <w:r>
        <w:t xml:space="preserve"> valutato complessivamente a 3 milioni di franchi</w:t>
      </w:r>
      <w:r w:rsidR="00AA1185">
        <w:t>,</w:t>
      </w:r>
      <w:r>
        <w:t xml:space="preserve"> sarà introdotto progressivamente nei contratti di prestazione a partire dal 2023 con il finanziamento di 1 milione di franchi distribuito in modo proporzionale tra gli istituti, a dipendenza dell'impegno formativo richiesto.</w:t>
      </w:r>
    </w:p>
    <w:p w:rsidR="001F439F" w:rsidRDefault="001F439F" w:rsidP="001F439F">
      <w:pPr>
        <w:pStyle w:val="StandardRisoluzionedelConsigliodiStato"/>
        <w:ind w:right="-1"/>
      </w:pPr>
    </w:p>
    <w:p w:rsidR="001F439F" w:rsidRPr="0072473B" w:rsidRDefault="00645D37" w:rsidP="00645D37">
      <w:pPr>
        <w:pStyle w:val="Titolo2"/>
        <w:numPr>
          <w:ilvl w:val="0"/>
          <w:numId w:val="0"/>
        </w:numPr>
        <w:ind w:left="567" w:hanging="567"/>
        <w:jc w:val="both"/>
        <w:rPr>
          <w:sz w:val="24"/>
          <w:szCs w:val="24"/>
        </w:rPr>
      </w:pPr>
      <w:bookmarkStart w:id="25" w:name="_Toc179882483"/>
      <w:r w:rsidRPr="0072473B">
        <w:rPr>
          <w:sz w:val="24"/>
          <w:szCs w:val="24"/>
        </w:rPr>
        <w:t>7.2</w:t>
      </w:r>
      <w:r w:rsidR="001F439F" w:rsidRPr="0072473B">
        <w:rPr>
          <w:sz w:val="24"/>
          <w:szCs w:val="24"/>
        </w:rPr>
        <w:tab/>
        <w:t>PRESTAZIONI DI INTERESSE GENERALE PREVISTE PER IL SOLO ENTE OSPEDALIERO CANTONALE</w:t>
      </w:r>
      <w:bookmarkEnd w:id="25"/>
    </w:p>
    <w:p w:rsidR="001F439F" w:rsidRDefault="00645D37" w:rsidP="00645D37">
      <w:pPr>
        <w:pStyle w:val="Titolo3"/>
        <w:numPr>
          <w:ilvl w:val="0"/>
          <w:numId w:val="0"/>
        </w:numPr>
        <w:jc w:val="both"/>
      </w:pPr>
      <w:bookmarkStart w:id="26" w:name="_Toc179882484"/>
      <w:r>
        <w:t>7.2.1</w:t>
      </w:r>
      <w:r w:rsidR="001F439F">
        <w:tab/>
        <w:t>Consultori di salute sessuale (CoSS)</w:t>
      </w:r>
      <w:bookmarkEnd w:id="26"/>
    </w:p>
    <w:p w:rsidR="001F439F" w:rsidRDefault="001F439F" w:rsidP="001F439F">
      <w:pPr>
        <w:pStyle w:val="StandardRisoluzionedelConsigliodiStato"/>
        <w:ind w:right="-1"/>
      </w:pPr>
      <w:r>
        <w:t>I CoSS sono stati inseriti nelle quattro sedi degli ospedali regionali dell'EOC da ormai una ventina d'anni. Per l'anno 2021 sono stati versati 1.2 milioni di franchi.</w:t>
      </w:r>
    </w:p>
    <w:p w:rsidR="001F439F" w:rsidRDefault="001F439F" w:rsidP="001F439F">
      <w:pPr>
        <w:pStyle w:val="StandardRisoluzionedelConsigliodiStato"/>
        <w:ind w:right="-1"/>
      </w:pPr>
    </w:p>
    <w:p w:rsidR="001F439F" w:rsidRDefault="00645D37" w:rsidP="0072473B">
      <w:pPr>
        <w:pStyle w:val="Titolo3"/>
        <w:numPr>
          <w:ilvl w:val="0"/>
          <w:numId w:val="0"/>
        </w:numPr>
        <w:jc w:val="both"/>
      </w:pPr>
      <w:bookmarkStart w:id="27" w:name="_Toc179882485"/>
      <w:r>
        <w:lastRenderedPageBreak/>
        <w:t>7.2.2</w:t>
      </w:r>
      <w:r w:rsidR="001F439F">
        <w:tab/>
        <w:t>Piano di messa in allarme dei servizi ospedalieri (Piano MASO)</w:t>
      </w:r>
      <w:bookmarkEnd w:id="27"/>
    </w:p>
    <w:p w:rsidR="001F439F" w:rsidRDefault="00645D37" w:rsidP="001F439F">
      <w:pPr>
        <w:pStyle w:val="StandardRisoluzionedelConsigliodiStato"/>
        <w:ind w:right="-1"/>
      </w:pPr>
      <w:r>
        <w:t>L'EOC, nel quadro del Servizio sanitario c</w:t>
      </w:r>
      <w:r w:rsidR="001F439F">
        <w:t xml:space="preserve">oordinato, applica un piano di catastrofe che prevede anche l'aggiornamento continuo sia del piano stesso, sia del personale, per un costo complessivo stimato a 60'000 </w:t>
      </w:r>
      <w:r>
        <w:t xml:space="preserve">franchi </w:t>
      </w:r>
      <w:r w:rsidR="001F439F">
        <w:t>annui. A questi si aggiungono altri 140'000</w:t>
      </w:r>
      <w:r>
        <w:t xml:space="preserve"> franchi</w:t>
      </w:r>
      <w:r w:rsidR="001F439F">
        <w:t xml:space="preserve"> annui per garantire </w:t>
      </w:r>
      <w:r>
        <w:t>allo</w:t>
      </w:r>
      <w:r w:rsidR="001F439F">
        <w:t xml:space="preserve"> </w:t>
      </w:r>
      <w:r>
        <w:t>S</w:t>
      </w:r>
      <w:r w:rsidR="001F439F">
        <w:t>tato la prontezza in caso di pandemia, disponendo di una certa riserva di materiale sanitario e di medicamenti. Dal 2012, il totale annuo erogato per questa prestazione è di 200'000</w:t>
      </w:r>
      <w:r>
        <w:t xml:space="preserve"> franchi</w:t>
      </w:r>
      <w:r w:rsidR="001F439F">
        <w:t>.</w:t>
      </w:r>
    </w:p>
    <w:p w:rsidR="001F439F" w:rsidRDefault="001F439F" w:rsidP="001F439F">
      <w:pPr>
        <w:pStyle w:val="StandardRisoluzionedelConsigliodiStato"/>
        <w:ind w:right="-1"/>
      </w:pPr>
    </w:p>
    <w:p w:rsidR="001F439F" w:rsidRDefault="00645D37" w:rsidP="0072473B">
      <w:pPr>
        <w:pStyle w:val="Titolo3"/>
        <w:numPr>
          <w:ilvl w:val="0"/>
          <w:numId w:val="0"/>
        </w:numPr>
        <w:jc w:val="both"/>
      </w:pPr>
      <w:bookmarkStart w:id="28" w:name="_Toc179882486"/>
      <w:r>
        <w:t>7.2.3</w:t>
      </w:r>
      <w:r w:rsidR="001F439F">
        <w:tab/>
        <w:t>Coordinatrice organizzazione espianti</w:t>
      </w:r>
      <w:bookmarkEnd w:id="28"/>
    </w:p>
    <w:p w:rsidR="001F439F" w:rsidRDefault="001F439F" w:rsidP="001F439F">
      <w:pPr>
        <w:pStyle w:val="StandardRisoluzionedelConsigliodiStato"/>
        <w:ind w:right="-1"/>
      </w:pPr>
      <w:r>
        <w:t>L'art</w:t>
      </w:r>
      <w:r w:rsidR="00645D37">
        <w:t xml:space="preserve">. </w:t>
      </w:r>
      <w:r>
        <w:t>56 della Legge federale sui trapianti attribuisce ai Cantoni l'organizzazione e il coordinamento delle attività attinenti ai trapianti e prevede segnatamente che vi sia una persona incaricata del coordinamento locale. Il Consiglio di Stato, in data 26 giugno 2007, aveva delegato all'EOC tali compiti.</w:t>
      </w:r>
    </w:p>
    <w:p w:rsidR="001F439F" w:rsidRDefault="001F439F" w:rsidP="001F439F">
      <w:pPr>
        <w:pStyle w:val="StandardRisoluzionedelConsigliodiStato"/>
        <w:ind w:right="-1"/>
      </w:pPr>
      <w:r>
        <w:t>L'EOC ha assunto già nel 2010 una coordinatrice locale al 40% presso l'Ospedale Regionale di Lugano, sede Ospedale Civico, assumendosi i costi relativi. Dal 2012 questo costo è finanziato dal Cantone con un versamento annuale di 45'300</w:t>
      </w:r>
      <w:r w:rsidR="00645D37">
        <w:t xml:space="preserve"> franchi</w:t>
      </w:r>
      <w:r>
        <w:t>.</w:t>
      </w:r>
    </w:p>
    <w:p w:rsidR="001F439F" w:rsidRDefault="001F439F" w:rsidP="001F439F">
      <w:pPr>
        <w:pStyle w:val="StandardRisoluzionedelConsigliodiStato"/>
        <w:ind w:right="-1"/>
      </w:pPr>
    </w:p>
    <w:p w:rsidR="001F439F" w:rsidRDefault="00645D37" w:rsidP="0072473B">
      <w:pPr>
        <w:pStyle w:val="Titolo3"/>
        <w:numPr>
          <w:ilvl w:val="0"/>
          <w:numId w:val="0"/>
        </w:numPr>
        <w:jc w:val="both"/>
      </w:pPr>
      <w:bookmarkStart w:id="29" w:name="_Toc179882487"/>
      <w:r>
        <w:t>7.2.4</w:t>
      </w:r>
      <w:r w:rsidR="001F439F">
        <w:tab/>
        <w:t>Cartella informatizzata del paziente</w:t>
      </w:r>
      <w:bookmarkEnd w:id="29"/>
    </w:p>
    <w:p w:rsidR="001F439F" w:rsidRDefault="001F439F" w:rsidP="001F439F">
      <w:pPr>
        <w:pStyle w:val="StandardRisoluzionedelConsigliodiStato"/>
        <w:ind w:right="-1"/>
      </w:pPr>
      <w:r>
        <w:t>La cartella informatizzata del paziente è uno strumento di salute pubbl</w:t>
      </w:r>
      <w:r w:rsidR="00645D37">
        <w:t>ica, disciplinato dall'omonima L</w:t>
      </w:r>
      <w:r>
        <w:t>egge federale del 19 giugno 2015 (LCIP), che consente di migliorare la comunicazione e il coordinamento degli attori sanitari, aumentare la sicurezza e il coinvolgimento del paziente e, a lungo termine, contenere i costi del sistema sanitario. Per l'implementazione a livello cantonale è stata costituita quale comunità di riferimento l'Associazione e­health Ticino.</w:t>
      </w:r>
    </w:p>
    <w:p w:rsidR="001F439F" w:rsidRDefault="001F439F" w:rsidP="001F439F">
      <w:pPr>
        <w:pStyle w:val="StandardRisoluzionedelConsigliodiStato"/>
        <w:ind w:right="-1"/>
      </w:pPr>
      <w:r>
        <w:t>Anche per beneficiare dei contributi federali previsti per l'avvio di questo strumento, dal 2019 il Cantone Ticino partecipa al finanziamento dei costi dell'Associazione, per il tramite del c</w:t>
      </w:r>
      <w:r w:rsidR="00645D37">
        <w:t>ontributo per le prestazioni d'</w:t>
      </w:r>
      <w:r>
        <w:t xml:space="preserve">interesse generale all'EOC. Inizialmente il contributo è stato limitato a 300'000 </w:t>
      </w:r>
      <w:r w:rsidR="00645D37">
        <w:t xml:space="preserve">franchi </w:t>
      </w:r>
      <w:r>
        <w:t>annui per cinque anni (fine 2023).</w:t>
      </w:r>
    </w:p>
    <w:p w:rsidR="001F439F" w:rsidRDefault="001F439F" w:rsidP="001F439F">
      <w:pPr>
        <w:pStyle w:val="StandardRisoluzionedelConsigliodiStato"/>
        <w:ind w:right="-1"/>
      </w:pPr>
    </w:p>
    <w:p w:rsidR="001F439F" w:rsidRDefault="001F439F" w:rsidP="001F439F">
      <w:pPr>
        <w:pStyle w:val="StandardRisoluzionedelConsigliodiStato"/>
        <w:ind w:right="-1"/>
      </w:pPr>
      <w:r>
        <w:t>La LCIP è attualmente in fase di profonda revisione. Ad esempio, vi è la prospettiva di considerare la cartella informatizzata come uno strumento dell'assicurazione malattia, offrendo così alla Confederazione un margine di manovra più ampio per disciplinare in dettaglio competenze e compiti federali e cantonali. Nell'attesa che il processo sia completato, la Confederazione prevede una modifica parziale che dovrebbe permettere, attraverso un finanziamento transitorio duale (Confederazione e almeno un pari importo da parte dei Cantoni) di dare un ulteriore impulso al progetto. Nel concreto si tratterebbe di elargire un contributo per cartella informatizzata in essere. Discussioni sono attualmente in atto per definire l'entità del contributo. L'evoluzione della situazione e le modifiche che</w:t>
      </w:r>
      <w:r w:rsidR="005E7E36">
        <w:t xml:space="preserve"> </w:t>
      </w:r>
      <w:r>
        <w:t>verranno adottate a livello federale potrebbero indurre a riconsiderare l'organizzazione nonché le modalità e l'entità dei finanziamenti cantonali.</w:t>
      </w:r>
    </w:p>
    <w:p w:rsidR="001F439F" w:rsidRDefault="001F439F" w:rsidP="001F439F">
      <w:pPr>
        <w:pStyle w:val="StandardRisoluzionedelConsigliodiStato"/>
        <w:ind w:right="-1"/>
      </w:pPr>
      <w:r>
        <w:t>Ciò detto, la Commi</w:t>
      </w:r>
      <w:r w:rsidR="005E7E36">
        <w:t>ssione ritiene di dover porre l'</w:t>
      </w:r>
      <w:r>
        <w:t>accento sul fatto che la digitalizzazione della medicina è un progetto strategico che va aldilà della cartella informatizzata del paziente. Come detto in precedenza</w:t>
      </w:r>
      <w:r w:rsidR="005E7E36">
        <w:t>,</w:t>
      </w:r>
      <w:r>
        <w:t xml:space="preserve"> potrebbe essere un asse di innovazione strategico per il Ticino, laddove si ritiene che le premesse ci siano.</w:t>
      </w:r>
    </w:p>
    <w:p w:rsidR="001F439F" w:rsidRDefault="001F439F" w:rsidP="001F439F">
      <w:pPr>
        <w:pStyle w:val="StandardRisoluzionedelConsigliodiStato"/>
        <w:ind w:right="-1"/>
      </w:pPr>
    </w:p>
    <w:p w:rsidR="001F439F" w:rsidRDefault="005E7E36" w:rsidP="0072473B">
      <w:pPr>
        <w:pStyle w:val="Titolo3"/>
        <w:numPr>
          <w:ilvl w:val="0"/>
          <w:numId w:val="0"/>
        </w:numPr>
        <w:jc w:val="both"/>
      </w:pPr>
      <w:bookmarkStart w:id="30" w:name="_Toc179882488"/>
      <w:r>
        <w:lastRenderedPageBreak/>
        <w:t>7.2.5</w:t>
      </w:r>
      <w:r w:rsidR="001F439F">
        <w:tab/>
        <w:t>Centri di primo soccorso</w:t>
      </w:r>
      <w:bookmarkEnd w:id="30"/>
    </w:p>
    <w:p w:rsidR="001F439F" w:rsidRDefault="001F439F" w:rsidP="001F439F">
      <w:pPr>
        <w:pStyle w:val="StandardRisoluzionedelConsigliodiStato"/>
        <w:ind w:right="-1"/>
      </w:pPr>
      <w:r>
        <w:t>Presso gli ospedali di Faido e Acquarossa sono operativi due centri di primo soccorso (CPS), diretti da un medico con la funzione di responsabile che si avvale della collaborazione dei medici assistenti presenti in sede e di un responsabile infermieristico con la specializzazione post diploma in cure urgenti. Durante il giorno il CPS dispone di personale dedicato, mentre il servizio di guardia presente in struttura garantisce il servizio nelle fasce serali e notturne. Presso i CPS sono istallati una radiologia convenzionale, un laboratorio "point of care" e un apparecchio di elettrocardiografia.</w:t>
      </w:r>
    </w:p>
    <w:p w:rsidR="001F439F" w:rsidRDefault="005E7E36" w:rsidP="001F439F">
      <w:pPr>
        <w:pStyle w:val="StandardRisoluzionedelConsigliodiStato"/>
        <w:ind w:right="-1"/>
      </w:pPr>
      <w:r>
        <w:t>A titolo di prestazione d'</w:t>
      </w:r>
      <w:r w:rsidR="001F439F">
        <w:t>interesse generale il Cantone versa all'EOC (dal 2018) 249'700</w:t>
      </w:r>
      <w:r>
        <w:t xml:space="preserve"> franchi per ogni centro (in totale </w:t>
      </w:r>
      <w:r w:rsidR="001F439F">
        <w:t>499'400</w:t>
      </w:r>
      <w:r>
        <w:t xml:space="preserve"> franchi</w:t>
      </w:r>
      <w:r w:rsidR="001F439F">
        <w:t>), corrispondente alla dotazione di personale minima per il funzionamento sopraindicato.</w:t>
      </w:r>
    </w:p>
    <w:p w:rsidR="001F439F" w:rsidRDefault="001F439F" w:rsidP="001F439F">
      <w:pPr>
        <w:pStyle w:val="StandardRisoluzionedelConsigliodiStato"/>
        <w:ind w:right="-1"/>
      </w:pPr>
    </w:p>
    <w:p w:rsidR="001F439F" w:rsidRDefault="005E7E36" w:rsidP="0072473B">
      <w:pPr>
        <w:pStyle w:val="Titolo3"/>
        <w:numPr>
          <w:ilvl w:val="0"/>
          <w:numId w:val="0"/>
        </w:numPr>
        <w:jc w:val="both"/>
      </w:pPr>
      <w:bookmarkStart w:id="31" w:name="_Toc179882489"/>
      <w:r>
        <w:t>7.2.6</w:t>
      </w:r>
      <w:r w:rsidR="001F439F">
        <w:tab/>
        <w:t>Istituto pediatrico della Svizzera italiana (IPSI)</w:t>
      </w:r>
      <w:bookmarkEnd w:id="31"/>
    </w:p>
    <w:p w:rsidR="001F439F" w:rsidRDefault="001F439F" w:rsidP="001F439F">
      <w:pPr>
        <w:pStyle w:val="StandardRisoluzionedelConsigliodiStato"/>
        <w:ind w:right="-1"/>
      </w:pPr>
      <w:r>
        <w:t xml:space="preserve">A seguito di una mozione che chiedeva la creazione di un'unità di cure intensive cantonale rivolta a neonati e pazienti pediatrici e del relativo Messaggio governativo n. 7343 del 5 luglio 2017, </w:t>
      </w:r>
      <w:r w:rsidR="000F0477">
        <w:t xml:space="preserve">il 16 ottobre 2018 </w:t>
      </w:r>
      <w:r>
        <w:t>il Gran Consiglio ha confermato la necessità e la possibilità di disporre anche nel nostro Cantone di un'unità di cure intermedie neonatali di livello IIB e ha invitato il Consiglio di Stato a considerare dette cure neonatologiche e pediatriche quali prestazioni d'interesse generale, prevedendo di conseguenza un finanziamento di circa 1 milione di fr</w:t>
      </w:r>
      <w:r w:rsidR="000F0477">
        <w:t>anchi</w:t>
      </w:r>
      <w:r>
        <w:t xml:space="preserve"> a copertura del fabbisogno non coperto dalle tariffe negoziate con gli assicuratori malattia.</w:t>
      </w:r>
    </w:p>
    <w:p w:rsidR="001F439F" w:rsidRDefault="001F439F" w:rsidP="001F439F">
      <w:pPr>
        <w:pStyle w:val="StandardRisoluzionedelConsigliodiStato"/>
        <w:ind w:right="-1"/>
      </w:pPr>
      <w:r>
        <w:t>Nell'ambito della negoziazione del contratto di prestazione 2022, i servizi preposti hanno stabilito le modalità di calcolo del contributo cantonale quale partecipazione al finanziamento del disavanzo d'esercizio delle cure intermedie di livello IIB e pediatriche dell'Istituto pediatrico della Svizzera italiana (IPSI). Retroattivamente al 2019, il contributo è stabilito in circa 0.8 milioni di franchi all'anno.</w:t>
      </w:r>
    </w:p>
    <w:p w:rsidR="001F439F" w:rsidRDefault="001F439F" w:rsidP="001F439F">
      <w:pPr>
        <w:pStyle w:val="StandardRisoluzionedelConsigliodiStato"/>
        <w:ind w:right="-1"/>
      </w:pPr>
    </w:p>
    <w:p w:rsidR="001F439F" w:rsidRDefault="0072473B" w:rsidP="0072473B">
      <w:pPr>
        <w:pStyle w:val="Titolo3"/>
        <w:numPr>
          <w:ilvl w:val="0"/>
          <w:numId w:val="0"/>
        </w:numPr>
        <w:jc w:val="both"/>
      </w:pPr>
      <w:bookmarkStart w:id="32" w:name="_Toc179882490"/>
      <w:r>
        <w:t>7.2.7</w:t>
      </w:r>
      <w:r w:rsidR="001F439F">
        <w:tab/>
        <w:t>Contributo per attività di sostegno nel reparto pediatrico</w:t>
      </w:r>
      <w:bookmarkEnd w:id="32"/>
    </w:p>
    <w:p w:rsidR="001F439F" w:rsidRDefault="0072473B" w:rsidP="001F439F">
      <w:pPr>
        <w:pStyle w:val="StandardRisoluzionedelConsigliodiStato"/>
        <w:ind w:right="-1"/>
      </w:pPr>
      <w:r>
        <w:t>L'</w:t>
      </w:r>
      <w:r w:rsidR="001F439F">
        <w:t>integrazione di attività ludiche e pedagogiche nei piani di cura dei pazienti è una necessità avvertita e richiesta da tutti gli ospedali pediatrici nazionali. All'interno dell'EOC è inserita la figura di una docente integrata nel team pediatrico presso l'Ospedale Regionale di Bellinzona e Valli, sede Ospedale San Giovanni, in ragione di 4 ore al giorno, mentre all'Ospedale Regionale di Lugano, sede Ospedale Civico, è presente un educatore in funzione della casistica a supporto dell'équipe curante. Le attività si snodano tra gioco, aiuto nei compiti, attività creative, accompagnamento durante le terapie e ascolto dei genitori, fornendo se del caso sostegno nella risoluzione di problemi pratici. Le figure pedagogiche rappresentano un aiuto concreto per l'équipe anche per distrarre il bambino, motivarlo nel mangiare o nel digiunare, nonché per accompagnarlo nei vari spostamenti all'interno dell'ospedale per affrontare gli esami diagnostici e/o le terapie.</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 xml:space="preserve">Il contributo richiesto è di 70'000 </w:t>
      </w:r>
      <w:r w:rsidR="0072473B">
        <w:t xml:space="preserve">franchi </w:t>
      </w:r>
      <w:r>
        <w:t>all'anno.</w:t>
      </w:r>
    </w:p>
    <w:p w:rsidR="0072473B" w:rsidRDefault="0072473B" w:rsidP="001F439F">
      <w:pPr>
        <w:pStyle w:val="StandardRisoluzionedelConsigliodiStato"/>
        <w:ind w:right="-1"/>
      </w:pPr>
    </w:p>
    <w:p w:rsidR="001F439F" w:rsidRDefault="0072473B" w:rsidP="0072473B">
      <w:pPr>
        <w:pStyle w:val="Titolo3"/>
        <w:numPr>
          <w:ilvl w:val="0"/>
          <w:numId w:val="0"/>
        </w:numPr>
        <w:ind w:left="567" w:hanging="567"/>
      </w:pPr>
      <w:bookmarkStart w:id="33" w:name="_Toc179882491"/>
      <w:r>
        <w:t>7.2.8</w:t>
      </w:r>
      <w:r w:rsidR="001F439F">
        <w:tab/>
        <w:t>Contributo per il centro di competenza malattie rare</w:t>
      </w:r>
      <w:bookmarkEnd w:id="33"/>
    </w:p>
    <w:p w:rsidR="001F439F" w:rsidRDefault="001F439F" w:rsidP="001F439F">
      <w:pPr>
        <w:pStyle w:val="StandardRisoluzionedelConsigliodiStato"/>
        <w:ind w:right="-1"/>
      </w:pPr>
      <w:r>
        <w:t>L'EOC rappresenta la Piattaforma Malattie Rare Svizzera italiana</w:t>
      </w:r>
      <w:r w:rsidR="0072473B">
        <w:t xml:space="preserve"> all'interno dell'Associazione </w:t>
      </w:r>
      <w:r>
        <w:t xml:space="preserve">Coordinamento nazionale per le malattie rare (KOSEK) fondata a Berna nel 2017. Nell'attesa della nuova legge federale che dovrà assicurarne il finanziamento, </w:t>
      </w:r>
      <w:r>
        <w:lastRenderedPageBreak/>
        <w:t>ritenuta la componente di salute pubblica della tematica e considerato che i progetti in corso presso l'EOC sono coperti solo parzialmente dalle fatturazioni TARMED, si riconosce all'EOC un contributo annuale di 90'000</w:t>
      </w:r>
      <w:r w:rsidR="0072473B">
        <w:t xml:space="preserve"> franchi</w:t>
      </w:r>
      <w:r>
        <w:t>.</w:t>
      </w:r>
    </w:p>
    <w:p w:rsidR="001F439F" w:rsidRDefault="001F439F" w:rsidP="001F439F">
      <w:pPr>
        <w:pStyle w:val="StandardRisoluzionedelConsigliodiStato"/>
        <w:ind w:right="-1"/>
      </w:pPr>
    </w:p>
    <w:p w:rsidR="001F439F" w:rsidRDefault="0072473B" w:rsidP="0072473B">
      <w:pPr>
        <w:pStyle w:val="Titolo3"/>
        <w:numPr>
          <w:ilvl w:val="0"/>
          <w:numId w:val="0"/>
        </w:numPr>
        <w:ind w:left="567" w:hanging="567"/>
        <w:jc w:val="both"/>
      </w:pPr>
      <w:bookmarkStart w:id="34" w:name="_Toc179882492"/>
      <w:r>
        <w:t>7.2.9</w:t>
      </w:r>
      <w:r w:rsidR="001F439F">
        <w:tab/>
        <w:t>Contributo per il mantenimento di uno studio medico a Cevio, presso il centro sociosanitario</w:t>
      </w:r>
      <w:bookmarkEnd w:id="34"/>
    </w:p>
    <w:p w:rsidR="001F439F" w:rsidRDefault="001F439F" w:rsidP="001F439F">
      <w:pPr>
        <w:pStyle w:val="StandardRisoluzionedelConsigliodiStato"/>
        <w:ind w:right="-1"/>
      </w:pPr>
      <w:r>
        <w:t>Negli ultimi anni l'EOC, e in particolare l'Ospedale Regionale di Locarno, assicurano le prestazioni mediche, diagnostiche e terapeutiche erogate presso lo studio medico situato nel Centro sociosanitario di Cevio e accolgono i pazienti provenienti dallo stesso garantendo una continuità di presa in carico, formando in particolare i medici che intendono insediarsi poi come medici di famiglia in Valle Maggia. Si rafforza il concetto di rete territoriale, permettendo ai medici del centro sociosanitario di avere accesso alle competenze specialistiche dell'ospedale e garantire a quest'ultimo di mantenere un'antenna sul territorio, di poter offrire ai candidati medici dell'USI ulteriori possibilità formative supervisionate da EOC e ai medici assistenti di perfezionare la formazione post­ diploma presso il centro sociosanitario. La gestione dello studio medico all'interno del centro sociosanitario e la concretizzazione di quanto sopraesposto (aspetti di cura e formazione) generano dei costi che la fatturazione delle prestazioni non permette al momento attuale di coprire. In questo senso la prestazione d'int</w:t>
      </w:r>
      <w:r w:rsidR="0072473B">
        <w:t>eresse generale, valutata in</w:t>
      </w:r>
      <w:r>
        <w:t xml:space="preserve"> 70'000 annui </w:t>
      </w:r>
      <w:r w:rsidR="0072473B">
        <w:t xml:space="preserve">franchi </w:t>
      </w:r>
      <w:r>
        <w:t>è considerata per un periodo di tre anni. Nell'autunno 2025, in occasione delle negoziazioni 2026, dovrà essere in ogni caso rivalutata.</w:t>
      </w:r>
    </w:p>
    <w:p w:rsidR="001F439F" w:rsidRDefault="001F439F" w:rsidP="001F439F">
      <w:pPr>
        <w:pStyle w:val="StandardRisoluzionedelConsigliodiStato"/>
        <w:ind w:right="-1"/>
      </w:pPr>
      <w:r>
        <w:t>La Commissione ritiene che per queste realtà discoste, ma non solo</w:t>
      </w:r>
      <w:r w:rsidR="0072473B">
        <w:t>,</w:t>
      </w:r>
      <w:r>
        <w:t xml:space="preserve"> anche il ruolo dei medici di famiglia dovrà essere valorizzato a livello locale ad es. con un sostegno finanziario per la locazione e </w:t>
      </w:r>
      <w:r w:rsidR="0072473B">
        <w:t>l'</w:t>
      </w:r>
      <w:r>
        <w:t>acquisto macchinari da parte di Comuni, Patriziati e/o Consorzi alfine di assicurare un minimo di attrattività per il medico.</w:t>
      </w:r>
    </w:p>
    <w:p w:rsidR="001F439F" w:rsidRDefault="001F439F" w:rsidP="001F439F">
      <w:pPr>
        <w:pStyle w:val="StandardRisoluzionedelConsigliodiStato"/>
        <w:ind w:right="-1"/>
      </w:pPr>
    </w:p>
    <w:p w:rsidR="001F439F" w:rsidRDefault="001F439F" w:rsidP="0072473B">
      <w:pPr>
        <w:pStyle w:val="StandardRisoluzionedelConsigliodiStato"/>
        <w:ind w:right="-1"/>
      </w:pPr>
    </w:p>
    <w:p w:rsidR="001F439F" w:rsidRPr="0072473B" w:rsidRDefault="0072473B" w:rsidP="001D5B09">
      <w:pPr>
        <w:pStyle w:val="Titolo1"/>
        <w:numPr>
          <w:ilvl w:val="0"/>
          <w:numId w:val="0"/>
        </w:numPr>
        <w:spacing w:before="0" w:after="0"/>
        <w:ind w:left="567" w:hanging="567"/>
        <w:jc w:val="both"/>
        <w:rPr>
          <w:sz w:val="24"/>
          <w:szCs w:val="24"/>
        </w:rPr>
      </w:pPr>
      <w:bookmarkStart w:id="35" w:name="_Toc179882493"/>
      <w:r w:rsidRPr="0072473B">
        <w:rPr>
          <w:sz w:val="24"/>
          <w:szCs w:val="24"/>
        </w:rPr>
        <w:t>8</w:t>
      </w:r>
      <w:r w:rsidR="001F439F" w:rsidRPr="0072473B">
        <w:rPr>
          <w:sz w:val="24"/>
          <w:szCs w:val="24"/>
        </w:rPr>
        <w:t>.</w:t>
      </w:r>
      <w:r w:rsidR="001F439F" w:rsidRPr="0072473B">
        <w:rPr>
          <w:sz w:val="24"/>
          <w:szCs w:val="24"/>
        </w:rPr>
        <w:tab/>
        <w:t>MODULI DI SOLLECITAZIONE DELL'OFFERTA E I REQUISITI PER L'OTTENIMENTO DEI MANDATI</w:t>
      </w:r>
      <w:bookmarkEnd w:id="35"/>
    </w:p>
    <w:p w:rsidR="001F439F" w:rsidRDefault="0072473B" w:rsidP="0072473B">
      <w:pPr>
        <w:pStyle w:val="Titolo2"/>
        <w:numPr>
          <w:ilvl w:val="0"/>
          <w:numId w:val="0"/>
        </w:numPr>
        <w:jc w:val="both"/>
      </w:pPr>
      <w:bookmarkStart w:id="36" w:name="_Toc179882494"/>
      <w:r>
        <w:t>8.1</w:t>
      </w:r>
      <w:r w:rsidR="001F439F">
        <w:tab/>
        <w:t>BASI LEGALI</w:t>
      </w:r>
      <w:bookmarkEnd w:id="36"/>
    </w:p>
    <w:p w:rsidR="001F439F" w:rsidRDefault="001F439F" w:rsidP="001F439F">
      <w:pPr>
        <w:pStyle w:val="StandardRisoluzionedelConsigliodiStato"/>
        <w:ind w:right="-1"/>
      </w:pPr>
      <w:r>
        <w:t>L'assegnazione dei mandati pianificatori deve avvenire entro i limiti definiti dalle basi legali di riferimento.</w:t>
      </w:r>
    </w:p>
    <w:p w:rsidR="001F439F" w:rsidRDefault="001F439F" w:rsidP="001F439F">
      <w:pPr>
        <w:pStyle w:val="StandardRisoluzionedelConsigliodiStato"/>
        <w:ind w:right="-1"/>
      </w:pPr>
    </w:p>
    <w:p w:rsidR="001F439F" w:rsidRDefault="0072473B" w:rsidP="0072473B">
      <w:pPr>
        <w:pStyle w:val="Titolo3"/>
        <w:numPr>
          <w:ilvl w:val="0"/>
          <w:numId w:val="0"/>
        </w:numPr>
        <w:jc w:val="both"/>
      </w:pPr>
      <w:bookmarkStart w:id="37" w:name="_Toc179882495"/>
      <w:r>
        <w:t>8.1.1</w:t>
      </w:r>
      <w:r>
        <w:tab/>
      </w:r>
      <w:r w:rsidR="001F439F">
        <w:t>Disposizioni federali</w:t>
      </w:r>
      <w:bookmarkEnd w:id="37"/>
    </w:p>
    <w:p w:rsidR="001F439F" w:rsidRDefault="001F439F" w:rsidP="001F439F">
      <w:pPr>
        <w:pStyle w:val="StandardRisoluzionedelConsigliodiStato"/>
        <w:ind w:right="-1"/>
      </w:pPr>
      <w:r>
        <w:t>L'art. 39 cpv. 2ter LAMal assegna al Consiglio federale il compito di emanare dei criteri di pianificazione uniformi in base a qualità ed economicità. Le relative normative si trovano agli art. 58a­58f OAMal, ampliati e precisati con revisione del 23 giugno 2021, entrata in vigore il 1° gennaio 2022. Ne risulta che il fabbisogno di cure della popolazione, in base al quale i Cantoni sono pertanto tenuti a pianificare le cure stazionarie offerte sul proprio territorio (art. 39 cpv. 1 let. d e cpv. 2 LAMal), deve essere determinato dalla valutazione della statistica medica e dei fattori d'influenza rilevanti per la previsione del fabbisogno,</w:t>
      </w:r>
      <w:r w:rsidR="00C77ACE">
        <w:t xml:space="preserve"> </w:t>
      </w:r>
      <w:r>
        <w:t>dalla presa in considerazione dell'offerta di cure fornite da istituti che non figurano sull'elenco e dai ricoveri stazion</w:t>
      </w:r>
      <w:r w:rsidR="00C77ACE">
        <w:t>ari di pazienti ticinesi fuori C</w:t>
      </w:r>
      <w:r>
        <w:t>antone. I Cantoni devono altresì considerare l'economicità e la qualità della fornitura di prestazioni, l'accesso dei pazienti alle cure entro un termine utile e la disponibilità e la capacità dell'istituto ad adempiere al mandato di prestazioni (art. 58b OAMal).</w:t>
      </w:r>
    </w:p>
    <w:p w:rsidR="001F439F" w:rsidRDefault="001F439F" w:rsidP="001F439F">
      <w:pPr>
        <w:pStyle w:val="StandardRisoluzionedelConsigliodiStato"/>
        <w:ind w:right="-1"/>
      </w:pPr>
      <w:r>
        <w:lastRenderedPageBreak/>
        <w:t>Per la valutazione dell'economicità degli ospedali, i Cantoni devono effettuare dei confronti dei costi corretti per il grado di gravità (art. 58d cpv. 1 OAMal). Per la valutazione della qualità devono invece verificare che dispongano del necessario personale qualificato, di un adeguato sistema di gestione della qualità, di un sistema interno di rapporti e d'apprendimento appropriato, dell'adesione a una rete di notifica di eventi indesiderabili uniforme a livello svizzero nonché delle attrezzature che consentono di partecipare alle misurazioni nazionali della qualità e di garantire la sicurezza delle terapie farmacologiche, in particolare mediante il rilevamento elettronico dei medicamenti prescritti e dispensati (art. 58d cpv. 2 lett. a­e OAMal). Oltre a ciò, nella valutazione degli ospedali, il Cantone deve anche tener conto dello sfruttamento di sinergie, del numero minimo di casi e del potenziale di concentrazione di prestazioni al fine di rafforzare l'economicità e la qualità delle cure (art. 58d cpv. 4 OAMal).</w:t>
      </w:r>
    </w:p>
    <w:p w:rsidR="001F439F" w:rsidRDefault="001F439F" w:rsidP="001F439F">
      <w:pPr>
        <w:pStyle w:val="StandardRisoluzionedelConsigliodiStato"/>
        <w:ind w:right="-1"/>
      </w:pPr>
    </w:p>
    <w:p w:rsidR="001F439F" w:rsidRDefault="00C77ACE" w:rsidP="00C77ACE">
      <w:pPr>
        <w:pStyle w:val="Titolo3"/>
        <w:numPr>
          <w:ilvl w:val="0"/>
          <w:numId w:val="0"/>
        </w:numPr>
        <w:jc w:val="both"/>
      </w:pPr>
      <w:bookmarkStart w:id="38" w:name="_Toc179882496"/>
      <w:r>
        <w:t>8.1.2</w:t>
      </w:r>
      <w:r w:rsidR="001F439F">
        <w:tab/>
        <w:t>Legge cantonale</w:t>
      </w:r>
      <w:bookmarkEnd w:id="38"/>
    </w:p>
    <w:p w:rsidR="001F439F" w:rsidRDefault="001F439F" w:rsidP="001F439F">
      <w:pPr>
        <w:pStyle w:val="StandardRisoluzionedelConsigliodiStato"/>
        <w:ind w:right="-1"/>
      </w:pPr>
      <w:r>
        <w:t>Oltre ai criteri fondamentali di economicità, qualità, accessibilità alle cure in tempi utili, disponibilità e capacità dell'istituto ad adempiere al mandato di prestazioni, la LCAMal presuppone l'adempimento anche di una serie di criteri di struttura e di gestione definiti in un apposito regolamento del Consiglio di Stato (art. 63 cpv. 1 lett. a LCAMal). Il rinvio è al nuovo Regolamento sulla qualità e la sicurezza delle strutture ospedaliere, che è stato approvato il 18 gennaio 2023 e che precisa le condizioni per il rilascio dell'autorizzazione d'esercizio agli ospedali. Assieme alla menzionata disposizione della LCAMal, esso risponde alle richieste formulate con l'iniziativa popolare legislativa elaborata "Per la qualità e sicurezza delle cure ospedaliere", presentata nel 2017.</w:t>
      </w:r>
    </w:p>
    <w:p w:rsidR="001F439F" w:rsidRDefault="001F439F" w:rsidP="001F439F">
      <w:pPr>
        <w:pStyle w:val="StandardRisoluzionedelConsigliodiStato"/>
        <w:ind w:right="-1"/>
      </w:pPr>
    </w:p>
    <w:p w:rsidR="001F439F" w:rsidRDefault="00C77ACE" w:rsidP="00C77ACE">
      <w:pPr>
        <w:pStyle w:val="Titolo3"/>
        <w:numPr>
          <w:ilvl w:val="0"/>
          <w:numId w:val="0"/>
        </w:numPr>
      </w:pPr>
      <w:bookmarkStart w:id="39" w:name="_Toc179882497"/>
      <w:r>
        <w:t>8.1.3</w:t>
      </w:r>
      <w:r>
        <w:tab/>
      </w:r>
      <w:r w:rsidR="001F439F">
        <w:t>Raccomandazioni della CDS</w:t>
      </w:r>
      <w:r>
        <w:rPr>
          <w:rStyle w:val="Rimandonotaapidipagina"/>
        </w:rPr>
        <w:footnoteReference w:id="2"/>
      </w:r>
      <w:bookmarkEnd w:id="39"/>
    </w:p>
    <w:p w:rsidR="001F439F" w:rsidRDefault="001F439F" w:rsidP="001F439F">
      <w:pPr>
        <w:pStyle w:val="StandardRisoluzionedelConsigliodiStato"/>
        <w:ind w:right="-1"/>
      </w:pPr>
      <w:r>
        <w:t>Le raccomandazioni della Conferenza delle direttrici e dei direttori cantonali della sanità (CDS) hanno lo scopo di promuovere un'interpretazione unitaria degli obblighi pianificatori dei Cantoni e di favorire il coordinamento intercantonale ai sensi dell'art. 39 cpv. 2 LAMal. Le raccomandazioni della CDS non sono giuridicamente vincolanti e spaziano su tutti gli ambiti della presa a carico stazionaria. La versione attualmente in vigore è stata approvata dall'Assemblea plenaria della CDS il 20 maggio 2022 e tiene conto della recente modifica dell'OAMal sui criteri di pianificazione (art. 58a segg.) e della giurisprudenza del Tribunale federale (TF) rispettivamente del Tribunale amministrativo federale (TAF).</w:t>
      </w:r>
    </w:p>
    <w:p w:rsidR="001F439F" w:rsidRDefault="001F439F" w:rsidP="001F439F">
      <w:pPr>
        <w:pStyle w:val="StandardRisoluzionedelConsigliodiStato"/>
        <w:ind w:right="-1"/>
      </w:pPr>
    </w:p>
    <w:p w:rsidR="001F439F" w:rsidRDefault="001F439F" w:rsidP="001F439F">
      <w:pPr>
        <w:pStyle w:val="StandardRisoluzionedelConsigliodiStato"/>
        <w:ind w:right="-1"/>
      </w:pPr>
      <w:r>
        <w:t>Le Raccomandazioni, tra l'altro, includono:</w:t>
      </w:r>
    </w:p>
    <w:p w:rsidR="001F439F" w:rsidRDefault="001F439F" w:rsidP="003446C0">
      <w:pPr>
        <w:pStyle w:val="StandardRisoluzionedelConsigliodiStato"/>
        <w:numPr>
          <w:ilvl w:val="1"/>
          <w:numId w:val="51"/>
        </w:numPr>
        <w:ind w:left="284" w:right="-1" w:hanging="284"/>
      </w:pPr>
      <w:r>
        <w:t>la catalogazione delle cure stazionarie secondo il concetto di gruppi di prestazioni sviluppato dal Cantone Zurigo (SPLG);</w:t>
      </w:r>
    </w:p>
    <w:p w:rsidR="001F439F" w:rsidRDefault="001F439F" w:rsidP="003446C0">
      <w:pPr>
        <w:pStyle w:val="StandardRisoluzionedelConsigliodiStato"/>
        <w:numPr>
          <w:ilvl w:val="1"/>
          <w:numId w:val="51"/>
        </w:numPr>
        <w:ind w:left="284" w:right="-1" w:hanging="284"/>
      </w:pPr>
      <w:r>
        <w:t>il rispetto, per l'assegnazione di un mandato di prestazione</w:t>
      </w:r>
      <w:r w:rsidR="00C77ACE">
        <w:t>, del criterio dell'economicità;</w:t>
      </w:r>
    </w:p>
    <w:p w:rsidR="001F439F" w:rsidRDefault="001F439F" w:rsidP="003446C0">
      <w:pPr>
        <w:pStyle w:val="StandardRisoluzionedelConsigliodiStato"/>
        <w:numPr>
          <w:ilvl w:val="1"/>
          <w:numId w:val="52"/>
        </w:numPr>
        <w:ind w:left="284" w:right="-1" w:hanging="284"/>
      </w:pPr>
      <w:r>
        <w:t>l'obbligo di includere nei mandati di prestazione l'obbligo di partecipazione alle misure di promozione e misurazione della qualità dell'Associazione nazionale per la qualità (ANQ);</w:t>
      </w:r>
    </w:p>
    <w:p w:rsidR="001F439F" w:rsidRDefault="001F439F" w:rsidP="003446C0">
      <w:pPr>
        <w:pStyle w:val="StandardRisoluzionedelConsigliodiStato"/>
        <w:numPr>
          <w:ilvl w:val="1"/>
          <w:numId w:val="52"/>
        </w:numPr>
        <w:ind w:left="284" w:right="-1" w:hanging="284"/>
      </w:pPr>
      <w:r>
        <w:t>la possibilità per i Cantoni di definire l'accessibilità alle cure entro tempi utili come criterio importante per l'ottenimento di un mandato di prestazione;</w:t>
      </w:r>
    </w:p>
    <w:p w:rsidR="001F439F" w:rsidRDefault="001F439F" w:rsidP="003446C0">
      <w:pPr>
        <w:pStyle w:val="StandardRisoluzionedelConsigliodiStato"/>
        <w:numPr>
          <w:ilvl w:val="1"/>
          <w:numId w:val="52"/>
        </w:numPr>
        <w:ind w:left="284" w:right="-1" w:hanging="284"/>
      </w:pPr>
      <w:r>
        <w:lastRenderedPageBreak/>
        <w:t>la possibilità di fissare un numero minimo di casi per determinati gruppi di prestazioni (art. 58d cpv. 4 e 58f cpv. 4 lett. f) OAMal);</w:t>
      </w:r>
    </w:p>
    <w:p w:rsidR="001F439F" w:rsidRDefault="001F439F" w:rsidP="003446C0">
      <w:pPr>
        <w:pStyle w:val="StandardRisoluzionedelConsigliodiStato"/>
        <w:numPr>
          <w:ilvl w:val="1"/>
          <w:numId w:val="52"/>
        </w:numPr>
        <w:ind w:left="284" w:right="-1" w:hanging="284"/>
      </w:pPr>
      <w:r>
        <w:t>la possibilità per i Cantoni di prevedere il contenimento dei volumi al fine di evitare cure stazionarie inutili e sovracapacità;</w:t>
      </w:r>
    </w:p>
    <w:p w:rsidR="001F439F" w:rsidRDefault="001F439F" w:rsidP="003446C0">
      <w:pPr>
        <w:pStyle w:val="StandardRisoluzionedelConsigliodiStato"/>
        <w:numPr>
          <w:ilvl w:val="1"/>
          <w:numId w:val="52"/>
        </w:numPr>
        <w:ind w:left="284" w:right="-1" w:hanging="284"/>
      </w:pPr>
      <w:r>
        <w:t>la possibilità di considerare le condizioni di lavoro come un criterio per l'attribuzione di un mandato di prestazione;</w:t>
      </w:r>
    </w:p>
    <w:p w:rsidR="001F439F" w:rsidRDefault="001F439F" w:rsidP="003446C0">
      <w:pPr>
        <w:pStyle w:val="StandardRisoluzionedelConsigliodiStato"/>
        <w:numPr>
          <w:ilvl w:val="1"/>
          <w:numId w:val="52"/>
        </w:numPr>
        <w:ind w:left="284" w:right="-1" w:hanging="284"/>
      </w:pPr>
      <w:r>
        <w:t>inserire tra i criteri per l'assegnazione dei mandati quello della formazione;</w:t>
      </w:r>
    </w:p>
    <w:p w:rsidR="001F439F" w:rsidRDefault="001F439F" w:rsidP="003446C0">
      <w:pPr>
        <w:pStyle w:val="StandardRisoluzionedelConsigliodiStato"/>
        <w:numPr>
          <w:ilvl w:val="1"/>
          <w:numId w:val="52"/>
        </w:numPr>
        <w:ind w:left="284" w:right="-1" w:hanging="284"/>
      </w:pPr>
      <w:r>
        <w:t>il controllo periodico del rispetto dei mandati di prestazione, pena sanzioni.</w:t>
      </w:r>
    </w:p>
    <w:p w:rsidR="001F439F" w:rsidRDefault="001F439F" w:rsidP="001F439F">
      <w:pPr>
        <w:pStyle w:val="StandardRisoluzionedelConsigliodiStato"/>
        <w:ind w:right="-1"/>
      </w:pPr>
      <w:r>
        <w:t>Per il dettaglio delle 16 Raccomandazioni si rinvia al Messaggio</w:t>
      </w:r>
      <w:r w:rsidR="00C77ACE">
        <w:t>,</w:t>
      </w:r>
      <w:r>
        <w:t xml:space="preserve"> pag. 35­37.</w:t>
      </w:r>
    </w:p>
    <w:p w:rsidR="001F439F" w:rsidRDefault="001F439F" w:rsidP="001F439F">
      <w:pPr>
        <w:pStyle w:val="StandardRisoluzionedelConsigliodiStato"/>
        <w:ind w:right="-1"/>
      </w:pPr>
    </w:p>
    <w:p w:rsidR="001F439F" w:rsidRDefault="001F439F" w:rsidP="001F439F">
      <w:pPr>
        <w:pStyle w:val="StandardRisoluzionedelConsigliodiStato"/>
        <w:ind w:right="-1"/>
      </w:pPr>
      <w:r>
        <w:t>La scrivente Commissione evidenzia come</w:t>
      </w:r>
      <w:r w:rsidR="00C77ACE">
        <w:t>,</w:t>
      </w:r>
      <w:r>
        <w:t xml:space="preserve"> di fatto</w:t>
      </w:r>
      <w:r w:rsidR="00C77ACE">
        <w:t>,</w:t>
      </w:r>
      <w:r>
        <w:t xml:space="preserve"> il margine di manovra proprio come quello delegato al Consiglio di Stato sia limitato dai criteri stabiliti a livello di diritto superiore. Il margine di manovra è ancora più limitato se non si inseriscono altri criteri o si consolidano quelli già esistenti. Si veda ad es. il numero minimo di casi per operatore che comunque differiscono da GD­ZH o non appaiono nei dati. I criteri devono pertanto essere espliciti e costi delle prestazioni possono essere un criterio di scelta.</w:t>
      </w:r>
    </w:p>
    <w:p w:rsidR="001F439F" w:rsidRDefault="001F439F" w:rsidP="001F439F">
      <w:pPr>
        <w:pStyle w:val="StandardRisoluzionedelConsigliodiStato"/>
        <w:ind w:right="-1"/>
      </w:pPr>
    </w:p>
    <w:p w:rsidR="001F439F" w:rsidRDefault="00C77ACE" w:rsidP="00C77ACE">
      <w:pPr>
        <w:pStyle w:val="Titolo2"/>
        <w:numPr>
          <w:ilvl w:val="0"/>
          <w:numId w:val="0"/>
        </w:numPr>
        <w:tabs>
          <w:tab w:val="left" w:pos="567"/>
        </w:tabs>
      </w:pPr>
      <w:bookmarkStart w:id="40" w:name="_Toc179882498"/>
      <w:r>
        <w:t>8.2</w:t>
      </w:r>
      <w:r w:rsidR="001F439F">
        <w:t>.</w:t>
      </w:r>
      <w:r w:rsidR="001F439F">
        <w:tab/>
        <w:t>PROCESSO DI CANDIDATURA</w:t>
      </w:r>
      <w:bookmarkEnd w:id="40"/>
    </w:p>
    <w:p w:rsidR="001F439F" w:rsidRDefault="001F439F" w:rsidP="001F439F">
      <w:pPr>
        <w:pStyle w:val="StandardRisoluzionedelConsigliodiStato"/>
        <w:ind w:right="-1"/>
      </w:pPr>
      <w:r>
        <w:t>Ogni settore</w:t>
      </w:r>
      <w:r w:rsidR="00C77ACE">
        <w:t xml:space="preserve"> (</w:t>
      </w:r>
      <w:r>
        <w:t>somatico­acuto, psichiatria e riabilitazione</w:t>
      </w:r>
      <w:r w:rsidR="00C77ACE">
        <w:t>)</w:t>
      </w:r>
      <w:r>
        <w:t xml:space="preserve"> prevede il raggruppamento in</w:t>
      </w:r>
      <w:r w:rsidR="00C77ACE">
        <w:t xml:space="preserve"> </w:t>
      </w:r>
      <w:r>
        <w:t>discipline del</w:t>
      </w:r>
      <w:r w:rsidR="00C77ACE">
        <w:t>le prestazioni erogate e, nell'a</w:t>
      </w:r>
      <w:r>
        <w:t>mbito somatico­</w:t>
      </w:r>
      <w:r w:rsidR="00C77ACE">
        <w:t>acuto e psichiatrico, un'</w:t>
      </w:r>
      <w:r>
        <w:t>ulteriore scomposizione in gruppi di prestazioni. Dopo di che figura l’elenco dei requisiti minimi di qualità ai sensi dell’art. 58d OAMal e di quelli legati a ogni disciplina e/o gruppo di prestazioni chiedendo di confermare la loro presenza o meno al momento della compilazione. I fogli seguenti sono riferiti alle sin</w:t>
      </w:r>
      <w:r w:rsidR="00C77ACE">
        <w:t>gole prestazioni per le quali l'</w:t>
      </w:r>
      <w:r>
        <w:t>istituto pone o meno la sua candidatura.</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Per il </w:t>
      </w:r>
      <w:r w:rsidRPr="00C64DEF">
        <w:rPr>
          <w:u w:val="single"/>
        </w:rPr>
        <w:t>settore somatico­acuto</w:t>
      </w:r>
      <w:r>
        <w:t xml:space="preserve"> il raggruppamento dei gruppi di prestazione e la definizione d</w:t>
      </w:r>
      <w:r w:rsidR="00C77ACE">
        <w:t>ei requisiti specifici per l'</w:t>
      </w:r>
      <w:r>
        <w:t>attribuzione dei mandati è stata consolidata e recepita nei suoi principi anche dalle nuove e più precise disposizioni federali sui criteri di p</w:t>
      </w:r>
      <w:r w:rsidR="00C77ACE">
        <w:t>ianificazione, segnatamente all'</w:t>
      </w:r>
      <w:r>
        <w:t>art. 58f OAMal. Come visto, questo modello è anche raccomandato dalla CDS ed è il più diffuso a livello nazionale. Sul piano cantonale, il su</w:t>
      </w:r>
      <w:r w:rsidR="00C77ACE">
        <w:t>o utilizzo è stato ancorato all'</w:t>
      </w:r>
      <w:r>
        <w:t>art. 1bis del v</w:t>
      </w:r>
      <w:r w:rsidR="00C77ACE">
        <w:t>igente decreto legislativo sull'</w:t>
      </w:r>
      <w:r>
        <w:t>elenco pianificatorio, quale tassello</w:t>
      </w:r>
      <w:r w:rsidR="00C77ACE">
        <w:t xml:space="preserve"> della risposta legislativa all'</w:t>
      </w:r>
      <w:r>
        <w:t xml:space="preserve">iniziativa popolare per la qualità e la sicurezza delle cure ospedaliere. Le prestazioni sono raggruppate in 25 discipline suddivise a loro volta in 149 gruppi di prestazioni che tengono conto della complessità del trattamento e dovranno </w:t>
      </w:r>
      <w:r w:rsidR="00C77ACE">
        <w:t xml:space="preserve">considerare </w:t>
      </w:r>
      <w:r>
        <w:t>anche la suddivisione in prestazioni: a) pacchetto base (BP), b) prestazioni specialistiche (PS) e c) multidisciplinari e complesse (MDC). Per le MDC bisogna applicare criteri chiari di cosa categorizza una prestazione come tale (necessità di presenza in house di altre specialità, medicina intensiva di livello superiore, numeri minimi).</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 xml:space="preserve">La Commissione ritiene che questi </w:t>
      </w:r>
      <w:r w:rsidR="00C77ACE">
        <w:t>elementi dovranno figurare nell'</w:t>
      </w:r>
      <w:r>
        <w:t xml:space="preserve">offerta e per meglio capire come il DSS intenderà procedere si è postulata una seconda audizione di cui si dirà nel capitolo </w:t>
      </w:r>
      <w:r w:rsidR="00C77ACE">
        <w:t>12</w:t>
      </w:r>
      <w:r>
        <w:t>.</w:t>
      </w:r>
    </w:p>
    <w:p w:rsidR="001F439F" w:rsidRDefault="001F439F" w:rsidP="001F439F">
      <w:pPr>
        <w:pStyle w:val="StandardRisoluzionedelConsigliodiStato"/>
        <w:ind w:right="-1"/>
      </w:pPr>
    </w:p>
    <w:p w:rsidR="001F439F" w:rsidRDefault="001F439F" w:rsidP="001F439F">
      <w:pPr>
        <w:pStyle w:val="StandardRisoluzionedelConsigliodiStato"/>
        <w:ind w:right="-1"/>
      </w:pPr>
      <w:r>
        <w:t>I requisiti associati ai gruppi di prestazioni stabiliscono in particolare il tempo di reperibilità del personale medico in sede, la tipologia di specializzazione medica richiesta, il livello di pronto soccorso, di medicina intensiva o di cure contin</w:t>
      </w:r>
      <w:r w:rsidR="00C77ACE">
        <w:t>ue, l'</w:t>
      </w:r>
      <w:r>
        <w:t xml:space="preserve">articolazione del tumorboard, </w:t>
      </w:r>
      <w:r>
        <w:lastRenderedPageBreak/>
        <w:t>la composizione delle collaborazioni in sede o esterne e i vol</w:t>
      </w:r>
      <w:r w:rsidR="00C77ACE">
        <w:t>umi minimi per poter ambire all'</w:t>
      </w:r>
      <w:r>
        <w:t>ottenimento del mandato.</w:t>
      </w:r>
    </w:p>
    <w:p w:rsidR="001F439F" w:rsidRDefault="001F439F" w:rsidP="001F439F">
      <w:pPr>
        <w:pStyle w:val="StandardRisoluzionedelConsigliodiStato"/>
        <w:ind w:right="-1"/>
      </w:pPr>
    </w:p>
    <w:p w:rsidR="001F439F" w:rsidRDefault="001F439F" w:rsidP="001F439F">
      <w:pPr>
        <w:pStyle w:val="StandardRisoluzionedelConsigliodiStato"/>
        <w:ind w:right="-1"/>
      </w:pPr>
      <w:r w:rsidRPr="00C64DEF">
        <w:rPr>
          <w:u w:val="single"/>
        </w:rPr>
        <w:t>Per il settore psichiatrico</w:t>
      </w:r>
      <w:r>
        <w:t xml:space="preserve"> il modello prevede due distinte tipologie di offerta: completa o specialistica, declinate in 17 discipline a loro volta suddivise in 23 gruppi di prestazioni.</w:t>
      </w:r>
    </w:p>
    <w:p w:rsidR="001F439F" w:rsidRDefault="001F439F" w:rsidP="001F439F">
      <w:pPr>
        <w:pStyle w:val="StandardRisoluzionedelConsigliodiStato"/>
        <w:ind w:right="-1"/>
      </w:pPr>
    </w:p>
    <w:p w:rsidR="001F439F" w:rsidRDefault="001F439F" w:rsidP="001F439F">
      <w:pPr>
        <w:pStyle w:val="StandardRisoluzionedelConsigliodiStato"/>
        <w:ind w:right="-1"/>
      </w:pPr>
      <w:r w:rsidRPr="00C64DEF">
        <w:rPr>
          <w:u w:val="single"/>
        </w:rPr>
        <w:t>Per il settore della riabilitazione</w:t>
      </w:r>
      <w:r>
        <w:t xml:space="preserve"> la sistematica dalla GD­ZH risulta eccessivamente dettagliata per la casistica ticinese. Pe</w:t>
      </w:r>
      <w:r w:rsidR="00C64DEF">
        <w:t>r queste ragioni si è deciso d'</w:t>
      </w:r>
      <w:r>
        <w:t>impostare la pianificazione delle cure stazionarie in riabilitazione sulla base della sistematica sviluppata dalla CDS con i relativi requisiti minimi</w:t>
      </w:r>
      <w:r w:rsidR="00C64DEF">
        <w:rPr>
          <w:rStyle w:val="Rimandonotaapidipagina"/>
        </w:rPr>
        <w:footnoteReference w:id="3"/>
      </w:r>
      <w:r>
        <w:t>. La sistematica raggruppa le prestazioni in 14 discipline e stabilisce i requisiti strutturali e organizzativi minimi per disciplina.</w:t>
      </w:r>
    </w:p>
    <w:p w:rsidR="001F439F" w:rsidRDefault="001F439F" w:rsidP="001F439F">
      <w:pPr>
        <w:pStyle w:val="StandardRisoluzionedelConsigliodiStato"/>
        <w:ind w:right="-1"/>
      </w:pPr>
    </w:p>
    <w:p w:rsidR="001F439F" w:rsidRDefault="001F439F" w:rsidP="001F439F">
      <w:pPr>
        <w:pStyle w:val="StandardRisoluzionedelConsigliodiStato"/>
        <w:ind w:right="-1"/>
      </w:pPr>
      <w:r>
        <w:t>I tre moduli sono allegati al messaggio.</w:t>
      </w:r>
    </w:p>
    <w:p w:rsidR="001F439F" w:rsidRDefault="001F439F" w:rsidP="001F439F">
      <w:pPr>
        <w:pStyle w:val="StandardRisoluzionedelConsigliodiStato"/>
        <w:ind w:right="-1"/>
      </w:pPr>
    </w:p>
    <w:p w:rsidR="001F439F" w:rsidRDefault="001F439F" w:rsidP="00723B7E">
      <w:pPr>
        <w:pStyle w:val="StandardRisoluzionedelConsigliodiStato"/>
        <w:spacing w:after="120"/>
        <w:ind w:right="-1"/>
      </w:pPr>
    </w:p>
    <w:p w:rsidR="001F439F" w:rsidRPr="00723B7E" w:rsidRDefault="00C64DEF" w:rsidP="00723B7E">
      <w:pPr>
        <w:pStyle w:val="Titolo1"/>
        <w:numPr>
          <w:ilvl w:val="0"/>
          <w:numId w:val="0"/>
        </w:numPr>
        <w:spacing w:before="0"/>
        <w:ind w:left="567" w:hanging="567"/>
        <w:jc w:val="both"/>
        <w:rPr>
          <w:sz w:val="24"/>
          <w:szCs w:val="24"/>
        </w:rPr>
      </w:pPr>
      <w:bookmarkStart w:id="41" w:name="_Toc179882499"/>
      <w:r w:rsidRPr="00723B7E">
        <w:rPr>
          <w:sz w:val="24"/>
          <w:szCs w:val="24"/>
        </w:rPr>
        <w:t>9</w:t>
      </w:r>
      <w:r w:rsidR="001F439F" w:rsidRPr="00723B7E">
        <w:rPr>
          <w:sz w:val="24"/>
          <w:szCs w:val="24"/>
        </w:rPr>
        <w:t>.</w:t>
      </w:r>
      <w:r w:rsidR="001F439F" w:rsidRPr="00723B7E">
        <w:rPr>
          <w:sz w:val="24"/>
          <w:szCs w:val="24"/>
        </w:rPr>
        <w:tab/>
        <w:t>PROPOSTE CONCRETE</w:t>
      </w:r>
      <w:bookmarkEnd w:id="41"/>
    </w:p>
    <w:p w:rsidR="001F439F" w:rsidRDefault="001F439F" w:rsidP="001F439F">
      <w:pPr>
        <w:pStyle w:val="StandardRisoluzionedelConsigliodiStato"/>
        <w:ind w:right="-1"/>
      </w:pPr>
      <w:r>
        <w:t>Tenuto conto di quanto precede, le considerazioni finali del Governo sono le seguenti:</w:t>
      </w:r>
    </w:p>
    <w:p w:rsidR="001F439F" w:rsidRDefault="001F439F" w:rsidP="001F439F">
      <w:pPr>
        <w:pStyle w:val="StandardRisoluzionedelConsigliodiStato"/>
        <w:ind w:right="-1"/>
      </w:pPr>
    </w:p>
    <w:p w:rsidR="001F439F" w:rsidRDefault="00723B7E" w:rsidP="00723B7E">
      <w:pPr>
        <w:pStyle w:val="Titolo2"/>
        <w:numPr>
          <w:ilvl w:val="0"/>
          <w:numId w:val="0"/>
        </w:numPr>
        <w:tabs>
          <w:tab w:val="left" w:pos="567"/>
        </w:tabs>
        <w:jc w:val="both"/>
      </w:pPr>
      <w:bookmarkStart w:id="42" w:name="_Toc179882500"/>
      <w:r>
        <w:t>9.1</w:t>
      </w:r>
      <w:r w:rsidR="001F439F">
        <w:tab/>
        <w:t>STUDIO SUL FABBISOGNO</w:t>
      </w:r>
      <w:bookmarkEnd w:id="42"/>
    </w:p>
    <w:p w:rsidR="001F439F" w:rsidRDefault="001F439F" w:rsidP="001F439F">
      <w:pPr>
        <w:pStyle w:val="StandardRisoluzionedelConsigliodiStato"/>
        <w:ind w:right="-1"/>
      </w:pPr>
      <w:r>
        <w:t>Nonostante le critiche emerse dalla Commissione sanitaria, sono confermate le risultanze dell’analisi della GD­ZH (scenario principale), senza apporre correttivi di sorta.</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Lo studio sul fabbisogno </w:t>
      </w:r>
      <w:r w:rsidR="00723B7E">
        <w:t>per l'attuale P</w:t>
      </w:r>
      <w:r>
        <w:t>ianificazione, effettuato già secondo la metodologia della GD­ZH sulla base dei dati effettivi di attività del 2010, ha dimostrato una buona attendibilità, tenuto conto dei numerosi fattori di aleatorietà.</w:t>
      </w:r>
    </w:p>
    <w:p w:rsidR="001F439F" w:rsidRDefault="001F439F" w:rsidP="001F439F">
      <w:pPr>
        <w:pStyle w:val="StandardRisoluzionedelConsigliodiStato"/>
        <w:ind w:right="-1"/>
      </w:pPr>
      <w:r>
        <w:t>Secondo gli scenari principali di riferimento, la situazione con orizzonte temporale 2032 si presenta pertanto come segue:</w:t>
      </w:r>
    </w:p>
    <w:p w:rsidR="001F439F" w:rsidRDefault="001F439F" w:rsidP="001F439F">
      <w:pPr>
        <w:pStyle w:val="StandardRisoluzionedelConsigliodiStato"/>
        <w:ind w:right="-1"/>
      </w:pPr>
    </w:p>
    <w:p w:rsidR="00723B7E" w:rsidRDefault="00723B7E" w:rsidP="001F439F">
      <w:pPr>
        <w:pStyle w:val="StandardRisoluzionedelConsigliodiStato"/>
        <w:ind w:right="-1"/>
      </w:pPr>
    </w:p>
    <w:tbl>
      <w:tblPr>
        <w:tblStyle w:val="TableNormal3"/>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1131"/>
        <w:gridCol w:w="1085"/>
        <w:gridCol w:w="1037"/>
        <w:gridCol w:w="1164"/>
        <w:gridCol w:w="1118"/>
        <w:gridCol w:w="1036"/>
      </w:tblGrid>
      <w:tr w:rsidR="00723B7E" w:rsidRPr="00723B7E" w:rsidTr="00D57EB5">
        <w:trPr>
          <w:trHeight w:val="1103"/>
        </w:trPr>
        <w:tc>
          <w:tcPr>
            <w:tcW w:w="2501" w:type="dxa"/>
          </w:tcPr>
          <w:p w:rsidR="00723B7E" w:rsidRPr="00723B7E" w:rsidRDefault="00723B7E" w:rsidP="00723B7E">
            <w:pPr>
              <w:rPr>
                <w:rFonts w:ascii="Times New Roman" w:eastAsia="Arial" w:cs="Arial"/>
                <w:lang w:val="it-IT"/>
              </w:rPr>
            </w:pPr>
          </w:p>
        </w:tc>
        <w:tc>
          <w:tcPr>
            <w:tcW w:w="1131" w:type="dxa"/>
          </w:tcPr>
          <w:p w:rsidR="00723B7E" w:rsidRPr="00723B7E" w:rsidRDefault="00723B7E" w:rsidP="00723B7E">
            <w:pPr>
              <w:spacing w:line="276" w:lineRule="exact"/>
              <w:ind w:left="45" w:right="36"/>
              <w:jc w:val="both"/>
              <w:rPr>
                <w:rFonts w:eastAsia="Arial" w:cs="Arial"/>
                <w:b/>
                <w:lang w:val="it-IT"/>
              </w:rPr>
            </w:pPr>
            <w:r w:rsidRPr="00723B7E">
              <w:rPr>
                <w:rFonts w:eastAsia="Arial" w:cs="Arial"/>
                <w:b/>
                <w:spacing w:val="-2"/>
                <w:lang w:val="it-IT"/>
              </w:rPr>
              <w:t xml:space="preserve">Numero </w:t>
            </w:r>
            <w:r w:rsidRPr="00723B7E">
              <w:rPr>
                <w:rFonts w:eastAsia="Arial" w:cs="Arial"/>
                <w:b/>
                <w:spacing w:val="-6"/>
                <w:lang w:val="it-IT"/>
              </w:rPr>
              <w:t xml:space="preserve">di </w:t>
            </w:r>
            <w:r w:rsidRPr="00723B7E">
              <w:rPr>
                <w:rFonts w:eastAsia="Arial" w:cs="Arial"/>
                <w:b/>
                <w:spacing w:val="-2"/>
                <w:lang w:val="it-IT"/>
              </w:rPr>
              <w:t>pazienti (Casi)</w:t>
            </w:r>
          </w:p>
        </w:tc>
        <w:tc>
          <w:tcPr>
            <w:tcW w:w="2122" w:type="dxa"/>
            <w:gridSpan w:val="2"/>
          </w:tcPr>
          <w:p w:rsidR="00723B7E" w:rsidRPr="00723B7E" w:rsidRDefault="00723B7E" w:rsidP="00723B7E">
            <w:pPr>
              <w:ind w:left="618" w:right="470"/>
              <w:rPr>
                <w:rFonts w:eastAsia="Arial" w:cs="Arial"/>
                <w:b/>
                <w:lang w:val="it-IT"/>
              </w:rPr>
            </w:pPr>
            <w:r w:rsidRPr="00723B7E">
              <w:rPr>
                <w:rFonts w:eastAsia="Arial" w:cs="Arial"/>
                <w:b/>
                <w:spacing w:val="-2"/>
                <w:lang w:val="it-IT"/>
              </w:rPr>
              <w:t xml:space="preserve">Differenza rispetto </w:t>
            </w:r>
            <w:r w:rsidRPr="00723B7E">
              <w:rPr>
                <w:rFonts w:eastAsia="Arial" w:cs="Arial"/>
                <w:b/>
                <w:lang w:val="it-IT"/>
              </w:rPr>
              <w:t>al 2019</w:t>
            </w:r>
          </w:p>
        </w:tc>
        <w:tc>
          <w:tcPr>
            <w:tcW w:w="1164" w:type="dxa"/>
          </w:tcPr>
          <w:p w:rsidR="00723B7E" w:rsidRPr="00723B7E" w:rsidRDefault="00723B7E" w:rsidP="00723B7E">
            <w:pPr>
              <w:spacing w:line="276" w:lineRule="exact"/>
              <w:ind w:left="106" w:right="98"/>
              <w:jc w:val="both"/>
              <w:rPr>
                <w:rFonts w:eastAsia="Arial" w:cs="Arial"/>
                <w:b/>
                <w:sz w:val="24"/>
                <w:lang w:val="it-IT"/>
              </w:rPr>
            </w:pPr>
            <w:r w:rsidRPr="00723B7E">
              <w:rPr>
                <w:rFonts w:eastAsia="Arial" w:cs="Arial"/>
                <w:b/>
                <w:spacing w:val="-2"/>
                <w:lang w:val="it-IT"/>
              </w:rPr>
              <w:t xml:space="preserve">Numero </w:t>
            </w:r>
            <w:r w:rsidRPr="00723B7E">
              <w:rPr>
                <w:rFonts w:eastAsia="Arial" w:cs="Arial"/>
                <w:b/>
                <w:spacing w:val="-6"/>
                <w:lang w:val="it-IT"/>
              </w:rPr>
              <w:t xml:space="preserve">di </w:t>
            </w:r>
            <w:r w:rsidRPr="00723B7E">
              <w:rPr>
                <w:rFonts w:eastAsia="Arial" w:cs="Arial"/>
                <w:b/>
                <w:spacing w:val="-2"/>
                <w:lang w:val="it-IT"/>
              </w:rPr>
              <w:t>giornate</w:t>
            </w:r>
            <w:r w:rsidRPr="00723B7E">
              <w:rPr>
                <w:rFonts w:eastAsia="Arial" w:cs="Arial"/>
                <w:b/>
                <w:spacing w:val="-2"/>
                <w:sz w:val="24"/>
                <w:lang w:val="it-IT"/>
              </w:rPr>
              <w:t xml:space="preserve"> </w:t>
            </w:r>
            <w:r w:rsidRPr="00723B7E">
              <w:rPr>
                <w:rFonts w:eastAsia="Arial" w:cs="Arial"/>
                <w:b/>
                <w:lang w:val="it-IT"/>
              </w:rPr>
              <w:t>di cura</w:t>
            </w:r>
          </w:p>
        </w:tc>
        <w:tc>
          <w:tcPr>
            <w:tcW w:w="2154" w:type="dxa"/>
            <w:gridSpan w:val="2"/>
          </w:tcPr>
          <w:p w:rsidR="00723B7E" w:rsidRPr="00723B7E" w:rsidRDefault="00723B7E" w:rsidP="00723B7E">
            <w:pPr>
              <w:ind w:left="634" w:right="485"/>
              <w:rPr>
                <w:rFonts w:eastAsia="Arial" w:cs="Arial"/>
                <w:b/>
                <w:lang w:val="it-IT"/>
              </w:rPr>
            </w:pPr>
            <w:r w:rsidRPr="00723B7E">
              <w:rPr>
                <w:rFonts w:eastAsia="Arial" w:cs="Arial"/>
                <w:b/>
                <w:spacing w:val="-2"/>
                <w:lang w:val="it-IT"/>
              </w:rPr>
              <w:t xml:space="preserve">Differenza rispetto </w:t>
            </w:r>
            <w:r w:rsidRPr="00723B7E">
              <w:rPr>
                <w:rFonts w:eastAsia="Arial" w:cs="Arial"/>
                <w:b/>
                <w:lang w:val="it-IT"/>
              </w:rPr>
              <w:t>al 2019</w:t>
            </w:r>
          </w:p>
        </w:tc>
      </w:tr>
      <w:tr w:rsidR="00723B7E" w:rsidRPr="00723B7E" w:rsidTr="00D57EB5">
        <w:trPr>
          <w:trHeight w:val="551"/>
        </w:trPr>
        <w:tc>
          <w:tcPr>
            <w:tcW w:w="2501" w:type="dxa"/>
          </w:tcPr>
          <w:p w:rsidR="00723B7E" w:rsidRPr="00723B7E" w:rsidRDefault="00723B7E" w:rsidP="00723B7E">
            <w:pPr>
              <w:tabs>
                <w:tab w:val="left" w:pos="1353"/>
              </w:tabs>
              <w:spacing w:line="276" w:lineRule="exact"/>
              <w:ind w:left="107" w:right="93"/>
              <w:rPr>
                <w:rFonts w:eastAsia="Arial" w:cs="Arial"/>
                <w:sz w:val="24"/>
                <w:lang w:val="it-IT"/>
              </w:rPr>
            </w:pPr>
            <w:r w:rsidRPr="00723B7E">
              <w:rPr>
                <w:rFonts w:eastAsia="Arial" w:cs="Arial"/>
                <w:spacing w:val="-2"/>
                <w:sz w:val="24"/>
                <w:lang w:val="it-IT"/>
              </w:rPr>
              <w:t>Settore</w:t>
            </w:r>
            <w:r w:rsidRPr="00723B7E">
              <w:rPr>
                <w:rFonts w:eastAsia="Arial" w:cs="Arial"/>
                <w:sz w:val="24"/>
                <w:lang w:val="it-IT"/>
              </w:rPr>
              <w:tab/>
            </w:r>
            <w:r w:rsidRPr="00723B7E">
              <w:rPr>
                <w:rFonts w:eastAsia="Arial" w:cs="Arial"/>
                <w:spacing w:val="-2"/>
                <w:sz w:val="24"/>
                <w:lang w:val="it-IT"/>
              </w:rPr>
              <w:t xml:space="preserve">somatico­ </w:t>
            </w:r>
            <w:r w:rsidRPr="00723B7E">
              <w:rPr>
                <w:rFonts w:eastAsia="Arial" w:cs="Arial"/>
                <w:spacing w:val="-4"/>
                <w:sz w:val="24"/>
                <w:lang w:val="it-IT"/>
              </w:rPr>
              <w:t>acuto</w:t>
            </w:r>
          </w:p>
        </w:tc>
        <w:tc>
          <w:tcPr>
            <w:tcW w:w="1131" w:type="dxa"/>
          </w:tcPr>
          <w:p w:rsidR="00723B7E" w:rsidRPr="00723B7E" w:rsidRDefault="00723B7E" w:rsidP="00723B7E">
            <w:pPr>
              <w:spacing w:line="273" w:lineRule="exact"/>
              <w:ind w:left="45" w:right="38"/>
              <w:jc w:val="right"/>
              <w:rPr>
                <w:rFonts w:eastAsia="Arial" w:cs="Arial"/>
                <w:sz w:val="24"/>
                <w:lang w:val="it-IT"/>
              </w:rPr>
            </w:pPr>
            <w:r>
              <w:rPr>
                <w:rFonts w:eastAsia="Arial" w:cs="Arial"/>
                <w:spacing w:val="-2"/>
                <w:sz w:val="24"/>
                <w:lang w:val="it-IT"/>
              </w:rPr>
              <w:t>59'</w:t>
            </w:r>
            <w:r w:rsidRPr="00723B7E">
              <w:rPr>
                <w:rFonts w:eastAsia="Arial" w:cs="Arial"/>
                <w:spacing w:val="-2"/>
                <w:sz w:val="24"/>
                <w:lang w:val="it-IT"/>
              </w:rPr>
              <w:t>850</w:t>
            </w:r>
          </w:p>
        </w:tc>
        <w:tc>
          <w:tcPr>
            <w:tcW w:w="1085" w:type="dxa"/>
          </w:tcPr>
          <w:p w:rsidR="00723B7E" w:rsidRPr="00723B7E" w:rsidRDefault="00723B7E" w:rsidP="00723B7E">
            <w:pPr>
              <w:spacing w:line="273" w:lineRule="exact"/>
              <w:ind w:left="10" w:right="3"/>
              <w:jc w:val="right"/>
              <w:rPr>
                <w:rFonts w:eastAsia="Arial" w:cs="Arial"/>
                <w:sz w:val="24"/>
                <w:lang w:val="it-IT"/>
              </w:rPr>
            </w:pPr>
            <w:r>
              <w:rPr>
                <w:rFonts w:eastAsia="Arial" w:cs="Arial"/>
                <w:spacing w:val="-2"/>
                <w:sz w:val="24"/>
                <w:lang w:val="it-IT"/>
              </w:rPr>
              <w:t>+2'</w:t>
            </w:r>
            <w:r w:rsidRPr="00723B7E">
              <w:rPr>
                <w:rFonts w:eastAsia="Arial" w:cs="Arial"/>
                <w:spacing w:val="-2"/>
                <w:sz w:val="24"/>
                <w:lang w:val="it-IT"/>
              </w:rPr>
              <w:t>755</w:t>
            </w:r>
          </w:p>
        </w:tc>
        <w:tc>
          <w:tcPr>
            <w:tcW w:w="1037" w:type="dxa"/>
          </w:tcPr>
          <w:p w:rsidR="00723B7E" w:rsidRPr="00723B7E" w:rsidRDefault="00723B7E" w:rsidP="00723B7E">
            <w:pPr>
              <w:spacing w:line="273" w:lineRule="exact"/>
              <w:ind w:left="10"/>
              <w:jc w:val="right"/>
              <w:rPr>
                <w:rFonts w:eastAsia="Arial" w:cs="Arial"/>
                <w:sz w:val="24"/>
                <w:lang w:val="it-IT"/>
              </w:rPr>
            </w:pPr>
            <w:r w:rsidRPr="00723B7E">
              <w:rPr>
                <w:rFonts w:eastAsia="Arial" w:cs="Arial"/>
                <w:spacing w:val="-2"/>
                <w:sz w:val="24"/>
                <w:lang w:val="it-IT"/>
              </w:rPr>
              <w:t>+4.8%</w:t>
            </w:r>
          </w:p>
        </w:tc>
        <w:tc>
          <w:tcPr>
            <w:tcW w:w="1164" w:type="dxa"/>
          </w:tcPr>
          <w:p w:rsidR="00723B7E" w:rsidRPr="00723B7E" w:rsidRDefault="00723B7E" w:rsidP="00723B7E">
            <w:pPr>
              <w:spacing w:line="273" w:lineRule="exact"/>
              <w:ind w:left="7"/>
              <w:jc w:val="right"/>
              <w:rPr>
                <w:rFonts w:eastAsia="Arial" w:cs="Arial"/>
                <w:sz w:val="24"/>
                <w:lang w:val="it-IT"/>
              </w:rPr>
            </w:pPr>
            <w:r>
              <w:rPr>
                <w:rFonts w:eastAsia="Arial" w:cs="Arial"/>
                <w:spacing w:val="-2"/>
                <w:sz w:val="24"/>
                <w:lang w:val="it-IT"/>
              </w:rPr>
              <w:t>340'</w:t>
            </w:r>
            <w:r w:rsidRPr="00723B7E">
              <w:rPr>
                <w:rFonts w:eastAsia="Arial" w:cs="Arial"/>
                <w:spacing w:val="-2"/>
                <w:sz w:val="24"/>
                <w:lang w:val="it-IT"/>
              </w:rPr>
              <w:t>170</w:t>
            </w:r>
          </w:p>
        </w:tc>
        <w:tc>
          <w:tcPr>
            <w:tcW w:w="1118" w:type="dxa"/>
          </w:tcPr>
          <w:p w:rsidR="00723B7E" w:rsidRPr="00723B7E" w:rsidRDefault="00723B7E" w:rsidP="00723B7E">
            <w:pPr>
              <w:spacing w:line="273" w:lineRule="exact"/>
              <w:ind w:left="9"/>
              <w:jc w:val="right"/>
              <w:rPr>
                <w:rFonts w:eastAsia="Arial" w:cs="Arial"/>
                <w:sz w:val="24"/>
                <w:lang w:val="it-IT"/>
              </w:rPr>
            </w:pPr>
            <w:r>
              <w:rPr>
                <w:rFonts w:eastAsia="Arial" w:cs="Arial"/>
                <w:spacing w:val="-2"/>
                <w:sz w:val="24"/>
                <w:lang w:val="it-IT"/>
              </w:rPr>
              <w:t>­24'</w:t>
            </w:r>
            <w:r w:rsidRPr="00723B7E">
              <w:rPr>
                <w:rFonts w:eastAsia="Arial" w:cs="Arial"/>
                <w:spacing w:val="-2"/>
                <w:sz w:val="24"/>
                <w:lang w:val="it-IT"/>
              </w:rPr>
              <w:t>644</w:t>
            </w:r>
          </w:p>
        </w:tc>
        <w:tc>
          <w:tcPr>
            <w:tcW w:w="1036" w:type="dxa"/>
          </w:tcPr>
          <w:p w:rsidR="00723B7E" w:rsidRPr="00723B7E" w:rsidRDefault="00723B7E" w:rsidP="00723B7E">
            <w:pPr>
              <w:spacing w:line="273" w:lineRule="exact"/>
              <w:ind w:left="12" w:right="3"/>
              <w:jc w:val="right"/>
              <w:rPr>
                <w:rFonts w:eastAsia="Arial" w:cs="Arial"/>
                <w:sz w:val="24"/>
                <w:lang w:val="it-IT"/>
              </w:rPr>
            </w:pPr>
            <w:r w:rsidRPr="00723B7E">
              <w:rPr>
                <w:rFonts w:eastAsia="Arial" w:cs="Arial"/>
                <w:spacing w:val="-2"/>
                <w:sz w:val="24"/>
                <w:lang w:val="it-IT"/>
              </w:rPr>
              <w:t>­</w:t>
            </w:r>
            <w:r w:rsidRPr="00723B7E">
              <w:rPr>
                <w:rFonts w:eastAsia="Arial" w:cs="Arial"/>
                <w:spacing w:val="-4"/>
                <w:sz w:val="24"/>
                <w:lang w:val="it-IT"/>
              </w:rPr>
              <w:t>6.8%</w:t>
            </w:r>
          </w:p>
        </w:tc>
      </w:tr>
      <w:tr w:rsidR="00723B7E" w:rsidRPr="00723B7E" w:rsidTr="00D57EB5">
        <w:trPr>
          <w:trHeight w:val="276"/>
        </w:trPr>
        <w:tc>
          <w:tcPr>
            <w:tcW w:w="2501" w:type="dxa"/>
          </w:tcPr>
          <w:p w:rsidR="00723B7E" w:rsidRPr="00723B7E" w:rsidRDefault="00723B7E" w:rsidP="00723B7E">
            <w:pPr>
              <w:spacing w:line="257" w:lineRule="exact"/>
              <w:ind w:left="107"/>
              <w:rPr>
                <w:rFonts w:eastAsia="Arial" w:cs="Arial"/>
                <w:sz w:val="24"/>
                <w:lang w:val="it-IT"/>
              </w:rPr>
            </w:pPr>
            <w:r w:rsidRPr="00723B7E">
              <w:rPr>
                <w:rFonts w:eastAsia="Arial" w:cs="Arial"/>
                <w:sz w:val="24"/>
                <w:lang w:val="it-IT"/>
              </w:rPr>
              <w:t>Settore</w:t>
            </w:r>
            <w:r w:rsidRPr="00723B7E">
              <w:rPr>
                <w:rFonts w:eastAsia="Arial" w:cs="Arial"/>
                <w:spacing w:val="-2"/>
                <w:sz w:val="24"/>
                <w:lang w:val="it-IT"/>
              </w:rPr>
              <w:t xml:space="preserve"> psichiatria</w:t>
            </w:r>
          </w:p>
        </w:tc>
        <w:tc>
          <w:tcPr>
            <w:tcW w:w="1131" w:type="dxa"/>
          </w:tcPr>
          <w:p w:rsidR="00723B7E" w:rsidRPr="00723B7E" w:rsidRDefault="00723B7E" w:rsidP="00723B7E">
            <w:pPr>
              <w:spacing w:line="257" w:lineRule="exact"/>
              <w:ind w:left="46" w:right="36"/>
              <w:jc w:val="right"/>
              <w:rPr>
                <w:rFonts w:eastAsia="Arial" w:cs="Arial"/>
                <w:sz w:val="24"/>
                <w:lang w:val="it-IT"/>
              </w:rPr>
            </w:pPr>
            <w:r>
              <w:rPr>
                <w:rFonts w:eastAsia="Arial" w:cs="Arial"/>
                <w:spacing w:val="-4"/>
                <w:sz w:val="24"/>
                <w:lang w:val="it-IT"/>
              </w:rPr>
              <w:t>2'</w:t>
            </w:r>
            <w:r w:rsidRPr="00723B7E">
              <w:rPr>
                <w:rFonts w:eastAsia="Arial" w:cs="Arial"/>
                <w:spacing w:val="-4"/>
                <w:sz w:val="24"/>
                <w:lang w:val="it-IT"/>
              </w:rPr>
              <w:t>724</w:t>
            </w:r>
          </w:p>
        </w:tc>
        <w:tc>
          <w:tcPr>
            <w:tcW w:w="1085" w:type="dxa"/>
          </w:tcPr>
          <w:p w:rsidR="00723B7E" w:rsidRPr="00723B7E" w:rsidRDefault="00723B7E" w:rsidP="00723B7E">
            <w:pPr>
              <w:spacing w:line="257" w:lineRule="exact"/>
              <w:ind w:left="10"/>
              <w:jc w:val="right"/>
              <w:rPr>
                <w:rFonts w:eastAsia="Arial" w:cs="Arial"/>
                <w:sz w:val="24"/>
                <w:lang w:val="it-IT"/>
              </w:rPr>
            </w:pPr>
            <w:r w:rsidRPr="00723B7E">
              <w:rPr>
                <w:rFonts w:eastAsia="Arial" w:cs="Arial"/>
                <w:spacing w:val="-2"/>
                <w:sz w:val="24"/>
                <w:lang w:val="it-IT"/>
              </w:rPr>
              <w:t>­</w:t>
            </w:r>
            <w:r w:rsidRPr="00723B7E">
              <w:rPr>
                <w:rFonts w:eastAsia="Arial" w:cs="Arial"/>
                <w:spacing w:val="-5"/>
                <w:sz w:val="24"/>
                <w:lang w:val="it-IT"/>
              </w:rPr>
              <w:t>167</w:t>
            </w:r>
          </w:p>
        </w:tc>
        <w:tc>
          <w:tcPr>
            <w:tcW w:w="1037" w:type="dxa"/>
          </w:tcPr>
          <w:p w:rsidR="00723B7E" w:rsidRPr="00723B7E" w:rsidRDefault="00723B7E" w:rsidP="00723B7E">
            <w:pPr>
              <w:spacing w:line="257" w:lineRule="exact"/>
              <w:ind w:left="10" w:right="2"/>
              <w:jc w:val="right"/>
              <w:rPr>
                <w:rFonts w:eastAsia="Arial" w:cs="Arial"/>
                <w:sz w:val="24"/>
                <w:lang w:val="it-IT"/>
              </w:rPr>
            </w:pPr>
            <w:r w:rsidRPr="00723B7E">
              <w:rPr>
                <w:rFonts w:eastAsia="Arial" w:cs="Arial"/>
                <w:spacing w:val="-2"/>
                <w:sz w:val="24"/>
                <w:lang w:val="it-IT"/>
              </w:rPr>
              <w:t>­</w:t>
            </w:r>
            <w:r w:rsidRPr="00723B7E">
              <w:rPr>
                <w:rFonts w:eastAsia="Arial" w:cs="Arial"/>
                <w:spacing w:val="-4"/>
                <w:sz w:val="24"/>
                <w:lang w:val="it-IT"/>
              </w:rPr>
              <w:t>5.8%</w:t>
            </w:r>
          </w:p>
        </w:tc>
        <w:tc>
          <w:tcPr>
            <w:tcW w:w="1164" w:type="dxa"/>
          </w:tcPr>
          <w:p w:rsidR="00723B7E" w:rsidRPr="00723B7E" w:rsidRDefault="00723B7E" w:rsidP="00723B7E">
            <w:pPr>
              <w:spacing w:line="257" w:lineRule="exact"/>
              <w:ind w:left="7" w:right="1"/>
              <w:jc w:val="right"/>
              <w:rPr>
                <w:rFonts w:eastAsia="Arial" w:cs="Arial"/>
                <w:sz w:val="24"/>
                <w:lang w:val="it-IT"/>
              </w:rPr>
            </w:pPr>
            <w:r>
              <w:rPr>
                <w:rFonts w:eastAsia="Arial" w:cs="Arial"/>
                <w:spacing w:val="-2"/>
                <w:sz w:val="24"/>
                <w:lang w:val="it-IT"/>
              </w:rPr>
              <w:t>88'</w:t>
            </w:r>
            <w:r w:rsidRPr="00723B7E">
              <w:rPr>
                <w:rFonts w:eastAsia="Arial" w:cs="Arial"/>
                <w:spacing w:val="-2"/>
                <w:sz w:val="24"/>
                <w:lang w:val="it-IT"/>
              </w:rPr>
              <w:t>296</w:t>
            </w:r>
          </w:p>
        </w:tc>
        <w:tc>
          <w:tcPr>
            <w:tcW w:w="1118" w:type="dxa"/>
          </w:tcPr>
          <w:p w:rsidR="00723B7E" w:rsidRPr="00723B7E" w:rsidRDefault="00723B7E" w:rsidP="00723B7E">
            <w:pPr>
              <w:spacing w:line="257" w:lineRule="exact"/>
              <w:ind w:left="9"/>
              <w:jc w:val="right"/>
              <w:rPr>
                <w:rFonts w:eastAsia="Arial" w:cs="Arial"/>
                <w:sz w:val="24"/>
                <w:lang w:val="it-IT"/>
              </w:rPr>
            </w:pPr>
            <w:r>
              <w:rPr>
                <w:rFonts w:eastAsia="Arial" w:cs="Arial"/>
                <w:spacing w:val="-2"/>
                <w:sz w:val="24"/>
                <w:lang w:val="it-IT"/>
              </w:rPr>
              <w:t>­4'</w:t>
            </w:r>
            <w:r w:rsidRPr="00723B7E">
              <w:rPr>
                <w:rFonts w:eastAsia="Arial" w:cs="Arial"/>
                <w:spacing w:val="-2"/>
                <w:sz w:val="24"/>
                <w:lang w:val="it-IT"/>
              </w:rPr>
              <w:t>150</w:t>
            </w:r>
          </w:p>
        </w:tc>
        <w:tc>
          <w:tcPr>
            <w:tcW w:w="1036" w:type="dxa"/>
          </w:tcPr>
          <w:p w:rsidR="00723B7E" w:rsidRPr="00723B7E" w:rsidRDefault="00723B7E" w:rsidP="00723B7E">
            <w:pPr>
              <w:spacing w:line="257" w:lineRule="exact"/>
              <w:ind w:left="12" w:right="3"/>
              <w:jc w:val="right"/>
              <w:rPr>
                <w:rFonts w:eastAsia="Arial" w:cs="Arial"/>
                <w:sz w:val="24"/>
                <w:lang w:val="it-IT"/>
              </w:rPr>
            </w:pPr>
            <w:r w:rsidRPr="00723B7E">
              <w:rPr>
                <w:rFonts w:eastAsia="Arial" w:cs="Arial"/>
                <w:spacing w:val="-2"/>
                <w:sz w:val="24"/>
                <w:lang w:val="it-IT"/>
              </w:rPr>
              <w:t>­</w:t>
            </w:r>
            <w:r w:rsidRPr="00723B7E">
              <w:rPr>
                <w:rFonts w:eastAsia="Arial" w:cs="Arial"/>
                <w:spacing w:val="-4"/>
                <w:sz w:val="24"/>
                <w:lang w:val="it-IT"/>
              </w:rPr>
              <w:t>4.5%</w:t>
            </w:r>
          </w:p>
        </w:tc>
      </w:tr>
      <w:tr w:rsidR="00723B7E" w:rsidRPr="00723B7E" w:rsidTr="00D57EB5">
        <w:trPr>
          <w:trHeight w:val="275"/>
        </w:trPr>
        <w:tc>
          <w:tcPr>
            <w:tcW w:w="2501" w:type="dxa"/>
          </w:tcPr>
          <w:p w:rsidR="00723B7E" w:rsidRPr="00723B7E" w:rsidRDefault="00723B7E" w:rsidP="00723B7E">
            <w:pPr>
              <w:spacing w:line="256" w:lineRule="exact"/>
              <w:ind w:left="107"/>
              <w:rPr>
                <w:rFonts w:eastAsia="Arial" w:cs="Arial"/>
                <w:sz w:val="24"/>
                <w:lang w:val="it-IT"/>
              </w:rPr>
            </w:pPr>
            <w:r w:rsidRPr="00723B7E">
              <w:rPr>
                <w:rFonts w:eastAsia="Arial" w:cs="Arial"/>
                <w:sz w:val="24"/>
                <w:lang w:val="it-IT"/>
              </w:rPr>
              <w:t>Settore</w:t>
            </w:r>
            <w:r w:rsidRPr="00723B7E">
              <w:rPr>
                <w:rFonts w:eastAsia="Arial" w:cs="Arial"/>
                <w:spacing w:val="-2"/>
                <w:sz w:val="24"/>
                <w:lang w:val="it-IT"/>
              </w:rPr>
              <w:t xml:space="preserve"> riabilitazione</w:t>
            </w:r>
          </w:p>
        </w:tc>
        <w:tc>
          <w:tcPr>
            <w:tcW w:w="1131" w:type="dxa"/>
          </w:tcPr>
          <w:p w:rsidR="00723B7E" w:rsidRPr="00723B7E" w:rsidRDefault="00723B7E" w:rsidP="00723B7E">
            <w:pPr>
              <w:spacing w:line="256" w:lineRule="exact"/>
              <w:ind w:left="46" w:right="36"/>
              <w:jc w:val="right"/>
              <w:rPr>
                <w:rFonts w:eastAsia="Arial" w:cs="Arial"/>
                <w:sz w:val="24"/>
                <w:lang w:val="it-IT"/>
              </w:rPr>
            </w:pPr>
            <w:r>
              <w:rPr>
                <w:rFonts w:eastAsia="Arial" w:cs="Arial"/>
                <w:spacing w:val="-4"/>
                <w:sz w:val="24"/>
                <w:lang w:val="it-IT"/>
              </w:rPr>
              <w:t>3'</w:t>
            </w:r>
            <w:r w:rsidRPr="00723B7E">
              <w:rPr>
                <w:rFonts w:eastAsia="Arial" w:cs="Arial"/>
                <w:spacing w:val="-4"/>
                <w:sz w:val="24"/>
                <w:lang w:val="it-IT"/>
              </w:rPr>
              <w:t>617</w:t>
            </w:r>
          </w:p>
        </w:tc>
        <w:tc>
          <w:tcPr>
            <w:tcW w:w="1085" w:type="dxa"/>
          </w:tcPr>
          <w:p w:rsidR="00723B7E" w:rsidRPr="00723B7E" w:rsidRDefault="00723B7E" w:rsidP="00723B7E">
            <w:pPr>
              <w:spacing w:line="256" w:lineRule="exact"/>
              <w:ind w:left="10" w:right="3"/>
              <w:jc w:val="right"/>
              <w:rPr>
                <w:rFonts w:eastAsia="Arial" w:cs="Arial"/>
                <w:sz w:val="24"/>
                <w:lang w:val="it-IT"/>
              </w:rPr>
            </w:pPr>
            <w:r w:rsidRPr="00723B7E">
              <w:rPr>
                <w:rFonts w:eastAsia="Arial" w:cs="Arial"/>
                <w:spacing w:val="-4"/>
                <w:sz w:val="24"/>
                <w:lang w:val="it-IT"/>
              </w:rPr>
              <w:t>+590</w:t>
            </w:r>
          </w:p>
        </w:tc>
        <w:tc>
          <w:tcPr>
            <w:tcW w:w="1037" w:type="dxa"/>
          </w:tcPr>
          <w:p w:rsidR="00723B7E" w:rsidRPr="00723B7E" w:rsidRDefault="00723B7E" w:rsidP="00723B7E">
            <w:pPr>
              <w:spacing w:line="256" w:lineRule="exact"/>
              <w:ind w:left="10"/>
              <w:jc w:val="right"/>
              <w:rPr>
                <w:rFonts w:eastAsia="Arial" w:cs="Arial"/>
                <w:sz w:val="24"/>
                <w:lang w:val="it-IT"/>
              </w:rPr>
            </w:pPr>
            <w:r w:rsidRPr="00723B7E">
              <w:rPr>
                <w:rFonts w:eastAsia="Arial" w:cs="Arial"/>
                <w:spacing w:val="-2"/>
                <w:sz w:val="24"/>
                <w:lang w:val="it-IT"/>
              </w:rPr>
              <w:t>+19.5%</w:t>
            </w:r>
          </w:p>
        </w:tc>
        <w:tc>
          <w:tcPr>
            <w:tcW w:w="1164" w:type="dxa"/>
          </w:tcPr>
          <w:p w:rsidR="00723B7E" w:rsidRPr="00723B7E" w:rsidRDefault="00723B7E" w:rsidP="00723B7E">
            <w:pPr>
              <w:spacing w:line="256" w:lineRule="exact"/>
              <w:ind w:left="7" w:right="1"/>
              <w:jc w:val="right"/>
              <w:rPr>
                <w:rFonts w:eastAsia="Arial" w:cs="Arial"/>
                <w:sz w:val="24"/>
                <w:lang w:val="it-IT"/>
              </w:rPr>
            </w:pPr>
            <w:r>
              <w:rPr>
                <w:rFonts w:eastAsia="Arial" w:cs="Arial"/>
                <w:spacing w:val="-2"/>
                <w:sz w:val="24"/>
                <w:lang w:val="it-IT"/>
              </w:rPr>
              <w:t>94'</w:t>
            </w:r>
            <w:r w:rsidRPr="00723B7E">
              <w:rPr>
                <w:rFonts w:eastAsia="Arial" w:cs="Arial"/>
                <w:spacing w:val="-2"/>
                <w:sz w:val="24"/>
                <w:lang w:val="it-IT"/>
              </w:rPr>
              <w:t>617</w:t>
            </w:r>
          </w:p>
        </w:tc>
        <w:tc>
          <w:tcPr>
            <w:tcW w:w="1118" w:type="dxa"/>
          </w:tcPr>
          <w:p w:rsidR="00723B7E" w:rsidRPr="00723B7E" w:rsidRDefault="00723B7E" w:rsidP="00723B7E">
            <w:pPr>
              <w:spacing w:line="256" w:lineRule="exact"/>
              <w:ind w:left="9" w:right="2"/>
              <w:jc w:val="right"/>
              <w:rPr>
                <w:rFonts w:eastAsia="Arial" w:cs="Arial"/>
                <w:sz w:val="24"/>
                <w:lang w:val="it-IT"/>
              </w:rPr>
            </w:pPr>
            <w:r>
              <w:rPr>
                <w:rFonts w:eastAsia="Arial" w:cs="Arial"/>
                <w:spacing w:val="-2"/>
                <w:sz w:val="24"/>
                <w:lang w:val="it-IT"/>
              </w:rPr>
              <w:t>+12'</w:t>
            </w:r>
            <w:r w:rsidRPr="00723B7E">
              <w:rPr>
                <w:rFonts w:eastAsia="Arial" w:cs="Arial"/>
                <w:spacing w:val="-2"/>
                <w:sz w:val="24"/>
                <w:lang w:val="it-IT"/>
              </w:rPr>
              <w:t>390</w:t>
            </w:r>
          </w:p>
        </w:tc>
        <w:tc>
          <w:tcPr>
            <w:tcW w:w="1036" w:type="dxa"/>
          </w:tcPr>
          <w:p w:rsidR="00723B7E" w:rsidRPr="00723B7E" w:rsidRDefault="00723B7E" w:rsidP="00723B7E">
            <w:pPr>
              <w:spacing w:line="256" w:lineRule="exact"/>
              <w:ind w:left="12"/>
              <w:jc w:val="right"/>
              <w:rPr>
                <w:rFonts w:eastAsia="Arial" w:cs="Arial"/>
                <w:sz w:val="24"/>
                <w:lang w:val="it-IT"/>
              </w:rPr>
            </w:pPr>
            <w:r w:rsidRPr="00723B7E">
              <w:rPr>
                <w:rFonts w:eastAsia="Arial" w:cs="Arial"/>
                <w:spacing w:val="-2"/>
                <w:sz w:val="24"/>
                <w:lang w:val="it-IT"/>
              </w:rPr>
              <w:t>+15.1%</w:t>
            </w:r>
          </w:p>
        </w:tc>
      </w:tr>
    </w:tbl>
    <w:p w:rsidR="00723B7E" w:rsidRDefault="00723B7E" w:rsidP="001F439F">
      <w:pPr>
        <w:pStyle w:val="StandardRisoluzionedelConsigliodiStato"/>
        <w:ind w:right="-1"/>
      </w:pPr>
    </w:p>
    <w:p w:rsidR="00723B7E" w:rsidRDefault="00723B7E" w:rsidP="001F439F">
      <w:pPr>
        <w:pStyle w:val="StandardRisoluzionedelConsigliodiStato"/>
        <w:ind w:right="-1"/>
      </w:pPr>
    </w:p>
    <w:p w:rsidR="00723B7E" w:rsidRDefault="00723B7E" w:rsidP="001F439F">
      <w:pPr>
        <w:pStyle w:val="StandardRisoluzionedelConsigliodiStato"/>
        <w:ind w:right="-1"/>
      </w:pPr>
      <w:r>
        <w:br w:type="page"/>
      </w:r>
    </w:p>
    <w:p w:rsidR="001F439F" w:rsidRDefault="00723B7E" w:rsidP="00723B7E">
      <w:pPr>
        <w:pStyle w:val="Titolo3"/>
        <w:numPr>
          <w:ilvl w:val="0"/>
          <w:numId w:val="0"/>
        </w:numPr>
        <w:ind w:left="726" w:hanging="726"/>
        <w:jc w:val="both"/>
      </w:pPr>
      <w:bookmarkStart w:id="43" w:name="_Toc179882501"/>
      <w:r>
        <w:lastRenderedPageBreak/>
        <w:t>9.1.1</w:t>
      </w:r>
      <w:r w:rsidR="001F439F">
        <w:tab/>
      </w:r>
      <w:r w:rsidR="001F439F" w:rsidRPr="00723B7E">
        <w:rPr>
          <w:rStyle w:val="Titolo3Carattere"/>
          <w:b/>
        </w:rPr>
        <w:t>Settore</w:t>
      </w:r>
      <w:r w:rsidR="001F439F">
        <w:t xml:space="preserve"> somatico-acuto</w:t>
      </w:r>
      <w:bookmarkEnd w:id="43"/>
    </w:p>
    <w:p w:rsidR="001F439F" w:rsidRDefault="001F439F" w:rsidP="001F439F">
      <w:pPr>
        <w:pStyle w:val="StandardRisoluzionedelConsigliodiStato"/>
        <w:ind w:right="-1"/>
      </w:pPr>
    </w:p>
    <w:tbl>
      <w:tblPr>
        <w:tblStyle w:val="TableNormal4"/>
        <w:tblW w:w="0" w:type="auto"/>
        <w:tblInd w:w="187" w:type="dxa"/>
        <w:tblLayout w:type="fixed"/>
        <w:tblLook w:val="01E0" w:firstRow="1" w:lastRow="1" w:firstColumn="1" w:lastColumn="1" w:noHBand="0" w:noVBand="0"/>
      </w:tblPr>
      <w:tblGrid>
        <w:gridCol w:w="982"/>
        <w:gridCol w:w="1541"/>
        <w:gridCol w:w="788"/>
        <w:gridCol w:w="647"/>
        <w:gridCol w:w="1083"/>
        <w:gridCol w:w="1724"/>
        <w:gridCol w:w="647"/>
        <w:gridCol w:w="894"/>
        <w:gridCol w:w="695"/>
        <w:gridCol w:w="647"/>
      </w:tblGrid>
      <w:tr w:rsidR="00723B7E" w:rsidRPr="00723B7E" w:rsidTr="00D57EB5">
        <w:trPr>
          <w:trHeight w:val="443"/>
        </w:trPr>
        <w:tc>
          <w:tcPr>
            <w:tcW w:w="982" w:type="dxa"/>
            <w:vMerge w:val="restart"/>
            <w:tcBorders>
              <w:top w:val="single" w:sz="4" w:space="0" w:color="000000"/>
              <w:bottom w:val="single" w:sz="4" w:space="0" w:color="000000"/>
              <w:right w:val="single" w:sz="4" w:space="0" w:color="000000"/>
            </w:tcBorders>
            <w:shd w:val="clear" w:color="auto" w:fill="94B3D6"/>
          </w:tcPr>
          <w:p w:rsidR="00723B7E" w:rsidRPr="00723B7E" w:rsidRDefault="00723B7E" w:rsidP="00723B7E">
            <w:pPr>
              <w:rPr>
                <w:rFonts w:asciiTheme="minorHAnsi" w:eastAsia="Arial" w:hAnsiTheme="minorHAnsi" w:cstheme="minorHAnsi"/>
                <w:b/>
                <w:sz w:val="18"/>
                <w:szCs w:val="18"/>
                <w:lang w:val="it-IT"/>
              </w:rPr>
            </w:pPr>
          </w:p>
          <w:p w:rsidR="00723B7E" w:rsidRPr="00723B7E" w:rsidRDefault="00723B7E" w:rsidP="00723B7E">
            <w:pPr>
              <w:spacing w:before="153"/>
              <w:rPr>
                <w:rFonts w:asciiTheme="minorHAnsi" w:eastAsia="Arial" w:hAnsiTheme="minorHAnsi" w:cstheme="minorHAnsi"/>
                <w:b/>
                <w:sz w:val="18"/>
                <w:szCs w:val="18"/>
                <w:lang w:val="it-IT"/>
              </w:rPr>
            </w:pPr>
          </w:p>
          <w:p w:rsidR="00723B7E" w:rsidRPr="00723B7E" w:rsidRDefault="00723B7E" w:rsidP="00723B7E">
            <w:pPr>
              <w:spacing w:before="1"/>
              <w:ind w:left="69"/>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Età</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right="3"/>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CASI</w:t>
            </w:r>
          </w:p>
        </w:tc>
        <w:tc>
          <w:tcPr>
            <w:tcW w:w="3454" w:type="dxa"/>
            <w:gridSpan w:val="3"/>
            <w:tcBorders>
              <w:top w:val="single" w:sz="4" w:space="0" w:color="000000"/>
              <w:left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right="10"/>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GC</w:t>
            </w:r>
          </w:p>
        </w:tc>
        <w:tc>
          <w:tcPr>
            <w:tcW w:w="2236" w:type="dxa"/>
            <w:gridSpan w:val="3"/>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right="20"/>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DMD</w:t>
            </w:r>
          </w:p>
        </w:tc>
      </w:tr>
      <w:tr w:rsidR="00723B7E" w:rsidRPr="00723B7E" w:rsidTr="00D57EB5">
        <w:trPr>
          <w:trHeight w:val="443"/>
        </w:trPr>
        <w:tc>
          <w:tcPr>
            <w:tcW w:w="982" w:type="dxa"/>
            <w:vMerge/>
            <w:tcBorders>
              <w:top w:val="nil"/>
              <w:bottom w:val="single" w:sz="4" w:space="0" w:color="000000"/>
              <w:right w:val="single" w:sz="4" w:space="0" w:color="000000"/>
            </w:tcBorders>
            <w:shd w:val="clear" w:color="auto" w:fill="94B3D6"/>
          </w:tcPr>
          <w:p w:rsidR="00723B7E" w:rsidRPr="00723B7E" w:rsidRDefault="00723B7E" w:rsidP="00723B7E">
            <w:pPr>
              <w:rPr>
                <w:rFonts w:asciiTheme="minorHAnsi" w:eastAsia="Arial" w:hAnsiTheme="minorHAnsi" w:cstheme="minorHAnsi"/>
                <w:sz w:val="18"/>
                <w:szCs w:val="18"/>
                <w:lang w:val="it-IT"/>
              </w:rPr>
            </w:pPr>
          </w:p>
        </w:tc>
        <w:tc>
          <w:tcPr>
            <w:tcW w:w="1541"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tabs>
                <w:tab w:val="left" w:pos="741"/>
              </w:tabs>
              <w:spacing w:before="114"/>
              <w:ind w:right="123"/>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2019</w:t>
            </w:r>
            <w:r w:rsidRPr="00723B7E">
              <w:rPr>
                <w:rFonts w:asciiTheme="minorHAnsi" w:eastAsia="Arial" w:hAnsiTheme="minorHAnsi" w:cstheme="minorHAnsi"/>
                <w:b/>
                <w:sz w:val="18"/>
                <w:szCs w:val="18"/>
                <w:lang w:val="it-IT"/>
              </w:rPr>
              <w:tab/>
            </w:r>
            <w:r w:rsidRPr="00723B7E">
              <w:rPr>
                <w:rFonts w:asciiTheme="minorHAnsi" w:eastAsia="Arial" w:hAnsiTheme="minorHAnsi" w:cstheme="minorHAnsi"/>
                <w:b/>
                <w:spacing w:val="-4"/>
                <w:sz w:val="18"/>
                <w:szCs w:val="18"/>
                <w:lang w:val="it-IT"/>
              </w:rPr>
              <w:t>2032</w:t>
            </w:r>
          </w:p>
        </w:tc>
        <w:tc>
          <w:tcPr>
            <w:tcW w:w="788" w:type="dxa"/>
            <w:tcBorders>
              <w:top w:val="single" w:sz="4" w:space="0" w:color="000000"/>
              <w:bottom w:val="single" w:sz="4" w:space="0" w:color="000000"/>
            </w:tcBorders>
            <w:shd w:val="clear" w:color="auto" w:fill="94B3D6"/>
          </w:tcPr>
          <w:p w:rsidR="00723B7E" w:rsidRPr="00723B7E" w:rsidRDefault="00723B7E" w:rsidP="00723B7E">
            <w:pPr>
              <w:spacing w:before="114"/>
              <w:ind w:right="167"/>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10"/>
                <w:sz w:val="18"/>
                <w:szCs w:val="18"/>
                <w:lang w:val="it-IT"/>
              </w:rPr>
              <w:t>∆</w:t>
            </w:r>
          </w:p>
        </w:tc>
        <w:tc>
          <w:tcPr>
            <w:tcW w:w="647"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left="141"/>
              <w:jc w:val="both"/>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53"/>
                <w:sz w:val="18"/>
                <w:szCs w:val="18"/>
                <w:lang w:val="it-IT"/>
              </w:rPr>
              <w:t xml:space="preserve"> </w:t>
            </w:r>
            <w:r w:rsidRPr="00723B7E">
              <w:rPr>
                <w:rFonts w:asciiTheme="minorHAnsi" w:eastAsia="Arial" w:hAnsiTheme="minorHAnsi" w:cstheme="minorHAnsi"/>
                <w:b/>
                <w:spacing w:val="-10"/>
                <w:sz w:val="18"/>
                <w:szCs w:val="18"/>
                <w:lang w:val="it-IT"/>
              </w:rPr>
              <w:t>%</w:t>
            </w:r>
          </w:p>
        </w:tc>
        <w:tc>
          <w:tcPr>
            <w:tcW w:w="1083"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right="169"/>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2019</w:t>
            </w:r>
          </w:p>
        </w:tc>
        <w:tc>
          <w:tcPr>
            <w:tcW w:w="1724" w:type="dxa"/>
            <w:tcBorders>
              <w:top w:val="single" w:sz="4" w:space="0" w:color="000000"/>
              <w:bottom w:val="single" w:sz="4" w:space="0" w:color="000000"/>
            </w:tcBorders>
            <w:shd w:val="clear" w:color="auto" w:fill="94B3D6"/>
          </w:tcPr>
          <w:p w:rsidR="00723B7E" w:rsidRPr="00723B7E" w:rsidRDefault="00723B7E" w:rsidP="00723B7E">
            <w:pPr>
              <w:tabs>
                <w:tab w:val="left" w:pos="1034"/>
              </w:tabs>
              <w:spacing w:before="114"/>
              <w:ind w:right="170"/>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2032</w:t>
            </w:r>
            <w:r w:rsidRPr="00723B7E">
              <w:rPr>
                <w:rFonts w:asciiTheme="minorHAnsi" w:eastAsia="Arial" w:hAnsiTheme="minorHAnsi" w:cstheme="minorHAnsi"/>
                <w:b/>
                <w:sz w:val="18"/>
                <w:szCs w:val="18"/>
                <w:lang w:val="it-IT"/>
              </w:rPr>
              <w:tab/>
            </w:r>
            <w:r w:rsidRPr="00723B7E">
              <w:rPr>
                <w:rFonts w:asciiTheme="minorHAnsi" w:eastAsia="Arial" w:hAnsiTheme="minorHAnsi" w:cstheme="minorHAnsi"/>
                <w:b/>
                <w:spacing w:val="-10"/>
                <w:sz w:val="18"/>
                <w:szCs w:val="18"/>
                <w:lang w:val="it-IT"/>
              </w:rPr>
              <w:t>∆</w:t>
            </w:r>
          </w:p>
        </w:tc>
        <w:tc>
          <w:tcPr>
            <w:tcW w:w="647"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left="141" w:right="5"/>
              <w:jc w:val="both"/>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53"/>
                <w:sz w:val="18"/>
                <w:szCs w:val="18"/>
                <w:lang w:val="it-IT"/>
              </w:rPr>
              <w:t xml:space="preserve"> </w:t>
            </w:r>
            <w:r w:rsidRPr="00723B7E">
              <w:rPr>
                <w:rFonts w:asciiTheme="minorHAnsi" w:eastAsia="Arial" w:hAnsiTheme="minorHAnsi" w:cstheme="minorHAnsi"/>
                <w:b/>
                <w:spacing w:val="-10"/>
                <w:sz w:val="18"/>
                <w:szCs w:val="18"/>
                <w:lang w:val="it-IT"/>
              </w:rPr>
              <w:t>%</w:t>
            </w:r>
          </w:p>
        </w:tc>
        <w:tc>
          <w:tcPr>
            <w:tcW w:w="894"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right="220"/>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2032</w:t>
            </w:r>
          </w:p>
        </w:tc>
        <w:tc>
          <w:tcPr>
            <w:tcW w:w="695" w:type="dxa"/>
            <w:tcBorders>
              <w:top w:val="single" w:sz="4" w:space="0" w:color="000000"/>
              <w:bottom w:val="single" w:sz="4" w:space="0" w:color="000000"/>
            </w:tcBorders>
            <w:shd w:val="clear" w:color="auto" w:fill="94B3D6"/>
          </w:tcPr>
          <w:p w:rsidR="00723B7E" w:rsidRPr="00723B7E" w:rsidRDefault="00723B7E" w:rsidP="00723B7E">
            <w:pPr>
              <w:spacing w:before="114"/>
              <w:ind w:right="174"/>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10"/>
                <w:sz w:val="18"/>
                <w:szCs w:val="18"/>
                <w:lang w:val="it-IT"/>
              </w:rPr>
              <w:t>∆</w:t>
            </w:r>
          </w:p>
        </w:tc>
        <w:tc>
          <w:tcPr>
            <w:tcW w:w="647" w:type="dxa"/>
            <w:tcBorders>
              <w:top w:val="single" w:sz="4" w:space="0" w:color="000000"/>
              <w:bottom w:val="single" w:sz="4" w:space="0" w:color="000000"/>
            </w:tcBorders>
            <w:shd w:val="clear" w:color="auto" w:fill="94B3D6"/>
          </w:tcPr>
          <w:p w:rsidR="00723B7E" w:rsidRPr="00723B7E" w:rsidRDefault="00723B7E" w:rsidP="00723B7E">
            <w:pPr>
              <w:spacing w:before="114"/>
              <w:ind w:left="123"/>
              <w:jc w:val="both"/>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53"/>
                <w:sz w:val="18"/>
                <w:szCs w:val="18"/>
                <w:lang w:val="it-IT"/>
              </w:rPr>
              <w:t xml:space="preserve"> </w:t>
            </w:r>
            <w:r w:rsidRPr="00723B7E">
              <w:rPr>
                <w:rFonts w:asciiTheme="minorHAnsi" w:eastAsia="Arial" w:hAnsiTheme="minorHAnsi" w:cstheme="minorHAnsi"/>
                <w:b/>
                <w:spacing w:val="-10"/>
                <w:sz w:val="18"/>
                <w:szCs w:val="18"/>
                <w:lang w:val="it-IT"/>
              </w:rPr>
              <w:t>%</w:t>
            </w:r>
          </w:p>
        </w:tc>
      </w:tr>
      <w:tr w:rsidR="00723B7E" w:rsidRPr="00723B7E" w:rsidTr="00D57EB5">
        <w:trPr>
          <w:trHeight w:val="280"/>
        </w:trPr>
        <w:tc>
          <w:tcPr>
            <w:tcW w:w="982" w:type="dxa"/>
            <w:tcBorders>
              <w:top w:val="single" w:sz="4" w:space="0" w:color="000000"/>
              <w:right w:val="single" w:sz="4" w:space="0" w:color="000000"/>
            </w:tcBorders>
          </w:tcPr>
          <w:p w:rsidR="00723B7E" w:rsidRPr="00723B7E" w:rsidRDefault="00723B7E" w:rsidP="00723B7E">
            <w:pPr>
              <w:spacing w:before="35"/>
              <w:ind w:left="69"/>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0­</w:t>
            </w:r>
            <w:r w:rsidRPr="00723B7E">
              <w:rPr>
                <w:rFonts w:asciiTheme="minorHAnsi" w:eastAsia="Arial" w:hAnsiTheme="minorHAnsi" w:cstheme="minorHAnsi"/>
                <w:spacing w:val="-5"/>
                <w:sz w:val="18"/>
                <w:szCs w:val="18"/>
                <w:lang w:val="it-IT"/>
              </w:rPr>
              <w:t>15</w:t>
            </w:r>
          </w:p>
        </w:tc>
        <w:tc>
          <w:tcPr>
            <w:tcW w:w="1541" w:type="dxa"/>
            <w:tcBorders>
              <w:top w:val="single" w:sz="4" w:space="0" w:color="000000"/>
              <w:left w:val="single" w:sz="4" w:space="0" w:color="000000"/>
            </w:tcBorders>
          </w:tcPr>
          <w:p w:rsidR="00723B7E" w:rsidRPr="00723B7E" w:rsidRDefault="00723B7E" w:rsidP="00723B7E">
            <w:pPr>
              <w:tabs>
                <w:tab w:val="left" w:pos="741"/>
              </w:tabs>
              <w:spacing w:before="35"/>
              <w:ind w:right="12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4'898</w:t>
            </w:r>
            <w:r w:rsidRPr="00723B7E">
              <w:rPr>
                <w:rFonts w:asciiTheme="minorHAnsi" w:eastAsia="Arial" w:hAnsiTheme="minorHAnsi" w:cstheme="minorHAnsi"/>
                <w:sz w:val="18"/>
                <w:szCs w:val="18"/>
                <w:lang w:val="it-IT"/>
              </w:rPr>
              <w:tab/>
            </w:r>
            <w:r w:rsidRPr="00723B7E">
              <w:rPr>
                <w:rFonts w:asciiTheme="minorHAnsi" w:eastAsia="Arial" w:hAnsiTheme="minorHAnsi" w:cstheme="minorHAnsi"/>
                <w:spacing w:val="-2"/>
                <w:sz w:val="18"/>
                <w:szCs w:val="18"/>
                <w:lang w:val="it-IT"/>
              </w:rPr>
              <w:t>4'742</w:t>
            </w:r>
          </w:p>
        </w:tc>
        <w:tc>
          <w:tcPr>
            <w:tcW w:w="788" w:type="dxa"/>
            <w:tcBorders>
              <w:top w:val="single" w:sz="4" w:space="0" w:color="000000"/>
            </w:tcBorders>
          </w:tcPr>
          <w:p w:rsidR="00723B7E" w:rsidRPr="00723B7E" w:rsidRDefault="00723B7E" w:rsidP="00723B7E">
            <w:pPr>
              <w:spacing w:before="35"/>
              <w:ind w:right="166"/>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156</w:t>
            </w:r>
          </w:p>
        </w:tc>
        <w:tc>
          <w:tcPr>
            <w:tcW w:w="647" w:type="dxa"/>
            <w:tcBorders>
              <w:top w:val="single" w:sz="4" w:space="0" w:color="000000"/>
              <w:right w:val="single" w:sz="4" w:space="0" w:color="000000"/>
            </w:tcBorders>
          </w:tcPr>
          <w:p w:rsidR="00723B7E" w:rsidRPr="00723B7E" w:rsidRDefault="00723B7E" w:rsidP="00723B7E">
            <w:pPr>
              <w:spacing w:before="35"/>
              <w:ind w:left="199"/>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3.2</w:t>
            </w:r>
          </w:p>
        </w:tc>
        <w:tc>
          <w:tcPr>
            <w:tcW w:w="1083" w:type="dxa"/>
            <w:tcBorders>
              <w:top w:val="single" w:sz="4" w:space="0" w:color="000000"/>
              <w:left w:val="single" w:sz="4" w:space="0" w:color="000000"/>
            </w:tcBorders>
          </w:tcPr>
          <w:p w:rsidR="00723B7E" w:rsidRPr="00723B7E" w:rsidRDefault="00723B7E" w:rsidP="00723B7E">
            <w:pPr>
              <w:spacing w:before="35"/>
              <w:ind w:right="169"/>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19'030</w:t>
            </w:r>
          </w:p>
        </w:tc>
        <w:tc>
          <w:tcPr>
            <w:tcW w:w="1724" w:type="dxa"/>
            <w:tcBorders>
              <w:top w:val="single" w:sz="4" w:space="0" w:color="000000"/>
            </w:tcBorders>
          </w:tcPr>
          <w:p w:rsidR="00723B7E" w:rsidRPr="00723B7E" w:rsidRDefault="00723B7E" w:rsidP="00723B7E">
            <w:pPr>
              <w:tabs>
                <w:tab w:val="left" w:pos="784"/>
              </w:tabs>
              <w:spacing w:before="35"/>
              <w:ind w:right="167"/>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15'714</w:t>
            </w:r>
            <w:r w:rsidRPr="00723B7E">
              <w:rPr>
                <w:rFonts w:asciiTheme="minorHAnsi" w:eastAsia="Arial" w:hAnsiTheme="minorHAnsi" w:cstheme="minorHAnsi"/>
                <w:sz w:val="18"/>
                <w:szCs w:val="18"/>
                <w:lang w:val="it-IT"/>
              </w:rPr>
              <w:tab/>
              <w:t>­</w:t>
            </w:r>
            <w:r w:rsidRPr="00723B7E">
              <w:rPr>
                <w:rFonts w:asciiTheme="minorHAnsi" w:eastAsia="Arial" w:hAnsiTheme="minorHAnsi" w:cstheme="minorHAnsi"/>
                <w:spacing w:val="-2"/>
                <w:sz w:val="18"/>
                <w:szCs w:val="18"/>
                <w:lang w:val="it-IT"/>
              </w:rPr>
              <w:t>3'316</w:t>
            </w:r>
          </w:p>
        </w:tc>
        <w:tc>
          <w:tcPr>
            <w:tcW w:w="647" w:type="dxa"/>
            <w:tcBorders>
              <w:top w:val="single" w:sz="4" w:space="0" w:color="000000"/>
              <w:right w:val="single" w:sz="4" w:space="0" w:color="000000"/>
            </w:tcBorders>
          </w:tcPr>
          <w:p w:rsidR="00723B7E" w:rsidRPr="00723B7E" w:rsidRDefault="00723B7E" w:rsidP="00723B7E">
            <w:pPr>
              <w:spacing w:before="35"/>
              <w:ind w:left="141" w:right="48"/>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17.4</w:t>
            </w:r>
          </w:p>
        </w:tc>
        <w:tc>
          <w:tcPr>
            <w:tcW w:w="894" w:type="dxa"/>
            <w:tcBorders>
              <w:top w:val="single" w:sz="4" w:space="0" w:color="000000"/>
              <w:left w:val="single" w:sz="4" w:space="0" w:color="000000"/>
            </w:tcBorders>
          </w:tcPr>
          <w:p w:rsidR="00723B7E" w:rsidRPr="00723B7E" w:rsidRDefault="00723B7E" w:rsidP="00723B7E">
            <w:pPr>
              <w:spacing w:before="35"/>
              <w:ind w:right="2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3.3</w:t>
            </w:r>
          </w:p>
        </w:tc>
        <w:tc>
          <w:tcPr>
            <w:tcW w:w="695" w:type="dxa"/>
            <w:tcBorders>
              <w:top w:val="single" w:sz="4" w:space="0" w:color="000000"/>
            </w:tcBorders>
          </w:tcPr>
          <w:p w:rsidR="00723B7E" w:rsidRPr="00723B7E" w:rsidRDefault="00723B7E" w:rsidP="00723B7E">
            <w:pPr>
              <w:spacing w:before="35"/>
              <w:ind w:right="17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0.6</w:t>
            </w:r>
          </w:p>
        </w:tc>
        <w:tc>
          <w:tcPr>
            <w:tcW w:w="647" w:type="dxa"/>
            <w:tcBorders>
              <w:top w:val="single" w:sz="4" w:space="0" w:color="000000"/>
            </w:tcBorders>
          </w:tcPr>
          <w:p w:rsidR="00723B7E" w:rsidRPr="00723B7E" w:rsidRDefault="00723B7E" w:rsidP="00723B7E">
            <w:pPr>
              <w:spacing w:before="35"/>
              <w:ind w:left="123" w:right="43"/>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14.7</w:t>
            </w:r>
          </w:p>
        </w:tc>
      </w:tr>
      <w:tr w:rsidR="00723B7E" w:rsidRPr="00723B7E" w:rsidTr="00D57EB5">
        <w:trPr>
          <w:trHeight w:val="280"/>
        </w:trPr>
        <w:tc>
          <w:tcPr>
            <w:tcW w:w="982" w:type="dxa"/>
            <w:tcBorders>
              <w:right w:val="single" w:sz="4" w:space="0" w:color="000000"/>
            </w:tcBorders>
          </w:tcPr>
          <w:p w:rsidR="00723B7E" w:rsidRPr="00723B7E" w:rsidRDefault="00723B7E" w:rsidP="00723B7E">
            <w:pPr>
              <w:spacing w:before="32"/>
              <w:ind w:left="69"/>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16­</w:t>
            </w:r>
            <w:r w:rsidRPr="00723B7E">
              <w:rPr>
                <w:rFonts w:asciiTheme="minorHAnsi" w:eastAsia="Arial" w:hAnsiTheme="minorHAnsi" w:cstheme="minorHAnsi"/>
                <w:spacing w:val="-5"/>
                <w:sz w:val="18"/>
                <w:szCs w:val="18"/>
                <w:lang w:val="it-IT"/>
              </w:rPr>
              <w:t>39</w:t>
            </w:r>
          </w:p>
        </w:tc>
        <w:tc>
          <w:tcPr>
            <w:tcW w:w="1541" w:type="dxa"/>
            <w:tcBorders>
              <w:left w:val="single" w:sz="4" w:space="0" w:color="000000"/>
            </w:tcBorders>
          </w:tcPr>
          <w:p w:rsidR="00723B7E" w:rsidRPr="00723B7E" w:rsidRDefault="00723B7E" w:rsidP="00723B7E">
            <w:pPr>
              <w:tabs>
                <w:tab w:val="left" w:pos="741"/>
              </w:tabs>
              <w:spacing w:before="32"/>
              <w:ind w:right="12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7'976</w:t>
            </w:r>
            <w:r w:rsidRPr="00723B7E">
              <w:rPr>
                <w:rFonts w:asciiTheme="minorHAnsi" w:eastAsia="Arial" w:hAnsiTheme="minorHAnsi" w:cstheme="minorHAnsi"/>
                <w:sz w:val="18"/>
                <w:szCs w:val="18"/>
                <w:lang w:val="it-IT"/>
              </w:rPr>
              <w:tab/>
            </w:r>
            <w:r w:rsidRPr="00723B7E">
              <w:rPr>
                <w:rFonts w:asciiTheme="minorHAnsi" w:eastAsia="Arial" w:hAnsiTheme="minorHAnsi" w:cstheme="minorHAnsi"/>
                <w:spacing w:val="-2"/>
                <w:sz w:val="18"/>
                <w:szCs w:val="18"/>
                <w:lang w:val="it-IT"/>
              </w:rPr>
              <w:t>7'318</w:t>
            </w:r>
          </w:p>
        </w:tc>
        <w:tc>
          <w:tcPr>
            <w:tcW w:w="788" w:type="dxa"/>
          </w:tcPr>
          <w:p w:rsidR="00723B7E" w:rsidRPr="00723B7E" w:rsidRDefault="00723B7E" w:rsidP="00723B7E">
            <w:pPr>
              <w:spacing w:before="32"/>
              <w:ind w:right="166"/>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658</w:t>
            </w:r>
          </w:p>
        </w:tc>
        <w:tc>
          <w:tcPr>
            <w:tcW w:w="647" w:type="dxa"/>
            <w:tcBorders>
              <w:right w:val="single" w:sz="4" w:space="0" w:color="000000"/>
            </w:tcBorders>
          </w:tcPr>
          <w:p w:rsidR="00723B7E" w:rsidRPr="00723B7E" w:rsidRDefault="00723B7E" w:rsidP="00723B7E">
            <w:pPr>
              <w:spacing w:before="32"/>
              <w:ind w:left="199"/>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8.2</w:t>
            </w:r>
          </w:p>
        </w:tc>
        <w:tc>
          <w:tcPr>
            <w:tcW w:w="1083" w:type="dxa"/>
            <w:tcBorders>
              <w:left w:val="single" w:sz="4" w:space="0" w:color="000000"/>
            </w:tcBorders>
          </w:tcPr>
          <w:p w:rsidR="00723B7E" w:rsidRPr="00723B7E" w:rsidRDefault="00723B7E" w:rsidP="00723B7E">
            <w:pPr>
              <w:spacing w:before="32"/>
              <w:ind w:right="169"/>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28'400</w:t>
            </w:r>
          </w:p>
        </w:tc>
        <w:tc>
          <w:tcPr>
            <w:tcW w:w="1724" w:type="dxa"/>
          </w:tcPr>
          <w:p w:rsidR="00723B7E" w:rsidRPr="00723B7E" w:rsidRDefault="00723B7E" w:rsidP="00723B7E">
            <w:pPr>
              <w:tabs>
                <w:tab w:val="left" w:pos="784"/>
              </w:tabs>
              <w:spacing w:before="32"/>
              <w:ind w:right="167"/>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22'892</w:t>
            </w:r>
            <w:r w:rsidRPr="00723B7E">
              <w:rPr>
                <w:rFonts w:asciiTheme="minorHAnsi" w:eastAsia="Arial" w:hAnsiTheme="minorHAnsi" w:cstheme="minorHAnsi"/>
                <w:sz w:val="18"/>
                <w:szCs w:val="18"/>
                <w:lang w:val="it-IT"/>
              </w:rPr>
              <w:tab/>
              <w:t>­</w:t>
            </w:r>
            <w:r w:rsidRPr="00723B7E">
              <w:rPr>
                <w:rFonts w:asciiTheme="minorHAnsi" w:eastAsia="Arial" w:hAnsiTheme="minorHAnsi" w:cstheme="minorHAnsi"/>
                <w:spacing w:val="-2"/>
                <w:sz w:val="18"/>
                <w:szCs w:val="18"/>
                <w:lang w:val="it-IT"/>
              </w:rPr>
              <w:t>5'508</w:t>
            </w:r>
          </w:p>
        </w:tc>
        <w:tc>
          <w:tcPr>
            <w:tcW w:w="647" w:type="dxa"/>
            <w:tcBorders>
              <w:right w:val="single" w:sz="4" w:space="0" w:color="000000"/>
            </w:tcBorders>
          </w:tcPr>
          <w:p w:rsidR="00723B7E" w:rsidRPr="00723B7E" w:rsidRDefault="00723B7E" w:rsidP="00723B7E">
            <w:pPr>
              <w:spacing w:before="32"/>
              <w:ind w:left="141" w:right="48"/>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19.4</w:t>
            </w:r>
          </w:p>
        </w:tc>
        <w:tc>
          <w:tcPr>
            <w:tcW w:w="894" w:type="dxa"/>
            <w:tcBorders>
              <w:left w:val="single" w:sz="4" w:space="0" w:color="000000"/>
            </w:tcBorders>
          </w:tcPr>
          <w:p w:rsidR="00723B7E" w:rsidRPr="00723B7E" w:rsidRDefault="00723B7E" w:rsidP="00723B7E">
            <w:pPr>
              <w:spacing w:before="32"/>
              <w:ind w:right="2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3.1</w:t>
            </w:r>
          </w:p>
        </w:tc>
        <w:tc>
          <w:tcPr>
            <w:tcW w:w="695" w:type="dxa"/>
          </w:tcPr>
          <w:p w:rsidR="00723B7E" w:rsidRPr="00723B7E" w:rsidRDefault="00723B7E" w:rsidP="00723B7E">
            <w:pPr>
              <w:spacing w:before="32"/>
              <w:ind w:right="17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0.4</w:t>
            </w:r>
          </w:p>
        </w:tc>
        <w:tc>
          <w:tcPr>
            <w:tcW w:w="647" w:type="dxa"/>
          </w:tcPr>
          <w:p w:rsidR="00723B7E" w:rsidRPr="00723B7E" w:rsidRDefault="00723B7E" w:rsidP="00723B7E">
            <w:pPr>
              <w:spacing w:before="32"/>
              <w:ind w:left="123" w:right="43"/>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12.1</w:t>
            </w:r>
          </w:p>
        </w:tc>
      </w:tr>
      <w:tr w:rsidR="00723B7E" w:rsidRPr="00723B7E" w:rsidTr="00D57EB5">
        <w:trPr>
          <w:trHeight w:val="283"/>
        </w:trPr>
        <w:tc>
          <w:tcPr>
            <w:tcW w:w="982" w:type="dxa"/>
            <w:tcBorders>
              <w:right w:val="single" w:sz="4" w:space="0" w:color="000000"/>
            </w:tcBorders>
          </w:tcPr>
          <w:p w:rsidR="00723B7E" w:rsidRPr="00723B7E" w:rsidRDefault="00723B7E" w:rsidP="00723B7E">
            <w:pPr>
              <w:spacing w:before="35"/>
              <w:ind w:left="69"/>
              <w:rPr>
                <w:rFonts w:asciiTheme="minorHAnsi" w:eastAsia="Arial" w:hAnsiTheme="minorHAnsi" w:cstheme="minorHAnsi"/>
                <w:sz w:val="18"/>
                <w:szCs w:val="18"/>
                <w:lang w:val="it-IT"/>
              </w:rPr>
            </w:pPr>
            <w:r w:rsidRPr="00723B7E">
              <w:rPr>
                <w:rFonts w:asciiTheme="minorHAnsi" w:eastAsia="Arial" w:hAnsiTheme="minorHAnsi" w:cstheme="minorHAnsi"/>
                <w:noProof/>
                <w:sz w:val="18"/>
                <w:szCs w:val="18"/>
                <w:lang w:eastAsia="it-CH"/>
              </w:rPr>
              <mc:AlternateContent>
                <mc:Choice Requires="wpg">
                  <w:drawing>
                    <wp:anchor distT="0" distB="0" distL="0" distR="0" simplePos="0" relativeHeight="251660288" behindDoc="1" locked="0" layoutInCell="1" allowOverlap="1" wp14:anchorId="6470CD36" wp14:editId="567D6AD4">
                      <wp:simplePos x="0" y="0"/>
                      <wp:positionH relativeFrom="column">
                        <wp:posOffset>0</wp:posOffset>
                      </wp:positionH>
                      <wp:positionV relativeFrom="paragraph">
                        <wp:posOffset>-1626</wp:posOffset>
                      </wp:positionV>
                      <wp:extent cx="4700270" cy="18034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0270" cy="180340"/>
                                <a:chOff x="0" y="0"/>
                                <a:chExt cx="4700270" cy="180340"/>
                              </a:xfrm>
                            </wpg:grpSpPr>
                            <wps:wsp>
                              <wps:cNvPr id="31" name="Graphic 31"/>
                              <wps:cNvSpPr/>
                              <wps:spPr>
                                <a:xfrm>
                                  <a:off x="0" y="12"/>
                                  <a:ext cx="4700270" cy="180340"/>
                                </a:xfrm>
                                <a:custGeom>
                                  <a:avLst/>
                                  <a:gdLst/>
                                  <a:ahLst/>
                                  <a:cxnLst/>
                                  <a:rect l="l" t="t" r="r" b="b"/>
                                  <a:pathLst>
                                    <a:path w="4700270" h="180340">
                                      <a:moveTo>
                                        <a:pt x="620268" y="0"/>
                                      </a:moveTo>
                                      <a:lnTo>
                                        <a:pt x="0" y="0"/>
                                      </a:lnTo>
                                      <a:lnTo>
                                        <a:pt x="0" y="179819"/>
                                      </a:lnTo>
                                      <a:lnTo>
                                        <a:pt x="620268" y="179819"/>
                                      </a:lnTo>
                                      <a:lnTo>
                                        <a:pt x="620268" y="0"/>
                                      </a:lnTo>
                                      <a:close/>
                                    </a:path>
                                    <a:path w="4700270" h="180340">
                                      <a:moveTo>
                                        <a:pt x="2508504" y="0"/>
                                      </a:moveTo>
                                      <a:lnTo>
                                        <a:pt x="2039112" y="0"/>
                                      </a:lnTo>
                                      <a:lnTo>
                                        <a:pt x="1566672" y="0"/>
                                      </a:lnTo>
                                      <a:lnTo>
                                        <a:pt x="1094232" y="0"/>
                                      </a:lnTo>
                                      <a:lnTo>
                                        <a:pt x="626364" y="0"/>
                                      </a:lnTo>
                                      <a:lnTo>
                                        <a:pt x="626364" y="179819"/>
                                      </a:lnTo>
                                      <a:lnTo>
                                        <a:pt x="1094232" y="179819"/>
                                      </a:lnTo>
                                      <a:lnTo>
                                        <a:pt x="1566672" y="179819"/>
                                      </a:lnTo>
                                      <a:lnTo>
                                        <a:pt x="2039112" y="179819"/>
                                      </a:lnTo>
                                      <a:lnTo>
                                        <a:pt x="2508504" y="179819"/>
                                      </a:lnTo>
                                      <a:lnTo>
                                        <a:pt x="2508504" y="0"/>
                                      </a:lnTo>
                                      <a:close/>
                                    </a:path>
                                    <a:path w="4700270" h="180340">
                                      <a:moveTo>
                                        <a:pt x="3758171" y="0"/>
                                      </a:moveTo>
                                      <a:lnTo>
                                        <a:pt x="3134868" y="0"/>
                                      </a:lnTo>
                                      <a:lnTo>
                                        <a:pt x="2514600" y="0"/>
                                      </a:lnTo>
                                      <a:lnTo>
                                        <a:pt x="2514600" y="179819"/>
                                      </a:lnTo>
                                      <a:lnTo>
                                        <a:pt x="3134868" y="179819"/>
                                      </a:lnTo>
                                      <a:lnTo>
                                        <a:pt x="3758171" y="179819"/>
                                      </a:lnTo>
                                      <a:lnTo>
                                        <a:pt x="3758171" y="0"/>
                                      </a:lnTo>
                                      <a:close/>
                                    </a:path>
                                    <a:path w="4700270" h="180340">
                                      <a:moveTo>
                                        <a:pt x="4700016" y="0"/>
                                      </a:moveTo>
                                      <a:lnTo>
                                        <a:pt x="4230624" y="0"/>
                                      </a:lnTo>
                                      <a:lnTo>
                                        <a:pt x="3758184" y="0"/>
                                      </a:lnTo>
                                      <a:lnTo>
                                        <a:pt x="3758184" y="179819"/>
                                      </a:lnTo>
                                      <a:lnTo>
                                        <a:pt x="4230624" y="179819"/>
                                      </a:lnTo>
                                      <a:lnTo>
                                        <a:pt x="4700016" y="179819"/>
                                      </a:lnTo>
                                      <a:lnTo>
                                        <a:pt x="4700016" y="0"/>
                                      </a:lnTo>
                                      <a:close/>
                                    </a:path>
                                  </a:pathLst>
                                </a:custGeom>
                                <a:solidFill>
                                  <a:srgbClr val="DDEBF7"/>
                                </a:solidFill>
                              </wps:spPr>
                              <wps:bodyPr wrap="square" lIns="0" tIns="0" rIns="0" bIns="0" rtlCol="0">
                                <a:prstTxWarp prst="textNoShape">
                                  <a:avLst/>
                                </a:prstTxWarp>
                                <a:noAutofit/>
                              </wps:bodyPr>
                            </wps:wsp>
                          </wpg:wgp>
                        </a:graphicData>
                      </a:graphic>
                    </wp:anchor>
                  </w:drawing>
                </mc:Choice>
                <mc:Fallback>
                  <w:pict>
                    <v:group w14:anchorId="7ADF2AB4" id="Group 30" o:spid="_x0000_s1026" style="position:absolute;margin-left:0;margin-top:-.15pt;width:370.1pt;height:14.2pt;z-index:-251656192;mso-wrap-distance-left:0;mso-wrap-distance-right:0" coordsize="470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">
                      <v:shape id="Graphic 31" o:spid="_x0000_s1027" style="position:absolute;width:47002;height:1803;visibility:visible;mso-wrap-style:square;v-text-anchor:top" coordsize="470027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" path="m620268,l,,,179819r620268,l620268,xem2508504,l2039112,,1566672,,1094232,,626364,r,179819l1094232,179819r472440,l2039112,179819r469392,l2508504,xem3758171,l3134868,,2514600,r,179819l3134868,179819r623303,l3758171,xem4700016,l4230624,,3758184,r,179819l4230624,179819r469392,l4700016,xe" fillcolor="#ddebf7" stroked="f">
                        <v:path arrowok="t"/>
                      </v:shape>
                    </v:group>
                  </w:pict>
                </mc:Fallback>
              </mc:AlternateContent>
            </w:r>
            <w:r w:rsidRPr="00723B7E">
              <w:rPr>
                <w:rFonts w:asciiTheme="minorHAnsi" w:eastAsia="Arial" w:hAnsiTheme="minorHAnsi" w:cstheme="minorHAnsi"/>
                <w:sz w:val="18"/>
                <w:szCs w:val="18"/>
                <w:lang w:val="it-IT"/>
              </w:rPr>
              <w:t>40­</w:t>
            </w:r>
            <w:r w:rsidRPr="00723B7E">
              <w:rPr>
                <w:rFonts w:asciiTheme="minorHAnsi" w:eastAsia="Arial" w:hAnsiTheme="minorHAnsi" w:cstheme="minorHAnsi"/>
                <w:spacing w:val="-5"/>
                <w:sz w:val="18"/>
                <w:szCs w:val="18"/>
                <w:lang w:val="it-IT"/>
              </w:rPr>
              <w:t>64</w:t>
            </w:r>
          </w:p>
        </w:tc>
        <w:tc>
          <w:tcPr>
            <w:tcW w:w="1541" w:type="dxa"/>
            <w:tcBorders>
              <w:left w:val="single" w:sz="4" w:space="0" w:color="000000"/>
            </w:tcBorders>
          </w:tcPr>
          <w:p w:rsidR="00723B7E" w:rsidRPr="00723B7E" w:rsidRDefault="00723B7E" w:rsidP="00723B7E">
            <w:pPr>
              <w:tabs>
                <w:tab w:val="left" w:pos="741"/>
              </w:tabs>
              <w:spacing w:before="35"/>
              <w:ind w:right="12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15'169</w:t>
            </w:r>
            <w:r w:rsidRPr="00723B7E">
              <w:rPr>
                <w:rFonts w:asciiTheme="minorHAnsi" w:eastAsia="Arial" w:hAnsiTheme="minorHAnsi" w:cstheme="minorHAnsi"/>
                <w:sz w:val="18"/>
                <w:szCs w:val="18"/>
                <w:lang w:val="it-IT"/>
              </w:rPr>
              <w:tab/>
            </w:r>
            <w:r w:rsidRPr="00723B7E">
              <w:rPr>
                <w:rFonts w:asciiTheme="minorHAnsi" w:eastAsia="Arial" w:hAnsiTheme="minorHAnsi" w:cstheme="minorHAnsi"/>
                <w:spacing w:val="-2"/>
                <w:sz w:val="18"/>
                <w:szCs w:val="18"/>
                <w:lang w:val="it-IT"/>
              </w:rPr>
              <w:t>12'851</w:t>
            </w:r>
          </w:p>
        </w:tc>
        <w:tc>
          <w:tcPr>
            <w:tcW w:w="788" w:type="dxa"/>
          </w:tcPr>
          <w:p w:rsidR="00723B7E" w:rsidRPr="00723B7E" w:rsidRDefault="00723B7E" w:rsidP="00723B7E">
            <w:pPr>
              <w:spacing w:before="35"/>
              <w:ind w:right="165"/>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2"/>
                <w:sz w:val="18"/>
                <w:szCs w:val="18"/>
                <w:lang w:val="it-IT"/>
              </w:rPr>
              <w:t>2'318</w:t>
            </w:r>
          </w:p>
        </w:tc>
        <w:tc>
          <w:tcPr>
            <w:tcW w:w="647" w:type="dxa"/>
            <w:tcBorders>
              <w:right w:val="single" w:sz="4" w:space="0" w:color="000000"/>
            </w:tcBorders>
          </w:tcPr>
          <w:p w:rsidR="00723B7E" w:rsidRPr="00723B7E" w:rsidRDefault="00723B7E" w:rsidP="00723B7E">
            <w:pPr>
              <w:spacing w:before="35"/>
              <w:ind w:left="141" w:right="43"/>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15.3</w:t>
            </w:r>
          </w:p>
        </w:tc>
        <w:tc>
          <w:tcPr>
            <w:tcW w:w="1083" w:type="dxa"/>
            <w:tcBorders>
              <w:left w:val="single" w:sz="4" w:space="0" w:color="000000"/>
            </w:tcBorders>
          </w:tcPr>
          <w:p w:rsidR="00723B7E" w:rsidRPr="00723B7E" w:rsidRDefault="00723B7E" w:rsidP="00723B7E">
            <w:pPr>
              <w:spacing w:before="35"/>
              <w:ind w:right="169"/>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74'774</w:t>
            </w:r>
          </w:p>
        </w:tc>
        <w:tc>
          <w:tcPr>
            <w:tcW w:w="1724" w:type="dxa"/>
          </w:tcPr>
          <w:p w:rsidR="00723B7E" w:rsidRPr="00723B7E" w:rsidRDefault="00723B7E" w:rsidP="00723B7E">
            <w:pPr>
              <w:spacing w:before="35"/>
              <w:ind w:right="167"/>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56'305</w:t>
            </w:r>
            <w:r w:rsidRPr="00723B7E">
              <w:rPr>
                <w:rFonts w:asciiTheme="minorHAnsi" w:eastAsia="Arial" w:hAnsiTheme="minorHAnsi" w:cstheme="minorHAnsi"/>
                <w:spacing w:val="68"/>
                <w:w w:val="150"/>
                <w:sz w:val="18"/>
                <w:szCs w:val="18"/>
                <w:lang w:val="it-IT"/>
              </w:rPr>
              <w:t xml:space="preserve"> </w:t>
            </w: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2"/>
                <w:sz w:val="18"/>
                <w:szCs w:val="18"/>
                <w:lang w:val="it-IT"/>
              </w:rPr>
              <w:t>18'469</w:t>
            </w:r>
          </w:p>
        </w:tc>
        <w:tc>
          <w:tcPr>
            <w:tcW w:w="647" w:type="dxa"/>
            <w:tcBorders>
              <w:right w:val="single" w:sz="4" w:space="0" w:color="000000"/>
            </w:tcBorders>
          </w:tcPr>
          <w:p w:rsidR="00723B7E" w:rsidRPr="00723B7E" w:rsidRDefault="00723B7E" w:rsidP="00723B7E">
            <w:pPr>
              <w:spacing w:before="35"/>
              <w:ind w:left="92"/>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24.7</w:t>
            </w:r>
          </w:p>
        </w:tc>
        <w:tc>
          <w:tcPr>
            <w:tcW w:w="894" w:type="dxa"/>
            <w:tcBorders>
              <w:left w:val="single" w:sz="4" w:space="0" w:color="000000"/>
            </w:tcBorders>
          </w:tcPr>
          <w:p w:rsidR="00723B7E" w:rsidRPr="00723B7E" w:rsidRDefault="00723B7E" w:rsidP="00723B7E">
            <w:pPr>
              <w:spacing w:before="35"/>
              <w:ind w:right="2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4.4</w:t>
            </w:r>
          </w:p>
        </w:tc>
        <w:tc>
          <w:tcPr>
            <w:tcW w:w="695" w:type="dxa"/>
          </w:tcPr>
          <w:p w:rsidR="00723B7E" w:rsidRPr="00723B7E" w:rsidRDefault="00723B7E" w:rsidP="00723B7E">
            <w:pPr>
              <w:spacing w:before="35"/>
              <w:ind w:right="17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0.5</w:t>
            </w:r>
          </w:p>
        </w:tc>
        <w:tc>
          <w:tcPr>
            <w:tcW w:w="647" w:type="dxa"/>
          </w:tcPr>
          <w:p w:rsidR="00723B7E" w:rsidRPr="00723B7E" w:rsidRDefault="00723B7E" w:rsidP="00723B7E">
            <w:pPr>
              <w:spacing w:before="35"/>
              <w:ind w:left="123" w:right="44"/>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11.1</w:t>
            </w:r>
          </w:p>
        </w:tc>
      </w:tr>
      <w:tr w:rsidR="00723B7E" w:rsidRPr="00723B7E" w:rsidTr="00D57EB5">
        <w:trPr>
          <w:trHeight w:val="283"/>
        </w:trPr>
        <w:tc>
          <w:tcPr>
            <w:tcW w:w="982" w:type="dxa"/>
            <w:tcBorders>
              <w:right w:val="single" w:sz="4" w:space="0" w:color="000000"/>
            </w:tcBorders>
          </w:tcPr>
          <w:p w:rsidR="00723B7E" w:rsidRPr="00723B7E" w:rsidRDefault="00723B7E" w:rsidP="00723B7E">
            <w:pPr>
              <w:spacing w:before="35"/>
              <w:ind w:left="69"/>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65­</w:t>
            </w:r>
            <w:r w:rsidRPr="00723B7E">
              <w:rPr>
                <w:rFonts w:asciiTheme="minorHAnsi" w:eastAsia="Arial" w:hAnsiTheme="minorHAnsi" w:cstheme="minorHAnsi"/>
                <w:spacing w:val="-5"/>
                <w:sz w:val="18"/>
                <w:szCs w:val="18"/>
                <w:lang w:val="it-IT"/>
              </w:rPr>
              <w:t>79</w:t>
            </w:r>
          </w:p>
        </w:tc>
        <w:tc>
          <w:tcPr>
            <w:tcW w:w="1541" w:type="dxa"/>
            <w:tcBorders>
              <w:left w:val="single" w:sz="4" w:space="0" w:color="000000"/>
            </w:tcBorders>
          </w:tcPr>
          <w:p w:rsidR="00723B7E" w:rsidRPr="00723B7E" w:rsidRDefault="00723B7E" w:rsidP="00723B7E">
            <w:pPr>
              <w:tabs>
                <w:tab w:val="left" w:pos="741"/>
              </w:tabs>
              <w:spacing w:before="35"/>
              <w:ind w:right="12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15'854</w:t>
            </w:r>
            <w:r w:rsidRPr="00723B7E">
              <w:rPr>
                <w:rFonts w:asciiTheme="minorHAnsi" w:eastAsia="Arial" w:hAnsiTheme="minorHAnsi" w:cstheme="minorHAnsi"/>
                <w:sz w:val="18"/>
                <w:szCs w:val="18"/>
                <w:lang w:val="it-IT"/>
              </w:rPr>
              <w:tab/>
            </w:r>
            <w:r w:rsidRPr="00723B7E">
              <w:rPr>
                <w:rFonts w:asciiTheme="minorHAnsi" w:eastAsia="Arial" w:hAnsiTheme="minorHAnsi" w:cstheme="minorHAnsi"/>
                <w:spacing w:val="-2"/>
                <w:sz w:val="18"/>
                <w:szCs w:val="18"/>
                <w:lang w:val="it-IT"/>
              </w:rPr>
              <w:t>16'701</w:t>
            </w:r>
          </w:p>
        </w:tc>
        <w:tc>
          <w:tcPr>
            <w:tcW w:w="788" w:type="dxa"/>
          </w:tcPr>
          <w:p w:rsidR="00723B7E" w:rsidRPr="00723B7E" w:rsidRDefault="00723B7E" w:rsidP="00723B7E">
            <w:pPr>
              <w:spacing w:before="35"/>
              <w:ind w:right="166"/>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847</w:t>
            </w:r>
          </w:p>
        </w:tc>
        <w:tc>
          <w:tcPr>
            <w:tcW w:w="647" w:type="dxa"/>
            <w:tcBorders>
              <w:right w:val="single" w:sz="4" w:space="0" w:color="000000"/>
            </w:tcBorders>
          </w:tcPr>
          <w:p w:rsidR="00723B7E" w:rsidRPr="00723B7E" w:rsidRDefault="00723B7E" w:rsidP="00723B7E">
            <w:pPr>
              <w:spacing w:before="35"/>
              <w:ind w:left="259"/>
              <w:jc w:val="both"/>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5.3</w:t>
            </w:r>
          </w:p>
        </w:tc>
        <w:tc>
          <w:tcPr>
            <w:tcW w:w="1083" w:type="dxa"/>
            <w:tcBorders>
              <w:left w:val="single" w:sz="4" w:space="0" w:color="000000"/>
            </w:tcBorders>
          </w:tcPr>
          <w:p w:rsidR="00723B7E" w:rsidRPr="00723B7E" w:rsidRDefault="00723B7E" w:rsidP="00723B7E">
            <w:pPr>
              <w:spacing w:before="35"/>
              <w:ind w:right="169"/>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117'534</w:t>
            </w:r>
          </w:p>
        </w:tc>
        <w:tc>
          <w:tcPr>
            <w:tcW w:w="1724" w:type="dxa"/>
          </w:tcPr>
          <w:p w:rsidR="00723B7E" w:rsidRPr="00723B7E" w:rsidRDefault="00723B7E" w:rsidP="00723B7E">
            <w:pPr>
              <w:spacing w:before="35"/>
              <w:ind w:right="167"/>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102'957</w:t>
            </w:r>
            <w:r w:rsidRPr="00723B7E">
              <w:rPr>
                <w:rFonts w:asciiTheme="minorHAnsi" w:eastAsia="Arial" w:hAnsiTheme="minorHAnsi" w:cstheme="minorHAnsi"/>
                <w:spacing w:val="68"/>
                <w:w w:val="150"/>
                <w:sz w:val="18"/>
                <w:szCs w:val="18"/>
                <w:lang w:val="it-IT"/>
              </w:rPr>
              <w:t xml:space="preserve"> </w:t>
            </w: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2"/>
                <w:sz w:val="18"/>
                <w:szCs w:val="18"/>
                <w:lang w:val="it-IT"/>
              </w:rPr>
              <w:t>14'577</w:t>
            </w:r>
          </w:p>
        </w:tc>
        <w:tc>
          <w:tcPr>
            <w:tcW w:w="647" w:type="dxa"/>
            <w:tcBorders>
              <w:right w:val="single" w:sz="4" w:space="0" w:color="000000"/>
            </w:tcBorders>
          </w:tcPr>
          <w:p w:rsidR="00723B7E" w:rsidRPr="00723B7E" w:rsidRDefault="00723B7E" w:rsidP="00723B7E">
            <w:pPr>
              <w:spacing w:before="35"/>
              <w:ind w:left="141" w:right="48"/>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12.4</w:t>
            </w:r>
          </w:p>
        </w:tc>
        <w:tc>
          <w:tcPr>
            <w:tcW w:w="894" w:type="dxa"/>
            <w:tcBorders>
              <w:left w:val="single" w:sz="4" w:space="0" w:color="000000"/>
            </w:tcBorders>
          </w:tcPr>
          <w:p w:rsidR="00723B7E" w:rsidRPr="00723B7E" w:rsidRDefault="00723B7E" w:rsidP="00723B7E">
            <w:pPr>
              <w:spacing w:before="35"/>
              <w:ind w:right="2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6.2</w:t>
            </w:r>
          </w:p>
        </w:tc>
        <w:tc>
          <w:tcPr>
            <w:tcW w:w="695" w:type="dxa"/>
          </w:tcPr>
          <w:p w:rsidR="00723B7E" w:rsidRPr="00723B7E" w:rsidRDefault="00723B7E" w:rsidP="00723B7E">
            <w:pPr>
              <w:spacing w:before="35"/>
              <w:ind w:right="17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1.2</w:t>
            </w:r>
          </w:p>
        </w:tc>
        <w:tc>
          <w:tcPr>
            <w:tcW w:w="647" w:type="dxa"/>
          </w:tcPr>
          <w:p w:rsidR="00723B7E" w:rsidRPr="00723B7E" w:rsidRDefault="00723B7E" w:rsidP="00723B7E">
            <w:pPr>
              <w:spacing w:before="35"/>
              <w:ind w:left="123" w:right="43"/>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16.8</w:t>
            </w:r>
          </w:p>
        </w:tc>
      </w:tr>
      <w:tr w:rsidR="00723B7E" w:rsidRPr="00723B7E" w:rsidTr="00D57EB5">
        <w:trPr>
          <w:trHeight w:val="282"/>
        </w:trPr>
        <w:tc>
          <w:tcPr>
            <w:tcW w:w="982" w:type="dxa"/>
            <w:tcBorders>
              <w:bottom w:val="single" w:sz="4" w:space="0" w:color="000000"/>
              <w:right w:val="single" w:sz="4" w:space="0" w:color="000000"/>
            </w:tcBorders>
            <w:shd w:val="clear" w:color="auto" w:fill="DDEBF7"/>
          </w:tcPr>
          <w:p w:rsidR="00723B7E" w:rsidRPr="00723B7E" w:rsidRDefault="00723B7E" w:rsidP="00723B7E">
            <w:pPr>
              <w:spacing w:before="37"/>
              <w:ind w:left="69"/>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80+</w:t>
            </w:r>
          </w:p>
        </w:tc>
        <w:tc>
          <w:tcPr>
            <w:tcW w:w="1541" w:type="dxa"/>
            <w:tcBorders>
              <w:left w:val="single" w:sz="4" w:space="0" w:color="000000"/>
              <w:bottom w:val="single" w:sz="4" w:space="0" w:color="000000"/>
            </w:tcBorders>
            <w:shd w:val="clear" w:color="auto" w:fill="DDEBF7"/>
          </w:tcPr>
          <w:p w:rsidR="00723B7E" w:rsidRPr="00723B7E" w:rsidRDefault="00723B7E" w:rsidP="00723B7E">
            <w:pPr>
              <w:tabs>
                <w:tab w:val="left" w:pos="741"/>
              </w:tabs>
              <w:spacing w:before="37"/>
              <w:ind w:right="12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13'198</w:t>
            </w:r>
            <w:r w:rsidRPr="00723B7E">
              <w:rPr>
                <w:rFonts w:asciiTheme="minorHAnsi" w:eastAsia="Arial" w:hAnsiTheme="minorHAnsi" w:cstheme="minorHAnsi"/>
                <w:sz w:val="18"/>
                <w:szCs w:val="18"/>
                <w:lang w:val="it-IT"/>
              </w:rPr>
              <w:tab/>
            </w:r>
            <w:r w:rsidRPr="00723B7E">
              <w:rPr>
                <w:rFonts w:asciiTheme="minorHAnsi" w:eastAsia="Arial" w:hAnsiTheme="minorHAnsi" w:cstheme="minorHAnsi"/>
                <w:spacing w:val="-2"/>
                <w:sz w:val="18"/>
                <w:szCs w:val="18"/>
                <w:lang w:val="it-IT"/>
              </w:rPr>
              <w:t>18'236</w:t>
            </w:r>
          </w:p>
        </w:tc>
        <w:tc>
          <w:tcPr>
            <w:tcW w:w="788" w:type="dxa"/>
            <w:tcBorders>
              <w:bottom w:val="single" w:sz="4" w:space="0" w:color="000000"/>
            </w:tcBorders>
            <w:shd w:val="clear" w:color="auto" w:fill="DDEBF7"/>
          </w:tcPr>
          <w:p w:rsidR="00723B7E" w:rsidRPr="00723B7E" w:rsidRDefault="00723B7E" w:rsidP="00723B7E">
            <w:pPr>
              <w:spacing w:before="37"/>
              <w:ind w:right="164"/>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5'038</w:t>
            </w:r>
          </w:p>
        </w:tc>
        <w:tc>
          <w:tcPr>
            <w:tcW w:w="647" w:type="dxa"/>
            <w:tcBorders>
              <w:bottom w:val="single" w:sz="4" w:space="0" w:color="000000"/>
              <w:right w:val="single" w:sz="4" w:space="0" w:color="000000"/>
            </w:tcBorders>
            <w:shd w:val="clear" w:color="auto" w:fill="DDEBF7"/>
          </w:tcPr>
          <w:p w:rsidR="00723B7E" w:rsidRPr="00723B7E" w:rsidRDefault="00723B7E" w:rsidP="00723B7E">
            <w:pPr>
              <w:spacing w:before="37"/>
              <w:ind w:left="199" w:right="41"/>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38.2</w:t>
            </w:r>
          </w:p>
        </w:tc>
        <w:tc>
          <w:tcPr>
            <w:tcW w:w="1083" w:type="dxa"/>
            <w:tcBorders>
              <w:left w:val="single" w:sz="4" w:space="0" w:color="000000"/>
              <w:bottom w:val="single" w:sz="4" w:space="0" w:color="000000"/>
            </w:tcBorders>
            <w:shd w:val="clear" w:color="auto" w:fill="DDEBF7"/>
          </w:tcPr>
          <w:p w:rsidR="00723B7E" w:rsidRPr="00723B7E" w:rsidRDefault="00723B7E" w:rsidP="00723B7E">
            <w:pPr>
              <w:spacing w:before="37"/>
              <w:ind w:right="169"/>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125'076</w:t>
            </w:r>
          </w:p>
        </w:tc>
        <w:tc>
          <w:tcPr>
            <w:tcW w:w="1724" w:type="dxa"/>
            <w:tcBorders>
              <w:bottom w:val="single" w:sz="4" w:space="0" w:color="000000"/>
            </w:tcBorders>
            <w:shd w:val="clear" w:color="auto" w:fill="DDEBF7"/>
          </w:tcPr>
          <w:p w:rsidR="00723B7E" w:rsidRPr="00723B7E" w:rsidRDefault="00723B7E" w:rsidP="00723B7E">
            <w:pPr>
              <w:tabs>
                <w:tab w:val="left" w:pos="844"/>
              </w:tabs>
              <w:spacing w:before="37"/>
              <w:ind w:right="167"/>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142'304</w:t>
            </w:r>
            <w:r w:rsidRPr="00723B7E">
              <w:rPr>
                <w:rFonts w:asciiTheme="minorHAnsi" w:eastAsia="Arial" w:hAnsiTheme="minorHAnsi" w:cstheme="minorHAnsi"/>
                <w:sz w:val="18"/>
                <w:szCs w:val="18"/>
                <w:lang w:val="it-IT"/>
              </w:rPr>
              <w:tab/>
            </w:r>
            <w:r w:rsidRPr="00723B7E">
              <w:rPr>
                <w:rFonts w:asciiTheme="minorHAnsi" w:eastAsia="Arial" w:hAnsiTheme="minorHAnsi" w:cstheme="minorHAnsi"/>
                <w:spacing w:val="-2"/>
                <w:sz w:val="18"/>
                <w:szCs w:val="18"/>
                <w:lang w:val="it-IT"/>
              </w:rPr>
              <w:t>17'228</w:t>
            </w:r>
          </w:p>
        </w:tc>
        <w:tc>
          <w:tcPr>
            <w:tcW w:w="647" w:type="dxa"/>
            <w:tcBorders>
              <w:bottom w:val="single" w:sz="4" w:space="0" w:color="000000"/>
              <w:right w:val="single" w:sz="4" w:space="0" w:color="000000"/>
            </w:tcBorders>
            <w:shd w:val="clear" w:color="auto" w:fill="DDEBF7"/>
          </w:tcPr>
          <w:p w:rsidR="00723B7E" w:rsidRPr="00723B7E" w:rsidRDefault="00723B7E" w:rsidP="00723B7E">
            <w:pPr>
              <w:spacing w:before="37"/>
              <w:ind w:left="199" w:right="46"/>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13.8</w:t>
            </w:r>
          </w:p>
        </w:tc>
        <w:tc>
          <w:tcPr>
            <w:tcW w:w="894" w:type="dxa"/>
            <w:tcBorders>
              <w:left w:val="single" w:sz="4" w:space="0" w:color="000000"/>
              <w:bottom w:val="single" w:sz="4" w:space="0" w:color="000000"/>
            </w:tcBorders>
          </w:tcPr>
          <w:p w:rsidR="00723B7E" w:rsidRPr="00723B7E" w:rsidRDefault="00723B7E" w:rsidP="00723B7E">
            <w:pPr>
              <w:spacing w:before="37"/>
              <w:ind w:right="2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7.8</w:t>
            </w:r>
          </w:p>
        </w:tc>
        <w:tc>
          <w:tcPr>
            <w:tcW w:w="695" w:type="dxa"/>
            <w:tcBorders>
              <w:bottom w:val="single" w:sz="4" w:space="0" w:color="000000"/>
            </w:tcBorders>
          </w:tcPr>
          <w:p w:rsidR="00723B7E" w:rsidRPr="00723B7E" w:rsidRDefault="00723B7E" w:rsidP="00723B7E">
            <w:pPr>
              <w:spacing w:before="37"/>
              <w:ind w:right="17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1.7</w:t>
            </w:r>
          </w:p>
        </w:tc>
        <w:tc>
          <w:tcPr>
            <w:tcW w:w="647" w:type="dxa"/>
            <w:tcBorders>
              <w:bottom w:val="single" w:sz="4" w:space="0" w:color="000000"/>
            </w:tcBorders>
          </w:tcPr>
          <w:p w:rsidR="00723B7E" w:rsidRPr="00723B7E" w:rsidRDefault="00723B7E" w:rsidP="00723B7E">
            <w:pPr>
              <w:spacing w:before="37"/>
              <w:ind w:left="123" w:right="44"/>
              <w:jc w:val="both"/>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17.7</w:t>
            </w:r>
          </w:p>
        </w:tc>
      </w:tr>
      <w:tr w:rsidR="00723B7E" w:rsidRPr="00723B7E" w:rsidTr="00D57EB5">
        <w:trPr>
          <w:trHeight w:val="443"/>
        </w:trPr>
        <w:tc>
          <w:tcPr>
            <w:tcW w:w="982" w:type="dxa"/>
            <w:tcBorders>
              <w:top w:val="single" w:sz="4" w:space="0" w:color="000000"/>
              <w:bottom w:val="single" w:sz="4" w:space="0" w:color="000000"/>
            </w:tcBorders>
            <w:shd w:val="clear" w:color="auto" w:fill="94B3D6"/>
          </w:tcPr>
          <w:p w:rsidR="00723B7E" w:rsidRPr="00723B7E" w:rsidRDefault="00723B7E" w:rsidP="00723B7E">
            <w:pPr>
              <w:spacing w:before="114"/>
              <w:ind w:left="69"/>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Totale</w:t>
            </w:r>
          </w:p>
        </w:tc>
        <w:tc>
          <w:tcPr>
            <w:tcW w:w="1541" w:type="dxa"/>
            <w:tcBorders>
              <w:top w:val="single" w:sz="4" w:space="0" w:color="000000"/>
              <w:bottom w:val="single" w:sz="4" w:space="0" w:color="000000"/>
            </w:tcBorders>
            <w:shd w:val="clear" w:color="auto" w:fill="94B3D6"/>
          </w:tcPr>
          <w:p w:rsidR="00723B7E" w:rsidRPr="00723B7E" w:rsidRDefault="00723B7E" w:rsidP="00723B7E">
            <w:pPr>
              <w:spacing w:before="114"/>
              <w:ind w:right="123"/>
              <w:jc w:val="center"/>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57'095</w:t>
            </w:r>
            <w:r w:rsidRPr="00723B7E">
              <w:rPr>
                <w:rFonts w:asciiTheme="minorHAnsi" w:eastAsia="Arial" w:hAnsiTheme="minorHAnsi" w:cstheme="minorHAnsi"/>
                <w:b/>
                <w:spacing w:val="47"/>
                <w:sz w:val="18"/>
                <w:szCs w:val="18"/>
                <w:lang w:val="it-IT"/>
              </w:rPr>
              <w:t xml:space="preserve">  </w:t>
            </w:r>
            <w:r w:rsidRPr="00723B7E">
              <w:rPr>
                <w:rFonts w:asciiTheme="minorHAnsi" w:eastAsia="Arial" w:hAnsiTheme="minorHAnsi" w:cstheme="minorHAnsi"/>
                <w:b/>
                <w:spacing w:val="-2"/>
                <w:sz w:val="18"/>
                <w:szCs w:val="18"/>
                <w:lang w:val="it-IT"/>
              </w:rPr>
              <w:t>59'848</w:t>
            </w:r>
          </w:p>
        </w:tc>
        <w:tc>
          <w:tcPr>
            <w:tcW w:w="788" w:type="dxa"/>
            <w:tcBorders>
              <w:top w:val="single" w:sz="4" w:space="0" w:color="000000"/>
              <w:bottom w:val="single" w:sz="4" w:space="0" w:color="000000"/>
            </w:tcBorders>
            <w:shd w:val="clear" w:color="auto" w:fill="94B3D6"/>
          </w:tcPr>
          <w:p w:rsidR="00723B7E" w:rsidRPr="00723B7E" w:rsidRDefault="00723B7E" w:rsidP="00723B7E">
            <w:pPr>
              <w:spacing w:before="114"/>
              <w:ind w:right="164"/>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2'753</w:t>
            </w:r>
          </w:p>
        </w:tc>
        <w:tc>
          <w:tcPr>
            <w:tcW w:w="647" w:type="dxa"/>
            <w:tcBorders>
              <w:top w:val="single" w:sz="4" w:space="0" w:color="000000"/>
              <w:bottom w:val="single" w:sz="4" w:space="0" w:color="000000"/>
            </w:tcBorders>
            <w:shd w:val="clear" w:color="auto" w:fill="94B3D6"/>
          </w:tcPr>
          <w:p w:rsidR="00723B7E" w:rsidRPr="00723B7E" w:rsidRDefault="00723B7E" w:rsidP="00723B7E">
            <w:pPr>
              <w:spacing w:before="114"/>
              <w:ind w:left="188" w:right="35"/>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16.8</w:t>
            </w:r>
          </w:p>
        </w:tc>
        <w:tc>
          <w:tcPr>
            <w:tcW w:w="1083" w:type="dxa"/>
            <w:tcBorders>
              <w:top w:val="single" w:sz="4" w:space="0" w:color="000000"/>
              <w:bottom w:val="single" w:sz="4" w:space="0" w:color="000000"/>
            </w:tcBorders>
            <w:shd w:val="clear" w:color="auto" w:fill="94B3D6"/>
          </w:tcPr>
          <w:p w:rsidR="00723B7E" w:rsidRPr="00723B7E" w:rsidRDefault="00723B7E" w:rsidP="00723B7E">
            <w:pPr>
              <w:spacing w:before="114"/>
              <w:ind w:right="169"/>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364'814</w:t>
            </w:r>
          </w:p>
        </w:tc>
        <w:tc>
          <w:tcPr>
            <w:tcW w:w="1724" w:type="dxa"/>
            <w:tcBorders>
              <w:top w:val="single" w:sz="4" w:space="0" w:color="000000"/>
              <w:bottom w:val="single" w:sz="4" w:space="0" w:color="000000"/>
            </w:tcBorders>
            <w:shd w:val="clear" w:color="auto" w:fill="94B3D6"/>
          </w:tcPr>
          <w:p w:rsidR="00723B7E" w:rsidRPr="00723B7E" w:rsidRDefault="00723B7E" w:rsidP="00723B7E">
            <w:pPr>
              <w:spacing w:before="114"/>
              <w:ind w:right="168"/>
              <w:jc w:val="center"/>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340'172</w:t>
            </w:r>
            <w:r w:rsidRPr="00723B7E">
              <w:rPr>
                <w:rFonts w:asciiTheme="minorHAnsi" w:eastAsia="Arial" w:hAnsiTheme="minorHAnsi" w:cstheme="minorHAnsi"/>
                <w:b/>
                <w:spacing w:val="60"/>
                <w:w w:val="150"/>
                <w:sz w:val="18"/>
                <w:szCs w:val="18"/>
                <w:lang w:val="it-IT"/>
              </w:rPr>
              <w:t xml:space="preserve"> </w:t>
            </w: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2"/>
                <w:sz w:val="18"/>
                <w:szCs w:val="18"/>
                <w:lang w:val="it-IT"/>
              </w:rPr>
              <w:t>24'642</w:t>
            </w:r>
          </w:p>
        </w:tc>
        <w:tc>
          <w:tcPr>
            <w:tcW w:w="647" w:type="dxa"/>
            <w:tcBorders>
              <w:top w:val="single" w:sz="4" w:space="0" w:color="000000"/>
              <w:bottom w:val="single" w:sz="4" w:space="0" w:color="000000"/>
            </w:tcBorders>
            <w:shd w:val="clear" w:color="auto" w:fill="94B3D6"/>
          </w:tcPr>
          <w:p w:rsidR="00723B7E" w:rsidRPr="00723B7E" w:rsidRDefault="00723B7E" w:rsidP="00723B7E">
            <w:pPr>
              <w:spacing w:before="114"/>
              <w:ind w:left="188"/>
              <w:jc w:val="both"/>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5"/>
                <w:sz w:val="18"/>
                <w:szCs w:val="18"/>
                <w:lang w:val="it-IT"/>
              </w:rPr>
              <w:t>6.8</w:t>
            </w:r>
          </w:p>
        </w:tc>
        <w:tc>
          <w:tcPr>
            <w:tcW w:w="894" w:type="dxa"/>
            <w:tcBorders>
              <w:top w:val="single" w:sz="4" w:space="0" w:color="000000"/>
              <w:bottom w:val="single" w:sz="4" w:space="0" w:color="000000"/>
            </w:tcBorders>
            <w:shd w:val="clear" w:color="auto" w:fill="94B3D6"/>
          </w:tcPr>
          <w:p w:rsidR="00723B7E" w:rsidRPr="00723B7E" w:rsidRDefault="00723B7E" w:rsidP="00723B7E">
            <w:pPr>
              <w:spacing w:before="114"/>
              <w:ind w:right="221"/>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5.7</w:t>
            </w:r>
          </w:p>
        </w:tc>
        <w:tc>
          <w:tcPr>
            <w:tcW w:w="695" w:type="dxa"/>
            <w:tcBorders>
              <w:top w:val="single" w:sz="4" w:space="0" w:color="000000"/>
              <w:bottom w:val="single" w:sz="4" w:space="0" w:color="000000"/>
            </w:tcBorders>
            <w:shd w:val="clear" w:color="auto" w:fill="94B3D6"/>
          </w:tcPr>
          <w:p w:rsidR="00723B7E" w:rsidRPr="00723B7E" w:rsidRDefault="00723B7E" w:rsidP="00723B7E">
            <w:pPr>
              <w:spacing w:before="119"/>
              <w:ind w:right="17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0.7</w:t>
            </w:r>
          </w:p>
        </w:tc>
        <w:tc>
          <w:tcPr>
            <w:tcW w:w="647" w:type="dxa"/>
            <w:tcBorders>
              <w:top w:val="single" w:sz="4" w:space="0" w:color="000000"/>
              <w:bottom w:val="single" w:sz="4" w:space="0" w:color="000000"/>
            </w:tcBorders>
            <w:shd w:val="clear" w:color="auto" w:fill="94B3D6"/>
          </w:tcPr>
          <w:p w:rsidR="00723B7E" w:rsidRPr="00723B7E" w:rsidRDefault="00723B7E" w:rsidP="00723B7E">
            <w:pPr>
              <w:spacing w:before="114"/>
              <w:ind w:left="123" w:right="44"/>
              <w:jc w:val="both"/>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4"/>
                <w:sz w:val="18"/>
                <w:szCs w:val="18"/>
                <w:lang w:val="it-IT"/>
              </w:rPr>
              <w:t>11.0</w:t>
            </w:r>
          </w:p>
        </w:tc>
      </w:tr>
    </w:tbl>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Pr="00723B7E" w:rsidRDefault="00723B7E" w:rsidP="00723B7E">
      <w:pPr>
        <w:pStyle w:val="Titolo3"/>
        <w:numPr>
          <w:ilvl w:val="0"/>
          <w:numId w:val="0"/>
        </w:numPr>
        <w:ind w:left="726" w:hanging="726"/>
        <w:rPr>
          <w:rStyle w:val="Titolo3Carattere"/>
          <w:b/>
        </w:rPr>
      </w:pPr>
      <w:bookmarkStart w:id="44" w:name="_Toc179882502"/>
      <w:r w:rsidRPr="00723B7E">
        <w:t>9.1.2</w:t>
      </w:r>
      <w:r w:rsidR="001F439F" w:rsidRPr="00723B7E">
        <w:rPr>
          <w:rStyle w:val="Titolo3Carattere"/>
          <w:b/>
        </w:rPr>
        <w:tab/>
        <w:t>Settore psichiatria</w:t>
      </w:r>
      <w:bookmarkEnd w:id="44"/>
    </w:p>
    <w:p w:rsidR="001F439F" w:rsidRDefault="001F439F" w:rsidP="001F439F">
      <w:pPr>
        <w:pStyle w:val="StandardRisoluzionedelConsigliodiStato"/>
        <w:ind w:right="-1"/>
      </w:pPr>
    </w:p>
    <w:tbl>
      <w:tblPr>
        <w:tblStyle w:val="TableNormal5"/>
        <w:tblW w:w="0" w:type="auto"/>
        <w:tblInd w:w="187" w:type="dxa"/>
        <w:tblLayout w:type="fixed"/>
        <w:tblLook w:val="01E0" w:firstRow="1" w:lastRow="1" w:firstColumn="1" w:lastColumn="1" w:noHBand="0" w:noVBand="0"/>
      </w:tblPr>
      <w:tblGrid>
        <w:gridCol w:w="898"/>
        <w:gridCol w:w="933"/>
        <w:gridCol w:w="766"/>
        <w:gridCol w:w="629"/>
        <w:gridCol w:w="714"/>
        <w:gridCol w:w="616"/>
        <w:gridCol w:w="627"/>
        <w:gridCol w:w="567"/>
        <w:gridCol w:w="667"/>
        <w:gridCol w:w="830"/>
        <w:gridCol w:w="786"/>
        <w:gridCol w:w="846"/>
        <w:gridCol w:w="768"/>
      </w:tblGrid>
      <w:tr w:rsidR="00723B7E" w:rsidRPr="00723B7E" w:rsidTr="00D57EB5">
        <w:trPr>
          <w:trHeight w:val="445"/>
        </w:trPr>
        <w:tc>
          <w:tcPr>
            <w:tcW w:w="898" w:type="dxa"/>
            <w:vMerge w:val="restart"/>
            <w:tcBorders>
              <w:top w:val="single" w:sz="4" w:space="0" w:color="000000"/>
              <w:bottom w:val="single" w:sz="4" w:space="0" w:color="000000"/>
              <w:right w:val="single" w:sz="4" w:space="0" w:color="000000"/>
            </w:tcBorders>
            <w:shd w:val="clear" w:color="auto" w:fill="94B3D6"/>
          </w:tcPr>
          <w:p w:rsidR="00723B7E" w:rsidRPr="00723B7E" w:rsidRDefault="00723B7E" w:rsidP="00723B7E">
            <w:pPr>
              <w:rPr>
                <w:rFonts w:asciiTheme="minorHAnsi" w:eastAsia="Arial" w:hAnsiTheme="minorHAnsi" w:cstheme="minorHAnsi"/>
                <w:b/>
                <w:sz w:val="18"/>
                <w:szCs w:val="18"/>
                <w:lang w:val="it-IT"/>
              </w:rPr>
            </w:pPr>
          </w:p>
          <w:p w:rsidR="00723B7E" w:rsidRPr="00723B7E" w:rsidRDefault="00723B7E" w:rsidP="00723B7E">
            <w:pPr>
              <w:spacing w:before="153"/>
              <w:rPr>
                <w:rFonts w:asciiTheme="minorHAnsi" w:eastAsia="Arial" w:hAnsiTheme="minorHAnsi" w:cstheme="minorHAnsi"/>
                <w:b/>
                <w:sz w:val="18"/>
                <w:szCs w:val="18"/>
                <w:lang w:val="it-IT"/>
              </w:rPr>
            </w:pPr>
          </w:p>
          <w:p w:rsidR="00723B7E" w:rsidRPr="00723B7E" w:rsidRDefault="00723B7E" w:rsidP="00723B7E">
            <w:pPr>
              <w:ind w:left="69"/>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ETÀ</w:t>
            </w:r>
          </w:p>
        </w:tc>
        <w:tc>
          <w:tcPr>
            <w:tcW w:w="3042" w:type="dxa"/>
            <w:gridSpan w:val="4"/>
            <w:tcBorders>
              <w:top w:val="single" w:sz="4" w:space="0" w:color="000000"/>
              <w:left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right="7"/>
              <w:jc w:val="right"/>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CASI</w:t>
            </w:r>
          </w:p>
        </w:tc>
        <w:tc>
          <w:tcPr>
            <w:tcW w:w="2477" w:type="dxa"/>
            <w:gridSpan w:val="4"/>
            <w:tcBorders>
              <w:top w:val="single" w:sz="4" w:space="0" w:color="000000"/>
              <w:left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right="3"/>
              <w:jc w:val="right"/>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DMD</w:t>
            </w:r>
          </w:p>
        </w:tc>
        <w:tc>
          <w:tcPr>
            <w:tcW w:w="3230" w:type="dxa"/>
            <w:gridSpan w:val="4"/>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right="20"/>
              <w:jc w:val="right"/>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GC</w:t>
            </w:r>
          </w:p>
        </w:tc>
      </w:tr>
      <w:tr w:rsidR="00723B7E" w:rsidRPr="00723B7E" w:rsidTr="00D57EB5">
        <w:trPr>
          <w:trHeight w:val="443"/>
        </w:trPr>
        <w:tc>
          <w:tcPr>
            <w:tcW w:w="898" w:type="dxa"/>
            <w:vMerge/>
            <w:tcBorders>
              <w:top w:val="nil"/>
              <w:bottom w:val="single" w:sz="4" w:space="0" w:color="000000"/>
              <w:right w:val="single" w:sz="4" w:space="0" w:color="000000"/>
            </w:tcBorders>
            <w:shd w:val="clear" w:color="auto" w:fill="94B3D6"/>
          </w:tcPr>
          <w:p w:rsidR="00723B7E" w:rsidRPr="00723B7E" w:rsidRDefault="00723B7E" w:rsidP="00723B7E">
            <w:pPr>
              <w:rPr>
                <w:rFonts w:asciiTheme="minorHAnsi" w:eastAsia="Arial" w:hAnsiTheme="minorHAnsi" w:cstheme="minorHAnsi"/>
                <w:sz w:val="18"/>
                <w:szCs w:val="18"/>
                <w:lang w:val="it-IT"/>
              </w:rPr>
            </w:pPr>
          </w:p>
        </w:tc>
        <w:tc>
          <w:tcPr>
            <w:tcW w:w="933"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1"/>
              <w:ind w:right="186"/>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2019</w:t>
            </w:r>
          </w:p>
        </w:tc>
        <w:tc>
          <w:tcPr>
            <w:tcW w:w="766" w:type="dxa"/>
            <w:tcBorders>
              <w:top w:val="single" w:sz="4" w:space="0" w:color="000000"/>
              <w:bottom w:val="single" w:sz="4" w:space="0" w:color="000000"/>
            </w:tcBorders>
            <w:shd w:val="clear" w:color="auto" w:fill="94B3D6"/>
          </w:tcPr>
          <w:p w:rsidR="00723B7E" w:rsidRPr="00723B7E" w:rsidRDefault="00723B7E" w:rsidP="00723B7E">
            <w:pPr>
              <w:spacing w:before="111"/>
              <w:ind w:right="132"/>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2032</w:t>
            </w:r>
          </w:p>
        </w:tc>
        <w:tc>
          <w:tcPr>
            <w:tcW w:w="629" w:type="dxa"/>
            <w:tcBorders>
              <w:top w:val="single" w:sz="4" w:space="0" w:color="000000"/>
              <w:bottom w:val="single" w:sz="4" w:space="0" w:color="000000"/>
            </w:tcBorders>
            <w:shd w:val="clear" w:color="auto" w:fill="94B3D6"/>
          </w:tcPr>
          <w:p w:rsidR="00723B7E" w:rsidRPr="00723B7E" w:rsidRDefault="00723B7E" w:rsidP="00723B7E">
            <w:pPr>
              <w:spacing w:before="111"/>
              <w:ind w:right="135"/>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10"/>
                <w:sz w:val="18"/>
                <w:szCs w:val="18"/>
                <w:lang w:val="it-IT"/>
              </w:rPr>
              <w:t>∆</w:t>
            </w:r>
          </w:p>
        </w:tc>
        <w:tc>
          <w:tcPr>
            <w:tcW w:w="714"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1"/>
              <w:ind w:right="59"/>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w:t>
            </w:r>
          </w:p>
        </w:tc>
        <w:tc>
          <w:tcPr>
            <w:tcW w:w="616"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1"/>
              <w:ind w:left="68" w:right="49"/>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2019</w:t>
            </w:r>
          </w:p>
        </w:tc>
        <w:tc>
          <w:tcPr>
            <w:tcW w:w="627" w:type="dxa"/>
            <w:tcBorders>
              <w:top w:val="single" w:sz="4" w:space="0" w:color="000000"/>
              <w:bottom w:val="single" w:sz="4" w:space="0" w:color="000000"/>
            </w:tcBorders>
            <w:shd w:val="clear" w:color="auto" w:fill="94B3D6"/>
          </w:tcPr>
          <w:p w:rsidR="00723B7E" w:rsidRPr="00723B7E" w:rsidRDefault="00723B7E" w:rsidP="00723B7E">
            <w:pPr>
              <w:spacing w:before="111"/>
              <w:ind w:left="6" w:right="48"/>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2032</w:t>
            </w:r>
          </w:p>
        </w:tc>
        <w:tc>
          <w:tcPr>
            <w:tcW w:w="567" w:type="dxa"/>
            <w:tcBorders>
              <w:top w:val="single" w:sz="4" w:space="0" w:color="000000"/>
              <w:bottom w:val="single" w:sz="4" w:space="0" w:color="000000"/>
            </w:tcBorders>
            <w:shd w:val="clear" w:color="auto" w:fill="94B3D6"/>
          </w:tcPr>
          <w:p w:rsidR="00723B7E" w:rsidRPr="00723B7E" w:rsidRDefault="00723B7E" w:rsidP="00723B7E">
            <w:pPr>
              <w:spacing w:before="111"/>
              <w:ind w:right="187"/>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10"/>
                <w:sz w:val="18"/>
                <w:szCs w:val="18"/>
                <w:lang w:val="it-IT"/>
              </w:rPr>
              <w:t>∆</w:t>
            </w:r>
          </w:p>
        </w:tc>
        <w:tc>
          <w:tcPr>
            <w:tcW w:w="667"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1"/>
              <w:ind w:right="64"/>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w:t>
            </w:r>
          </w:p>
        </w:tc>
        <w:tc>
          <w:tcPr>
            <w:tcW w:w="830"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1"/>
              <w:ind w:right="121"/>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2019</w:t>
            </w:r>
          </w:p>
        </w:tc>
        <w:tc>
          <w:tcPr>
            <w:tcW w:w="786" w:type="dxa"/>
            <w:tcBorders>
              <w:top w:val="single" w:sz="4" w:space="0" w:color="000000"/>
              <w:bottom w:val="single" w:sz="4" w:space="0" w:color="000000"/>
            </w:tcBorders>
            <w:shd w:val="clear" w:color="auto" w:fill="94B3D6"/>
          </w:tcPr>
          <w:p w:rsidR="00723B7E" w:rsidRPr="00723B7E" w:rsidRDefault="00723B7E" w:rsidP="00723B7E">
            <w:pPr>
              <w:spacing w:before="111"/>
              <w:ind w:right="125"/>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2032</w:t>
            </w:r>
          </w:p>
        </w:tc>
        <w:tc>
          <w:tcPr>
            <w:tcW w:w="846" w:type="dxa"/>
            <w:tcBorders>
              <w:top w:val="single" w:sz="4" w:space="0" w:color="000000"/>
              <w:bottom w:val="single" w:sz="4" w:space="0" w:color="000000"/>
            </w:tcBorders>
            <w:shd w:val="clear" w:color="auto" w:fill="94B3D6"/>
          </w:tcPr>
          <w:p w:rsidR="00723B7E" w:rsidRPr="00723B7E" w:rsidRDefault="00723B7E" w:rsidP="00723B7E">
            <w:pPr>
              <w:spacing w:before="111"/>
              <w:ind w:right="194"/>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10"/>
                <w:sz w:val="18"/>
                <w:szCs w:val="18"/>
                <w:lang w:val="it-IT"/>
              </w:rPr>
              <w:t>∆</w:t>
            </w:r>
          </w:p>
        </w:tc>
        <w:tc>
          <w:tcPr>
            <w:tcW w:w="768" w:type="dxa"/>
            <w:tcBorders>
              <w:top w:val="single" w:sz="4" w:space="0" w:color="000000"/>
              <w:bottom w:val="single" w:sz="4" w:space="0" w:color="000000"/>
            </w:tcBorders>
            <w:shd w:val="clear" w:color="auto" w:fill="94B3D6"/>
          </w:tcPr>
          <w:p w:rsidR="00723B7E" w:rsidRPr="00723B7E" w:rsidRDefault="00723B7E" w:rsidP="00723B7E">
            <w:pPr>
              <w:spacing w:before="111"/>
              <w:ind w:right="71"/>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w:t>
            </w:r>
          </w:p>
        </w:tc>
      </w:tr>
      <w:tr w:rsidR="00723B7E" w:rsidRPr="00723B7E" w:rsidTr="00D57EB5">
        <w:trPr>
          <w:trHeight w:val="314"/>
        </w:trPr>
        <w:tc>
          <w:tcPr>
            <w:tcW w:w="898" w:type="dxa"/>
            <w:tcBorders>
              <w:top w:val="single" w:sz="4" w:space="0" w:color="000000"/>
              <w:right w:val="single" w:sz="4" w:space="0" w:color="000000"/>
            </w:tcBorders>
          </w:tcPr>
          <w:p w:rsidR="00723B7E" w:rsidRPr="00723B7E" w:rsidRDefault="00723B7E" w:rsidP="00723B7E">
            <w:pPr>
              <w:spacing w:before="66"/>
              <w:ind w:left="69"/>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0­</w:t>
            </w:r>
            <w:r w:rsidRPr="00723B7E">
              <w:rPr>
                <w:rFonts w:asciiTheme="minorHAnsi" w:eastAsia="Arial" w:hAnsiTheme="minorHAnsi" w:cstheme="minorHAnsi"/>
                <w:spacing w:val="-5"/>
                <w:sz w:val="18"/>
                <w:szCs w:val="18"/>
                <w:lang w:val="it-IT"/>
              </w:rPr>
              <w:t>13</w:t>
            </w:r>
          </w:p>
        </w:tc>
        <w:tc>
          <w:tcPr>
            <w:tcW w:w="933" w:type="dxa"/>
            <w:tcBorders>
              <w:top w:val="single" w:sz="4" w:space="0" w:color="000000"/>
              <w:left w:val="single" w:sz="4" w:space="0" w:color="000000"/>
            </w:tcBorders>
          </w:tcPr>
          <w:p w:rsidR="00723B7E" w:rsidRPr="00723B7E" w:rsidRDefault="00723B7E" w:rsidP="00723B7E">
            <w:pPr>
              <w:spacing w:before="66"/>
              <w:ind w:right="188"/>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10"/>
                <w:sz w:val="18"/>
                <w:szCs w:val="18"/>
                <w:lang w:val="it-IT"/>
              </w:rPr>
              <w:t>2</w:t>
            </w:r>
          </w:p>
        </w:tc>
        <w:tc>
          <w:tcPr>
            <w:tcW w:w="766" w:type="dxa"/>
            <w:tcBorders>
              <w:top w:val="single" w:sz="4" w:space="0" w:color="000000"/>
            </w:tcBorders>
          </w:tcPr>
          <w:p w:rsidR="00723B7E" w:rsidRPr="00723B7E" w:rsidRDefault="00723B7E" w:rsidP="00723B7E">
            <w:pPr>
              <w:spacing w:before="66"/>
              <w:ind w:right="13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10"/>
                <w:sz w:val="18"/>
                <w:szCs w:val="18"/>
                <w:lang w:val="it-IT"/>
              </w:rPr>
              <w:t>2</w:t>
            </w:r>
          </w:p>
        </w:tc>
        <w:tc>
          <w:tcPr>
            <w:tcW w:w="629" w:type="dxa"/>
            <w:tcBorders>
              <w:top w:val="single" w:sz="4" w:space="0" w:color="000000"/>
            </w:tcBorders>
          </w:tcPr>
          <w:p w:rsidR="00723B7E" w:rsidRPr="00723B7E" w:rsidRDefault="00723B7E" w:rsidP="00723B7E">
            <w:pPr>
              <w:spacing w:before="66"/>
              <w:ind w:right="13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10"/>
                <w:sz w:val="18"/>
                <w:szCs w:val="18"/>
                <w:lang w:val="it-IT"/>
              </w:rPr>
              <w:t>0</w:t>
            </w:r>
          </w:p>
        </w:tc>
        <w:tc>
          <w:tcPr>
            <w:tcW w:w="714" w:type="dxa"/>
            <w:tcBorders>
              <w:top w:val="single" w:sz="4" w:space="0" w:color="000000"/>
              <w:right w:val="single" w:sz="4" w:space="0" w:color="000000"/>
            </w:tcBorders>
          </w:tcPr>
          <w:p w:rsidR="00723B7E" w:rsidRPr="00723B7E" w:rsidRDefault="00723B7E" w:rsidP="00723B7E">
            <w:pPr>
              <w:spacing w:before="66"/>
              <w:ind w:right="6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0.0%</w:t>
            </w:r>
          </w:p>
        </w:tc>
        <w:tc>
          <w:tcPr>
            <w:tcW w:w="616" w:type="dxa"/>
            <w:tcBorders>
              <w:top w:val="single" w:sz="4" w:space="0" w:color="000000"/>
              <w:left w:val="single" w:sz="4" w:space="0" w:color="000000"/>
            </w:tcBorders>
          </w:tcPr>
          <w:p w:rsidR="00723B7E" w:rsidRPr="00723B7E" w:rsidRDefault="00723B7E" w:rsidP="00723B7E">
            <w:pPr>
              <w:spacing w:before="66"/>
              <w:ind w:left="68"/>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31.0</w:t>
            </w:r>
          </w:p>
        </w:tc>
        <w:tc>
          <w:tcPr>
            <w:tcW w:w="627" w:type="dxa"/>
            <w:tcBorders>
              <w:top w:val="single" w:sz="4" w:space="0" w:color="000000"/>
            </w:tcBorders>
          </w:tcPr>
          <w:p w:rsidR="00723B7E" w:rsidRPr="00723B7E" w:rsidRDefault="00723B7E" w:rsidP="00723B7E">
            <w:pPr>
              <w:spacing w:before="66"/>
              <w:ind w:left="48" w:right="42"/>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31.2</w:t>
            </w:r>
          </w:p>
        </w:tc>
        <w:tc>
          <w:tcPr>
            <w:tcW w:w="567" w:type="dxa"/>
            <w:tcBorders>
              <w:top w:val="single" w:sz="4" w:space="0" w:color="000000"/>
            </w:tcBorders>
          </w:tcPr>
          <w:p w:rsidR="00723B7E" w:rsidRPr="00723B7E" w:rsidRDefault="00723B7E" w:rsidP="00723B7E">
            <w:pPr>
              <w:spacing w:before="66"/>
              <w:ind w:right="18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0.1</w:t>
            </w:r>
          </w:p>
        </w:tc>
        <w:tc>
          <w:tcPr>
            <w:tcW w:w="667" w:type="dxa"/>
            <w:tcBorders>
              <w:top w:val="single" w:sz="4" w:space="0" w:color="000000"/>
              <w:right w:val="single" w:sz="4" w:space="0" w:color="000000"/>
            </w:tcBorders>
          </w:tcPr>
          <w:p w:rsidR="00723B7E" w:rsidRPr="00723B7E" w:rsidRDefault="00723B7E" w:rsidP="00723B7E">
            <w:pPr>
              <w:spacing w:before="66"/>
              <w:ind w:right="66"/>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0.5%</w:t>
            </w:r>
          </w:p>
        </w:tc>
        <w:tc>
          <w:tcPr>
            <w:tcW w:w="830" w:type="dxa"/>
            <w:tcBorders>
              <w:top w:val="single" w:sz="4" w:space="0" w:color="000000"/>
              <w:left w:val="single" w:sz="4" w:space="0" w:color="000000"/>
            </w:tcBorders>
          </w:tcPr>
          <w:p w:rsidR="00723B7E" w:rsidRPr="00723B7E" w:rsidRDefault="00723B7E" w:rsidP="00723B7E">
            <w:pPr>
              <w:spacing w:before="66"/>
              <w:ind w:right="1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62</w:t>
            </w:r>
          </w:p>
        </w:tc>
        <w:tc>
          <w:tcPr>
            <w:tcW w:w="786" w:type="dxa"/>
            <w:tcBorders>
              <w:top w:val="single" w:sz="4" w:space="0" w:color="000000"/>
            </w:tcBorders>
          </w:tcPr>
          <w:p w:rsidR="00723B7E" w:rsidRPr="00723B7E" w:rsidRDefault="00723B7E" w:rsidP="00723B7E">
            <w:pPr>
              <w:spacing w:before="66"/>
              <w:ind w:right="12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71</w:t>
            </w:r>
          </w:p>
        </w:tc>
        <w:tc>
          <w:tcPr>
            <w:tcW w:w="846" w:type="dxa"/>
            <w:tcBorders>
              <w:top w:val="single" w:sz="4" w:space="0" w:color="000000"/>
            </w:tcBorders>
          </w:tcPr>
          <w:p w:rsidR="00723B7E" w:rsidRPr="00723B7E" w:rsidRDefault="00723B7E" w:rsidP="00723B7E">
            <w:pPr>
              <w:spacing w:before="66"/>
              <w:ind w:right="194"/>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10"/>
                <w:sz w:val="18"/>
                <w:szCs w:val="18"/>
                <w:lang w:val="it-IT"/>
              </w:rPr>
              <w:t>9</w:t>
            </w:r>
          </w:p>
        </w:tc>
        <w:tc>
          <w:tcPr>
            <w:tcW w:w="768" w:type="dxa"/>
            <w:tcBorders>
              <w:top w:val="single" w:sz="4" w:space="0" w:color="000000"/>
            </w:tcBorders>
          </w:tcPr>
          <w:p w:rsidR="00723B7E" w:rsidRPr="00723B7E" w:rsidRDefault="00723B7E" w:rsidP="00723B7E">
            <w:pPr>
              <w:spacing w:before="66"/>
              <w:ind w:right="7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14.5%</w:t>
            </w:r>
          </w:p>
        </w:tc>
      </w:tr>
      <w:tr w:rsidR="00723B7E" w:rsidRPr="00723B7E" w:rsidTr="00D57EB5">
        <w:trPr>
          <w:trHeight w:val="242"/>
        </w:trPr>
        <w:tc>
          <w:tcPr>
            <w:tcW w:w="898" w:type="dxa"/>
            <w:tcBorders>
              <w:right w:val="single" w:sz="4" w:space="0" w:color="000000"/>
            </w:tcBorders>
          </w:tcPr>
          <w:p w:rsidR="00723B7E" w:rsidRPr="00723B7E" w:rsidRDefault="00723B7E" w:rsidP="00723B7E">
            <w:pPr>
              <w:spacing w:before="35" w:line="187" w:lineRule="exact"/>
              <w:ind w:left="69"/>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14­</w:t>
            </w:r>
            <w:r w:rsidRPr="00723B7E">
              <w:rPr>
                <w:rFonts w:asciiTheme="minorHAnsi" w:eastAsia="Arial" w:hAnsiTheme="minorHAnsi" w:cstheme="minorHAnsi"/>
                <w:spacing w:val="-5"/>
                <w:sz w:val="18"/>
                <w:szCs w:val="18"/>
                <w:lang w:val="it-IT"/>
              </w:rPr>
              <w:t>17</w:t>
            </w:r>
          </w:p>
        </w:tc>
        <w:tc>
          <w:tcPr>
            <w:tcW w:w="933" w:type="dxa"/>
            <w:tcBorders>
              <w:left w:val="single" w:sz="4" w:space="0" w:color="000000"/>
            </w:tcBorders>
          </w:tcPr>
          <w:p w:rsidR="00723B7E" w:rsidRPr="00723B7E" w:rsidRDefault="00723B7E" w:rsidP="00723B7E">
            <w:pPr>
              <w:spacing w:before="35" w:line="187" w:lineRule="exact"/>
              <w:ind w:right="186"/>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44</w:t>
            </w:r>
          </w:p>
        </w:tc>
        <w:tc>
          <w:tcPr>
            <w:tcW w:w="766" w:type="dxa"/>
          </w:tcPr>
          <w:p w:rsidR="00723B7E" w:rsidRPr="00723B7E" w:rsidRDefault="00723B7E" w:rsidP="00723B7E">
            <w:pPr>
              <w:spacing w:before="35" w:line="187" w:lineRule="exact"/>
              <w:ind w:right="132"/>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64</w:t>
            </w:r>
          </w:p>
        </w:tc>
        <w:tc>
          <w:tcPr>
            <w:tcW w:w="629" w:type="dxa"/>
          </w:tcPr>
          <w:p w:rsidR="00723B7E" w:rsidRPr="00723B7E" w:rsidRDefault="00723B7E" w:rsidP="00723B7E">
            <w:pPr>
              <w:spacing w:before="35" w:line="187" w:lineRule="exact"/>
              <w:ind w:right="132"/>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20</w:t>
            </w:r>
          </w:p>
        </w:tc>
        <w:tc>
          <w:tcPr>
            <w:tcW w:w="714" w:type="dxa"/>
            <w:tcBorders>
              <w:right w:val="single" w:sz="4" w:space="0" w:color="000000"/>
            </w:tcBorders>
          </w:tcPr>
          <w:p w:rsidR="00723B7E" w:rsidRPr="00723B7E" w:rsidRDefault="00723B7E" w:rsidP="00723B7E">
            <w:pPr>
              <w:spacing w:before="35" w:line="187" w:lineRule="exact"/>
              <w:ind w:right="6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45.5%</w:t>
            </w:r>
          </w:p>
        </w:tc>
        <w:tc>
          <w:tcPr>
            <w:tcW w:w="616" w:type="dxa"/>
            <w:tcBorders>
              <w:left w:val="single" w:sz="4" w:space="0" w:color="000000"/>
            </w:tcBorders>
          </w:tcPr>
          <w:p w:rsidR="00723B7E" w:rsidRPr="00723B7E" w:rsidRDefault="00723B7E" w:rsidP="00723B7E">
            <w:pPr>
              <w:spacing w:before="35" w:line="187" w:lineRule="exact"/>
              <w:ind w:left="68"/>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39.2</w:t>
            </w:r>
          </w:p>
        </w:tc>
        <w:tc>
          <w:tcPr>
            <w:tcW w:w="627" w:type="dxa"/>
          </w:tcPr>
          <w:p w:rsidR="00723B7E" w:rsidRPr="00723B7E" w:rsidRDefault="00723B7E" w:rsidP="00723B7E">
            <w:pPr>
              <w:spacing w:before="35" w:line="187" w:lineRule="exact"/>
              <w:ind w:left="48" w:right="42"/>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39.3</w:t>
            </w:r>
          </w:p>
        </w:tc>
        <w:tc>
          <w:tcPr>
            <w:tcW w:w="567" w:type="dxa"/>
          </w:tcPr>
          <w:p w:rsidR="00723B7E" w:rsidRPr="00723B7E" w:rsidRDefault="00723B7E" w:rsidP="00723B7E">
            <w:pPr>
              <w:spacing w:before="35" w:line="187" w:lineRule="exact"/>
              <w:ind w:right="18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0.1</w:t>
            </w:r>
          </w:p>
        </w:tc>
        <w:tc>
          <w:tcPr>
            <w:tcW w:w="667" w:type="dxa"/>
            <w:tcBorders>
              <w:right w:val="single" w:sz="4" w:space="0" w:color="000000"/>
            </w:tcBorders>
          </w:tcPr>
          <w:p w:rsidR="00723B7E" w:rsidRPr="00723B7E" w:rsidRDefault="00723B7E" w:rsidP="00723B7E">
            <w:pPr>
              <w:spacing w:before="35" w:line="187" w:lineRule="exact"/>
              <w:ind w:right="66"/>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0.3%</w:t>
            </w:r>
          </w:p>
        </w:tc>
        <w:tc>
          <w:tcPr>
            <w:tcW w:w="830" w:type="dxa"/>
            <w:tcBorders>
              <w:left w:val="single" w:sz="4" w:space="0" w:color="000000"/>
            </w:tcBorders>
          </w:tcPr>
          <w:p w:rsidR="00723B7E" w:rsidRPr="00723B7E" w:rsidRDefault="00723B7E" w:rsidP="00723B7E">
            <w:pPr>
              <w:spacing w:before="35" w:line="187" w:lineRule="exact"/>
              <w:ind w:right="1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1'725</w:t>
            </w:r>
          </w:p>
        </w:tc>
        <w:tc>
          <w:tcPr>
            <w:tcW w:w="786" w:type="dxa"/>
          </w:tcPr>
          <w:p w:rsidR="00723B7E" w:rsidRPr="00723B7E" w:rsidRDefault="00723B7E" w:rsidP="00723B7E">
            <w:pPr>
              <w:spacing w:before="35" w:line="187" w:lineRule="exact"/>
              <w:ind w:right="12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2'502</w:t>
            </w:r>
          </w:p>
        </w:tc>
        <w:tc>
          <w:tcPr>
            <w:tcW w:w="846" w:type="dxa"/>
          </w:tcPr>
          <w:p w:rsidR="00723B7E" w:rsidRPr="00723B7E" w:rsidRDefault="00723B7E" w:rsidP="00723B7E">
            <w:pPr>
              <w:spacing w:before="35" w:line="187" w:lineRule="exact"/>
              <w:ind w:right="19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777</w:t>
            </w:r>
          </w:p>
        </w:tc>
        <w:tc>
          <w:tcPr>
            <w:tcW w:w="768" w:type="dxa"/>
          </w:tcPr>
          <w:p w:rsidR="00723B7E" w:rsidRPr="00723B7E" w:rsidRDefault="00723B7E" w:rsidP="00723B7E">
            <w:pPr>
              <w:spacing w:before="35" w:line="187" w:lineRule="exact"/>
              <w:ind w:right="7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45.0%</w:t>
            </w:r>
          </w:p>
        </w:tc>
      </w:tr>
      <w:tr w:rsidR="00723B7E" w:rsidRPr="00723B7E" w:rsidTr="00D57EB5">
        <w:trPr>
          <w:trHeight w:val="325"/>
        </w:trPr>
        <w:tc>
          <w:tcPr>
            <w:tcW w:w="898" w:type="dxa"/>
            <w:tcBorders>
              <w:right w:val="single" w:sz="4" w:space="0" w:color="000000"/>
            </w:tcBorders>
            <w:shd w:val="clear" w:color="auto" w:fill="DDEBF7"/>
          </w:tcPr>
          <w:p w:rsidR="00723B7E" w:rsidRPr="00723B7E" w:rsidRDefault="00723B7E" w:rsidP="00723B7E">
            <w:pPr>
              <w:spacing w:before="76"/>
              <w:ind w:left="69"/>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18­</w:t>
            </w:r>
            <w:r w:rsidRPr="00723B7E">
              <w:rPr>
                <w:rFonts w:asciiTheme="minorHAnsi" w:eastAsia="Arial" w:hAnsiTheme="minorHAnsi" w:cstheme="minorHAnsi"/>
                <w:spacing w:val="-5"/>
                <w:sz w:val="18"/>
                <w:szCs w:val="18"/>
                <w:lang w:val="it-IT"/>
              </w:rPr>
              <w:t>64</w:t>
            </w:r>
          </w:p>
        </w:tc>
        <w:tc>
          <w:tcPr>
            <w:tcW w:w="933" w:type="dxa"/>
            <w:tcBorders>
              <w:left w:val="single" w:sz="4" w:space="0" w:color="000000"/>
            </w:tcBorders>
            <w:shd w:val="clear" w:color="auto" w:fill="DDEBF7"/>
          </w:tcPr>
          <w:p w:rsidR="00723B7E" w:rsidRPr="00723B7E" w:rsidRDefault="00723B7E" w:rsidP="00723B7E">
            <w:pPr>
              <w:spacing w:before="76"/>
              <w:ind w:right="184"/>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2'347</w:t>
            </w:r>
          </w:p>
        </w:tc>
        <w:tc>
          <w:tcPr>
            <w:tcW w:w="766" w:type="dxa"/>
            <w:shd w:val="clear" w:color="auto" w:fill="DDEBF7"/>
          </w:tcPr>
          <w:p w:rsidR="00723B7E" w:rsidRPr="00723B7E" w:rsidRDefault="00723B7E" w:rsidP="00723B7E">
            <w:pPr>
              <w:spacing w:before="76"/>
              <w:ind w:right="132"/>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2'003</w:t>
            </w:r>
          </w:p>
        </w:tc>
        <w:tc>
          <w:tcPr>
            <w:tcW w:w="629" w:type="dxa"/>
            <w:shd w:val="clear" w:color="auto" w:fill="DDEBF7"/>
          </w:tcPr>
          <w:p w:rsidR="00723B7E" w:rsidRPr="00723B7E" w:rsidRDefault="00723B7E" w:rsidP="00723B7E">
            <w:pPr>
              <w:spacing w:before="76"/>
              <w:ind w:right="132"/>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344</w:t>
            </w:r>
          </w:p>
        </w:tc>
        <w:tc>
          <w:tcPr>
            <w:tcW w:w="714" w:type="dxa"/>
            <w:tcBorders>
              <w:right w:val="single" w:sz="4" w:space="0" w:color="000000"/>
            </w:tcBorders>
            <w:shd w:val="clear" w:color="auto" w:fill="DDEBF7"/>
          </w:tcPr>
          <w:p w:rsidR="00723B7E" w:rsidRPr="00723B7E" w:rsidRDefault="00723B7E" w:rsidP="00723B7E">
            <w:pPr>
              <w:spacing w:before="76"/>
              <w:ind w:right="61"/>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2"/>
                <w:sz w:val="18"/>
                <w:szCs w:val="18"/>
                <w:lang w:val="it-IT"/>
              </w:rPr>
              <w:t>14.7%</w:t>
            </w:r>
          </w:p>
        </w:tc>
        <w:tc>
          <w:tcPr>
            <w:tcW w:w="616" w:type="dxa"/>
            <w:tcBorders>
              <w:left w:val="single" w:sz="4" w:space="0" w:color="000000"/>
            </w:tcBorders>
          </w:tcPr>
          <w:p w:rsidR="00723B7E" w:rsidRPr="00723B7E" w:rsidRDefault="00723B7E" w:rsidP="00723B7E">
            <w:pPr>
              <w:spacing w:before="76"/>
              <w:ind w:left="68"/>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30.7</w:t>
            </w:r>
          </w:p>
        </w:tc>
        <w:tc>
          <w:tcPr>
            <w:tcW w:w="627" w:type="dxa"/>
          </w:tcPr>
          <w:p w:rsidR="00723B7E" w:rsidRPr="00723B7E" w:rsidRDefault="00723B7E" w:rsidP="00723B7E">
            <w:pPr>
              <w:spacing w:before="76"/>
              <w:ind w:left="48" w:right="42"/>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30.8</w:t>
            </w:r>
          </w:p>
        </w:tc>
        <w:tc>
          <w:tcPr>
            <w:tcW w:w="567" w:type="dxa"/>
          </w:tcPr>
          <w:p w:rsidR="00723B7E" w:rsidRPr="00723B7E" w:rsidRDefault="00723B7E" w:rsidP="00723B7E">
            <w:pPr>
              <w:spacing w:before="76"/>
              <w:ind w:right="18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0.1</w:t>
            </w:r>
          </w:p>
        </w:tc>
        <w:tc>
          <w:tcPr>
            <w:tcW w:w="667" w:type="dxa"/>
            <w:tcBorders>
              <w:right w:val="single" w:sz="4" w:space="0" w:color="000000"/>
            </w:tcBorders>
          </w:tcPr>
          <w:p w:rsidR="00723B7E" w:rsidRPr="00723B7E" w:rsidRDefault="00723B7E" w:rsidP="00723B7E">
            <w:pPr>
              <w:spacing w:before="76"/>
              <w:ind w:right="66"/>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0.3%</w:t>
            </w:r>
          </w:p>
        </w:tc>
        <w:tc>
          <w:tcPr>
            <w:tcW w:w="830" w:type="dxa"/>
            <w:tcBorders>
              <w:left w:val="single" w:sz="4" w:space="0" w:color="000000"/>
            </w:tcBorders>
            <w:shd w:val="clear" w:color="auto" w:fill="DDEBF7"/>
          </w:tcPr>
          <w:p w:rsidR="00723B7E" w:rsidRPr="00723B7E" w:rsidRDefault="00723B7E" w:rsidP="00723B7E">
            <w:pPr>
              <w:spacing w:before="76"/>
              <w:ind w:right="1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72'015</w:t>
            </w:r>
          </w:p>
        </w:tc>
        <w:tc>
          <w:tcPr>
            <w:tcW w:w="786" w:type="dxa"/>
            <w:shd w:val="clear" w:color="auto" w:fill="DDEBF7"/>
          </w:tcPr>
          <w:p w:rsidR="00723B7E" w:rsidRPr="00723B7E" w:rsidRDefault="00723B7E" w:rsidP="00723B7E">
            <w:pPr>
              <w:spacing w:before="76"/>
              <w:ind w:right="12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61'623</w:t>
            </w:r>
          </w:p>
        </w:tc>
        <w:tc>
          <w:tcPr>
            <w:tcW w:w="846" w:type="dxa"/>
            <w:shd w:val="clear" w:color="auto" w:fill="DDEBF7"/>
          </w:tcPr>
          <w:p w:rsidR="00723B7E" w:rsidRPr="00723B7E" w:rsidRDefault="00723B7E" w:rsidP="00723B7E">
            <w:pPr>
              <w:spacing w:before="76"/>
              <w:ind w:right="191"/>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2"/>
                <w:sz w:val="18"/>
                <w:szCs w:val="18"/>
                <w:lang w:val="it-IT"/>
              </w:rPr>
              <w:t>10'392</w:t>
            </w:r>
          </w:p>
        </w:tc>
        <w:tc>
          <w:tcPr>
            <w:tcW w:w="768" w:type="dxa"/>
            <w:shd w:val="clear" w:color="auto" w:fill="DDEBF7"/>
          </w:tcPr>
          <w:p w:rsidR="00723B7E" w:rsidRPr="00723B7E" w:rsidRDefault="00723B7E" w:rsidP="00723B7E">
            <w:pPr>
              <w:spacing w:before="76"/>
              <w:ind w:right="73"/>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2"/>
                <w:sz w:val="18"/>
                <w:szCs w:val="18"/>
                <w:lang w:val="it-IT"/>
              </w:rPr>
              <w:t>14.4%</w:t>
            </w:r>
          </w:p>
        </w:tc>
      </w:tr>
      <w:tr w:rsidR="00723B7E" w:rsidRPr="00723B7E" w:rsidTr="00D57EB5">
        <w:trPr>
          <w:trHeight w:val="243"/>
        </w:trPr>
        <w:tc>
          <w:tcPr>
            <w:tcW w:w="898" w:type="dxa"/>
            <w:tcBorders>
              <w:bottom w:val="single" w:sz="4" w:space="0" w:color="000000"/>
              <w:right w:val="single" w:sz="4" w:space="0" w:color="000000"/>
            </w:tcBorders>
            <w:shd w:val="clear" w:color="auto" w:fill="DDEBF7"/>
          </w:tcPr>
          <w:p w:rsidR="00723B7E" w:rsidRPr="00723B7E" w:rsidRDefault="00723B7E" w:rsidP="00723B7E">
            <w:pPr>
              <w:spacing w:before="36" w:line="187" w:lineRule="exact"/>
              <w:ind w:left="69"/>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65+</w:t>
            </w:r>
          </w:p>
        </w:tc>
        <w:tc>
          <w:tcPr>
            <w:tcW w:w="933" w:type="dxa"/>
            <w:tcBorders>
              <w:left w:val="single" w:sz="4" w:space="0" w:color="000000"/>
              <w:bottom w:val="single" w:sz="4" w:space="0" w:color="000000"/>
            </w:tcBorders>
            <w:shd w:val="clear" w:color="auto" w:fill="DDEBF7"/>
          </w:tcPr>
          <w:p w:rsidR="00723B7E" w:rsidRPr="00723B7E" w:rsidRDefault="00723B7E" w:rsidP="00723B7E">
            <w:pPr>
              <w:spacing w:before="36" w:line="187" w:lineRule="exact"/>
              <w:ind w:right="186"/>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498</w:t>
            </w:r>
          </w:p>
        </w:tc>
        <w:tc>
          <w:tcPr>
            <w:tcW w:w="766" w:type="dxa"/>
            <w:tcBorders>
              <w:bottom w:val="single" w:sz="4" w:space="0" w:color="000000"/>
            </w:tcBorders>
            <w:shd w:val="clear" w:color="auto" w:fill="DDEBF7"/>
          </w:tcPr>
          <w:p w:rsidR="00723B7E" w:rsidRPr="00723B7E" w:rsidRDefault="00723B7E" w:rsidP="00723B7E">
            <w:pPr>
              <w:spacing w:before="36" w:line="187" w:lineRule="exact"/>
              <w:ind w:right="132"/>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657</w:t>
            </w:r>
          </w:p>
        </w:tc>
        <w:tc>
          <w:tcPr>
            <w:tcW w:w="629" w:type="dxa"/>
            <w:tcBorders>
              <w:bottom w:val="single" w:sz="4" w:space="0" w:color="000000"/>
            </w:tcBorders>
            <w:shd w:val="clear" w:color="auto" w:fill="DDEBF7"/>
          </w:tcPr>
          <w:p w:rsidR="00723B7E" w:rsidRPr="00723B7E" w:rsidRDefault="00723B7E" w:rsidP="00723B7E">
            <w:pPr>
              <w:spacing w:before="36" w:line="187" w:lineRule="exact"/>
              <w:ind w:right="132"/>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5"/>
                <w:sz w:val="18"/>
                <w:szCs w:val="18"/>
                <w:lang w:val="it-IT"/>
              </w:rPr>
              <w:t>159</w:t>
            </w:r>
          </w:p>
        </w:tc>
        <w:tc>
          <w:tcPr>
            <w:tcW w:w="714" w:type="dxa"/>
            <w:tcBorders>
              <w:bottom w:val="single" w:sz="4" w:space="0" w:color="000000"/>
              <w:right w:val="single" w:sz="4" w:space="0" w:color="000000"/>
            </w:tcBorders>
            <w:shd w:val="clear" w:color="auto" w:fill="DDEBF7"/>
          </w:tcPr>
          <w:p w:rsidR="00723B7E" w:rsidRPr="00723B7E" w:rsidRDefault="00723B7E" w:rsidP="00723B7E">
            <w:pPr>
              <w:spacing w:before="36" w:line="187" w:lineRule="exact"/>
              <w:ind w:right="6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31.9%</w:t>
            </w:r>
          </w:p>
        </w:tc>
        <w:tc>
          <w:tcPr>
            <w:tcW w:w="616" w:type="dxa"/>
            <w:tcBorders>
              <w:left w:val="single" w:sz="4" w:space="0" w:color="000000"/>
              <w:bottom w:val="single" w:sz="4" w:space="0" w:color="000000"/>
            </w:tcBorders>
          </w:tcPr>
          <w:p w:rsidR="00723B7E" w:rsidRPr="00723B7E" w:rsidRDefault="00723B7E" w:rsidP="00723B7E">
            <w:pPr>
              <w:spacing w:before="36" w:line="187" w:lineRule="exact"/>
              <w:ind w:left="68"/>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37.4</w:t>
            </w:r>
          </w:p>
        </w:tc>
        <w:tc>
          <w:tcPr>
            <w:tcW w:w="627" w:type="dxa"/>
            <w:tcBorders>
              <w:bottom w:val="single" w:sz="4" w:space="0" w:color="000000"/>
            </w:tcBorders>
          </w:tcPr>
          <w:p w:rsidR="00723B7E" w:rsidRPr="00723B7E" w:rsidRDefault="00723B7E" w:rsidP="00723B7E">
            <w:pPr>
              <w:spacing w:before="36" w:line="187" w:lineRule="exact"/>
              <w:ind w:left="48" w:right="42"/>
              <w:jc w:val="both"/>
              <w:rPr>
                <w:rFonts w:asciiTheme="minorHAnsi" w:eastAsia="Arial" w:hAnsiTheme="minorHAnsi" w:cstheme="minorHAnsi"/>
                <w:sz w:val="18"/>
                <w:szCs w:val="18"/>
                <w:lang w:val="it-IT"/>
              </w:rPr>
            </w:pPr>
            <w:r w:rsidRPr="00723B7E">
              <w:rPr>
                <w:rFonts w:asciiTheme="minorHAnsi" w:eastAsia="Arial" w:hAnsiTheme="minorHAnsi" w:cstheme="minorHAnsi"/>
                <w:spacing w:val="-4"/>
                <w:sz w:val="18"/>
                <w:szCs w:val="18"/>
                <w:lang w:val="it-IT"/>
              </w:rPr>
              <w:t>36.7</w:t>
            </w:r>
          </w:p>
        </w:tc>
        <w:tc>
          <w:tcPr>
            <w:tcW w:w="567" w:type="dxa"/>
            <w:tcBorders>
              <w:bottom w:val="single" w:sz="4" w:space="0" w:color="000000"/>
            </w:tcBorders>
          </w:tcPr>
          <w:p w:rsidR="00723B7E" w:rsidRPr="00723B7E" w:rsidRDefault="00723B7E" w:rsidP="00723B7E">
            <w:pPr>
              <w:spacing w:before="36" w:line="187" w:lineRule="exact"/>
              <w:ind w:right="185"/>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5"/>
                <w:sz w:val="18"/>
                <w:szCs w:val="18"/>
                <w:lang w:val="it-IT"/>
              </w:rPr>
              <w:t>0.8</w:t>
            </w:r>
          </w:p>
        </w:tc>
        <w:tc>
          <w:tcPr>
            <w:tcW w:w="667" w:type="dxa"/>
            <w:tcBorders>
              <w:bottom w:val="single" w:sz="4" w:space="0" w:color="000000"/>
              <w:right w:val="single" w:sz="4" w:space="0" w:color="000000"/>
            </w:tcBorders>
          </w:tcPr>
          <w:p w:rsidR="00723B7E" w:rsidRPr="00723B7E" w:rsidRDefault="00723B7E" w:rsidP="00723B7E">
            <w:pPr>
              <w:spacing w:before="36" w:line="187" w:lineRule="exact"/>
              <w:ind w:right="66"/>
              <w:jc w:val="center"/>
              <w:rPr>
                <w:rFonts w:asciiTheme="minorHAnsi" w:eastAsia="Arial" w:hAnsiTheme="minorHAnsi" w:cstheme="minorHAnsi"/>
                <w:sz w:val="18"/>
                <w:szCs w:val="18"/>
                <w:lang w:val="it-IT"/>
              </w:rPr>
            </w:pPr>
            <w:r w:rsidRPr="00723B7E">
              <w:rPr>
                <w:rFonts w:asciiTheme="minorHAnsi" w:eastAsia="Arial" w:hAnsiTheme="minorHAnsi" w:cstheme="minorHAnsi"/>
                <w:sz w:val="18"/>
                <w:szCs w:val="18"/>
                <w:lang w:val="it-IT"/>
              </w:rPr>
              <w:t>­</w:t>
            </w:r>
            <w:r w:rsidRPr="00723B7E">
              <w:rPr>
                <w:rFonts w:asciiTheme="minorHAnsi" w:eastAsia="Arial" w:hAnsiTheme="minorHAnsi" w:cstheme="minorHAnsi"/>
                <w:spacing w:val="-4"/>
                <w:sz w:val="18"/>
                <w:szCs w:val="18"/>
                <w:lang w:val="it-IT"/>
              </w:rPr>
              <w:t>2.1%</w:t>
            </w:r>
          </w:p>
        </w:tc>
        <w:tc>
          <w:tcPr>
            <w:tcW w:w="830" w:type="dxa"/>
            <w:tcBorders>
              <w:left w:val="single" w:sz="4" w:space="0" w:color="000000"/>
              <w:bottom w:val="single" w:sz="4" w:space="0" w:color="000000"/>
            </w:tcBorders>
            <w:shd w:val="clear" w:color="auto" w:fill="DDEBF7"/>
          </w:tcPr>
          <w:p w:rsidR="00723B7E" w:rsidRPr="00723B7E" w:rsidRDefault="00723B7E" w:rsidP="00723B7E">
            <w:pPr>
              <w:spacing w:before="36" w:line="187" w:lineRule="exact"/>
              <w:ind w:right="12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18'643</w:t>
            </w:r>
          </w:p>
        </w:tc>
        <w:tc>
          <w:tcPr>
            <w:tcW w:w="786" w:type="dxa"/>
            <w:tcBorders>
              <w:bottom w:val="single" w:sz="4" w:space="0" w:color="000000"/>
            </w:tcBorders>
            <w:shd w:val="clear" w:color="auto" w:fill="DDEBF7"/>
          </w:tcPr>
          <w:p w:rsidR="00723B7E" w:rsidRPr="00723B7E" w:rsidRDefault="00723B7E" w:rsidP="00723B7E">
            <w:pPr>
              <w:spacing w:before="36" w:line="187" w:lineRule="exact"/>
              <w:ind w:right="125"/>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24'100</w:t>
            </w:r>
          </w:p>
        </w:tc>
        <w:tc>
          <w:tcPr>
            <w:tcW w:w="846" w:type="dxa"/>
            <w:tcBorders>
              <w:bottom w:val="single" w:sz="4" w:space="0" w:color="000000"/>
            </w:tcBorders>
            <w:shd w:val="clear" w:color="auto" w:fill="DDEBF7"/>
          </w:tcPr>
          <w:p w:rsidR="00723B7E" w:rsidRPr="00723B7E" w:rsidRDefault="00723B7E" w:rsidP="00723B7E">
            <w:pPr>
              <w:spacing w:before="36" w:line="187" w:lineRule="exact"/>
              <w:ind w:right="191"/>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5'457</w:t>
            </w:r>
          </w:p>
        </w:tc>
        <w:tc>
          <w:tcPr>
            <w:tcW w:w="768" w:type="dxa"/>
            <w:tcBorders>
              <w:bottom w:val="single" w:sz="4" w:space="0" w:color="000000"/>
            </w:tcBorders>
            <w:shd w:val="clear" w:color="auto" w:fill="DDEBF7"/>
          </w:tcPr>
          <w:p w:rsidR="00723B7E" w:rsidRPr="00723B7E" w:rsidRDefault="00723B7E" w:rsidP="00723B7E">
            <w:pPr>
              <w:spacing w:before="36" w:line="187" w:lineRule="exact"/>
              <w:ind w:right="73"/>
              <w:jc w:val="center"/>
              <w:rPr>
                <w:rFonts w:asciiTheme="minorHAnsi" w:eastAsia="Arial" w:hAnsiTheme="minorHAnsi" w:cstheme="minorHAnsi"/>
                <w:sz w:val="18"/>
                <w:szCs w:val="18"/>
                <w:lang w:val="it-IT"/>
              </w:rPr>
            </w:pPr>
            <w:r w:rsidRPr="00723B7E">
              <w:rPr>
                <w:rFonts w:asciiTheme="minorHAnsi" w:eastAsia="Arial" w:hAnsiTheme="minorHAnsi" w:cstheme="minorHAnsi"/>
                <w:spacing w:val="-2"/>
                <w:sz w:val="18"/>
                <w:szCs w:val="18"/>
                <w:lang w:val="it-IT"/>
              </w:rPr>
              <w:t>29.3%</w:t>
            </w:r>
          </w:p>
        </w:tc>
      </w:tr>
      <w:tr w:rsidR="00723B7E" w:rsidRPr="00723B7E" w:rsidTr="00D57EB5">
        <w:trPr>
          <w:trHeight w:val="443"/>
        </w:trPr>
        <w:tc>
          <w:tcPr>
            <w:tcW w:w="898"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left="69"/>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Totale</w:t>
            </w:r>
          </w:p>
        </w:tc>
        <w:tc>
          <w:tcPr>
            <w:tcW w:w="933"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right="184"/>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2'891</w:t>
            </w:r>
          </w:p>
        </w:tc>
        <w:tc>
          <w:tcPr>
            <w:tcW w:w="766" w:type="dxa"/>
            <w:tcBorders>
              <w:top w:val="single" w:sz="4" w:space="0" w:color="000000"/>
              <w:bottom w:val="single" w:sz="4" w:space="0" w:color="000000"/>
            </w:tcBorders>
            <w:shd w:val="clear" w:color="auto" w:fill="94B3D6"/>
          </w:tcPr>
          <w:p w:rsidR="00723B7E" w:rsidRPr="00723B7E" w:rsidRDefault="00723B7E" w:rsidP="00723B7E">
            <w:pPr>
              <w:spacing w:before="114"/>
              <w:ind w:right="132"/>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2'726</w:t>
            </w:r>
          </w:p>
        </w:tc>
        <w:tc>
          <w:tcPr>
            <w:tcW w:w="629" w:type="dxa"/>
            <w:tcBorders>
              <w:top w:val="single" w:sz="4" w:space="0" w:color="000000"/>
              <w:bottom w:val="single" w:sz="4" w:space="0" w:color="000000"/>
            </w:tcBorders>
            <w:shd w:val="clear" w:color="auto" w:fill="94B3D6"/>
          </w:tcPr>
          <w:p w:rsidR="00723B7E" w:rsidRPr="00723B7E" w:rsidRDefault="00723B7E" w:rsidP="00723B7E">
            <w:pPr>
              <w:spacing w:before="114"/>
              <w:ind w:right="132"/>
              <w:jc w:val="center"/>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5"/>
                <w:sz w:val="18"/>
                <w:szCs w:val="18"/>
                <w:lang w:val="it-IT"/>
              </w:rPr>
              <w:t>165</w:t>
            </w:r>
          </w:p>
        </w:tc>
        <w:tc>
          <w:tcPr>
            <w:tcW w:w="714"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right="60"/>
              <w:jc w:val="center"/>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4"/>
                <w:sz w:val="18"/>
                <w:szCs w:val="18"/>
                <w:lang w:val="it-IT"/>
              </w:rPr>
              <w:t>5.7%</w:t>
            </w:r>
          </w:p>
        </w:tc>
        <w:tc>
          <w:tcPr>
            <w:tcW w:w="616"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left="68"/>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32.0</w:t>
            </w:r>
          </w:p>
        </w:tc>
        <w:tc>
          <w:tcPr>
            <w:tcW w:w="627" w:type="dxa"/>
            <w:tcBorders>
              <w:top w:val="single" w:sz="4" w:space="0" w:color="000000"/>
              <w:bottom w:val="single" w:sz="4" w:space="0" w:color="000000"/>
            </w:tcBorders>
            <w:shd w:val="clear" w:color="auto" w:fill="94B3D6"/>
          </w:tcPr>
          <w:p w:rsidR="00723B7E" w:rsidRPr="00723B7E" w:rsidRDefault="00723B7E" w:rsidP="00723B7E">
            <w:pPr>
              <w:spacing w:before="114"/>
              <w:ind w:left="48" w:right="42"/>
              <w:jc w:val="both"/>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32.4</w:t>
            </w:r>
          </w:p>
        </w:tc>
        <w:tc>
          <w:tcPr>
            <w:tcW w:w="567" w:type="dxa"/>
            <w:tcBorders>
              <w:top w:val="single" w:sz="4" w:space="0" w:color="000000"/>
              <w:bottom w:val="single" w:sz="4" w:space="0" w:color="000000"/>
            </w:tcBorders>
            <w:shd w:val="clear" w:color="auto" w:fill="94B3D6"/>
          </w:tcPr>
          <w:p w:rsidR="00723B7E" w:rsidRPr="00723B7E" w:rsidRDefault="00723B7E" w:rsidP="00723B7E">
            <w:pPr>
              <w:spacing w:before="114"/>
              <w:ind w:right="185"/>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5"/>
                <w:sz w:val="18"/>
                <w:szCs w:val="18"/>
                <w:lang w:val="it-IT"/>
              </w:rPr>
              <w:t>0.4</w:t>
            </w:r>
          </w:p>
        </w:tc>
        <w:tc>
          <w:tcPr>
            <w:tcW w:w="667" w:type="dxa"/>
            <w:tcBorders>
              <w:top w:val="single" w:sz="4" w:space="0" w:color="000000"/>
              <w:bottom w:val="single" w:sz="4" w:space="0" w:color="000000"/>
              <w:right w:val="single" w:sz="4" w:space="0" w:color="000000"/>
            </w:tcBorders>
            <w:shd w:val="clear" w:color="auto" w:fill="94B3D6"/>
          </w:tcPr>
          <w:p w:rsidR="00723B7E" w:rsidRPr="00723B7E" w:rsidRDefault="00723B7E" w:rsidP="00723B7E">
            <w:pPr>
              <w:spacing w:before="114"/>
              <w:ind w:right="65"/>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4"/>
                <w:sz w:val="18"/>
                <w:szCs w:val="18"/>
                <w:lang w:val="it-IT"/>
              </w:rPr>
              <w:t>1.3%</w:t>
            </w:r>
          </w:p>
        </w:tc>
        <w:tc>
          <w:tcPr>
            <w:tcW w:w="830" w:type="dxa"/>
            <w:tcBorders>
              <w:top w:val="single" w:sz="4" w:space="0" w:color="000000"/>
              <w:left w:val="single" w:sz="4" w:space="0" w:color="000000"/>
              <w:bottom w:val="single" w:sz="4" w:space="0" w:color="000000"/>
            </w:tcBorders>
            <w:shd w:val="clear" w:color="auto" w:fill="94B3D6"/>
          </w:tcPr>
          <w:p w:rsidR="00723B7E" w:rsidRPr="00723B7E" w:rsidRDefault="00723B7E" w:rsidP="00723B7E">
            <w:pPr>
              <w:spacing w:before="114"/>
              <w:ind w:right="122"/>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92'445</w:t>
            </w:r>
          </w:p>
        </w:tc>
        <w:tc>
          <w:tcPr>
            <w:tcW w:w="786" w:type="dxa"/>
            <w:tcBorders>
              <w:top w:val="single" w:sz="4" w:space="0" w:color="000000"/>
              <w:bottom w:val="single" w:sz="4" w:space="0" w:color="000000"/>
            </w:tcBorders>
            <w:shd w:val="clear" w:color="auto" w:fill="94B3D6"/>
          </w:tcPr>
          <w:p w:rsidR="00723B7E" w:rsidRPr="00723B7E" w:rsidRDefault="00723B7E" w:rsidP="00723B7E">
            <w:pPr>
              <w:spacing w:before="114"/>
              <w:ind w:right="125"/>
              <w:jc w:val="center"/>
              <w:rPr>
                <w:rFonts w:asciiTheme="minorHAnsi" w:eastAsia="Arial" w:hAnsiTheme="minorHAnsi" w:cstheme="minorHAnsi"/>
                <w:b/>
                <w:sz w:val="18"/>
                <w:szCs w:val="18"/>
                <w:lang w:val="it-IT"/>
              </w:rPr>
            </w:pPr>
            <w:r w:rsidRPr="00723B7E">
              <w:rPr>
                <w:rFonts w:asciiTheme="minorHAnsi" w:eastAsia="Arial" w:hAnsiTheme="minorHAnsi" w:cstheme="minorHAnsi"/>
                <w:b/>
                <w:spacing w:val="-2"/>
                <w:sz w:val="18"/>
                <w:szCs w:val="18"/>
                <w:lang w:val="it-IT"/>
              </w:rPr>
              <w:t>88'296</w:t>
            </w:r>
          </w:p>
        </w:tc>
        <w:tc>
          <w:tcPr>
            <w:tcW w:w="846" w:type="dxa"/>
            <w:tcBorders>
              <w:top w:val="single" w:sz="4" w:space="0" w:color="000000"/>
              <w:bottom w:val="single" w:sz="4" w:space="0" w:color="000000"/>
            </w:tcBorders>
            <w:shd w:val="clear" w:color="auto" w:fill="94B3D6"/>
          </w:tcPr>
          <w:p w:rsidR="00723B7E" w:rsidRPr="00723B7E" w:rsidRDefault="00723B7E" w:rsidP="00723B7E">
            <w:pPr>
              <w:spacing w:before="114"/>
              <w:ind w:right="191"/>
              <w:jc w:val="center"/>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2"/>
                <w:sz w:val="18"/>
                <w:szCs w:val="18"/>
                <w:lang w:val="it-IT"/>
              </w:rPr>
              <w:t>4'149</w:t>
            </w:r>
          </w:p>
        </w:tc>
        <w:tc>
          <w:tcPr>
            <w:tcW w:w="768" w:type="dxa"/>
            <w:tcBorders>
              <w:top w:val="single" w:sz="4" w:space="0" w:color="000000"/>
              <w:bottom w:val="single" w:sz="4" w:space="0" w:color="000000"/>
            </w:tcBorders>
            <w:shd w:val="clear" w:color="auto" w:fill="94B3D6"/>
          </w:tcPr>
          <w:p w:rsidR="00723B7E" w:rsidRPr="00723B7E" w:rsidRDefault="00723B7E" w:rsidP="00723B7E">
            <w:pPr>
              <w:spacing w:before="114"/>
              <w:ind w:right="72"/>
              <w:jc w:val="center"/>
              <w:rPr>
                <w:rFonts w:asciiTheme="minorHAnsi" w:eastAsia="Arial" w:hAnsiTheme="minorHAnsi" w:cstheme="minorHAnsi"/>
                <w:b/>
                <w:sz w:val="18"/>
                <w:szCs w:val="18"/>
                <w:lang w:val="it-IT"/>
              </w:rPr>
            </w:pPr>
            <w:r w:rsidRPr="00723B7E">
              <w:rPr>
                <w:rFonts w:asciiTheme="minorHAnsi" w:eastAsia="Arial" w:hAnsiTheme="minorHAnsi" w:cstheme="minorHAnsi"/>
                <w:b/>
                <w:sz w:val="18"/>
                <w:szCs w:val="18"/>
                <w:lang w:val="it-IT"/>
              </w:rPr>
              <w:t>-</w:t>
            </w:r>
            <w:r w:rsidRPr="00723B7E">
              <w:rPr>
                <w:rFonts w:asciiTheme="minorHAnsi" w:eastAsia="Arial" w:hAnsiTheme="minorHAnsi" w:cstheme="minorHAnsi"/>
                <w:b/>
                <w:spacing w:val="-4"/>
                <w:sz w:val="18"/>
                <w:szCs w:val="18"/>
                <w:lang w:val="it-IT"/>
              </w:rPr>
              <w:t>4.5%</w:t>
            </w:r>
          </w:p>
        </w:tc>
      </w:tr>
    </w:tbl>
    <w:p w:rsidR="001F439F" w:rsidRDefault="001F439F" w:rsidP="001F439F">
      <w:pPr>
        <w:pStyle w:val="StandardRisoluzionedelConsigliodiStato"/>
        <w:ind w:right="-1"/>
      </w:pPr>
    </w:p>
    <w:p w:rsidR="00B32F1A" w:rsidRDefault="00B32F1A" w:rsidP="001F439F">
      <w:pPr>
        <w:pStyle w:val="StandardRisoluzionedelConsigliodiStato"/>
        <w:ind w:right="-1"/>
      </w:pPr>
    </w:p>
    <w:p w:rsidR="001F439F" w:rsidRDefault="00B32F1A" w:rsidP="00B32F1A">
      <w:pPr>
        <w:pStyle w:val="Titolo3"/>
        <w:numPr>
          <w:ilvl w:val="0"/>
          <w:numId w:val="0"/>
        </w:numPr>
      </w:pPr>
      <w:bookmarkStart w:id="45" w:name="_Toc179882503"/>
      <w:r>
        <w:t>9.1.3</w:t>
      </w:r>
      <w:r w:rsidR="001F439F">
        <w:tab/>
        <w:t>Settore riabilitazione</w:t>
      </w:r>
      <w:bookmarkEnd w:id="45"/>
    </w:p>
    <w:p w:rsidR="001F439F" w:rsidRDefault="001F439F" w:rsidP="001F439F">
      <w:pPr>
        <w:pStyle w:val="StandardRisoluzionedelConsigliodiStato"/>
        <w:ind w:right="-1"/>
      </w:pPr>
    </w:p>
    <w:tbl>
      <w:tblPr>
        <w:tblStyle w:val="TableNormal6"/>
        <w:tblW w:w="0" w:type="auto"/>
        <w:tblInd w:w="187" w:type="dxa"/>
        <w:tblLayout w:type="fixed"/>
        <w:tblLook w:val="01E0" w:firstRow="1" w:lastRow="1" w:firstColumn="1" w:lastColumn="1" w:noHBand="0" w:noVBand="0"/>
      </w:tblPr>
      <w:tblGrid>
        <w:gridCol w:w="965"/>
        <w:gridCol w:w="792"/>
        <w:gridCol w:w="796"/>
        <w:gridCol w:w="617"/>
        <w:gridCol w:w="685"/>
        <w:gridCol w:w="816"/>
        <w:gridCol w:w="844"/>
        <w:gridCol w:w="567"/>
        <w:gridCol w:w="667"/>
        <w:gridCol w:w="746"/>
        <w:gridCol w:w="724"/>
        <w:gridCol w:w="738"/>
        <w:gridCol w:w="686"/>
      </w:tblGrid>
      <w:tr w:rsidR="00B32F1A" w:rsidRPr="00B32F1A" w:rsidTr="00D57EB5">
        <w:trPr>
          <w:trHeight w:val="445"/>
        </w:trPr>
        <w:tc>
          <w:tcPr>
            <w:tcW w:w="965" w:type="dxa"/>
            <w:vMerge w:val="restart"/>
            <w:tcBorders>
              <w:top w:val="single" w:sz="4" w:space="0" w:color="000000"/>
              <w:bottom w:val="single" w:sz="4" w:space="0" w:color="000000"/>
              <w:right w:val="single" w:sz="4" w:space="0" w:color="000000"/>
            </w:tcBorders>
            <w:shd w:val="clear" w:color="auto" w:fill="94B3D6"/>
          </w:tcPr>
          <w:p w:rsidR="00B32F1A" w:rsidRPr="00B32F1A" w:rsidRDefault="00B32F1A" w:rsidP="00B32F1A">
            <w:pPr>
              <w:spacing w:before="132"/>
              <w:rPr>
                <w:rFonts w:eastAsia="Arial" w:cs="Arial"/>
                <w:b/>
                <w:sz w:val="18"/>
                <w:szCs w:val="18"/>
                <w:lang w:val="it-IT"/>
              </w:rPr>
            </w:pPr>
          </w:p>
          <w:p w:rsidR="00B32F1A" w:rsidRPr="00B32F1A" w:rsidRDefault="00B32F1A" w:rsidP="00B32F1A">
            <w:pPr>
              <w:ind w:left="1"/>
              <w:jc w:val="both"/>
              <w:rPr>
                <w:rFonts w:eastAsia="Arial" w:cs="Arial"/>
                <w:b/>
                <w:sz w:val="18"/>
                <w:szCs w:val="18"/>
                <w:lang w:val="it-IT"/>
              </w:rPr>
            </w:pPr>
            <w:r w:rsidRPr="00B32F1A">
              <w:rPr>
                <w:rFonts w:eastAsia="Arial" w:cs="Arial"/>
                <w:b/>
                <w:spacing w:val="-5"/>
                <w:sz w:val="18"/>
                <w:szCs w:val="18"/>
                <w:lang w:val="it-IT"/>
              </w:rPr>
              <w:t>Età</w:t>
            </w:r>
          </w:p>
        </w:tc>
        <w:tc>
          <w:tcPr>
            <w:tcW w:w="2890" w:type="dxa"/>
            <w:gridSpan w:val="4"/>
            <w:tcBorders>
              <w:top w:val="single" w:sz="4" w:space="0" w:color="000000"/>
              <w:left w:val="single" w:sz="4" w:space="0" w:color="000000"/>
              <w:bottom w:val="single" w:sz="4" w:space="0" w:color="000000"/>
              <w:right w:val="single" w:sz="4" w:space="0" w:color="000000"/>
            </w:tcBorders>
            <w:shd w:val="clear" w:color="auto" w:fill="94B3D6"/>
          </w:tcPr>
          <w:p w:rsidR="00B32F1A" w:rsidRPr="00B32F1A" w:rsidRDefault="00B32F1A" w:rsidP="00B32F1A">
            <w:pPr>
              <w:spacing w:before="114"/>
              <w:jc w:val="right"/>
              <w:rPr>
                <w:rFonts w:eastAsia="Arial" w:cs="Arial"/>
                <w:b/>
                <w:sz w:val="18"/>
                <w:szCs w:val="18"/>
                <w:lang w:val="it-IT"/>
              </w:rPr>
            </w:pPr>
            <w:r w:rsidRPr="00B32F1A">
              <w:rPr>
                <w:rFonts w:eastAsia="Arial" w:cs="Arial"/>
                <w:b/>
                <w:spacing w:val="-4"/>
                <w:sz w:val="18"/>
                <w:szCs w:val="18"/>
                <w:lang w:val="it-IT"/>
              </w:rPr>
              <w:t>Casi</w:t>
            </w:r>
          </w:p>
        </w:tc>
        <w:tc>
          <w:tcPr>
            <w:tcW w:w="2894" w:type="dxa"/>
            <w:gridSpan w:val="4"/>
            <w:tcBorders>
              <w:top w:val="single" w:sz="4" w:space="0" w:color="000000"/>
              <w:left w:val="single" w:sz="4" w:space="0" w:color="000000"/>
              <w:bottom w:val="single" w:sz="4" w:space="0" w:color="000000"/>
              <w:right w:val="single" w:sz="4" w:space="0" w:color="000000"/>
            </w:tcBorders>
            <w:shd w:val="clear" w:color="auto" w:fill="94B3D6"/>
          </w:tcPr>
          <w:p w:rsidR="00B32F1A" w:rsidRPr="00B32F1A" w:rsidRDefault="00B32F1A" w:rsidP="00B32F1A">
            <w:pPr>
              <w:spacing w:before="114"/>
              <w:jc w:val="right"/>
              <w:rPr>
                <w:rFonts w:eastAsia="Arial" w:cs="Arial"/>
                <w:b/>
                <w:sz w:val="18"/>
                <w:szCs w:val="18"/>
                <w:lang w:val="it-IT"/>
              </w:rPr>
            </w:pPr>
            <w:r w:rsidRPr="00B32F1A">
              <w:rPr>
                <w:rFonts w:eastAsia="Arial" w:cs="Arial"/>
                <w:b/>
                <w:spacing w:val="-5"/>
                <w:sz w:val="18"/>
                <w:szCs w:val="18"/>
                <w:lang w:val="it-IT"/>
              </w:rPr>
              <w:t>DMD</w:t>
            </w:r>
          </w:p>
        </w:tc>
        <w:tc>
          <w:tcPr>
            <w:tcW w:w="2894" w:type="dxa"/>
            <w:gridSpan w:val="4"/>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4"/>
              <w:ind w:right="12"/>
              <w:jc w:val="right"/>
              <w:rPr>
                <w:rFonts w:eastAsia="Arial" w:cs="Arial"/>
                <w:b/>
                <w:sz w:val="18"/>
                <w:szCs w:val="18"/>
                <w:lang w:val="it-IT"/>
              </w:rPr>
            </w:pPr>
            <w:r w:rsidRPr="00B32F1A">
              <w:rPr>
                <w:rFonts w:eastAsia="Arial" w:cs="Arial"/>
                <w:b/>
                <w:spacing w:val="-5"/>
                <w:sz w:val="18"/>
                <w:szCs w:val="18"/>
                <w:lang w:val="it-IT"/>
              </w:rPr>
              <w:t>GC</w:t>
            </w:r>
          </w:p>
        </w:tc>
      </w:tr>
      <w:tr w:rsidR="00B32F1A" w:rsidRPr="00B32F1A" w:rsidTr="00D57EB5">
        <w:trPr>
          <w:trHeight w:val="443"/>
        </w:trPr>
        <w:tc>
          <w:tcPr>
            <w:tcW w:w="965" w:type="dxa"/>
            <w:vMerge/>
            <w:tcBorders>
              <w:top w:val="nil"/>
              <w:bottom w:val="single" w:sz="4" w:space="0" w:color="000000"/>
              <w:right w:val="single" w:sz="4" w:space="0" w:color="000000"/>
            </w:tcBorders>
            <w:shd w:val="clear" w:color="auto" w:fill="94B3D6"/>
          </w:tcPr>
          <w:p w:rsidR="00B32F1A" w:rsidRPr="00B32F1A" w:rsidRDefault="00B32F1A" w:rsidP="00B32F1A">
            <w:pPr>
              <w:rPr>
                <w:rFonts w:eastAsia="Arial" w:cs="Arial"/>
                <w:sz w:val="18"/>
                <w:szCs w:val="18"/>
                <w:lang w:val="it-IT"/>
              </w:rPr>
            </w:pPr>
          </w:p>
        </w:tc>
        <w:tc>
          <w:tcPr>
            <w:tcW w:w="792" w:type="dxa"/>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1"/>
              <w:ind w:right="137"/>
              <w:jc w:val="center"/>
              <w:rPr>
                <w:rFonts w:eastAsia="Arial" w:cs="Arial"/>
                <w:b/>
                <w:sz w:val="18"/>
                <w:szCs w:val="18"/>
                <w:lang w:val="it-IT"/>
              </w:rPr>
            </w:pPr>
            <w:r w:rsidRPr="00B32F1A">
              <w:rPr>
                <w:rFonts w:eastAsia="Arial" w:cs="Arial"/>
                <w:b/>
                <w:spacing w:val="-4"/>
                <w:sz w:val="18"/>
                <w:szCs w:val="18"/>
                <w:lang w:val="it-IT"/>
              </w:rPr>
              <w:t>2019</w:t>
            </w:r>
          </w:p>
        </w:tc>
        <w:tc>
          <w:tcPr>
            <w:tcW w:w="796" w:type="dxa"/>
            <w:tcBorders>
              <w:top w:val="single" w:sz="4" w:space="0" w:color="000000"/>
              <w:bottom w:val="single" w:sz="4" w:space="0" w:color="000000"/>
            </w:tcBorders>
            <w:shd w:val="clear" w:color="auto" w:fill="94B3D6"/>
          </w:tcPr>
          <w:p w:rsidR="00B32F1A" w:rsidRPr="00B32F1A" w:rsidRDefault="00B32F1A" w:rsidP="00B32F1A">
            <w:pPr>
              <w:spacing w:before="111"/>
              <w:ind w:right="208"/>
              <w:jc w:val="center"/>
              <w:rPr>
                <w:rFonts w:eastAsia="Arial" w:cs="Arial"/>
                <w:b/>
                <w:sz w:val="18"/>
                <w:szCs w:val="18"/>
                <w:lang w:val="it-IT"/>
              </w:rPr>
            </w:pPr>
            <w:r w:rsidRPr="00B32F1A">
              <w:rPr>
                <w:rFonts w:eastAsia="Arial" w:cs="Arial"/>
                <w:b/>
                <w:spacing w:val="-4"/>
                <w:sz w:val="18"/>
                <w:szCs w:val="18"/>
                <w:lang w:val="it-IT"/>
              </w:rPr>
              <w:t>2032</w:t>
            </w:r>
          </w:p>
        </w:tc>
        <w:tc>
          <w:tcPr>
            <w:tcW w:w="617" w:type="dxa"/>
            <w:tcBorders>
              <w:top w:val="single" w:sz="4" w:space="0" w:color="000000"/>
              <w:bottom w:val="single" w:sz="4" w:space="0" w:color="000000"/>
            </w:tcBorders>
            <w:shd w:val="clear" w:color="auto" w:fill="94B3D6"/>
          </w:tcPr>
          <w:p w:rsidR="00B32F1A" w:rsidRPr="00B32F1A" w:rsidRDefault="00B32F1A" w:rsidP="00B32F1A">
            <w:pPr>
              <w:spacing w:before="111"/>
              <w:ind w:right="105"/>
              <w:jc w:val="center"/>
              <w:rPr>
                <w:rFonts w:eastAsia="Arial" w:cs="Arial"/>
                <w:b/>
                <w:sz w:val="18"/>
                <w:szCs w:val="18"/>
                <w:lang w:val="it-IT"/>
              </w:rPr>
            </w:pPr>
            <w:r w:rsidRPr="00B32F1A">
              <w:rPr>
                <w:rFonts w:eastAsia="Arial" w:cs="Arial"/>
                <w:b/>
                <w:spacing w:val="-10"/>
                <w:sz w:val="18"/>
                <w:szCs w:val="18"/>
                <w:lang w:val="it-IT"/>
              </w:rPr>
              <w:t>∆</w:t>
            </w:r>
          </w:p>
        </w:tc>
        <w:tc>
          <w:tcPr>
            <w:tcW w:w="685" w:type="dxa"/>
            <w:tcBorders>
              <w:top w:val="single" w:sz="4" w:space="0" w:color="000000"/>
              <w:bottom w:val="single" w:sz="4" w:space="0" w:color="000000"/>
              <w:right w:val="single" w:sz="4" w:space="0" w:color="000000"/>
            </w:tcBorders>
            <w:shd w:val="clear" w:color="auto" w:fill="94B3D6"/>
          </w:tcPr>
          <w:p w:rsidR="00B32F1A" w:rsidRPr="00B32F1A" w:rsidRDefault="00B32F1A" w:rsidP="00B32F1A">
            <w:pPr>
              <w:spacing w:before="111"/>
              <w:ind w:right="58"/>
              <w:jc w:val="center"/>
              <w:rPr>
                <w:rFonts w:eastAsia="Arial" w:cs="Arial"/>
                <w:b/>
                <w:sz w:val="18"/>
                <w:szCs w:val="18"/>
                <w:lang w:val="it-IT"/>
              </w:rPr>
            </w:pPr>
            <w:r w:rsidRPr="00B32F1A">
              <w:rPr>
                <w:rFonts w:eastAsia="Arial" w:cs="Arial"/>
                <w:b/>
                <w:spacing w:val="-5"/>
                <w:sz w:val="18"/>
                <w:szCs w:val="18"/>
                <w:lang w:val="it-IT"/>
              </w:rPr>
              <w:t>∆%</w:t>
            </w:r>
          </w:p>
        </w:tc>
        <w:tc>
          <w:tcPr>
            <w:tcW w:w="816" w:type="dxa"/>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1"/>
              <w:ind w:left="134" w:right="49"/>
              <w:jc w:val="both"/>
              <w:rPr>
                <w:rFonts w:eastAsia="Arial" w:cs="Arial"/>
                <w:b/>
                <w:sz w:val="18"/>
                <w:szCs w:val="18"/>
                <w:lang w:val="it-IT"/>
              </w:rPr>
            </w:pPr>
            <w:r w:rsidRPr="00B32F1A">
              <w:rPr>
                <w:rFonts w:eastAsia="Arial" w:cs="Arial"/>
                <w:b/>
                <w:spacing w:val="-4"/>
                <w:sz w:val="18"/>
                <w:szCs w:val="18"/>
                <w:lang w:val="it-IT"/>
              </w:rPr>
              <w:t>2019</w:t>
            </w:r>
          </w:p>
        </w:tc>
        <w:tc>
          <w:tcPr>
            <w:tcW w:w="844" w:type="dxa"/>
            <w:tcBorders>
              <w:top w:val="single" w:sz="4" w:space="0" w:color="000000"/>
              <w:bottom w:val="single" w:sz="4" w:space="0" w:color="000000"/>
            </w:tcBorders>
            <w:shd w:val="clear" w:color="auto" w:fill="94B3D6"/>
          </w:tcPr>
          <w:p w:rsidR="00B32F1A" w:rsidRPr="00B32F1A" w:rsidRDefault="00B32F1A" w:rsidP="00B32F1A">
            <w:pPr>
              <w:spacing w:before="111"/>
              <w:ind w:right="118"/>
              <w:jc w:val="both"/>
              <w:rPr>
                <w:rFonts w:eastAsia="Arial" w:cs="Arial"/>
                <w:b/>
                <w:sz w:val="18"/>
                <w:szCs w:val="18"/>
                <w:lang w:val="it-IT"/>
              </w:rPr>
            </w:pPr>
            <w:r w:rsidRPr="00B32F1A">
              <w:rPr>
                <w:rFonts w:eastAsia="Arial" w:cs="Arial"/>
                <w:b/>
                <w:spacing w:val="-4"/>
                <w:sz w:val="18"/>
                <w:szCs w:val="18"/>
                <w:lang w:val="it-IT"/>
              </w:rPr>
              <w:t>2032</w:t>
            </w:r>
          </w:p>
        </w:tc>
        <w:tc>
          <w:tcPr>
            <w:tcW w:w="567" w:type="dxa"/>
            <w:tcBorders>
              <w:top w:val="single" w:sz="4" w:space="0" w:color="000000"/>
              <w:bottom w:val="single" w:sz="4" w:space="0" w:color="000000"/>
            </w:tcBorders>
            <w:shd w:val="clear" w:color="auto" w:fill="94B3D6"/>
          </w:tcPr>
          <w:p w:rsidR="00B32F1A" w:rsidRPr="00B32F1A" w:rsidRDefault="00B32F1A" w:rsidP="00B32F1A">
            <w:pPr>
              <w:spacing w:before="111"/>
              <w:ind w:right="125"/>
              <w:jc w:val="center"/>
              <w:rPr>
                <w:rFonts w:eastAsia="Arial" w:cs="Arial"/>
                <w:b/>
                <w:sz w:val="18"/>
                <w:szCs w:val="18"/>
                <w:lang w:val="it-IT"/>
              </w:rPr>
            </w:pPr>
            <w:r w:rsidRPr="00B32F1A">
              <w:rPr>
                <w:rFonts w:eastAsia="Arial" w:cs="Arial"/>
                <w:b/>
                <w:spacing w:val="-10"/>
                <w:sz w:val="18"/>
                <w:szCs w:val="18"/>
                <w:lang w:val="it-IT"/>
              </w:rPr>
              <w:t>∆</w:t>
            </w:r>
          </w:p>
        </w:tc>
        <w:tc>
          <w:tcPr>
            <w:tcW w:w="667" w:type="dxa"/>
            <w:tcBorders>
              <w:top w:val="single" w:sz="4" w:space="0" w:color="000000"/>
              <w:bottom w:val="single" w:sz="4" w:space="0" w:color="000000"/>
              <w:right w:val="single" w:sz="4" w:space="0" w:color="000000"/>
            </w:tcBorders>
            <w:shd w:val="clear" w:color="auto" w:fill="94B3D6"/>
          </w:tcPr>
          <w:p w:rsidR="00B32F1A" w:rsidRPr="00B32F1A" w:rsidRDefault="00B32F1A" w:rsidP="00B32F1A">
            <w:pPr>
              <w:spacing w:before="111"/>
              <w:ind w:right="60"/>
              <w:jc w:val="center"/>
              <w:rPr>
                <w:rFonts w:eastAsia="Arial" w:cs="Arial"/>
                <w:b/>
                <w:sz w:val="18"/>
                <w:szCs w:val="18"/>
                <w:lang w:val="it-IT"/>
              </w:rPr>
            </w:pPr>
            <w:r w:rsidRPr="00B32F1A">
              <w:rPr>
                <w:rFonts w:eastAsia="Arial" w:cs="Arial"/>
                <w:b/>
                <w:spacing w:val="-5"/>
                <w:sz w:val="18"/>
                <w:szCs w:val="18"/>
                <w:lang w:val="it-IT"/>
              </w:rPr>
              <w:t>∆%</w:t>
            </w:r>
          </w:p>
        </w:tc>
        <w:tc>
          <w:tcPr>
            <w:tcW w:w="746" w:type="dxa"/>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1"/>
              <w:ind w:right="91"/>
              <w:jc w:val="center"/>
              <w:rPr>
                <w:rFonts w:eastAsia="Arial" w:cs="Arial"/>
                <w:b/>
                <w:sz w:val="18"/>
                <w:szCs w:val="18"/>
                <w:lang w:val="it-IT"/>
              </w:rPr>
            </w:pPr>
            <w:r w:rsidRPr="00B32F1A">
              <w:rPr>
                <w:rFonts w:eastAsia="Arial" w:cs="Arial"/>
                <w:b/>
                <w:spacing w:val="-4"/>
                <w:sz w:val="18"/>
                <w:szCs w:val="18"/>
                <w:lang w:val="it-IT"/>
              </w:rPr>
              <w:t>2019</w:t>
            </w:r>
          </w:p>
        </w:tc>
        <w:tc>
          <w:tcPr>
            <w:tcW w:w="724" w:type="dxa"/>
            <w:tcBorders>
              <w:top w:val="single" w:sz="4" w:space="0" w:color="000000"/>
              <w:bottom w:val="single" w:sz="4" w:space="0" w:color="000000"/>
            </w:tcBorders>
            <w:shd w:val="clear" w:color="auto" w:fill="94B3D6"/>
          </w:tcPr>
          <w:p w:rsidR="00B32F1A" w:rsidRPr="00B32F1A" w:rsidRDefault="00B32F1A" w:rsidP="00B32F1A">
            <w:pPr>
              <w:spacing w:before="111"/>
              <w:ind w:right="90"/>
              <w:jc w:val="center"/>
              <w:rPr>
                <w:rFonts w:eastAsia="Arial" w:cs="Arial"/>
                <w:b/>
                <w:sz w:val="18"/>
                <w:szCs w:val="18"/>
                <w:lang w:val="it-IT"/>
              </w:rPr>
            </w:pPr>
            <w:r w:rsidRPr="00B32F1A">
              <w:rPr>
                <w:rFonts w:eastAsia="Arial" w:cs="Arial"/>
                <w:b/>
                <w:spacing w:val="-4"/>
                <w:sz w:val="18"/>
                <w:szCs w:val="18"/>
                <w:lang w:val="it-IT"/>
              </w:rPr>
              <w:t>2032</w:t>
            </w:r>
          </w:p>
        </w:tc>
        <w:tc>
          <w:tcPr>
            <w:tcW w:w="738" w:type="dxa"/>
            <w:tcBorders>
              <w:top w:val="single" w:sz="4" w:space="0" w:color="000000"/>
              <w:bottom w:val="single" w:sz="4" w:space="0" w:color="000000"/>
            </w:tcBorders>
            <w:shd w:val="clear" w:color="auto" w:fill="94B3D6"/>
          </w:tcPr>
          <w:p w:rsidR="00B32F1A" w:rsidRPr="00B32F1A" w:rsidRDefault="00B32F1A" w:rsidP="00B32F1A">
            <w:pPr>
              <w:spacing w:before="111"/>
              <w:ind w:right="108"/>
              <w:jc w:val="center"/>
              <w:rPr>
                <w:rFonts w:eastAsia="Arial" w:cs="Arial"/>
                <w:b/>
                <w:sz w:val="18"/>
                <w:szCs w:val="18"/>
                <w:lang w:val="it-IT"/>
              </w:rPr>
            </w:pPr>
            <w:r w:rsidRPr="00B32F1A">
              <w:rPr>
                <w:rFonts w:eastAsia="Arial" w:cs="Arial"/>
                <w:b/>
                <w:spacing w:val="-10"/>
                <w:sz w:val="18"/>
                <w:szCs w:val="18"/>
                <w:lang w:val="it-IT"/>
              </w:rPr>
              <w:t>∆</w:t>
            </w:r>
          </w:p>
        </w:tc>
        <w:tc>
          <w:tcPr>
            <w:tcW w:w="686" w:type="dxa"/>
            <w:tcBorders>
              <w:top w:val="single" w:sz="4" w:space="0" w:color="000000"/>
              <w:bottom w:val="single" w:sz="4" w:space="0" w:color="000000"/>
            </w:tcBorders>
            <w:shd w:val="clear" w:color="auto" w:fill="94B3D6"/>
          </w:tcPr>
          <w:p w:rsidR="00B32F1A" w:rsidRPr="00B32F1A" w:rsidRDefault="00B32F1A" w:rsidP="00B32F1A">
            <w:pPr>
              <w:spacing w:before="111"/>
              <w:ind w:right="67"/>
              <w:jc w:val="center"/>
              <w:rPr>
                <w:rFonts w:eastAsia="Arial" w:cs="Arial"/>
                <w:b/>
                <w:sz w:val="18"/>
                <w:szCs w:val="18"/>
                <w:lang w:val="it-IT"/>
              </w:rPr>
            </w:pPr>
            <w:r w:rsidRPr="00B32F1A">
              <w:rPr>
                <w:rFonts w:eastAsia="Arial" w:cs="Arial"/>
                <w:b/>
                <w:spacing w:val="-5"/>
                <w:sz w:val="18"/>
                <w:szCs w:val="18"/>
                <w:lang w:val="it-IT"/>
              </w:rPr>
              <w:t>∆%</w:t>
            </w:r>
          </w:p>
        </w:tc>
      </w:tr>
      <w:tr w:rsidR="00B32F1A" w:rsidRPr="00B32F1A" w:rsidTr="00D57EB5">
        <w:trPr>
          <w:trHeight w:val="278"/>
        </w:trPr>
        <w:tc>
          <w:tcPr>
            <w:tcW w:w="965" w:type="dxa"/>
            <w:tcBorders>
              <w:top w:val="single" w:sz="4" w:space="0" w:color="000000"/>
              <w:right w:val="single" w:sz="4" w:space="0" w:color="000000"/>
            </w:tcBorders>
          </w:tcPr>
          <w:p w:rsidR="00B32F1A" w:rsidRPr="00B32F1A" w:rsidRDefault="00B32F1A" w:rsidP="00B32F1A">
            <w:pPr>
              <w:spacing w:before="32"/>
              <w:ind w:left="69"/>
              <w:rPr>
                <w:rFonts w:eastAsia="Arial" w:cs="Arial"/>
                <w:sz w:val="18"/>
                <w:szCs w:val="18"/>
                <w:lang w:val="it-IT"/>
              </w:rPr>
            </w:pPr>
            <w:r w:rsidRPr="00B32F1A">
              <w:rPr>
                <w:rFonts w:eastAsia="Arial" w:cs="Arial"/>
                <w:sz w:val="18"/>
                <w:szCs w:val="18"/>
                <w:lang w:val="it-IT"/>
              </w:rPr>
              <w:t>0­</w:t>
            </w:r>
            <w:r w:rsidRPr="00B32F1A">
              <w:rPr>
                <w:rFonts w:eastAsia="Arial" w:cs="Arial"/>
                <w:spacing w:val="-5"/>
                <w:sz w:val="18"/>
                <w:szCs w:val="18"/>
                <w:lang w:val="it-IT"/>
              </w:rPr>
              <w:t>17</w:t>
            </w:r>
          </w:p>
        </w:tc>
        <w:tc>
          <w:tcPr>
            <w:tcW w:w="792" w:type="dxa"/>
            <w:tcBorders>
              <w:top w:val="single" w:sz="4" w:space="0" w:color="000000"/>
              <w:left w:val="single" w:sz="4" w:space="0" w:color="000000"/>
            </w:tcBorders>
          </w:tcPr>
          <w:p w:rsidR="00B32F1A" w:rsidRPr="00B32F1A" w:rsidRDefault="00B32F1A" w:rsidP="00B32F1A">
            <w:pPr>
              <w:spacing w:before="32"/>
              <w:ind w:right="140"/>
              <w:jc w:val="center"/>
              <w:rPr>
                <w:rFonts w:eastAsia="Arial" w:cs="Arial"/>
                <w:sz w:val="18"/>
                <w:szCs w:val="18"/>
                <w:lang w:val="it-IT"/>
              </w:rPr>
            </w:pPr>
            <w:r w:rsidRPr="00B32F1A">
              <w:rPr>
                <w:rFonts w:eastAsia="Arial" w:cs="Arial"/>
                <w:spacing w:val="-10"/>
                <w:sz w:val="18"/>
                <w:szCs w:val="18"/>
                <w:lang w:val="it-IT"/>
              </w:rPr>
              <w:t>5</w:t>
            </w:r>
          </w:p>
        </w:tc>
        <w:tc>
          <w:tcPr>
            <w:tcW w:w="796" w:type="dxa"/>
            <w:tcBorders>
              <w:top w:val="single" w:sz="4" w:space="0" w:color="000000"/>
            </w:tcBorders>
          </w:tcPr>
          <w:p w:rsidR="00B32F1A" w:rsidRPr="00B32F1A" w:rsidRDefault="00B32F1A" w:rsidP="00B32F1A">
            <w:pPr>
              <w:spacing w:before="32"/>
              <w:ind w:right="211"/>
              <w:jc w:val="center"/>
              <w:rPr>
                <w:rFonts w:eastAsia="Arial" w:cs="Arial"/>
                <w:sz w:val="18"/>
                <w:szCs w:val="18"/>
                <w:lang w:val="it-IT"/>
              </w:rPr>
            </w:pPr>
            <w:r w:rsidRPr="00B32F1A">
              <w:rPr>
                <w:rFonts w:eastAsia="Arial" w:cs="Arial"/>
                <w:spacing w:val="-10"/>
                <w:sz w:val="18"/>
                <w:szCs w:val="18"/>
                <w:lang w:val="it-IT"/>
              </w:rPr>
              <w:t>5</w:t>
            </w:r>
          </w:p>
        </w:tc>
        <w:tc>
          <w:tcPr>
            <w:tcW w:w="617" w:type="dxa"/>
            <w:tcBorders>
              <w:top w:val="single" w:sz="4" w:space="0" w:color="000000"/>
            </w:tcBorders>
          </w:tcPr>
          <w:p w:rsidR="00B32F1A" w:rsidRPr="00B32F1A" w:rsidRDefault="00B32F1A" w:rsidP="00B32F1A">
            <w:pPr>
              <w:spacing w:before="32"/>
              <w:ind w:right="106"/>
              <w:jc w:val="center"/>
              <w:rPr>
                <w:rFonts w:eastAsia="Arial" w:cs="Arial"/>
                <w:sz w:val="18"/>
                <w:szCs w:val="18"/>
                <w:lang w:val="it-IT"/>
              </w:rPr>
            </w:pPr>
            <w:r w:rsidRPr="00B32F1A">
              <w:rPr>
                <w:rFonts w:eastAsia="Arial" w:cs="Arial"/>
                <w:spacing w:val="-10"/>
                <w:sz w:val="18"/>
                <w:szCs w:val="18"/>
                <w:lang w:val="it-IT"/>
              </w:rPr>
              <w:t>0</w:t>
            </w:r>
          </w:p>
        </w:tc>
        <w:tc>
          <w:tcPr>
            <w:tcW w:w="685" w:type="dxa"/>
            <w:tcBorders>
              <w:top w:val="single" w:sz="4" w:space="0" w:color="000000"/>
              <w:right w:val="single" w:sz="4" w:space="0" w:color="000000"/>
            </w:tcBorders>
          </w:tcPr>
          <w:p w:rsidR="00B32F1A" w:rsidRPr="00B32F1A" w:rsidRDefault="00B32F1A" w:rsidP="00B32F1A">
            <w:pPr>
              <w:spacing w:before="32"/>
              <w:ind w:right="60"/>
              <w:jc w:val="center"/>
              <w:rPr>
                <w:rFonts w:eastAsia="Arial" w:cs="Arial"/>
                <w:sz w:val="18"/>
                <w:szCs w:val="18"/>
                <w:lang w:val="it-IT"/>
              </w:rPr>
            </w:pPr>
            <w:r w:rsidRPr="00B32F1A">
              <w:rPr>
                <w:rFonts w:eastAsia="Arial" w:cs="Arial"/>
                <w:spacing w:val="-4"/>
                <w:sz w:val="18"/>
                <w:szCs w:val="18"/>
                <w:lang w:val="it-IT"/>
              </w:rPr>
              <w:t>0.0%</w:t>
            </w:r>
          </w:p>
        </w:tc>
        <w:tc>
          <w:tcPr>
            <w:tcW w:w="816" w:type="dxa"/>
            <w:tcBorders>
              <w:top w:val="single" w:sz="4" w:space="0" w:color="000000"/>
              <w:left w:val="single" w:sz="4" w:space="0" w:color="000000"/>
            </w:tcBorders>
          </w:tcPr>
          <w:p w:rsidR="00B32F1A" w:rsidRPr="00B32F1A" w:rsidRDefault="00B32F1A" w:rsidP="00B32F1A">
            <w:pPr>
              <w:spacing w:before="32"/>
              <w:ind w:left="134"/>
              <w:jc w:val="both"/>
              <w:rPr>
                <w:rFonts w:eastAsia="Arial" w:cs="Arial"/>
                <w:sz w:val="18"/>
                <w:szCs w:val="18"/>
                <w:lang w:val="it-IT"/>
              </w:rPr>
            </w:pPr>
            <w:r w:rsidRPr="00B32F1A">
              <w:rPr>
                <w:rFonts w:eastAsia="Arial" w:cs="Arial"/>
                <w:spacing w:val="-4"/>
                <w:sz w:val="18"/>
                <w:szCs w:val="18"/>
                <w:lang w:val="it-IT"/>
              </w:rPr>
              <w:t>34.0</w:t>
            </w:r>
          </w:p>
        </w:tc>
        <w:tc>
          <w:tcPr>
            <w:tcW w:w="844" w:type="dxa"/>
            <w:tcBorders>
              <w:top w:val="single" w:sz="4" w:space="0" w:color="000000"/>
            </w:tcBorders>
          </w:tcPr>
          <w:p w:rsidR="00B32F1A" w:rsidRPr="00B32F1A" w:rsidRDefault="00B32F1A" w:rsidP="00B32F1A">
            <w:pPr>
              <w:spacing w:before="32"/>
              <w:ind w:left="50" w:right="118"/>
              <w:jc w:val="both"/>
              <w:rPr>
                <w:rFonts w:eastAsia="Arial" w:cs="Arial"/>
                <w:sz w:val="18"/>
                <w:szCs w:val="18"/>
                <w:lang w:val="it-IT"/>
              </w:rPr>
            </w:pPr>
            <w:r w:rsidRPr="00B32F1A">
              <w:rPr>
                <w:rFonts w:eastAsia="Arial" w:cs="Arial"/>
                <w:spacing w:val="-4"/>
                <w:sz w:val="18"/>
                <w:szCs w:val="18"/>
                <w:lang w:val="it-IT"/>
              </w:rPr>
              <w:t>33.1</w:t>
            </w:r>
          </w:p>
        </w:tc>
        <w:tc>
          <w:tcPr>
            <w:tcW w:w="567" w:type="dxa"/>
            <w:tcBorders>
              <w:top w:val="single" w:sz="4" w:space="0" w:color="000000"/>
            </w:tcBorders>
          </w:tcPr>
          <w:p w:rsidR="00B32F1A" w:rsidRPr="00B32F1A" w:rsidRDefault="00B32F1A" w:rsidP="00B32F1A">
            <w:pPr>
              <w:spacing w:before="32"/>
              <w:ind w:right="12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10"/>
                <w:sz w:val="18"/>
                <w:szCs w:val="18"/>
                <w:lang w:val="it-IT"/>
              </w:rPr>
              <w:t>1</w:t>
            </w:r>
          </w:p>
        </w:tc>
        <w:tc>
          <w:tcPr>
            <w:tcW w:w="667" w:type="dxa"/>
            <w:tcBorders>
              <w:top w:val="single" w:sz="4" w:space="0" w:color="000000"/>
              <w:right w:val="single" w:sz="4" w:space="0" w:color="000000"/>
            </w:tcBorders>
          </w:tcPr>
          <w:p w:rsidR="00B32F1A" w:rsidRPr="00B32F1A" w:rsidRDefault="00B32F1A" w:rsidP="00B32F1A">
            <w:pPr>
              <w:spacing w:before="32"/>
              <w:ind w:right="62"/>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2.7%</w:t>
            </w:r>
          </w:p>
        </w:tc>
        <w:tc>
          <w:tcPr>
            <w:tcW w:w="746" w:type="dxa"/>
            <w:tcBorders>
              <w:top w:val="single" w:sz="4" w:space="0" w:color="000000"/>
              <w:left w:val="single" w:sz="4" w:space="0" w:color="000000"/>
            </w:tcBorders>
          </w:tcPr>
          <w:p w:rsidR="00B32F1A" w:rsidRPr="00B32F1A" w:rsidRDefault="00B32F1A" w:rsidP="00B32F1A">
            <w:pPr>
              <w:spacing w:before="32"/>
              <w:ind w:right="91"/>
              <w:jc w:val="center"/>
              <w:rPr>
                <w:rFonts w:eastAsia="Arial" w:cs="Arial"/>
                <w:sz w:val="18"/>
                <w:szCs w:val="18"/>
                <w:lang w:val="it-IT"/>
              </w:rPr>
            </w:pPr>
            <w:r w:rsidRPr="00B32F1A">
              <w:rPr>
                <w:rFonts w:eastAsia="Arial" w:cs="Arial"/>
                <w:spacing w:val="-5"/>
                <w:sz w:val="18"/>
                <w:szCs w:val="18"/>
                <w:lang w:val="it-IT"/>
              </w:rPr>
              <w:t>170</w:t>
            </w:r>
          </w:p>
        </w:tc>
        <w:tc>
          <w:tcPr>
            <w:tcW w:w="724" w:type="dxa"/>
            <w:tcBorders>
              <w:top w:val="single" w:sz="4" w:space="0" w:color="000000"/>
            </w:tcBorders>
          </w:tcPr>
          <w:p w:rsidR="00B32F1A" w:rsidRPr="00B32F1A" w:rsidRDefault="00B32F1A" w:rsidP="00B32F1A">
            <w:pPr>
              <w:spacing w:before="32"/>
              <w:ind w:right="90"/>
              <w:jc w:val="center"/>
              <w:rPr>
                <w:rFonts w:eastAsia="Arial" w:cs="Arial"/>
                <w:sz w:val="18"/>
                <w:szCs w:val="18"/>
                <w:lang w:val="it-IT"/>
              </w:rPr>
            </w:pPr>
            <w:r w:rsidRPr="00B32F1A">
              <w:rPr>
                <w:rFonts w:eastAsia="Arial" w:cs="Arial"/>
                <w:spacing w:val="-5"/>
                <w:sz w:val="18"/>
                <w:szCs w:val="18"/>
                <w:lang w:val="it-IT"/>
              </w:rPr>
              <w:t>155</w:t>
            </w:r>
          </w:p>
        </w:tc>
        <w:tc>
          <w:tcPr>
            <w:tcW w:w="738" w:type="dxa"/>
            <w:tcBorders>
              <w:top w:val="single" w:sz="4" w:space="0" w:color="000000"/>
            </w:tcBorders>
          </w:tcPr>
          <w:p w:rsidR="00B32F1A" w:rsidRPr="00B32F1A" w:rsidRDefault="00B32F1A" w:rsidP="00B32F1A">
            <w:pPr>
              <w:spacing w:before="32"/>
              <w:ind w:right="10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5"/>
                <w:sz w:val="18"/>
                <w:szCs w:val="18"/>
                <w:lang w:val="it-IT"/>
              </w:rPr>
              <w:t>15</w:t>
            </w:r>
          </w:p>
        </w:tc>
        <w:tc>
          <w:tcPr>
            <w:tcW w:w="686" w:type="dxa"/>
            <w:tcBorders>
              <w:top w:val="single" w:sz="4" w:space="0" w:color="000000"/>
            </w:tcBorders>
          </w:tcPr>
          <w:p w:rsidR="00B32F1A" w:rsidRPr="00B32F1A" w:rsidRDefault="00B32F1A" w:rsidP="00B32F1A">
            <w:pPr>
              <w:spacing w:before="32"/>
              <w:ind w:right="69"/>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8.8%</w:t>
            </w:r>
          </w:p>
        </w:tc>
      </w:tr>
      <w:tr w:rsidR="00B32F1A" w:rsidRPr="00B32F1A" w:rsidTr="00D57EB5">
        <w:trPr>
          <w:trHeight w:val="280"/>
        </w:trPr>
        <w:tc>
          <w:tcPr>
            <w:tcW w:w="965" w:type="dxa"/>
            <w:tcBorders>
              <w:right w:val="single" w:sz="4" w:space="0" w:color="000000"/>
            </w:tcBorders>
          </w:tcPr>
          <w:p w:rsidR="00B32F1A" w:rsidRPr="00B32F1A" w:rsidRDefault="00B32F1A" w:rsidP="00B32F1A">
            <w:pPr>
              <w:spacing w:before="32"/>
              <w:ind w:left="69"/>
              <w:rPr>
                <w:rFonts w:eastAsia="Arial" w:cs="Arial"/>
                <w:sz w:val="18"/>
                <w:szCs w:val="18"/>
                <w:lang w:val="it-IT"/>
              </w:rPr>
            </w:pPr>
            <w:r w:rsidRPr="00B32F1A">
              <w:rPr>
                <w:rFonts w:eastAsia="Arial" w:cs="Arial"/>
                <w:sz w:val="18"/>
                <w:szCs w:val="18"/>
                <w:lang w:val="it-IT"/>
              </w:rPr>
              <w:t>18­</w:t>
            </w:r>
            <w:r w:rsidRPr="00B32F1A">
              <w:rPr>
                <w:rFonts w:eastAsia="Arial" w:cs="Arial"/>
                <w:spacing w:val="-5"/>
                <w:sz w:val="18"/>
                <w:szCs w:val="18"/>
                <w:lang w:val="it-IT"/>
              </w:rPr>
              <w:t>39</w:t>
            </w:r>
          </w:p>
        </w:tc>
        <w:tc>
          <w:tcPr>
            <w:tcW w:w="792" w:type="dxa"/>
            <w:tcBorders>
              <w:left w:val="single" w:sz="4" w:space="0" w:color="000000"/>
            </w:tcBorders>
          </w:tcPr>
          <w:p w:rsidR="00B32F1A" w:rsidRPr="00B32F1A" w:rsidRDefault="00B32F1A" w:rsidP="00B32F1A">
            <w:pPr>
              <w:spacing w:before="32"/>
              <w:ind w:right="137"/>
              <w:jc w:val="center"/>
              <w:rPr>
                <w:rFonts w:eastAsia="Arial" w:cs="Arial"/>
                <w:sz w:val="18"/>
                <w:szCs w:val="18"/>
                <w:lang w:val="it-IT"/>
              </w:rPr>
            </w:pPr>
            <w:r w:rsidRPr="00B32F1A">
              <w:rPr>
                <w:rFonts w:eastAsia="Arial" w:cs="Arial"/>
                <w:spacing w:val="-5"/>
                <w:sz w:val="18"/>
                <w:szCs w:val="18"/>
                <w:lang w:val="it-IT"/>
              </w:rPr>
              <w:t>77</w:t>
            </w:r>
          </w:p>
        </w:tc>
        <w:tc>
          <w:tcPr>
            <w:tcW w:w="796" w:type="dxa"/>
          </w:tcPr>
          <w:p w:rsidR="00B32F1A" w:rsidRPr="00B32F1A" w:rsidRDefault="00B32F1A" w:rsidP="00B32F1A">
            <w:pPr>
              <w:spacing w:before="32"/>
              <w:ind w:right="208"/>
              <w:jc w:val="center"/>
              <w:rPr>
                <w:rFonts w:eastAsia="Arial" w:cs="Arial"/>
                <w:sz w:val="18"/>
                <w:szCs w:val="18"/>
                <w:lang w:val="it-IT"/>
              </w:rPr>
            </w:pPr>
            <w:r w:rsidRPr="00B32F1A">
              <w:rPr>
                <w:rFonts w:eastAsia="Arial" w:cs="Arial"/>
                <w:spacing w:val="-5"/>
                <w:sz w:val="18"/>
                <w:szCs w:val="18"/>
                <w:lang w:val="it-IT"/>
              </w:rPr>
              <w:t>74</w:t>
            </w:r>
          </w:p>
        </w:tc>
        <w:tc>
          <w:tcPr>
            <w:tcW w:w="617" w:type="dxa"/>
          </w:tcPr>
          <w:p w:rsidR="00B32F1A" w:rsidRPr="00B32F1A" w:rsidRDefault="00B32F1A" w:rsidP="00B32F1A">
            <w:pPr>
              <w:spacing w:before="32"/>
              <w:ind w:right="10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10"/>
                <w:sz w:val="18"/>
                <w:szCs w:val="18"/>
                <w:lang w:val="it-IT"/>
              </w:rPr>
              <w:t>3</w:t>
            </w:r>
          </w:p>
        </w:tc>
        <w:tc>
          <w:tcPr>
            <w:tcW w:w="685" w:type="dxa"/>
            <w:tcBorders>
              <w:right w:val="single" w:sz="4" w:space="0" w:color="000000"/>
            </w:tcBorders>
          </w:tcPr>
          <w:p w:rsidR="00B32F1A" w:rsidRPr="00B32F1A" w:rsidRDefault="00B32F1A" w:rsidP="00B32F1A">
            <w:pPr>
              <w:spacing w:before="32"/>
              <w:ind w:right="60"/>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3.9%</w:t>
            </w:r>
          </w:p>
        </w:tc>
        <w:tc>
          <w:tcPr>
            <w:tcW w:w="816" w:type="dxa"/>
            <w:tcBorders>
              <w:left w:val="single" w:sz="4" w:space="0" w:color="000000"/>
            </w:tcBorders>
          </w:tcPr>
          <w:p w:rsidR="00B32F1A" w:rsidRPr="00B32F1A" w:rsidRDefault="00B32F1A" w:rsidP="00B32F1A">
            <w:pPr>
              <w:spacing w:before="32"/>
              <w:ind w:left="134"/>
              <w:jc w:val="both"/>
              <w:rPr>
                <w:rFonts w:eastAsia="Arial" w:cs="Arial"/>
                <w:sz w:val="18"/>
                <w:szCs w:val="18"/>
                <w:lang w:val="it-IT"/>
              </w:rPr>
            </w:pPr>
            <w:r w:rsidRPr="00B32F1A">
              <w:rPr>
                <w:rFonts w:eastAsia="Arial" w:cs="Arial"/>
                <w:spacing w:val="-4"/>
                <w:sz w:val="18"/>
                <w:szCs w:val="18"/>
                <w:lang w:val="it-IT"/>
              </w:rPr>
              <w:t>28.8</w:t>
            </w:r>
          </w:p>
        </w:tc>
        <w:tc>
          <w:tcPr>
            <w:tcW w:w="844" w:type="dxa"/>
          </w:tcPr>
          <w:p w:rsidR="00B32F1A" w:rsidRPr="00B32F1A" w:rsidRDefault="00B32F1A" w:rsidP="00B32F1A">
            <w:pPr>
              <w:spacing w:before="32"/>
              <w:ind w:left="50" w:right="118"/>
              <w:jc w:val="both"/>
              <w:rPr>
                <w:rFonts w:eastAsia="Arial" w:cs="Arial"/>
                <w:sz w:val="18"/>
                <w:szCs w:val="18"/>
                <w:lang w:val="it-IT"/>
              </w:rPr>
            </w:pPr>
            <w:r w:rsidRPr="00B32F1A">
              <w:rPr>
                <w:rFonts w:eastAsia="Arial" w:cs="Arial"/>
                <w:spacing w:val="-4"/>
                <w:sz w:val="18"/>
                <w:szCs w:val="18"/>
                <w:lang w:val="it-IT"/>
              </w:rPr>
              <w:t>28.0</w:t>
            </w:r>
          </w:p>
        </w:tc>
        <w:tc>
          <w:tcPr>
            <w:tcW w:w="567" w:type="dxa"/>
          </w:tcPr>
          <w:p w:rsidR="00B32F1A" w:rsidRPr="00B32F1A" w:rsidRDefault="00B32F1A" w:rsidP="00B32F1A">
            <w:pPr>
              <w:spacing w:before="32"/>
              <w:ind w:right="12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10"/>
                <w:sz w:val="18"/>
                <w:szCs w:val="18"/>
                <w:lang w:val="it-IT"/>
              </w:rPr>
              <w:t>1</w:t>
            </w:r>
          </w:p>
        </w:tc>
        <w:tc>
          <w:tcPr>
            <w:tcW w:w="667" w:type="dxa"/>
            <w:tcBorders>
              <w:right w:val="single" w:sz="4" w:space="0" w:color="000000"/>
            </w:tcBorders>
          </w:tcPr>
          <w:p w:rsidR="00B32F1A" w:rsidRPr="00B32F1A" w:rsidRDefault="00B32F1A" w:rsidP="00B32F1A">
            <w:pPr>
              <w:spacing w:before="32"/>
              <w:ind w:right="62"/>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2.8%</w:t>
            </w:r>
          </w:p>
        </w:tc>
        <w:tc>
          <w:tcPr>
            <w:tcW w:w="746" w:type="dxa"/>
            <w:tcBorders>
              <w:left w:val="single" w:sz="4" w:space="0" w:color="000000"/>
            </w:tcBorders>
          </w:tcPr>
          <w:p w:rsidR="00B32F1A" w:rsidRPr="00B32F1A" w:rsidRDefault="00B32F1A" w:rsidP="00B32F1A">
            <w:pPr>
              <w:spacing w:before="32"/>
              <w:ind w:right="91"/>
              <w:jc w:val="center"/>
              <w:rPr>
                <w:rFonts w:eastAsia="Arial" w:cs="Arial"/>
                <w:sz w:val="18"/>
                <w:szCs w:val="18"/>
                <w:lang w:val="it-IT"/>
              </w:rPr>
            </w:pPr>
            <w:r w:rsidRPr="00B32F1A">
              <w:rPr>
                <w:rFonts w:eastAsia="Arial" w:cs="Arial"/>
                <w:spacing w:val="-2"/>
                <w:sz w:val="18"/>
                <w:szCs w:val="18"/>
                <w:lang w:val="it-IT"/>
              </w:rPr>
              <w:t>2'215</w:t>
            </w:r>
          </w:p>
        </w:tc>
        <w:tc>
          <w:tcPr>
            <w:tcW w:w="724" w:type="dxa"/>
          </w:tcPr>
          <w:p w:rsidR="00B32F1A" w:rsidRPr="00B32F1A" w:rsidRDefault="00B32F1A" w:rsidP="00B32F1A">
            <w:pPr>
              <w:spacing w:before="32"/>
              <w:ind w:right="90"/>
              <w:jc w:val="center"/>
              <w:rPr>
                <w:rFonts w:eastAsia="Arial" w:cs="Arial"/>
                <w:sz w:val="18"/>
                <w:szCs w:val="18"/>
                <w:lang w:val="it-IT"/>
              </w:rPr>
            </w:pPr>
            <w:r w:rsidRPr="00B32F1A">
              <w:rPr>
                <w:rFonts w:eastAsia="Arial" w:cs="Arial"/>
                <w:spacing w:val="-2"/>
                <w:sz w:val="18"/>
                <w:szCs w:val="18"/>
                <w:lang w:val="it-IT"/>
              </w:rPr>
              <w:t>2'056</w:t>
            </w:r>
          </w:p>
        </w:tc>
        <w:tc>
          <w:tcPr>
            <w:tcW w:w="738" w:type="dxa"/>
          </w:tcPr>
          <w:p w:rsidR="00B32F1A" w:rsidRPr="00B32F1A" w:rsidRDefault="00B32F1A" w:rsidP="00B32F1A">
            <w:pPr>
              <w:spacing w:before="32"/>
              <w:ind w:right="10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5"/>
                <w:sz w:val="18"/>
                <w:szCs w:val="18"/>
                <w:lang w:val="it-IT"/>
              </w:rPr>
              <w:t>159</w:t>
            </w:r>
          </w:p>
        </w:tc>
        <w:tc>
          <w:tcPr>
            <w:tcW w:w="686" w:type="dxa"/>
          </w:tcPr>
          <w:p w:rsidR="00B32F1A" w:rsidRPr="00B32F1A" w:rsidRDefault="00B32F1A" w:rsidP="00B32F1A">
            <w:pPr>
              <w:spacing w:before="32"/>
              <w:ind w:right="70"/>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7.2%</w:t>
            </w:r>
          </w:p>
        </w:tc>
      </w:tr>
      <w:tr w:rsidR="00B32F1A" w:rsidRPr="00B32F1A" w:rsidTr="00D57EB5">
        <w:trPr>
          <w:trHeight w:val="284"/>
        </w:trPr>
        <w:tc>
          <w:tcPr>
            <w:tcW w:w="965" w:type="dxa"/>
            <w:tcBorders>
              <w:right w:val="single" w:sz="4" w:space="0" w:color="000000"/>
            </w:tcBorders>
          </w:tcPr>
          <w:p w:rsidR="00B32F1A" w:rsidRPr="00B32F1A" w:rsidRDefault="00B32F1A" w:rsidP="00B32F1A">
            <w:pPr>
              <w:spacing w:before="35"/>
              <w:ind w:left="69"/>
              <w:rPr>
                <w:rFonts w:eastAsia="Arial" w:cs="Arial"/>
                <w:sz w:val="18"/>
                <w:szCs w:val="18"/>
                <w:lang w:val="it-IT"/>
              </w:rPr>
            </w:pPr>
            <w:r w:rsidRPr="00B32F1A">
              <w:rPr>
                <w:rFonts w:eastAsia="Arial" w:cs="Arial"/>
                <w:sz w:val="18"/>
                <w:szCs w:val="18"/>
                <w:lang w:val="it-IT"/>
              </w:rPr>
              <w:t>40­</w:t>
            </w:r>
            <w:r w:rsidRPr="00B32F1A">
              <w:rPr>
                <w:rFonts w:eastAsia="Arial" w:cs="Arial"/>
                <w:spacing w:val="-5"/>
                <w:sz w:val="18"/>
                <w:szCs w:val="18"/>
                <w:lang w:val="it-IT"/>
              </w:rPr>
              <w:t>59</w:t>
            </w:r>
          </w:p>
        </w:tc>
        <w:tc>
          <w:tcPr>
            <w:tcW w:w="792" w:type="dxa"/>
            <w:tcBorders>
              <w:left w:val="single" w:sz="4" w:space="0" w:color="000000"/>
            </w:tcBorders>
          </w:tcPr>
          <w:p w:rsidR="00B32F1A" w:rsidRPr="00B32F1A" w:rsidRDefault="00B32F1A" w:rsidP="00B32F1A">
            <w:pPr>
              <w:spacing w:before="35"/>
              <w:ind w:right="137"/>
              <w:jc w:val="center"/>
              <w:rPr>
                <w:rFonts w:eastAsia="Arial" w:cs="Arial"/>
                <w:sz w:val="18"/>
                <w:szCs w:val="18"/>
                <w:lang w:val="it-IT"/>
              </w:rPr>
            </w:pPr>
            <w:r w:rsidRPr="00B32F1A">
              <w:rPr>
                <w:rFonts w:eastAsia="Arial" w:cs="Arial"/>
                <w:spacing w:val="-5"/>
                <w:sz w:val="18"/>
                <w:szCs w:val="18"/>
                <w:lang w:val="it-IT"/>
              </w:rPr>
              <w:t>475</w:t>
            </w:r>
          </w:p>
        </w:tc>
        <w:tc>
          <w:tcPr>
            <w:tcW w:w="796" w:type="dxa"/>
          </w:tcPr>
          <w:p w:rsidR="00B32F1A" w:rsidRPr="00B32F1A" w:rsidRDefault="00B32F1A" w:rsidP="00B32F1A">
            <w:pPr>
              <w:spacing w:before="35"/>
              <w:ind w:right="208"/>
              <w:jc w:val="center"/>
              <w:rPr>
                <w:rFonts w:eastAsia="Arial" w:cs="Arial"/>
                <w:sz w:val="18"/>
                <w:szCs w:val="18"/>
                <w:lang w:val="it-IT"/>
              </w:rPr>
            </w:pPr>
            <w:r w:rsidRPr="00B32F1A">
              <w:rPr>
                <w:rFonts w:eastAsia="Arial" w:cs="Arial"/>
                <w:spacing w:val="-5"/>
                <w:sz w:val="18"/>
                <w:szCs w:val="18"/>
                <w:lang w:val="it-IT"/>
              </w:rPr>
              <w:t>397</w:t>
            </w:r>
          </w:p>
        </w:tc>
        <w:tc>
          <w:tcPr>
            <w:tcW w:w="617" w:type="dxa"/>
          </w:tcPr>
          <w:p w:rsidR="00B32F1A" w:rsidRPr="00B32F1A" w:rsidRDefault="00B32F1A" w:rsidP="00B32F1A">
            <w:pPr>
              <w:spacing w:before="35"/>
              <w:ind w:right="103"/>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5"/>
                <w:sz w:val="18"/>
                <w:szCs w:val="18"/>
                <w:lang w:val="it-IT"/>
              </w:rPr>
              <w:t>78</w:t>
            </w:r>
          </w:p>
        </w:tc>
        <w:tc>
          <w:tcPr>
            <w:tcW w:w="685" w:type="dxa"/>
            <w:tcBorders>
              <w:right w:val="single" w:sz="4" w:space="0" w:color="000000"/>
            </w:tcBorders>
          </w:tcPr>
          <w:p w:rsidR="00B32F1A" w:rsidRPr="00B32F1A" w:rsidRDefault="00B32F1A" w:rsidP="00B32F1A">
            <w:pPr>
              <w:spacing w:before="35"/>
              <w:ind w:right="60"/>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2"/>
                <w:sz w:val="18"/>
                <w:szCs w:val="18"/>
                <w:lang w:val="it-IT"/>
              </w:rPr>
              <w:t>16.4%</w:t>
            </w:r>
          </w:p>
        </w:tc>
        <w:tc>
          <w:tcPr>
            <w:tcW w:w="816" w:type="dxa"/>
            <w:tcBorders>
              <w:left w:val="single" w:sz="4" w:space="0" w:color="000000"/>
            </w:tcBorders>
          </w:tcPr>
          <w:p w:rsidR="00B32F1A" w:rsidRPr="00B32F1A" w:rsidRDefault="00B32F1A" w:rsidP="00B32F1A">
            <w:pPr>
              <w:spacing w:before="35"/>
              <w:ind w:left="134"/>
              <w:jc w:val="both"/>
              <w:rPr>
                <w:rFonts w:eastAsia="Arial" w:cs="Arial"/>
                <w:sz w:val="18"/>
                <w:szCs w:val="18"/>
                <w:lang w:val="it-IT"/>
              </w:rPr>
            </w:pPr>
            <w:r w:rsidRPr="00B32F1A">
              <w:rPr>
                <w:rFonts w:eastAsia="Arial" w:cs="Arial"/>
                <w:spacing w:val="-4"/>
                <w:sz w:val="18"/>
                <w:szCs w:val="18"/>
                <w:lang w:val="it-IT"/>
              </w:rPr>
              <w:t>29.3</w:t>
            </w:r>
          </w:p>
        </w:tc>
        <w:tc>
          <w:tcPr>
            <w:tcW w:w="844" w:type="dxa"/>
          </w:tcPr>
          <w:p w:rsidR="00B32F1A" w:rsidRPr="00B32F1A" w:rsidRDefault="00B32F1A" w:rsidP="00B32F1A">
            <w:pPr>
              <w:spacing w:before="35"/>
              <w:ind w:left="50" w:right="118"/>
              <w:jc w:val="both"/>
              <w:rPr>
                <w:rFonts w:eastAsia="Arial" w:cs="Arial"/>
                <w:sz w:val="18"/>
                <w:szCs w:val="18"/>
                <w:lang w:val="it-IT"/>
              </w:rPr>
            </w:pPr>
            <w:r w:rsidRPr="00B32F1A">
              <w:rPr>
                <w:rFonts w:eastAsia="Arial" w:cs="Arial"/>
                <w:spacing w:val="-4"/>
                <w:sz w:val="18"/>
                <w:szCs w:val="18"/>
                <w:lang w:val="it-IT"/>
              </w:rPr>
              <w:t>28.1</w:t>
            </w:r>
          </w:p>
        </w:tc>
        <w:tc>
          <w:tcPr>
            <w:tcW w:w="567" w:type="dxa"/>
          </w:tcPr>
          <w:p w:rsidR="00B32F1A" w:rsidRPr="00B32F1A" w:rsidRDefault="00B32F1A" w:rsidP="00B32F1A">
            <w:pPr>
              <w:spacing w:before="35"/>
              <w:ind w:right="12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10"/>
                <w:sz w:val="18"/>
                <w:szCs w:val="18"/>
                <w:lang w:val="it-IT"/>
              </w:rPr>
              <w:t>1</w:t>
            </w:r>
          </w:p>
        </w:tc>
        <w:tc>
          <w:tcPr>
            <w:tcW w:w="667" w:type="dxa"/>
            <w:tcBorders>
              <w:right w:val="single" w:sz="4" w:space="0" w:color="000000"/>
            </w:tcBorders>
          </w:tcPr>
          <w:p w:rsidR="00B32F1A" w:rsidRPr="00B32F1A" w:rsidRDefault="00B32F1A" w:rsidP="00B32F1A">
            <w:pPr>
              <w:spacing w:before="35"/>
              <w:ind w:right="62"/>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3.9%</w:t>
            </w:r>
          </w:p>
        </w:tc>
        <w:tc>
          <w:tcPr>
            <w:tcW w:w="746" w:type="dxa"/>
            <w:tcBorders>
              <w:left w:val="single" w:sz="4" w:space="0" w:color="000000"/>
            </w:tcBorders>
          </w:tcPr>
          <w:p w:rsidR="00B32F1A" w:rsidRPr="00B32F1A" w:rsidRDefault="00B32F1A" w:rsidP="00B32F1A">
            <w:pPr>
              <w:spacing w:before="35"/>
              <w:ind w:right="91"/>
              <w:jc w:val="center"/>
              <w:rPr>
                <w:rFonts w:eastAsia="Arial" w:cs="Arial"/>
                <w:sz w:val="18"/>
                <w:szCs w:val="18"/>
                <w:lang w:val="it-IT"/>
              </w:rPr>
            </w:pPr>
            <w:r w:rsidRPr="00B32F1A">
              <w:rPr>
                <w:rFonts w:eastAsia="Arial" w:cs="Arial"/>
                <w:spacing w:val="-2"/>
                <w:sz w:val="18"/>
                <w:szCs w:val="18"/>
                <w:lang w:val="it-IT"/>
              </w:rPr>
              <w:t>13'912</w:t>
            </w:r>
          </w:p>
        </w:tc>
        <w:tc>
          <w:tcPr>
            <w:tcW w:w="724" w:type="dxa"/>
          </w:tcPr>
          <w:p w:rsidR="00B32F1A" w:rsidRPr="00B32F1A" w:rsidRDefault="00B32F1A" w:rsidP="00B32F1A">
            <w:pPr>
              <w:spacing w:before="35"/>
              <w:ind w:right="90"/>
              <w:jc w:val="center"/>
              <w:rPr>
                <w:rFonts w:eastAsia="Arial" w:cs="Arial"/>
                <w:sz w:val="18"/>
                <w:szCs w:val="18"/>
                <w:lang w:val="it-IT"/>
              </w:rPr>
            </w:pPr>
            <w:r w:rsidRPr="00B32F1A">
              <w:rPr>
                <w:rFonts w:eastAsia="Arial" w:cs="Arial"/>
                <w:spacing w:val="-2"/>
                <w:sz w:val="18"/>
                <w:szCs w:val="18"/>
                <w:lang w:val="it-IT"/>
              </w:rPr>
              <w:t>11'185</w:t>
            </w:r>
          </w:p>
        </w:tc>
        <w:tc>
          <w:tcPr>
            <w:tcW w:w="738" w:type="dxa"/>
          </w:tcPr>
          <w:p w:rsidR="00B32F1A" w:rsidRPr="00B32F1A" w:rsidRDefault="00B32F1A" w:rsidP="00B32F1A">
            <w:pPr>
              <w:spacing w:before="35"/>
              <w:ind w:right="10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2"/>
                <w:sz w:val="18"/>
                <w:szCs w:val="18"/>
                <w:lang w:val="it-IT"/>
              </w:rPr>
              <w:t>2'727</w:t>
            </w:r>
          </w:p>
        </w:tc>
        <w:tc>
          <w:tcPr>
            <w:tcW w:w="686" w:type="dxa"/>
          </w:tcPr>
          <w:p w:rsidR="00B32F1A" w:rsidRPr="00B32F1A" w:rsidRDefault="00B32F1A" w:rsidP="00B32F1A">
            <w:pPr>
              <w:spacing w:before="35"/>
              <w:ind w:right="69"/>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2"/>
                <w:sz w:val="18"/>
                <w:szCs w:val="18"/>
                <w:lang w:val="it-IT"/>
              </w:rPr>
              <w:t>19.6%</w:t>
            </w:r>
          </w:p>
        </w:tc>
      </w:tr>
      <w:tr w:rsidR="00B32F1A" w:rsidRPr="00B32F1A" w:rsidTr="00D57EB5">
        <w:trPr>
          <w:trHeight w:val="284"/>
        </w:trPr>
        <w:tc>
          <w:tcPr>
            <w:tcW w:w="965" w:type="dxa"/>
            <w:tcBorders>
              <w:right w:val="single" w:sz="4" w:space="0" w:color="000000"/>
            </w:tcBorders>
          </w:tcPr>
          <w:p w:rsidR="00B32F1A" w:rsidRPr="00B32F1A" w:rsidRDefault="00B32F1A" w:rsidP="00B32F1A">
            <w:pPr>
              <w:spacing w:before="36"/>
              <w:ind w:left="69"/>
              <w:rPr>
                <w:rFonts w:eastAsia="Arial" w:cs="Arial"/>
                <w:sz w:val="18"/>
                <w:szCs w:val="18"/>
                <w:lang w:val="it-IT"/>
              </w:rPr>
            </w:pPr>
            <w:r w:rsidRPr="00B32F1A">
              <w:rPr>
                <w:rFonts w:eastAsia="Arial" w:cs="Arial"/>
                <w:sz w:val="18"/>
                <w:szCs w:val="18"/>
                <w:lang w:val="it-IT"/>
              </w:rPr>
              <w:t>60­</w:t>
            </w:r>
            <w:r w:rsidRPr="00B32F1A">
              <w:rPr>
                <w:rFonts w:eastAsia="Arial" w:cs="Arial"/>
                <w:spacing w:val="-5"/>
                <w:sz w:val="18"/>
                <w:szCs w:val="18"/>
                <w:lang w:val="it-IT"/>
              </w:rPr>
              <w:t>74</w:t>
            </w:r>
          </w:p>
        </w:tc>
        <w:tc>
          <w:tcPr>
            <w:tcW w:w="792" w:type="dxa"/>
            <w:tcBorders>
              <w:left w:val="single" w:sz="4" w:space="0" w:color="000000"/>
            </w:tcBorders>
          </w:tcPr>
          <w:p w:rsidR="00B32F1A" w:rsidRPr="00B32F1A" w:rsidRDefault="00B32F1A" w:rsidP="00B32F1A">
            <w:pPr>
              <w:spacing w:before="36"/>
              <w:ind w:right="137"/>
              <w:jc w:val="center"/>
              <w:rPr>
                <w:rFonts w:eastAsia="Arial" w:cs="Arial"/>
                <w:sz w:val="18"/>
                <w:szCs w:val="18"/>
                <w:lang w:val="it-IT"/>
              </w:rPr>
            </w:pPr>
            <w:r w:rsidRPr="00B32F1A">
              <w:rPr>
                <w:rFonts w:eastAsia="Arial" w:cs="Arial"/>
                <w:spacing w:val="-5"/>
                <w:sz w:val="18"/>
                <w:szCs w:val="18"/>
                <w:lang w:val="it-IT"/>
              </w:rPr>
              <w:t>990</w:t>
            </w:r>
          </w:p>
        </w:tc>
        <w:tc>
          <w:tcPr>
            <w:tcW w:w="796" w:type="dxa"/>
          </w:tcPr>
          <w:p w:rsidR="00B32F1A" w:rsidRPr="00B32F1A" w:rsidRDefault="00B32F1A" w:rsidP="00B32F1A">
            <w:pPr>
              <w:spacing w:before="36"/>
              <w:ind w:right="208"/>
              <w:jc w:val="center"/>
              <w:rPr>
                <w:rFonts w:eastAsia="Arial" w:cs="Arial"/>
                <w:sz w:val="18"/>
                <w:szCs w:val="18"/>
                <w:lang w:val="it-IT"/>
              </w:rPr>
            </w:pPr>
            <w:r w:rsidRPr="00B32F1A">
              <w:rPr>
                <w:rFonts w:eastAsia="Arial" w:cs="Arial"/>
                <w:spacing w:val="-2"/>
                <w:sz w:val="18"/>
                <w:szCs w:val="18"/>
                <w:lang w:val="it-IT"/>
              </w:rPr>
              <w:t>1'208</w:t>
            </w:r>
          </w:p>
        </w:tc>
        <w:tc>
          <w:tcPr>
            <w:tcW w:w="617" w:type="dxa"/>
          </w:tcPr>
          <w:p w:rsidR="00B32F1A" w:rsidRPr="00B32F1A" w:rsidRDefault="00B32F1A" w:rsidP="00B32F1A">
            <w:pPr>
              <w:spacing w:before="36"/>
              <w:ind w:right="103"/>
              <w:jc w:val="center"/>
              <w:rPr>
                <w:rFonts w:eastAsia="Arial" w:cs="Arial"/>
                <w:sz w:val="18"/>
                <w:szCs w:val="18"/>
                <w:lang w:val="it-IT"/>
              </w:rPr>
            </w:pPr>
            <w:r w:rsidRPr="00B32F1A">
              <w:rPr>
                <w:rFonts w:eastAsia="Arial" w:cs="Arial"/>
                <w:spacing w:val="-5"/>
                <w:sz w:val="18"/>
                <w:szCs w:val="18"/>
                <w:lang w:val="it-IT"/>
              </w:rPr>
              <w:t>218</w:t>
            </w:r>
          </w:p>
        </w:tc>
        <w:tc>
          <w:tcPr>
            <w:tcW w:w="685" w:type="dxa"/>
            <w:tcBorders>
              <w:right w:val="single" w:sz="4" w:space="0" w:color="000000"/>
            </w:tcBorders>
          </w:tcPr>
          <w:p w:rsidR="00B32F1A" w:rsidRPr="00B32F1A" w:rsidRDefault="00B32F1A" w:rsidP="00B32F1A">
            <w:pPr>
              <w:spacing w:before="36"/>
              <w:ind w:right="60"/>
              <w:jc w:val="center"/>
              <w:rPr>
                <w:rFonts w:eastAsia="Arial" w:cs="Arial"/>
                <w:sz w:val="18"/>
                <w:szCs w:val="18"/>
                <w:lang w:val="it-IT"/>
              </w:rPr>
            </w:pPr>
            <w:r w:rsidRPr="00B32F1A">
              <w:rPr>
                <w:rFonts w:eastAsia="Arial" w:cs="Arial"/>
                <w:spacing w:val="-2"/>
                <w:sz w:val="18"/>
                <w:szCs w:val="18"/>
                <w:lang w:val="it-IT"/>
              </w:rPr>
              <w:t>22.0%</w:t>
            </w:r>
          </w:p>
        </w:tc>
        <w:tc>
          <w:tcPr>
            <w:tcW w:w="816" w:type="dxa"/>
            <w:tcBorders>
              <w:left w:val="single" w:sz="4" w:space="0" w:color="000000"/>
            </w:tcBorders>
          </w:tcPr>
          <w:p w:rsidR="00B32F1A" w:rsidRPr="00B32F1A" w:rsidRDefault="00B32F1A" w:rsidP="00B32F1A">
            <w:pPr>
              <w:spacing w:before="36"/>
              <w:ind w:left="134"/>
              <w:jc w:val="both"/>
              <w:rPr>
                <w:rFonts w:eastAsia="Arial" w:cs="Arial"/>
                <w:sz w:val="18"/>
                <w:szCs w:val="18"/>
                <w:lang w:val="it-IT"/>
              </w:rPr>
            </w:pPr>
            <w:r w:rsidRPr="00B32F1A">
              <w:rPr>
                <w:rFonts w:eastAsia="Arial" w:cs="Arial"/>
                <w:spacing w:val="-4"/>
                <w:sz w:val="18"/>
                <w:szCs w:val="18"/>
                <w:lang w:val="it-IT"/>
              </w:rPr>
              <w:t>27.3</w:t>
            </w:r>
          </w:p>
        </w:tc>
        <w:tc>
          <w:tcPr>
            <w:tcW w:w="844" w:type="dxa"/>
          </w:tcPr>
          <w:p w:rsidR="00B32F1A" w:rsidRPr="00B32F1A" w:rsidRDefault="00B32F1A" w:rsidP="00B32F1A">
            <w:pPr>
              <w:spacing w:before="36"/>
              <w:ind w:left="50" w:right="118"/>
              <w:jc w:val="both"/>
              <w:rPr>
                <w:rFonts w:eastAsia="Arial" w:cs="Arial"/>
                <w:sz w:val="18"/>
                <w:szCs w:val="18"/>
                <w:lang w:val="it-IT"/>
              </w:rPr>
            </w:pPr>
            <w:r w:rsidRPr="00B32F1A">
              <w:rPr>
                <w:rFonts w:eastAsia="Arial" w:cs="Arial"/>
                <w:spacing w:val="-4"/>
                <w:sz w:val="18"/>
                <w:szCs w:val="18"/>
                <w:lang w:val="it-IT"/>
              </w:rPr>
              <w:t>26.5</w:t>
            </w:r>
          </w:p>
        </w:tc>
        <w:tc>
          <w:tcPr>
            <w:tcW w:w="567" w:type="dxa"/>
          </w:tcPr>
          <w:p w:rsidR="00B32F1A" w:rsidRPr="00B32F1A" w:rsidRDefault="00B32F1A" w:rsidP="00B32F1A">
            <w:pPr>
              <w:spacing w:before="36"/>
              <w:ind w:right="12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10"/>
                <w:sz w:val="18"/>
                <w:szCs w:val="18"/>
                <w:lang w:val="it-IT"/>
              </w:rPr>
              <w:t>1</w:t>
            </w:r>
          </w:p>
        </w:tc>
        <w:tc>
          <w:tcPr>
            <w:tcW w:w="667" w:type="dxa"/>
            <w:tcBorders>
              <w:right w:val="single" w:sz="4" w:space="0" w:color="000000"/>
            </w:tcBorders>
          </w:tcPr>
          <w:p w:rsidR="00B32F1A" w:rsidRPr="00B32F1A" w:rsidRDefault="00B32F1A" w:rsidP="00B32F1A">
            <w:pPr>
              <w:spacing w:before="36"/>
              <w:ind w:right="62"/>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2.9%</w:t>
            </w:r>
          </w:p>
        </w:tc>
        <w:tc>
          <w:tcPr>
            <w:tcW w:w="746" w:type="dxa"/>
            <w:tcBorders>
              <w:left w:val="single" w:sz="4" w:space="0" w:color="000000"/>
            </w:tcBorders>
          </w:tcPr>
          <w:p w:rsidR="00B32F1A" w:rsidRPr="00B32F1A" w:rsidRDefault="00B32F1A" w:rsidP="00B32F1A">
            <w:pPr>
              <w:spacing w:before="36"/>
              <w:ind w:right="91"/>
              <w:jc w:val="center"/>
              <w:rPr>
                <w:rFonts w:eastAsia="Arial" w:cs="Arial"/>
                <w:sz w:val="18"/>
                <w:szCs w:val="18"/>
                <w:lang w:val="it-IT"/>
              </w:rPr>
            </w:pPr>
            <w:r w:rsidRPr="00B32F1A">
              <w:rPr>
                <w:rFonts w:eastAsia="Arial" w:cs="Arial"/>
                <w:spacing w:val="-2"/>
                <w:sz w:val="18"/>
                <w:szCs w:val="18"/>
                <w:lang w:val="it-IT"/>
              </w:rPr>
              <w:t>27'020</w:t>
            </w:r>
          </w:p>
        </w:tc>
        <w:tc>
          <w:tcPr>
            <w:tcW w:w="724" w:type="dxa"/>
          </w:tcPr>
          <w:p w:rsidR="00B32F1A" w:rsidRPr="00B32F1A" w:rsidRDefault="00B32F1A" w:rsidP="00B32F1A">
            <w:pPr>
              <w:spacing w:before="36"/>
              <w:ind w:right="90"/>
              <w:jc w:val="center"/>
              <w:rPr>
                <w:rFonts w:eastAsia="Arial" w:cs="Arial"/>
                <w:sz w:val="18"/>
                <w:szCs w:val="18"/>
                <w:lang w:val="it-IT"/>
              </w:rPr>
            </w:pPr>
            <w:r w:rsidRPr="00B32F1A">
              <w:rPr>
                <w:rFonts w:eastAsia="Arial" w:cs="Arial"/>
                <w:spacing w:val="-2"/>
                <w:sz w:val="18"/>
                <w:szCs w:val="18"/>
                <w:lang w:val="it-IT"/>
              </w:rPr>
              <w:t>32'026</w:t>
            </w:r>
          </w:p>
        </w:tc>
        <w:tc>
          <w:tcPr>
            <w:tcW w:w="738" w:type="dxa"/>
          </w:tcPr>
          <w:p w:rsidR="00B32F1A" w:rsidRPr="00B32F1A" w:rsidRDefault="00B32F1A" w:rsidP="00B32F1A">
            <w:pPr>
              <w:spacing w:before="36"/>
              <w:ind w:right="106"/>
              <w:jc w:val="center"/>
              <w:rPr>
                <w:rFonts w:eastAsia="Arial" w:cs="Arial"/>
                <w:sz w:val="18"/>
                <w:szCs w:val="18"/>
                <w:lang w:val="it-IT"/>
              </w:rPr>
            </w:pPr>
            <w:r w:rsidRPr="00B32F1A">
              <w:rPr>
                <w:rFonts w:eastAsia="Arial" w:cs="Arial"/>
                <w:spacing w:val="-2"/>
                <w:sz w:val="18"/>
                <w:szCs w:val="18"/>
                <w:lang w:val="it-IT"/>
              </w:rPr>
              <w:t>5'006</w:t>
            </w:r>
          </w:p>
        </w:tc>
        <w:tc>
          <w:tcPr>
            <w:tcW w:w="686" w:type="dxa"/>
          </w:tcPr>
          <w:p w:rsidR="00B32F1A" w:rsidRPr="00B32F1A" w:rsidRDefault="00B32F1A" w:rsidP="00B32F1A">
            <w:pPr>
              <w:spacing w:before="36"/>
              <w:ind w:right="69"/>
              <w:jc w:val="center"/>
              <w:rPr>
                <w:rFonts w:eastAsia="Arial" w:cs="Arial"/>
                <w:sz w:val="18"/>
                <w:szCs w:val="18"/>
                <w:lang w:val="it-IT"/>
              </w:rPr>
            </w:pPr>
            <w:r w:rsidRPr="00B32F1A">
              <w:rPr>
                <w:rFonts w:eastAsia="Arial" w:cs="Arial"/>
                <w:spacing w:val="-2"/>
                <w:sz w:val="18"/>
                <w:szCs w:val="18"/>
                <w:lang w:val="it-IT"/>
              </w:rPr>
              <w:t>18.5%</w:t>
            </w:r>
          </w:p>
        </w:tc>
      </w:tr>
      <w:tr w:rsidR="00B32F1A" w:rsidRPr="00B32F1A" w:rsidTr="00D57EB5">
        <w:trPr>
          <w:trHeight w:val="280"/>
        </w:trPr>
        <w:tc>
          <w:tcPr>
            <w:tcW w:w="965" w:type="dxa"/>
            <w:tcBorders>
              <w:bottom w:val="single" w:sz="4" w:space="0" w:color="000000"/>
              <w:right w:val="single" w:sz="4" w:space="0" w:color="000000"/>
            </w:tcBorders>
          </w:tcPr>
          <w:p w:rsidR="00B32F1A" w:rsidRPr="00B32F1A" w:rsidRDefault="00B32F1A" w:rsidP="00B32F1A">
            <w:pPr>
              <w:spacing w:before="35"/>
              <w:ind w:left="69"/>
              <w:rPr>
                <w:rFonts w:eastAsia="Arial" w:cs="Arial"/>
                <w:sz w:val="18"/>
                <w:szCs w:val="18"/>
                <w:lang w:val="it-IT"/>
              </w:rPr>
            </w:pPr>
            <w:r w:rsidRPr="00B32F1A">
              <w:rPr>
                <w:rFonts w:eastAsia="Arial" w:cs="Arial"/>
                <w:spacing w:val="-5"/>
                <w:sz w:val="18"/>
                <w:szCs w:val="18"/>
                <w:lang w:val="it-IT"/>
              </w:rPr>
              <w:t>+75</w:t>
            </w:r>
          </w:p>
        </w:tc>
        <w:tc>
          <w:tcPr>
            <w:tcW w:w="792" w:type="dxa"/>
            <w:tcBorders>
              <w:left w:val="single" w:sz="4" w:space="0" w:color="000000"/>
              <w:bottom w:val="single" w:sz="4" w:space="0" w:color="000000"/>
            </w:tcBorders>
          </w:tcPr>
          <w:p w:rsidR="00B32F1A" w:rsidRPr="00B32F1A" w:rsidRDefault="00B32F1A" w:rsidP="00B32F1A">
            <w:pPr>
              <w:spacing w:before="35"/>
              <w:ind w:right="137"/>
              <w:jc w:val="center"/>
              <w:rPr>
                <w:rFonts w:eastAsia="Arial" w:cs="Arial"/>
                <w:sz w:val="18"/>
                <w:szCs w:val="18"/>
                <w:lang w:val="it-IT"/>
              </w:rPr>
            </w:pPr>
            <w:r w:rsidRPr="00B32F1A">
              <w:rPr>
                <w:rFonts w:eastAsia="Arial" w:cs="Arial"/>
                <w:spacing w:val="-2"/>
                <w:sz w:val="18"/>
                <w:szCs w:val="18"/>
                <w:lang w:val="it-IT"/>
              </w:rPr>
              <w:t>1'480</w:t>
            </w:r>
          </w:p>
        </w:tc>
        <w:tc>
          <w:tcPr>
            <w:tcW w:w="796" w:type="dxa"/>
            <w:tcBorders>
              <w:bottom w:val="single" w:sz="4" w:space="0" w:color="000000"/>
            </w:tcBorders>
          </w:tcPr>
          <w:p w:rsidR="00B32F1A" w:rsidRPr="00B32F1A" w:rsidRDefault="00B32F1A" w:rsidP="00B32F1A">
            <w:pPr>
              <w:spacing w:before="35"/>
              <w:ind w:right="208"/>
              <w:jc w:val="center"/>
              <w:rPr>
                <w:rFonts w:eastAsia="Arial" w:cs="Arial"/>
                <w:sz w:val="18"/>
                <w:szCs w:val="18"/>
                <w:lang w:val="it-IT"/>
              </w:rPr>
            </w:pPr>
            <w:r w:rsidRPr="00B32F1A">
              <w:rPr>
                <w:rFonts w:eastAsia="Arial" w:cs="Arial"/>
                <w:spacing w:val="-2"/>
                <w:sz w:val="18"/>
                <w:szCs w:val="18"/>
                <w:lang w:val="it-IT"/>
              </w:rPr>
              <w:t>1'933</w:t>
            </w:r>
          </w:p>
        </w:tc>
        <w:tc>
          <w:tcPr>
            <w:tcW w:w="617" w:type="dxa"/>
            <w:tcBorders>
              <w:bottom w:val="single" w:sz="4" w:space="0" w:color="000000"/>
            </w:tcBorders>
          </w:tcPr>
          <w:p w:rsidR="00B32F1A" w:rsidRPr="00B32F1A" w:rsidRDefault="00B32F1A" w:rsidP="00B32F1A">
            <w:pPr>
              <w:spacing w:before="35"/>
              <w:ind w:right="103"/>
              <w:jc w:val="center"/>
              <w:rPr>
                <w:rFonts w:eastAsia="Arial" w:cs="Arial"/>
                <w:sz w:val="18"/>
                <w:szCs w:val="18"/>
                <w:lang w:val="it-IT"/>
              </w:rPr>
            </w:pPr>
            <w:r w:rsidRPr="00B32F1A">
              <w:rPr>
                <w:rFonts w:eastAsia="Arial" w:cs="Arial"/>
                <w:spacing w:val="-5"/>
                <w:sz w:val="18"/>
                <w:szCs w:val="18"/>
                <w:lang w:val="it-IT"/>
              </w:rPr>
              <w:t>453</w:t>
            </w:r>
          </w:p>
        </w:tc>
        <w:tc>
          <w:tcPr>
            <w:tcW w:w="685" w:type="dxa"/>
            <w:tcBorders>
              <w:bottom w:val="single" w:sz="4" w:space="0" w:color="000000"/>
              <w:right w:val="single" w:sz="4" w:space="0" w:color="000000"/>
            </w:tcBorders>
          </w:tcPr>
          <w:p w:rsidR="00B32F1A" w:rsidRPr="00B32F1A" w:rsidRDefault="00B32F1A" w:rsidP="00B32F1A">
            <w:pPr>
              <w:spacing w:before="35"/>
              <w:ind w:right="60"/>
              <w:jc w:val="center"/>
              <w:rPr>
                <w:rFonts w:eastAsia="Arial" w:cs="Arial"/>
                <w:sz w:val="18"/>
                <w:szCs w:val="18"/>
                <w:lang w:val="it-IT"/>
              </w:rPr>
            </w:pPr>
            <w:r w:rsidRPr="00B32F1A">
              <w:rPr>
                <w:rFonts w:eastAsia="Arial" w:cs="Arial"/>
                <w:spacing w:val="-2"/>
                <w:sz w:val="18"/>
                <w:szCs w:val="18"/>
                <w:lang w:val="it-IT"/>
              </w:rPr>
              <w:t>30.6%</w:t>
            </w:r>
          </w:p>
        </w:tc>
        <w:tc>
          <w:tcPr>
            <w:tcW w:w="816" w:type="dxa"/>
            <w:tcBorders>
              <w:left w:val="single" w:sz="4" w:space="0" w:color="000000"/>
              <w:bottom w:val="single" w:sz="4" w:space="0" w:color="000000"/>
            </w:tcBorders>
          </w:tcPr>
          <w:p w:rsidR="00B32F1A" w:rsidRPr="00B32F1A" w:rsidRDefault="00B32F1A" w:rsidP="00B32F1A">
            <w:pPr>
              <w:spacing w:before="35"/>
              <w:ind w:left="134"/>
              <w:jc w:val="both"/>
              <w:rPr>
                <w:rFonts w:eastAsia="Arial" w:cs="Arial"/>
                <w:sz w:val="18"/>
                <w:szCs w:val="18"/>
                <w:lang w:val="it-IT"/>
              </w:rPr>
            </w:pPr>
            <w:r w:rsidRPr="00B32F1A">
              <w:rPr>
                <w:rFonts w:eastAsia="Arial" w:cs="Arial"/>
                <w:spacing w:val="-4"/>
                <w:sz w:val="18"/>
                <w:szCs w:val="18"/>
                <w:lang w:val="it-IT"/>
              </w:rPr>
              <w:t>26.3</w:t>
            </w:r>
          </w:p>
        </w:tc>
        <w:tc>
          <w:tcPr>
            <w:tcW w:w="844" w:type="dxa"/>
            <w:tcBorders>
              <w:bottom w:val="single" w:sz="4" w:space="0" w:color="000000"/>
            </w:tcBorders>
          </w:tcPr>
          <w:p w:rsidR="00B32F1A" w:rsidRPr="00B32F1A" w:rsidRDefault="00B32F1A" w:rsidP="00B32F1A">
            <w:pPr>
              <w:spacing w:before="35"/>
              <w:ind w:left="50" w:right="118"/>
              <w:jc w:val="both"/>
              <w:rPr>
                <w:rFonts w:eastAsia="Arial" w:cs="Arial"/>
                <w:sz w:val="18"/>
                <w:szCs w:val="18"/>
                <w:lang w:val="it-IT"/>
              </w:rPr>
            </w:pPr>
            <w:r w:rsidRPr="00B32F1A">
              <w:rPr>
                <w:rFonts w:eastAsia="Arial" w:cs="Arial"/>
                <w:spacing w:val="-4"/>
                <w:sz w:val="18"/>
                <w:szCs w:val="18"/>
                <w:lang w:val="it-IT"/>
              </w:rPr>
              <w:t>25.4</w:t>
            </w:r>
          </w:p>
        </w:tc>
        <w:tc>
          <w:tcPr>
            <w:tcW w:w="567" w:type="dxa"/>
            <w:tcBorders>
              <w:bottom w:val="single" w:sz="4" w:space="0" w:color="000000"/>
            </w:tcBorders>
          </w:tcPr>
          <w:p w:rsidR="00B32F1A" w:rsidRPr="00B32F1A" w:rsidRDefault="00B32F1A" w:rsidP="00B32F1A">
            <w:pPr>
              <w:spacing w:before="35"/>
              <w:ind w:right="126"/>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10"/>
                <w:sz w:val="18"/>
                <w:szCs w:val="18"/>
                <w:lang w:val="it-IT"/>
              </w:rPr>
              <w:t>1</w:t>
            </w:r>
          </w:p>
        </w:tc>
        <w:tc>
          <w:tcPr>
            <w:tcW w:w="667" w:type="dxa"/>
            <w:tcBorders>
              <w:bottom w:val="single" w:sz="4" w:space="0" w:color="000000"/>
              <w:right w:val="single" w:sz="4" w:space="0" w:color="000000"/>
            </w:tcBorders>
          </w:tcPr>
          <w:p w:rsidR="00B32F1A" w:rsidRPr="00B32F1A" w:rsidRDefault="00B32F1A" w:rsidP="00B32F1A">
            <w:pPr>
              <w:spacing w:before="35"/>
              <w:ind w:right="62"/>
              <w:jc w:val="center"/>
              <w:rPr>
                <w:rFonts w:eastAsia="Arial" w:cs="Arial"/>
                <w:sz w:val="18"/>
                <w:szCs w:val="18"/>
                <w:lang w:val="it-IT"/>
              </w:rPr>
            </w:pPr>
            <w:r w:rsidRPr="00B32F1A">
              <w:rPr>
                <w:rFonts w:eastAsia="Arial" w:cs="Arial"/>
                <w:sz w:val="18"/>
                <w:szCs w:val="18"/>
                <w:lang w:val="it-IT"/>
              </w:rPr>
              <w:t>­</w:t>
            </w:r>
            <w:r w:rsidRPr="00B32F1A">
              <w:rPr>
                <w:rFonts w:eastAsia="Arial" w:cs="Arial"/>
                <w:spacing w:val="-4"/>
                <w:sz w:val="18"/>
                <w:szCs w:val="18"/>
                <w:lang w:val="it-IT"/>
              </w:rPr>
              <w:t>3.2%</w:t>
            </w:r>
          </w:p>
        </w:tc>
        <w:tc>
          <w:tcPr>
            <w:tcW w:w="746" w:type="dxa"/>
            <w:tcBorders>
              <w:left w:val="single" w:sz="4" w:space="0" w:color="000000"/>
              <w:bottom w:val="single" w:sz="4" w:space="0" w:color="000000"/>
            </w:tcBorders>
          </w:tcPr>
          <w:p w:rsidR="00B32F1A" w:rsidRPr="00B32F1A" w:rsidRDefault="00B32F1A" w:rsidP="00B32F1A">
            <w:pPr>
              <w:spacing w:before="35"/>
              <w:ind w:right="91"/>
              <w:jc w:val="center"/>
              <w:rPr>
                <w:rFonts w:eastAsia="Arial" w:cs="Arial"/>
                <w:sz w:val="18"/>
                <w:szCs w:val="18"/>
                <w:lang w:val="it-IT"/>
              </w:rPr>
            </w:pPr>
            <w:r w:rsidRPr="00B32F1A">
              <w:rPr>
                <w:rFonts w:eastAsia="Arial" w:cs="Arial"/>
                <w:spacing w:val="-2"/>
                <w:sz w:val="18"/>
                <w:szCs w:val="18"/>
                <w:lang w:val="it-IT"/>
              </w:rPr>
              <w:t>38'911</w:t>
            </w:r>
          </w:p>
        </w:tc>
        <w:tc>
          <w:tcPr>
            <w:tcW w:w="724" w:type="dxa"/>
            <w:tcBorders>
              <w:bottom w:val="single" w:sz="4" w:space="0" w:color="000000"/>
            </w:tcBorders>
          </w:tcPr>
          <w:p w:rsidR="00B32F1A" w:rsidRPr="00B32F1A" w:rsidRDefault="00B32F1A" w:rsidP="00B32F1A">
            <w:pPr>
              <w:spacing w:before="35"/>
              <w:ind w:right="90"/>
              <w:jc w:val="center"/>
              <w:rPr>
                <w:rFonts w:eastAsia="Arial" w:cs="Arial"/>
                <w:sz w:val="18"/>
                <w:szCs w:val="18"/>
                <w:lang w:val="it-IT"/>
              </w:rPr>
            </w:pPr>
            <w:r w:rsidRPr="00B32F1A">
              <w:rPr>
                <w:rFonts w:eastAsia="Arial" w:cs="Arial"/>
                <w:spacing w:val="-2"/>
                <w:sz w:val="18"/>
                <w:szCs w:val="18"/>
                <w:lang w:val="it-IT"/>
              </w:rPr>
              <w:t>49'195</w:t>
            </w:r>
          </w:p>
        </w:tc>
        <w:tc>
          <w:tcPr>
            <w:tcW w:w="738" w:type="dxa"/>
            <w:tcBorders>
              <w:bottom w:val="single" w:sz="4" w:space="0" w:color="000000"/>
            </w:tcBorders>
          </w:tcPr>
          <w:p w:rsidR="00B32F1A" w:rsidRPr="00B32F1A" w:rsidRDefault="00B32F1A" w:rsidP="00B32F1A">
            <w:pPr>
              <w:spacing w:before="35"/>
              <w:ind w:right="106"/>
              <w:jc w:val="center"/>
              <w:rPr>
                <w:rFonts w:eastAsia="Arial" w:cs="Arial"/>
                <w:sz w:val="18"/>
                <w:szCs w:val="18"/>
                <w:lang w:val="it-IT"/>
              </w:rPr>
            </w:pPr>
            <w:r w:rsidRPr="00B32F1A">
              <w:rPr>
                <w:rFonts w:eastAsia="Arial" w:cs="Arial"/>
                <w:spacing w:val="-2"/>
                <w:sz w:val="18"/>
                <w:szCs w:val="18"/>
                <w:lang w:val="it-IT"/>
              </w:rPr>
              <w:t>10'284</w:t>
            </w:r>
          </w:p>
        </w:tc>
        <w:tc>
          <w:tcPr>
            <w:tcW w:w="686" w:type="dxa"/>
            <w:tcBorders>
              <w:bottom w:val="single" w:sz="4" w:space="0" w:color="000000"/>
            </w:tcBorders>
          </w:tcPr>
          <w:p w:rsidR="00B32F1A" w:rsidRPr="00B32F1A" w:rsidRDefault="00B32F1A" w:rsidP="00B32F1A">
            <w:pPr>
              <w:spacing w:before="35"/>
              <w:ind w:right="70"/>
              <w:jc w:val="center"/>
              <w:rPr>
                <w:rFonts w:eastAsia="Arial" w:cs="Arial"/>
                <w:sz w:val="18"/>
                <w:szCs w:val="18"/>
                <w:lang w:val="it-IT"/>
              </w:rPr>
            </w:pPr>
            <w:r w:rsidRPr="00B32F1A">
              <w:rPr>
                <w:rFonts w:eastAsia="Arial" w:cs="Arial"/>
                <w:spacing w:val="-2"/>
                <w:sz w:val="18"/>
                <w:szCs w:val="18"/>
                <w:lang w:val="it-IT"/>
              </w:rPr>
              <w:t>26.4%</w:t>
            </w:r>
          </w:p>
        </w:tc>
      </w:tr>
      <w:tr w:rsidR="00B32F1A" w:rsidRPr="00B32F1A" w:rsidTr="00D57EB5">
        <w:trPr>
          <w:trHeight w:val="446"/>
        </w:trPr>
        <w:tc>
          <w:tcPr>
            <w:tcW w:w="965" w:type="dxa"/>
            <w:tcBorders>
              <w:top w:val="single" w:sz="4" w:space="0" w:color="000000"/>
              <w:bottom w:val="single" w:sz="4" w:space="0" w:color="000000"/>
              <w:right w:val="single" w:sz="4" w:space="0" w:color="000000"/>
            </w:tcBorders>
            <w:shd w:val="clear" w:color="auto" w:fill="94B3D6"/>
          </w:tcPr>
          <w:p w:rsidR="00B32F1A" w:rsidRPr="00B32F1A" w:rsidRDefault="00B32F1A" w:rsidP="00B32F1A">
            <w:pPr>
              <w:spacing w:before="114"/>
              <w:ind w:left="69"/>
              <w:rPr>
                <w:rFonts w:eastAsia="Arial" w:cs="Arial"/>
                <w:b/>
                <w:sz w:val="18"/>
                <w:szCs w:val="18"/>
                <w:lang w:val="it-IT"/>
              </w:rPr>
            </w:pPr>
            <w:r w:rsidRPr="00B32F1A">
              <w:rPr>
                <w:rFonts w:eastAsia="Arial" w:cs="Arial"/>
                <w:b/>
                <w:spacing w:val="-2"/>
                <w:sz w:val="18"/>
                <w:szCs w:val="18"/>
                <w:lang w:val="it-IT"/>
              </w:rPr>
              <w:t>Totale</w:t>
            </w:r>
          </w:p>
        </w:tc>
        <w:tc>
          <w:tcPr>
            <w:tcW w:w="792" w:type="dxa"/>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4"/>
              <w:ind w:right="137"/>
              <w:jc w:val="center"/>
              <w:rPr>
                <w:rFonts w:eastAsia="Arial" w:cs="Arial"/>
                <w:b/>
                <w:sz w:val="18"/>
                <w:szCs w:val="18"/>
                <w:lang w:val="it-IT"/>
              </w:rPr>
            </w:pPr>
            <w:r w:rsidRPr="00B32F1A">
              <w:rPr>
                <w:rFonts w:eastAsia="Arial" w:cs="Arial"/>
                <w:b/>
                <w:spacing w:val="-2"/>
                <w:sz w:val="18"/>
                <w:szCs w:val="18"/>
                <w:lang w:val="it-IT"/>
              </w:rPr>
              <w:t>3'027</w:t>
            </w:r>
          </w:p>
        </w:tc>
        <w:tc>
          <w:tcPr>
            <w:tcW w:w="796" w:type="dxa"/>
            <w:tcBorders>
              <w:top w:val="single" w:sz="4" w:space="0" w:color="000000"/>
              <w:bottom w:val="single" w:sz="4" w:space="0" w:color="000000"/>
            </w:tcBorders>
            <w:shd w:val="clear" w:color="auto" w:fill="94B3D6"/>
          </w:tcPr>
          <w:p w:rsidR="00B32F1A" w:rsidRPr="00B32F1A" w:rsidRDefault="00B32F1A" w:rsidP="00B32F1A">
            <w:pPr>
              <w:spacing w:before="114"/>
              <w:ind w:right="208"/>
              <w:jc w:val="center"/>
              <w:rPr>
                <w:rFonts w:eastAsia="Arial" w:cs="Arial"/>
                <w:b/>
                <w:sz w:val="18"/>
                <w:szCs w:val="18"/>
                <w:lang w:val="it-IT"/>
              </w:rPr>
            </w:pPr>
            <w:r w:rsidRPr="00B32F1A">
              <w:rPr>
                <w:rFonts w:eastAsia="Arial" w:cs="Arial"/>
                <w:b/>
                <w:spacing w:val="-2"/>
                <w:sz w:val="18"/>
                <w:szCs w:val="18"/>
                <w:lang w:val="it-IT"/>
              </w:rPr>
              <w:t>3'617</w:t>
            </w:r>
          </w:p>
        </w:tc>
        <w:tc>
          <w:tcPr>
            <w:tcW w:w="617" w:type="dxa"/>
            <w:tcBorders>
              <w:top w:val="single" w:sz="4" w:space="0" w:color="000000"/>
              <w:bottom w:val="single" w:sz="4" w:space="0" w:color="000000"/>
            </w:tcBorders>
            <w:shd w:val="clear" w:color="auto" w:fill="94B3D6"/>
          </w:tcPr>
          <w:p w:rsidR="00B32F1A" w:rsidRPr="00B32F1A" w:rsidRDefault="00B32F1A" w:rsidP="00B32F1A">
            <w:pPr>
              <w:spacing w:before="114"/>
              <w:ind w:right="103"/>
              <w:jc w:val="center"/>
              <w:rPr>
                <w:rFonts w:eastAsia="Arial" w:cs="Arial"/>
                <w:b/>
                <w:sz w:val="18"/>
                <w:szCs w:val="18"/>
                <w:lang w:val="it-IT"/>
              </w:rPr>
            </w:pPr>
            <w:r w:rsidRPr="00B32F1A">
              <w:rPr>
                <w:rFonts w:eastAsia="Arial" w:cs="Arial"/>
                <w:b/>
                <w:spacing w:val="-5"/>
                <w:sz w:val="18"/>
                <w:szCs w:val="18"/>
                <w:lang w:val="it-IT"/>
              </w:rPr>
              <w:t>590</w:t>
            </w:r>
          </w:p>
        </w:tc>
        <w:tc>
          <w:tcPr>
            <w:tcW w:w="685" w:type="dxa"/>
            <w:tcBorders>
              <w:top w:val="single" w:sz="4" w:space="0" w:color="000000"/>
              <w:bottom w:val="single" w:sz="4" w:space="0" w:color="000000"/>
              <w:right w:val="single" w:sz="4" w:space="0" w:color="000000"/>
            </w:tcBorders>
            <w:shd w:val="clear" w:color="auto" w:fill="94B3D6"/>
          </w:tcPr>
          <w:p w:rsidR="00B32F1A" w:rsidRPr="00B32F1A" w:rsidRDefault="00B32F1A" w:rsidP="00B32F1A">
            <w:pPr>
              <w:spacing w:before="114"/>
              <w:ind w:right="59"/>
              <w:jc w:val="center"/>
              <w:rPr>
                <w:rFonts w:eastAsia="Arial" w:cs="Arial"/>
                <w:b/>
                <w:sz w:val="18"/>
                <w:szCs w:val="18"/>
                <w:lang w:val="it-IT"/>
              </w:rPr>
            </w:pPr>
            <w:r w:rsidRPr="00B32F1A">
              <w:rPr>
                <w:rFonts w:eastAsia="Arial" w:cs="Arial"/>
                <w:b/>
                <w:spacing w:val="-2"/>
                <w:sz w:val="18"/>
                <w:szCs w:val="18"/>
                <w:lang w:val="it-IT"/>
              </w:rPr>
              <w:t>19.5%</w:t>
            </w:r>
          </w:p>
        </w:tc>
        <w:tc>
          <w:tcPr>
            <w:tcW w:w="816" w:type="dxa"/>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4"/>
              <w:ind w:left="134"/>
              <w:jc w:val="both"/>
              <w:rPr>
                <w:rFonts w:eastAsia="Arial" w:cs="Arial"/>
                <w:b/>
                <w:sz w:val="18"/>
                <w:szCs w:val="18"/>
                <w:lang w:val="it-IT"/>
              </w:rPr>
            </w:pPr>
            <w:r w:rsidRPr="00B32F1A">
              <w:rPr>
                <w:rFonts w:eastAsia="Arial" w:cs="Arial"/>
                <w:b/>
                <w:spacing w:val="-4"/>
                <w:sz w:val="18"/>
                <w:szCs w:val="18"/>
                <w:lang w:val="it-IT"/>
              </w:rPr>
              <w:t>27.2</w:t>
            </w:r>
          </w:p>
        </w:tc>
        <w:tc>
          <w:tcPr>
            <w:tcW w:w="844" w:type="dxa"/>
            <w:tcBorders>
              <w:top w:val="single" w:sz="4" w:space="0" w:color="000000"/>
              <w:bottom w:val="single" w:sz="4" w:space="0" w:color="000000"/>
            </w:tcBorders>
            <w:shd w:val="clear" w:color="auto" w:fill="94B3D6"/>
          </w:tcPr>
          <w:p w:rsidR="00B32F1A" w:rsidRPr="00B32F1A" w:rsidRDefault="00B32F1A" w:rsidP="00B32F1A">
            <w:pPr>
              <w:spacing w:before="114"/>
              <w:ind w:left="50" w:right="118"/>
              <w:jc w:val="both"/>
              <w:rPr>
                <w:rFonts w:eastAsia="Arial" w:cs="Arial"/>
                <w:b/>
                <w:sz w:val="18"/>
                <w:szCs w:val="18"/>
                <w:lang w:val="it-IT"/>
              </w:rPr>
            </w:pPr>
            <w:r w:rsidRPr="00B32F1A">
              <w:rPr>
                <w:rFonts w:eastAsia="Arial" w:cs="Arial"/>
                <w:b/>
                <w:spacing w:val="-4"/>
                <w:sz w:val="18"/>
                <w:szCs w:val="18"/>
                <w:lang w:val="it-IT"/>
              </w:rPr>
              <w:t>26.2</w:t>
            </w:r>
          </w:p>
        </w:tc>
        <w:tc>
          <w:tcPr>
            <w:tcW w:w="567" w:type="dxa"/>
            <w:tcBorders>
              <w:top w:val="single" w:sz="4" w:space="0" w:color="000000"/>
              <w:bottom w:val="single" w:sz="4" w:space="0" w:color="000000"/>
            </w:tcBorders>
            <w:shd w:val="clear" w:color="auto" w:fill="94B3D6"/>
          </w:tcPr>
          <w:p w:rsidR="00B32F1A" w:rsidRPr="00B32F1A" w:rsidRDefault="00B32F1A" w:rsidP="00B32F1A">
            <w:pPr>
              <w:spacing w:before="114"/>
              <w:ind w:right="126"/>
              <w:jc w:val="center"/>
              <w:rPr>
                <w:rFonts w:eastAsia="Arial" w:cs="Arial"/>
                <w:b/>
                <w:sz w:val="18"/>
                <w:szCs w:val="18"/>
                <w:lang w:val="it-IT"/>
              </w:rPr>
            </w:pPr>
            <w:r w:rsidRPr="00B32F1A">
              <w:rPr>
                <w:rFonts w:eastAsia="Arial" w:cs="Arial"/>
                <w:b/>
                <w:spacing w:val="-2"/>
                <w:sz w:val="18"/>
                <w:szCs w:val="18"/>
                <w:lang w:val="it-IT"/>
              </w:rPr>
              <w:t>-</w:t>
            </w:r>
            <w:r w:rsidRPr="00B32F1A">
              <w:rPr>
                <w:rFonts w:eastAsia="Arial" w:cs="Arial"/>
                <w:b/>
                <w:spacing w:val="-12"/>
                <w:sz w:val="18"/>
                <w:szCs w:val="18"/>
                <w:lang w:val="it-IT"/>
              </w:rPr>
              <w:t>1</w:t>
            </w:r>
          </w:p>
        </w:tc>
        <w:tc>
          <w:tcPr>
            <w:tcW w:w="667" w:type="dxa"/>
            <w:tcBorders>
              <w:top w:val="single" w:sz="4" w:space="0" w:color="000000"/>
              <w:bottom w:val="single" w:sz="4" w:space="0" w:color="000000"/>
              <w:right w:val="single" w:sz="4" w:space="0" w:color="000000"/>
            </w:tcBorders>
            <w:shd w:val="clear" w:color="auto" w:fill="94B3D6"/>
          </w:tcPr>
          <w:p w:rsidR="00B32F1A" w:rsidRPr="00B32F1A" w:rsidRDefault="00B32F1A" w:rsidP="00B32F1A">
            <w:pPr>
              <w:spacing w:before="114"/>
              <w:ind w:right="61"/>
              <w:jc w:val="center"/>
              <w:rPr>
                <w:rFonts w:eastAsia="Arial" w:cs="Arial"/>
                <w:b/>
                <w:sz w:val="18"/>
                <w:szCs w:val="18"/>
                <w:lang w:val="it-IT"/>
              </w:rPr>
            </w:pPr>
            <w:r w:rsidRPr="00B32F1A">
              <w:rPr>
                <w:rFonts w:eastAsia="Arial" w:cs="Arial"/>
                <w:b/>
                <w:sz w:val="18"/>
                <w:szCs w:val="18"/>
                <w:lang w:val="it-IT"/>
              </w:rPr>
              <w:t>-</w:t>
            </w:r>
            <w:r w:rsidRPr="00B32F1A">
              <w:rPr>
                <w:rFonts w:eastAsia="Arial" w:cs="Arial"/>
                <w:b/>
                <w:spacing w:val="-4"/>
                <w:sz w:val="18"/>
                <w:szCs w:val="18"/>
                <w:lang w:val="it-IT"/>
              </w:rPr>
              <w:t>3.7%</w:t>
            </w:r>
          </w:p>
        </w:tc>
        <w:tc>
          <w:tcPr>
            <w:tcW w:w="746" w:type="dxa"/>
            <w:tcBorders>
              <w:top w:val="single" w:sz="4" w:space="0" w:color="000000"/>
              <w:left w:val="single" w:sz="4" w:space="0" w:color="000000"/>
              <w:bottom w:val="single" w:sz="4" w:space="0" w:color="000000"/>
            </w:tcBorders>
            <w:shd w:val="clear" w:color="auto" w:fill="94B3D6"/>
          </w:tcPr>
          <w:p w:rsidR="00B32F1A" w:rsidRPr="00B32F1A" w:rsidRDefault="00B32F1A" w:rsidP="00B32F1A">
            <w:pPr>
              <w:spacing w:before="114"/>
              <w:ind w:right="91"/>
              <w:jc w:val="center"/>
              <w:rPr>
                <w:rFonts w:eastAsia="Arial" w:cs="Arial"/>
                <w:b/>
                <w:sz w:val="18"/>
                <w:szCs w:val="18"/>
                <w:lang w:val="it-IT"/>
              </w:rPr>
            </w:pPr>
            <w:r w:rsidRPr="00B32F1A">
              <w:rPr>
                <w:rFonts w:eastAsia="Arial" w:cs="Arial"/>
                <w:b/>
                <w:spacing w:val="-2"/>
                <w:sz w:val="18"/>
                <w:szCs w:val="18"/>
                <w:lang w:val="it-IT"/>
              </w:rPr>
              <w:t>82'228</w:t>
            </w:r>
          </w:p>
        </w:tc>
        <w:tc>
          <w:tcPr>
            <w:tcW w:w="724" w:type="dxa"/>
            <w:tcBorders>
              <w:top w:val="single" w:sz="4" w:space="0" w:color="000000"/>
              <w:bottom w:val="single" w:sz="4" w:space="0" w:color="000000"/>
            </w:tcBorders>
            <w:shd w:val="clear" w:color="auto" w:fill="94B3D6"/>
          </w:tcPr>
          <w:p w:rsidR="00B32F1A" w:rsidRPr="00B32F1A" w:rsidRDefault="00B32F1A" w:rsidP="00B32F1A">
            <w:pPr>
              <w:spacing w:before="114"/>
              <w:ind w:right="91"/>
              <w:jc w:val="center"/>
              <w:rPr>
                <w:rFonts w:eastAsia="Arial" w:cs="Arial"/>
                <w:b/>
                <w:sz w:val="18"/>
                <w:szCs w:val="18"/>
                <w:lang w:val="it-IT"/>
              </w:rPr>
            </w:pPr>
            <w:r w:rsidRPr="00B32F1A">
              <w:rPr>
                <w:rFonts w:eastAsia="Arial" w:cs="Arial"/>
                <w:b/>
                <w:spacing w:val="-2"/>
                <w:sz w:val="18"/>
                <w:szCs w:val="18"/>
                <w:lang w:val="it-IT"/>
              </w:rPr>
              <w:t>94'617</w:t>
            </w:r>
          </w:p>
        </w:tc>
        <w:tc>
          <w:tcPr>
            <w:tcW w:w="738" w:type="dxa"/>
            <w:tcBorders>
              <w:top w:val="single" w:sz="4" w:space="0" w:color="000000"/>
              <w:bottom w:val="single" w:sz="4" w:space="0" w:color="000000"/>
            </w:tcBorders>
            <w:shd w:val="clear" w:color="auto" w:fill="94B3D6"/>
          </w:tcPr>
          <w:p w:rsidR="00B32F1A" w:rsidRPr="00B32F1A" w:rsidRDefault="00B32F1A" w:rsidP="00B32F1A">
            <w:pPr>
              <w:spacing w:before="114"/>
              <w:ind w:right="106"/>
              <w:jc w:val="center"/>
              <w:rPr>
                <w:rFonts w:eastAsia="Arial" w:cs="Arial"/>
                <w:b/>
                <w:sz w:val="18"/>
                <w:szCs w:val="18"/>
                <w:lang w:val="it-IT"/>
              </w:rPr>
            </w:pPr>
            <w:r w:rsidRPr="00B32F1A">
              <w:rPr>
                <w:rFonts w:eastAsia="Arial" w:cs="Arial"/>
                <w:b/>
                <w:spacing w:val="-2"/>
                <w:sz w:val="18"/>
                <w:szCs w:val="18"/>
                <w:lang w:val="it-IT"/>
              </w:rPr>
              <w:t>12'389</w:t>
            </w:r>
          </w:p>
        </w:tc>
        <w:tc>
          <w:tcPr>
            <w:tcW w:w="686" w:type="dxa"/>
            <w:tcBorders>
              <w:top w:val="single" w:sz="4" w:space="0" w:color="000000"/>
              <w:bottom w:val="single" w:sz="4" w:space="0" w:color="000000"/>
            </w:tcBorders>
            <w:shd w:val="clear" w:color="auto" w:fill="94B3D6"/>
          </w:tcPr>
          <w:p w:rsidR="00B32F1A" w:rsidRPr="00B32F1A" w:rsidRDefault="00B32F1A" w:rsidP="00B32F1A">
            <w:pPr>
              <w:spacing w:before="114"/>
              <w:ind w:right="68"/>
              <w:jc w:val="center"/>
              <w:rPr>
                <w:rFonts w:eastAsia="Arial" w:cs="Arial"/>
                <w:b/>
                <w:sz w:val="18"/>
                <w:szCs w:val="18"/>
                <w:lang w:val="it-IT"/>
              </w:rPr>
            </w:pPr>
            <w:r w:rsidRPr="00B32F1A">
              <w:rPr>
                <w:rFonts w:eastAsia="Arial" w:cs="Arial"/>
                <w:b/>
                <w:spacing w:val="-2"/>
                <w:sz w:val="18"/>
                <w:szCs w:val="18"/>
                <w:lang w:val="it-IT"/>
              </w:rPr>
              <w:t>15.1%</w:t>
            </w:r>
          </w:p>
        </w:tc>
      </w:tr>
    </w:tbl>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Default="006E1023" w:rsidP="006E1023">
      <w:pPr>
        <w:pStyle w:val="Titolo2"/>
        <w:numPr>
          <w:ilvl w:val="0"/>
          <w:numId w:val="0"/>
        </w:numPr>
        <w:tabs>
          <w:tab w:val="left" w:pos="567"/>
        </w:tabs>
      </w:pPr>
      <w:bookmarkStart w:id="46" w:name="_Toc179882504"/>
      <w:r>
        <w:t>9.2</w:t>
      </w:r>
      <w:r w:rsidR="001F439F">
        <w:t>.</w:t>
      </w:r>
      <w:r w:rsidR="001F439F">
        <w:tab/>
        <w:t>SETTORE MEDIA E LUNGO DEGENZA</w:t>
      </w:r>
      <w:bookmarkEnd w:id="46"/>
    </w:p>
    <w:p w:rsidR="001F439F" w:rsidRDefault="006E1023" w:rsidP="006E1023">
      <w:pPr>
        <w:pStyle w:val="Titolo3"/>
        <w:numPr>
          <w:ilvl w:val="0"/>
          <w:numId w:val="0"/>
        </w:numPr>
      </w:pPr>
      <w:bookmarkStart w:id="47" w:name="_Toc179882505"/>
      <w:r>
        <w:t>9.2.1</w:t>
      </w:r>
      <w:r w:rsidR="001F439F">
        <w:tab/>
        <w:t>Fabbisogno</w:t>
      </w:r>
      <w:bookmarkEnd w:id="47"/>
    </w:p>
    <w:p w:rsidR="001F439F" w:rsidRDefault="001F439F" w:rsidP="001F439F">
      <w:pPr>
        <w:pStyle w:val="StandardRisoluzionedelConsigliodiStato"/>
        <w:ind w:right="-1"/>
      </w:pPr>
      <w:r>
        <w:t xml:space="preserve">Come sollevato anche dalla Commissione sanitaria, la prevista diminuzione della degenza media in particolare nell’ambito somatico­acuto e la fragilizzazione dei pazienti richiede </w:t>
      </w:r>
      <w:r>
        <w:lastRenderedPageBreak/>
        <w:t>una presa in carico nella post­degenza acuta, con adeguata intensità e obiettivo di rientro a domicilio.</w:t>
      </w:r>
    </w:p>
    <w:p w:rsidR="001F439F" w:rsidRDefault="001F439F" w:rsidP="001F439F">
      <w:pPr>
        <w:pStyle w:val="StandardRisoluzionedelConsigliodiStato"/>
        <w:ind w:right="-1"/>
      </w:pPr>
    </w:p>
    <w:p w:rsidR="001F439F" w:rsidRDefault="006E1023" w:rsidP="001F439F">
      <w:pPr>
        <w:pStyle w:val="StandardRisoluzionedelConsigliodiStato"/>
        <w:ind w:right="-1"/>
      </w:pPr>
      <w:r>
        <w:t>La P</w:t>
      </w:r>
      <w:r w:rsidR="001F439F">
        <w:t>ianificazione integrata LAnz­LACD (Messaggio n. 8095 del 15 dicembre 2021), approvata dal Gran Consiglio il 23 gennaio 2023, stima un aumento del fabbisogno</w:t>
      </w:r>
      <w:r>
        <w:t xml:space="preserve"> </w:t>
      </w:r>
      <w:r w:rsidR="001F439F">
        <w:t>contenuto: dai 110 posti letto esistenti a 119 per i CAT/STT e dai 105 posti letto in esercizio nel 2020 a 145 posti per i RAMI (con possibilità di adeguamento dal 2025).</w:t>
      </w:r>
    </w:p>
    <w:p w:rsidR="009745D8" w:rsidRDefault="009745D8" w:rsidP="001F439F">
      <w:pPr>
        <w:pStyle w:val="StandardRisoluzionedelConsigliodiStato"/>
        <w:ind w:right="-1"/>
        <w:rPr>
          <w:u w:val="single"/>
        </w:rPr>
      </w:pPr>
    </w:p>
    <w:p w:rsidR="001F439F" w:rsidRPr="009745D8" w:rsidRDefault="001F439F" w:rsidP="001F439F">
      <w:pPr>
        <w:pStyle w:val="StandardRisoluzionedelConsigliodiStato"/>
        <w:ind w:right="-1"/>
        <w:rPr>
          <w:u w:val="single"/>
        </w:rPr>
      </w:pPr>
      <w:r w:rsidRPr="009745D8">
        <w:rPr>
          <w:u w:val="single"/>
        </w:rPr>
        <w:t>Qualche informazione sui RAMI:</w:t>
      </w:r>
    </w:p>
    <w:p w:rsidR="001F439F" w:rsidRDefault="001F439F" w:rsidP="001F439F">
      <w:pPr>
        <w:pStyle w:val="StandardRisoluzionedelConsigliodiStato"/>
        <w:ind w:right="-1"/>
      </w:pPr>
      <w:r>
        <w:t>Reparti acuti di minore intensità (RAMI) ­ art. 66b lett</w:t>
      </w:r>
      <w:r w:rsidR="009745D8">
        <w:t xml:space="preserve">. </w:t>
      </w:r>
      <w:r>
        <w:t>e) LCAMal</w:t>
      </w:r>
    </w:p>
    <w:p w:rsidR="001F439F" w:rsidRDefault="001F439F" w:rsidP="009745D8">
      <w:pPr>
        <w:pStyle w:val="StandardRisoluzionedelConsigliodiStato"/>
        <w:ind w:left="567" w:right="-1" w:hanging="283"/>
      </w:pPr>
      <w:r>
        <w:t>1.</w:t>
      </w:r>
      <w:r>
        <w:tab/>
        <w:t>Criteri strutturali</w:t>
      </w:r>
    </w:p>
    <w:p w:rsidR="001F439F" w:rsidRDefault="001F439F" w:rsidP="009745D8">
      <w:pPr>
        <w:pStyle w:val="StandardRisoluzionedelConsigliodiStato"/>
        <w:ind w:left="567" w:right="-1"/>
      </w:pPr>
      <w:r>
        <w:t>L'unità RAMI è intesa di regola di 30 posti letto. Essa deve poter disporre di camere singole e/o doppie con servizi igienici adiacenti (minimo uno ogni due posti</w:t>
      </w:r>
      <w:r w:rsidR="009745D8">
        <w:t xml:space="preserve"> letto), nonché di una camera d'</w:t>
      </w:r>
      <w:r>
        <w:t>isolamento con servizi igienici propri e con filtro fisico (anticamera).</w:t>
      </w:r>
    </w:p>
    <w:p w:rsidR="001F439F" w:rsidRDefault="001F439F" w:rsidP="009745D8">
      <w:pPr>
        <w:pStyle w:val="StandardRisoluzionedelConsigliodiStato"/>
        <w:ind w:left="567" w:right="-1"/>
      </w:pPr>
      <w:r>
        <w:t>A livello diagnostico la struttura deve essere attrezzata con una radiologia convenzionale, un ECG, un defibrillatore e un apparecchio per le analisi di laboratorio di base (point of care).</w:t>
      </w:r>
    </w:p>
    <w:p w:rsidR="001F439F" w:rsidRDefault="001F439F" w:rsidP="001F439F">
      <w:pPr>
        <w:pStyle w:val="StandardRisoluzionedelConsigliodiStato"/>
        <w:ind w:right="-1"/>
      </w:pPr>
    </w:p>
    <w:p w:rsidR="001F439F" w:rsidRDefault="001F439F" w:rsidP="009745D8">
      <w:pPr>
        <w:pStyle w:val="StandardRisoluzionedelConsigliodiStato"/>
        <w:ind w:left="567" w:right="-1" w:hanging="283"/>
      </w:pPr>
      <w:r>
        <w:t>2.</w:t>
      </w:r>
      <w:r>
        <w:tab/>
      </w:r>
      <w:r w:rsidRPr="009745D8">
        <w:rPr>
          <w:u w:val="single"/>
        </w:rPr>
        <w:t>Tipologia di pazienti</w:t>
      </w:r>
    </w:p>
    <w:p w:rsidR="001F439F" w:rsidRDefault="001F439F" w:rsidP="009745D8">
      <w:pPr>
        <w:pStyle w:val="StandardRisoluzionedelConsigliodiStato"/>
        <w:ind w:left="567" w:right="-1"/>
      </w:pPr>
      <w:r>
        <w:t>Sono indicati per l'ammissione presso quest</w:t>
      </w:r>
      <w:r w:rsidR="009745D8">
        <w:t xml:space="preserve">e </w:t>
      </w:r>
      <w:r>
        <w:t>unità, persone che presentano una stabilità clinica definita come assenza di uno dei criteri di esclusione, descritti più avanti.</w:t>
      </w:r>
    </w:p>
    <w:p w:rsidR="001F439F" w:rsidRDefault="001F439F" w:rsidP="001F439F">
      <w:pPr>
        <w:pStyle w:val="StandardRisoluzionedelConsigliodiStato"/>
        <w:ind w:right="-1"/>
      </w:pPr>
    </w:p>
    <w:p w:rsidR="001F439F" w:rsidRDefault="001F439F" w:rsidP="001F439F">
      <w:pPr>
        <w:pStyle w:val="StandardRisoluzionedelConsigliodiStato"/>
        <w:ind w:right="-1"/>
      </w:pPr>
      <w:r>
        <w:t>Trattasi di pazienti che:</w:t>
      </w:r>
    </w:p>
    <w:p w:rsidR="009745D8" w:rsidRDefault="009745D8" w:rsidP="001F439F">
      <w:pPr>
        <w:pStyle w:val="StandardRisoluzionedelConsigliodiStato"/>
        <w:ind w:right="-1"/>
      </w:pPr>
    </w:p>
    <w:p w:rsidR="001F439F" w:rsidRDefault="001F439F" w:rsidP="0097399F">
      <w:pPr>
        <w:pStyle w:val="StandardRisoluzionedelConsigliodiStato"/>
        <w:numPr>
          <w:ilvl w:val="1"/>
          <w:numId w:val="53"/>
        </w:numPr>
        <w:ind w:left="567" w:right="-1" w:hanging="283"/>
      </w:pPr>
      <w:r>
        <w:t>presentano:</w:t>
      </w:r>
    </w:p>
    <w:p w:rsidR="001F439F" w:rsidRDefault="001F439F" w:rsidP="009745D8">
      <w:pPr>
        <w:pStyle w:val="StandardRisoluzionedelConsigliodiStato"/>
        <w:ind w:left="851" w:right="-1" w:hanging="284"/>
      </w:pPr>
      <w:r>
        <w:t>­</w:t>
      </w:r>
      <w:r>
        <w:tab/>
        <w:t>affezioni o problematiche cliniche tali da necessitare una presa in carico diretta o la continuazione delle cure stazionarie acute e che non sono in grado di restare o rientrare al proprio domicilio;</w:t>
      </w:r>
    </w:p>
    <w:p w:rsidR="001F439F" w:rsidRDefault="001F439F" w:rsidP="009745D8">
      <w:pPr>
        <w:pStyle w:val="StandardRisoluzionedelConsigliodiStato"/>
        <w:ind w:left="851" w:right="-1" w:hanging="284"/>
      </w:pPr>
      <w:r>
        <w:t>­</w:t>
      </w:r>
      <w:r>
        <w:tab/>
        <w:t>un aggravamento dello stato funzionale potenzialmente o parzialmente reversibile;</w:t>
      </w:r>
    </w:p>
    <w:p w:rsidR="009745D8" w:rsidRDefault="009745D8" w:rsidP="009745D8">
      <w:pPr>
        <w:pStyle w:val="StandardRisoluzionedelConsigliodiStato"/>
        <w:ind w:left="851" w:right="-1" w:hanging="284"/>
      </w:pPr>
    </w:p>
    <w:p w:rsidR="001F439F" w:rsidRDefault="001F439F" w:rsidP="0097399F">
      <w:pPr>
        <w:pStyle w:val="StandardRisoluzionedelConsigliodiStato"/>
        <w:numPr>
          <w:ilvl w:val="1"/>
          <w:numId w:val="53"/>
        </w:numPr>
        <w:ind w:left="567" w:right="-1" w:hanging="283"/>
      </w:pPr>
      <w:r>
        <w:t>necessitano di:</w:t>
      </w:r>
    </w:p>
    <w:p w:rsidR="001F439F" w:rsidRDefault="001F439F" w:rsidP="009745D8">
      <w:pPr>
        <w:pStyle w:val="StandardRisoluzionedelConsigliodiStato"/>
        <w:ind w:left="851" w:right="-1" w:hanging="284"/>
      </w:pPr>
      <w:r>
        <w:t>­</w:t>
      </w:r>
      <w:r>
        <w:tab/>
        <w:t>continuazione di terapie enterali e/o parenterali;</w:t>
      </w:r>
    </w:p>
    <w:p w:rsidR="001F439F" w:rsidRDefault="001F439F" w:rsidP="009745D8">
      <w:pPr>
        <w:pStyle w:val="StandardRisoluzionedelConsigliodiStato"/>
        <w:ind w:left="851" w:right="-1" w:hanging="284"/>
      </w:pPr>
      <w:r>
        <w:t>­</w:t>
      </w:r>
      <w:r>
        <w:tab/>
        <w:t>isolamento protettivo o da contatto;</w:t>
      </w:r>
    </w:p>
    <w:p w:rsidR="001F439F" w:rsidRDefault="001F439F" w:rsidP="009745D8">
      <w:pPr>
        <w:pStyle w:val="StandardRisoluzionedelConsigliodiStato"/>
        <w:ind w:left="851" w:right="-1" w:hanging="284"/>
      </w:pPr>
      <w:r>
        <w:t>­</w:t>
      </w:r>
      <w:r>
        <w:tab/>
        <w:t>supporto nelle attività di base della vita quotidiana {ADL / IADL);</w:t>
      </w:r>
    </w:p>
    <w:p w:rsidR="009745D8" w:rsidRDefault="009745D8" w:rsidP="009745D8">
      <w:pPr>
        <w:pStyle w:val="StandardRisoluzionedelConsigliodiStato"/>
        <w:ind w:left="851" w:right="-1" w:hanging="284"/>
      </w:pPr>
    </w:p>
    <w:p w:rsidR="009745D8" w:rsidRDefault="001F439F" w:rsidP="0097399F">
      <w:pPr>
        <w:pStyle w:val="StandardRisoluzionedelConsigliodiStato"/>
        <w:numPr>
          <w:ilvl w:val="0"/>
          <w:numId w:val="54"/>
        </w:numPr>
        <w:ind w:left="567" w:right="-1" w:hanging="283"/>
      </w:pPr>
      <w:r>
        <w:t xml:space="preserve">non necessitano nell'immediato di esami strumentali complessi e/o di misure tecnologiche di diagnosi e cura. </w:t>
      </w:r>
    </w:p>
    <w:p w:rsidR="009745D8" w:rsidRDefault="009745D8" w:rsidP="009745D8">
      <w:pPr>
        <w:pStyle w:val="StandardRisoluzionedelConsigliodiStato"/>
        <w:ind w:left="567" w:right="-1"/>
      </w:pPr>
    </w:p>
    <w:p w:rsidR="001F439F" w:rsidRDefault="001F439F" w:rsidP="009745D8">
      <w:pPr>
        <w:pStyle w:val="StandardRisoluzionedelConsigliodiStato"/>
        <w:ind w:right="-1"/>
      </w:pPr>
      <w:r>
        <w:t>Sono invece esclusi i pazienti che:</w:t>
      </w:r>
    </w:p>
    <w:p w:rsidR="001F439F" w:rsidRDefault="001F439F" w:rsidP="0097399F">
      <w:pPr>
        <w:pStyle w:val="StandardRisoluzionedelConsigliodiStato"/>
        <w:numPr>
          <w:ilvl w:val="1"/>
          <w:numId w:val="55"/>
        </w:numPr>
        <w:ind w:left="567" w:right="-1" w:hanging="425"/>
      </w:pPr>
      <w:r>
        <w:t>presentano:</w:t>
      </w:r>
    </w:p>
    <w:p w:rsidR="001F439F" w:rsidRDefault="001F439F" w:rsidP="009745D8">
      <w:pPr>
        <w:pStyle w:val="StandardRisoluzionedelConsigliodiStato"/>
        <w:ind w:left="851" w:right="-1" w:hanging="284"/>
      </w:pPr>
      <w:r>
        <w:t>­</w:t>
      </w:r>
      <w:r>
        <w:tab/>
        <w:t>gravi alterazioni neurologiche;</w:t>
      </w:r>
    </w:p>
    <w:p w:rsidR="001F439F" w:rsidRDefault="001F439F" w:rsidP="009745D8">
      <w:pPr>
        <w:pStyle w:val="StandardRisoluzionedelConsigliodiStato"/>
        <w:ind w:left="851" w:right="-1" w:hanging="284"/>
      </w:pPr>
      <w:r>
        <w:t>­</w:t>
      </w:r>
      <w:r>
        <w:tab/>
        <w:t>stati di dipendenza in fase attiva o acuta (OH, droghe);</w:t>
      </w:r>
    </w:p>
    <w:p w:rsidR="001F439F" w:rsidRDefault="001F439F" w:rsidP="009745D8">
      <w:pPr>
        <w:pStyle w:val="StandardRisoluzionedelConsigliodiStato"/>
        <w:ind w:left="851" w:right="-1" w:hanging="284"/>
      </w:pPr>
      <w:r>
        <w:t>­</w:t>
      </w:r>
      <w:r>
        <w:tab/>
        <w:t>instabilità emodinamica e/o respiratoria;</w:t>
      </w:r>
    </w:p>
    <w:p w:rsidR="001F439F" w:rsidRDefault="001F439F" w:rsidP="009745D8">
      <w:pPr>
        <w:pStyle w:val="StandardRisoluzionedelConsigliodiStato"/>
        <w:ind w:left="851" w:right="-1" w:hanging="284"/>
      </w:pPr>
      <w:r>
        <w:t>­</w:t>
      </w:r>
      <w:r>
        <w:tab/>
        <w:t>uno scompenso acuto di malattia psichiatrica anche cronica con necessità di un setting specialistico;</w:t>
      </w:r>
    </w:p>
    <w:p w:rsidR="001F439F" w:rsidRDefault="001F439F" w:rsidP="009745D8">
      <w:pPr>
        <w:pStyle w:val="StandardRisoluzionedelConsigliodiStato"/>
        <w:ind w:left="851" w:right="-1" w:hanging="284"/>
      </w:pPr>
      <w:r>
        <w:lastRenderedPageBreak/>
        <w:t>­</w:t>
      </w:r>
      <w:r>
        <w:tab/>
        <w:t>rischio elevato di infezioni o di recidiva di uno stato infettivo recente;</w:t>
      </w:r>
    </w:p>
    <w:p w:rsidR="009745D8" w:rsidRDefault="009745D8" w:rsidP="009745D8">
      <w:pPr>
        <w:pStyle w:val="StandardRisoluzionedelConsigliodiStato"/>
        <w:ind w:left="851" w:right="-1" w:hanging="284"/>
      </w:pPr>
    </w:p>
    <w:p w:rsidR="001F439F" w:rsidRDefault="001F439F" w:rsidP="0097399F">
      <w:pPr>
        <w:pStyle w:val="StandardRisoluzionedelConsigliodiStato"/>
        <w:numPr>
          <w:ilvl w:val="1"/>
          <w:numId w:val="56"/>
        </w:numPr>
        <w:ind w:left="567" w:right="-1" w:hanging="283"/>
      </w:pPr>
      <w:r>
        <w:t>necessitano di:</w:t>
      </w:r>
    </w:p>
    <w:p w:rsidR="001F439F" w:rsidRDefault="001F439F" w:rsidP="009745D8">
      <w:pPr>
        <w:pStyle w:val="StandardRisoluzionedelConsigliodiStato"/>
        <w:ind w:left="851" w:right="-1" w:hanging="284"/>
      </w:pPr>
      <w:r>
        <w:t>­</w:t>
      </w:r>
      <w:r>
        <w:tab/>
        <w:t>investigazioni diagnostiche complesse;</w:t>
      </w:r>
    </w:p>
    <w:p w:rsidR="001F439F" w:rsidRDefault="001F439F" w:rsidP="009745D8">
      <w:pPr>
        <w:pStyle w:val="StandardRisoluzionedelConsigliodiStato"/>
        <w:ind w:left="851" w:right="-1" w:hanging="284"/>
      </w:pPr>
      <w:r>
        <w:t>­</w:t>
      </w:r>
      <w:r>
        <w:tab/>
        <w:t>sorveglianza continua dei parametri emodinamici e clinici, compresa telemetria;</w:t>
      </w:r>
    </w:p>
    <w:p w:rsidR="001F439F" w:rsidRDefault="001F439F" w:rsidP="009745D8">
      <w:pPr>
        <w:pStyle w:val="StandardRisoluzionedelConsigliodiStato"/>
        <w:ind w:left="851" w:right="-1" w:hanging="284"/>
      </w:pPr>
      <w:r>
        <w:t>­</w:t>
      </w:r>
      <w:r>
        <w:tab/>
        <w:t>cure potenzialmente erogabili a domicilio (sa due passaggi al giorno);</w:t>
      </w:r>
    </w:p>
    <w:p w:rsidR="001F439F" w:rsidRDefault="001F439F" w:rsidP="0097399F">
      <w:pPr>
        <w:pStyle w:val="StandardRisoluzionedelConsigliodiStato"/>
        <w:numPr>
          <w:ilvl w:val="1"/>
          <w:numId w:val="57"/>
        </w:numPr>
        <w:ind w:left="567" w:right="-1" w:hanging="283"/>
      </w:pPr>
      <w:r>
        <w:t>qualificano per:</w:t>
      </w:r>
    </w:p>
    <w:p w:rsidR="001F439F" w:rsidRDefault="001F439F" w:rsidP="009745D8">
      <w:pPr>
        <w:pStyle w:val="StandardRisoluzionedelConsigliodiStato"/>
        <w:ind w:left="851" w:right="-1" w:hanging="284"/>
      </w:pPr>
      <w:r>
        <w:t>­</w:t>
      </w:r>
      <w:r>
        <w:tab/>
        <w:t>riabilitazione secondo i mandati pianificatori;</w:t>
      </w:r>
    </w:p>
    <w:p w:rsidR="001F439F" w:rsidRDefault="001F439F" w:rsidP="009745D8">
      <w:pPr>
        <w:pStyle w:val="StandardRisoluzionedelConsigliodiStato"/>
        <w:ind w:left="851" w:right="-1" w:hanging="284"/>
      </w:pPr>
      <w:r>
        <w:t>­</w:t>
      </w:r>
      <w:r>
        <w:tab/>
        <w:t>cure palliative specialistiche (di tipo B);</w:t>
      </w:r>
    </w:p>
    <w:p w:rsidR="001F439F" w:rsidRDefault="001F439F" w:rsidP="009745D8">
      <w:pPr>
        <w:pStyle w:val="StandardRisoluzionedelConsigliodiStato"/>
        <w:ind w:left="851" w:right="-1" w:hanging="284"/>
      </w:pPr>
      <w:r>
        <w:t>­</w:t>
      </w:r>
      <w:r>
        <w:tab/>
        <w:t>una valutazione e cure nell'Unità di geriatria complessa; provengono da un reparto CAT;</w:t>
      </w:r>
    </w:p>
    <w:p w:rsidR="001F439F" w:rsidRDefault="001F439F" w:rsidP="009745D8">
      <w:pPr>
        <w:pStyle w:val="StandardRisoluzionedelConsigliodiStato"/>
        <w:ind w:left="851" w:right="-1" w:hanging="284"/>
      </w:pPr>
      <w:r>
        <w:t>˗</w:t>
      </w:r>
      <w:r>
        <w:tab/>
        <w:t>sono in età pediatrica.</w:t>
      </w:r>
    </w:p>
    <w:p w:rsidR="009745D8" w:rsidRDefault="009745D8" w:rsidP="009745D8">
      <w:pPr>
        <w:pStyle w:val="StandardRisoluzionedelConsigliodiStato"/>
        <w:ind w:left="851" w:right="-1" w:hanging="284"/>
      </w:pPr>
    </w:p>
    <w:p w:rsidR="001F439F" w:rsidRDefault="001F439F" w:rsidP="001320C9">
      <w:pPr>
        <w:pStyle w:val="StandardRisoluzionedelConsigliodiStato"/>
        <w:ind w:left="567" w:right="-1" w:hanging="567"/>
      </w:pPr>
      <w:r>
        <w:t>3.</w:t>
      </w:r>
      <w:r>
        <w:tab/>
      </w:r>
      <w:r w:rsidRPr="009745D8">
        <w:rPr>
          <w:u w:val="single"/>
        </w:rPr>
        <w:t>Modalità d'ammissione</w:t>
      </w:r>
    </w:p>
    <w:p w:rsidR="001F439F" w:rsidRDefault="001F439F" w:rsidP="001F439F">
      <w:pPr>
        <w:pStyle w:val="StandardRisoluzionedelConsigliodiStato"/>
        <w:ind w:right="-1"/>
      </w:pPr>
      <w:r>
        <w:t>Si tratta di pazienti adulti la cui ammissione è prescritta da un medico ospedaliero o del territorio.</w:t>
      </w:r>
    </w:p>
    <w:p w:rsidR="001F439F" w:rsidRDefault="001F439F" w:rsidP="001F439F">
      <w:pPr>
        <w:pStyle w:val="StandardRisoluzionedelConsigliodiStato"/>
        <w:ind w:right="-1"/>
      </w:pPr>
      <w:r>
        <w:t>L'ammissione può essere pianificata o decisa nell'arco della giornata dal momento della segnalazione del medico.</w:t>
      </w:r>
    </w:p>
    <w:p w:rsidR="001F439F" w:rsidRDefault="001F439F" w:rsidP="001F439F">
      <w:pPr>
        <w:pStyle w:val="StandardRisoluzionedelConsigliodiStato"/>
        <w:ind w:right="-1"/>
      </w:pPr>
      <w:r>
        <w:t>L'ammissione è accompagnata dalla documentazione medica di base descrittiva del/i problema/i socio­sanitario/i.</w:t>
      </w:r>
    </w:p>
    <w:p w:rsidR="001F439F" w:rsidRDefault="001F439F" w:rsidP="001F439F">
      <w:pPr>
        <w:pStyle w:val="StandardRisoluzionedelConsigliodiStato"/>
        <w:ind w:right="-1"/>
      </w:pPr>
    </w:p>
    <w:p w:rsidR="001F439F" w:rsidRDefault="001F439F" w:rsidP="001320C9">
      <w:pPr>
        <w:pStyle w:val="StandardRisoluzionedelConsigliodiStato"/>
        <w:ind w:left="567" w:right="-1" w:hanging="567"/>
      </w:pPr>
      <w:r>
        <w:t>4.</w:t>
      </w:r>
      <w:r>
        <w:tab/>
      </w:r>
      <w:r w:rsidRPr="001320C9">
        <w:rPr>
          <w:u w:val="single"/>
        </w:rPr>
        <w:t>Tipologia di prestazioni</w:t>
      </w:r>
    </w:p>
    <w:p w:rsidR="001F439F" w:rsidRDefault="001F439F" w:rsidP="001F439F">
      <w:pPr>
        <w:pStyle w:val="StandardRisoluzionedelConsigliodiStato"/>
        <w:ind w:right="-1"/>
      </w:pPr>
      <w:r>
        <w:t>I RAMI garantiscono prestazioni mediche, infermieristiche, di fisioterapia e di ergoterapia. Possono assicurare un sostegno a una corretta alimentazione (dietista) e alla dimissione (assistente sociale), Altre prestazioni sono disponibili su chiamata: tecnico ortopedico, psichiatra, logopedista, neuropsicologo, dentista, ecc..</w:t>
      </w:r>
    </w:p>
    <w:p w:rsidR="001F439F" w:rsidRDefault="001F439F" w:rsidP="001F439F">
      <w:pPr>
        <w:pStyle w:val="StandardRisoluzionedelConsigliodiStato"/>
        <w:ind w:right="-1"/>
      </w:pPr>
      <w:r>
        <w:t>La degenza media presso un reparto RAMI è stimata mediamente di 21 giorni.</w:t>
      </w:r>
    </w:p>
    <w:p w:rsidR="001F439F" w:rsidRDefault="001F439F" w:rsidP="001F439F">
      <w:pPr>
        <w:pStyle w:val="StandardRisoluzionedelConsigliodiStato"/>
        <w:ind w:right="-1"/>
      </w:pPr>
    </w:p>
    <w:p w:rsidR="001F439F" w:rsidRDefault="001F439F" w:rsidP="001320C9">
      <w:pPr>
        <w:pStyle w:val="StandardRisoluzionedelConsigliodiStato"/>
        <w:ind w:left="567" w:right="-1" w:hanging="567"/>
      </w:pPr>
      <w:r>
        <w:t>5.</w:t>
      </w:r>
      <w:r>
        <w:tab/>
      </w:r>
      <w:r w:rsidRPr="001320C9">
        <w:rPr>
          <w:u w:val="single"/>
        </w:rPr>
        <w:t>Dotazione di personale</w:t>
      </w:r>
    </w:p>
    <w:p w:rsidR="001F439F" w:rsidRDefault="001F439F" w:rsidP="001F439F">
      <w:pPr>
        <w:pStyle w:val="StandardRisoluzionedelConsigliodiStato"/>
        <w:ind w:right="-1"/>
      </w:pPr>
      <w:r>
        <w:t>Criteri organizzativi minimi, ritenuti requisiti di polizia sanitaria, espressi in unità a tempo pieno (UTP) per posto letto (occupato al 90%), comprensiva di vacanze, congedi e malattie:</w:t>
      </w:r>
    </w:p>
    <w:p w:rsidR="001F439F" w:rsidRDefault="001F439F" w:rsidP="001F439F">
      <w:pPr>
        <w:pStyle w:val="StandardRisoluzionedelConsigliodiStato"/>
        <w:ind w:right="-1"/>
      </w:pPr>
    </w:p>
    <w:p w:rsidR="001320C9" w:rsidRPr="001320C9" w:rsidRDefault="001320C9" w:rsidP="001320C9">
      <w:pPr>
        <w:widowControl w:val="0"/>
        <w:autoSpaceDE w:val="0"/>
        <w:autoSpaceDN w:val="0"/>
        <w:spacing w:before="54"/>
        <w:jc w:val="left"/>
        <w:rPr>
          <w:rFonts w:eastAsia="Arial" w:cs="Arial"/>
          <w:sz w:val="20"/>
          <w:szCs w:val="24"/>
          <w:lang w:val="it-IT"/>
        </w:rPr>
      </w:pPr>
    </w:p>
    <w:tbl>
      <w:tblPr>
        <w:tblStyle w:val="TableNormal7"/>
        <w:tblW w:w="0" w:type="auto"/>
        <w:tblInd w:w="137" w:type="dxa"/>
        <w:tblLayout w:type="fixed"/>
        <w:tblLook w:val="01E0" w:firstRow="1" w:lastRow="1" w:firstColumn="1" w:lastColumn="1" w:noHBand="0" w:noVBand="0"/>
      </w:tblPr>
      <w:tblGrid>
        <w:gridCol w:w="705"/>
        <w:gridCol w:w="1263"/>
        <w:gridCol w:w="7185"/>
      </w:tblGrid>
      <w:tr w:rsidR="001320C9" w:rsidRPr="001320C9" w:rsidTr="00D57EB5">
        <w:trPr>
          <w:trHeight w:val="272"/>
        </w:trPr>
        <w:tc>
          <w:tcPr>
            <w:tcW w:w="705" w:type="dxa"/>
          </w:tcPr>
          <w:p w:rsidR="001320C9" w:rsidRPr="001320C9" w:rsidRDefault="001320C9" w:rsidP="001320C9">
            <w:pPr>
              <w:spacing w:line="252" w:lineRule="exact"/>
              <w:ind w:right="1"/>
              <w:jc w:val="both"/>
              <w:rPr>
                <w:rFonts w:eastAsia="Arial" w:cs="Arial"/>
                <w:sz w:val="24"/>
                <w:lang w:val="it-IT"/>
              </w:rPr>
            </w:pPr>
            <w:r w:rsidRPr="001320C9">
              <w:rPr>
                <w:rFonts w:eastAsia="Arial" w:cs="Arial"/>
                <w:spacing w:val="-2"/>
                <w:sz w:val="24"/>
                <w:lang w:val="it-IT"/>
              </w:rPr>
              <w:t>0.080</w:t>
            </w:r>
          </w:p>
        </w:tc>
        <w:tc>
          <w:tcPr>
            <w:tcW w:w="1263" w:type="dxa"/>
          </w:tcPr>
          <w:p w:rsidR="001320C9" w:rsidRPr="001320C9" w:rsidRDefault="001320C9" w:rsidP="001320C9">
            <w:pPr>
              <w:spacing w:line="252" w:lineRule="exact"/>
              <w:ind w:left="53"/>
              <w:rPr>
                <w:rFonts w:eastAsia="Arial" w:cs="Arial"/>
                <w:sz w:val="24"/>
                <w:lang w:val="it-IT"/>
              </w:rPr>
            </w:pPr>
            <w:r w:rsidRPr="001320C9">
              <w:rPr>
                <w:rFonts w:eastAsia="Arial" w:cs="Arial"/>
                <w:spacing w:val="-2"/>
                <w:sz w:val="24"/>
                <w:lang w:val="it-IT"/>
              </w:rPr>
              <w:t>UTP/letto</w:t>
            </w:r>
          </w:p>
        </w:tc>
        <w:tc>
          <w:tcPr>
            <w:tcW w:w="7185" w:type="dxa"/>
          </w:tcPr>
          <w:p w:rsidR="001320C9" w:rsidRPr="001320C9" w:rsidRDefault="001320C9" w:rsidP="001320C9">
            <w:pPr>
              <w:spacing w:line="252" w:lineRule="exact"/>
              <w:ind w:left="205"/>
              <w:rPr>
                <w:rFonts w:eastAsia="Arial" w:cs="Arial"/>
                <w:sz w:val="24"/>
                <w:lang w:val="it-IT"/>
              </w:rPr>
            </w:pPr>
            <w:r w:rsidRPr="001320C9">
              <w:rPr>
                <w:rFonts w:eastAsia="Arial" w:cs="Arial"/>
                <w:sz w:val="24"/>
                <w:lang w:val="it-IT"/>
              </w:rPr>
              <w:t>Personale</w:t>
            </w:r>
            <w:r w:rsidRPr="001320C9">
              <w:rPr>
                <w:rFonts w:eastAsia="Arial" w:cs="Arial"/>
                <w:spacing w:val="-3"/>
                <w:sz w:val="24"/>
                <w:lang w:val="it-IT"/>
              </w:rPr>
              <w:t xml:space="preserve"> </w:t>
            </w:r>
            <w:r w:rsidRPr="001320C9">
              <w:rPr>
                <w:rFonts w:eastAsia="Arial" w:cs="Arial"/>
                <w:sz w:val="24"/>
                <w:lang w:val="it-IT"/>
              </w:rPr>
              <w:t>medico</w:t>
            </w:r>
            <w:r w:rsidRPr="001320C9">
              <w:rPr>
                <w:rFonts w:eastAsia="Arial" w:cs="Arial"/>
                <w:spacing w:val="-3"/>
                <w:sz w:val="24"/>
                <w:lang w:val="it-IT"/>
              </w:rPr>
              <w:t xml:space="preserve"> </w:t>
            </w:r>
            <w:r w:rsidRPr="001320C9">
              <w:rPr>
                <w:rFonts w:eastAsia="Arial" w:cs="Arial"/>
                <w:sz w:val="24"/>
                <w:lang w:val="it-IT"/>
              </w:rPr>
              <w:t>(per</w:t>
            </w:r>
            <w:r w:rsidRPr="001320C9">
              <w:rPr>
                <w:rFonts w:eastAsia="Arial" w:cs="Arial"/>
                <w:spacing w:val="-5"/>
                <w:sz w:val="24"/>
                <w:lang w:val="it-IT"/>
              </w:rPr>
              <w:t xml:space="preserve"> </w:t>
            </w:r>
            <w:r w:rsidRPr="001320C9">
              <w:rPr>
                <w:rFonts w:eastAsia="Arial" w:cs="Arial"/>
                <w:sz w:val="24"/>
                <w:lang w:val="it-IT"/>
              </w:rPr>
              <w:t>la</w:t>
            </w:r>
            <w:r w:rsidRPr="001320C9">
              <w:rPr>
                <w:rFonts w:eastAsia="Arial" w:cs="Arial"/>
                <w:spacing w:val="-1"/>
                <w:sz w:val="24"/>
                <w:lang w:val="it-IT"/>
              </w:rPr>
              <w:t xml:space="preserve"> </w:t>
            </w:r>
            <w:r w:rsidRPr="001320C9">
              <w:rPr>
                <w:rFonts w:eastAsia="Arial" w:cs="Arial"/>
                <w:sz w:val="24"/>
                <w:lang w:val="it-IT"/>
              </w:rPr>
              <w:t>notte</w:t>
            </w:r>
            <w:r w:rsidRPr="001320C9">
              <w:rPr>
                <w:rFonts w:eastAsia="Arial" w:cs="Arial"/>
                <w:spacing w:val="-2"/>
                <w:sz w:val="24"/>
                <w:lang w:val="it-IT"/>
              </w:rPr>
              <w:t xml:space="preserve"> </w:t>
            </w:r>
            <w:r w:rsidRPr="001320C9">
              <w:rPr>
                <w:rFonts w:eastAsia="Arial" w:cs="Arial"/>
                <w:sz w:val="24"/>
                <w:lang w:val="it-IT"/>
              </w:rPr>
              <w:t>è</w:t>
            </w:r>
            <w:r w:rsidRPr="001320C9">
              <w:rPr>
                <w:rFonts w:eastAsia="Arial" w:cs="Arial"/>
                <w:spacing w:val="-1"/>
                <w:sz w:val="24"/>
                <w:lang w:val="it-IT"/>
              </w:rPr>
              <w:t xml:space="preserve"> </w:t>
            </w:r>
            <w:r w:rsidRPr="001320C9">
              <w:rPr>
                <w:rFonts w:eastAsia="Arial" w:cs="Arial"/>
                <w:sz w:val="24"/>
                <w:lang w:val="it-IT"/>
              </w:rPr>
              <w:t>assicurato</w:t>
            </w:r>
            <w:r w:rsidRPr="001320C9">
              <w:rPr>
                <w:rFonts w:eastAsia="Arial" w:cs="Arial"/>
                <w:spacing w:val="-3"/>
                <w:sz w:val="24"/>
                <w:lang w:val="it-IT"/>
              </w:rPr>
              <w:t xml:space="preserve"> </w:t>
            </w:r>
            <w:r w:rsidRPr="001320C9">
              <w:rPr>
                <w:rFonts w:eastAsia="Arial" w:cs="Arial"/>
                <w:sz w:val="24"/>
                <w:lang w:val="it-IT"/>
              </w:rPr>
              <w:t>un</w:t>
            </w:r>
            <w:r w:rsidRPr="001320C9">
              <w:rPr>
                <w:rFonts w:eastAsia="Arial" w:cs="Arial"/>
                <w:spacing w:val="-1"/>
                <w:sz w:val="24"/>
                <w:lang w:val="it-IT"/>
              </w:rPr>
              <w:t xml:space="preserve"> </w:t>
            </w:r>
            <w:r w:rsidRPr="001320C9">
              <w:rPr>
                <w:rFonts w:eastAsia="Arial" w:cs="Arial"/>
                <w:sz w:val="24"/>
                <w:lang w:val="it-IT"/>
              </w:rPr>
              <w:t>picchetto</w:t>
            </w:r>
            <w:r w:rsidRPr="001320C9">
              <w:rPr>
                <w:rFonts w:eastAsia="Arial" w:cs="Arial"/>
                <w:spacing w:val="-2"/>
                <w:sz w:val="24"/>
                <w:lang w:val="it-IT"/>
              </w:rPr>
              <w:t xml:space="preserve"> esterno,</w:t>
            </w:r>
          </w:p>
        </w:tc>
      </w:tr>
      <w:tr w:rsidR="001320C9" w:rsidRPr="001320C9" w:rsidTr="00D57EB5">
        <w:trPr>
          <w:trHeight w:val="276"/>
        </w:trPr>
        <w:tc>
          <w:tcPr>
            <w:tcW w:w="705" w:type="dxa"/>
          </w:tcPr>
          <w:p w:rsidR="001320C9" w:rsidRPr="001320C9" w:rsidRDefault="001320C9" w:rsidP="001320C9">
            <w:pPr>
              <w:rPr>
                <w:rFonts w:ascii="Times New Roman" w:eastAsia="Arial" w:cs="Arial"/>
                <w:sz w:val="20"/>
                <w:lang w:val="it-IT"/>
              </w:rPr>
            </w:pPr>
          </w:p>
        </w:tc>
        <w:tc>
          <w:tcPr>
            <w:tcW w:w="1263" w:type="dxa"/>
          </w:tcPr>
          <w:p w:rsidR="001320C9" w:rsidRPr="001320C9" w:rsidRDefault="001320C9" w:rsidP="001320C9">
            <w:pPr>
              <w:rPr>
                <w:rFonts w:ascii="Times New Roman" w:eastAsia="Arial" w:cs="Arial"/>
                <w:sz w:val="20"/>
                <w:lang w:val="it-IT"/>
              </w:rPr>
            </w:pPr>
          </w:p>
        </w:tc>
        <w:tc>
          <w:tcPr>
            <w:tcW w:w="7185"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tempo</w:t>
            </w:r>
            <w:r w:rsidRPr="001320C9">
              <w:rPr>
                <w:rFonts w:eastAsia="Arial" w:cs="Arial"/>
                <w:spacing w:val="-6"/>
                <w:sz w:val="24"/>
                <w:lang w:val="it-IT"/>
              </w:rPr>
              <w:t xml:space="preserve"> </w:t>
            </w:r>
            <w:r w:rsidRPr="001320C9">
              <w:rPr>
                <w:rFonts w:eastAsia="Arial" w:cs="Arial"/>
                <w:sz w:val="24"/>
                <w:lang w:val="it-IT"/>
              </w:rPr>
              <w:t>d'intervento</w:t>
            </w:r>
            <w:r w:rsidRPr="001320C9">
              <w:rPr>
                <w:rFonts w:eastAsia="Arial" w:cs="Arial"/>
                <w:spacing w:val="-3"/>
                <w:sz w:val="24"/>
                <w:lang w:val="it-IT"/>
              </w:rPr>
              <w:t xml:space="preserve"> </w:t>
            </w:r>
            <w:r w:rsidRPr="001320C9">
              <w:rPr>
                <w:rFonts w:eastAsia="Arial" w:cs="Arial"/>
                <w:sz w:val="24"/>
                <w:lang w:val="it-IT"/>
              </w:rPr>
              <w:t>in</w:t>
            </w:r>
            <w:r w:rsidRPr="001320C9">
              <w:rPr>
                <w:rFonts w:eastAsia="Arial" w:cs="Arial"/>
                <w:spacing w:val="-1"/>
                <w:sz w:val="24"/>
                <w:lang w:val="it-IT"/>
              </w:rPr>
              <w:t xml:space="preserve"> </w:t>
            </w:r>
            <w:r w:rsidRPr="001320C9">
              <w:rPr>
                <w:rFonts w:eastAsia="Arial" w:cs="Arial"/>
                <w:sz w:val="24"/>
                <w:lang w:val="it-IT"/>
              </w:rPr>
              <w:t>sede</w:t>
            </w:r>
            <w:r w:rsidRPr="001320C9">
              <w:rPr>
                <w:rFonts w:eastAsia="Arial" w:cs="Arial"/>
                <w:spacing w:val="-3"/>
                <w:sz w:val="24"/>
                <w:lang w:val="it-IT"/>
              </w:rPr>
              <w:t xml:space="preserve"> </w:t>
            </w:r>
            <w:r w:rsidRPr="001320C9">
              <w:rPr>
                <w:rFonts w:eastAsia="Arial" w:cs="Arial"/>
                <w:sz w:val="24"/>
                <w:lang w:val="it-IT"/>
              </w:rPr>
              <w:t>entro</w:t>
            </w:r>
            <w:r w:rsidRPr="001320C9">
              <w:rPr>
                <w:rFonts w:eastAsia="Arial" w:cs="Arial"/>
                <w:spacing w:val="-3"/>
                <w:sz w:val="24"/>
                <w:lang w:val="it-IT"/>
              </w:rPr>
              <w:t xml:space="preserve"> </w:t>
            </w:r>
            <w:r w:rsidRPr="001320C9">
              <w:rPr>
                <w:rFonts w:eastAsia="Arial" w:cs="Arial"/>
                <w:sz w:val="24"/>
                <w:lang w:val="it-IT"/>
              </w:rPr>
              <w:t>un'ora</w:t>
            </w:r>
            <w:r w:rsidRPr="001320C9">
              <w:rPr>
                <w:rFonts w:eastAsia="Arial" w:cs="Arial"/>
                <w:spacing w:val="-1"/>
                <w:sz w:val="24"/>
                <w:lang w:val="it-IT"/>
              </w:rPr>
              <w:t xml:space="preserve"> </w:t>
            </w:r>
            <w:r w:rsidRPr="001320C9">
              <w:rPr>
                <w:rFonts w:eastAsia="Arial" w:cs="Arial"/>
                <w:sz w:val="24"/>
                <w:lang w:val="it-IT"/>
              </w:rPr>
              <w:t>dalla</w:t>
            </w:r>
            <w:r w:rsidRPr="001320C9">
              <w:rPr>
                <w:rFonts w:eastAsia="Arial" w:cs="Arial"/>
                <w:spacing w:val="-3"/>
                <w:sz w:val="24"/>
                <w:lang w:val="it-IT"/>
              </w:rPr>
              <w:t xml:space="preserve"> </w:t>
            </w:r>
            <w:r w:rsidRPr="001320C9">
              <w:rPr>
                <w:rFonts w:eastAsia="Arial" w:cs="Arial"/>
                <w:spacing w:val="-2"/>
                <w:sz w:val="24"/>
                <w:lang w:val="it-IT"/>
              </w:rPr>
              <w:t>chiamata)</w:t>
            </w:r>
          </w:p>
        </w:tc>
      </w:tr>
      <w:tr w:rsidR="001320C9" w:rsidRPr="001320C9" w:rsidTr="00D57EB5">
        <w:trPr>
          <w:trHeight w:val="275"/>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0.460</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185"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Personale</w:t>
            </w:r>
            <w:r w:rsidRPr="001320C9">
              <w:rPr>
                <w:rFonts w:eastAsia="Arial" w:cs="Arial"/>
                <w:spacing w:val="-2"/>
                <w:sz w:val="24"/>
                <w:lang w:val="it-IT"/>
              </w:rPr>
              <w:t xml:space="preserve"> </w:t>
            </w:r>
            <w:r w:rsidRPr="001320C9">
              <w:rPr>
                <w:rFonts w:eastAsia="Arial" w:cs="Arial"/>
                <w:sz w:val="24"/>
                <w:lang w:val="it-IT"/>
              </w:rPr>
              <w:t>curante</w:t>
            </w:r>
            <w:r w:rsidRPr="001320C9">
              <w:rPr>
                <w:rFonts w:eastAsia="Arial" w:cs="Arial"/>
                <w:spacing w:val="-3"/>
                <w:sz w:val="24"/>
                <w:lang w:val="it-IT"/>
              </w:rPr>
              <w:t xml:space="preserve"> </w:t>
            </w:r>
            <w:r w:rsidRPr="001320C9">
              <w:rPr>
                <w:rFonts w:eastAsia="Arial" w:cs="Arial"/>
                <w:sz w:val="24"/>
                <w:lang w:val="it-IT"/>
              </w:rPr>
              <w:t>di</w:t>
            </w:r>
            <w:r w:rsidRPr="001320C9">
              <w:rPr>
                <w:rFonts w:eastAsia="Arial" w:cs="Arial"/>
                <w:spacing w:val="-3"/>
                <w:sz w:val="24"/>
                <w:lang w:val="it-IT"/>
              </w:rPr>
              <w:t xml:space="preserve"> </w:t>
            </w:r>
            <w:r w:rsidRPr="001320C9">
              <w:rPr>
                <w:rFonts w:eastAsia="Arial" w:cs="Arial"/>
                <w:sz w:val="24"/>
                <w:lang w:val="it-IT"/>
              </w:rPr>
              <w:t>cui</w:t>
            </w:r>
            <w:r w:rsidRPr="001320C9">
              <w:rPr>
                <w:rFonts w:eastAsia="Arial" w:cs="Arial"/>
                <w:spacing w:val="-2"/>
                <w:sz w:val="24"/>
                <w:lang w:val="it-IT"/>
              </w:rPr>
              <w:t xml:space="preserve"> </w:t>
            </w:r>
            <w:r w:rsidRPr="001320C9">
              <w:rPr>
                <w:rFonts w:eastAsia="Arial" w:cs="Arial"/>
                <w:sz w:val="24"/>
                <w:lang w:val="it-IT"/>
              </w:rPr>
              <w:t>il</w:t>
            </w:r>
            <w:r w:rsidRPr="001320C9">
              <w:rPr>
                <w:rFonts w:eastAsia="Arial" w:cs="Arial"/>
                <w:spacing w:val="-3"/>
                <w:sz w:val="24"/>
                <w:lang w:val="it-IT"/>
              </w:rPr>
              <w:t xml:space="preserve"> </w:t>
            </w:r>
            <w:r w:rsidRPr="001320C9">
              <w:rPr>
                <w:rFonts w:eastAsia="Arial" w:cs="Arial"/>
                <w:sz w:val="24"/>
                <w:lang w:val="it-IT"/>
              </w:rPr>
              <w:t>40%</w:t>
            </w:r>
            <w:r w:rsidRPr="001320C9">
              <w:rPr>
                <w:rFonts w:eastAsia="Arial" w:cs="Arial"/>
                <w:spacing w:val="-2"/>
                <w:sz w:val="24"/>
                <w:lang w:val="it-IT"/>
              </w:rPr>
              <w:t xml:space="preserve"> </w:t>
            </w:r>
            <w:r w:rsidRPr="001320C9">
              <w:rPr>
                <w:rFonts w:eastAsia="Arial" w:cs="Arial"/>
                <w:sz w:val="24"/>
                <w:lang w:val="it-IT"/>
              </w:rPr>
              <w:t>infermieri</w:t>
            </w:r>
            <w:r w:rsidRPr="001320C9">
              <w:rPr>
                <w:rFonts w:eastAsia="Arial" w:cs="Arial"/>
                <w:spacing w:val="-2"/>
                <w:sz w:val="24"/>
                <w:lang w:val="it-IT"/>
              </w:rPr>
              <w:t xml:space="preserve"> diplomati</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0.070</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185" w:type="dxa"/>
          </w:tcPr>
          <w:p w:rsidR="001320C9" w:rsidRPr="001320C9" w:rsidRDefault="001320C9" w:rsidP="001320C9">
            <w:pPr>
              <w:spacing w:line="256" w:lineRule="exact"/>
              <w:ind w:left="206"/>
              <w:rPr>
                <w:rFonts w:eastAsia="Arial" w:cs="Arial"/>
                <w:sz w:val="24"/>
                <w:lang w:val="it-IT"/>
              </w:rPr>
            </w:pPr>
            <w:r w:rsidRPr="001320C9">
              <w:rPr>
                <w:rFonts w:eastAsia="Arial" w:cs="Arial"/>
                <w:spacing w:val="-2"/>
                <w:sz w:val="24"/>
                <w:lang w:val="it-IT"/>
              </w:rPr>
              <w:t>Fisioterapista</w:t>
            </w:r>
          </w:p>
        </w:tc>
      </w:tr>
      <w:tr w:rsidR="001320C9" w:rsidRPr="001320C9" w:rsidTr="00D57EB5">
        <w:trPr>
          <w:trHeight w:val="272"/>
        </w:trPr>
        <w:tc>
          <w:tcPr>
            <w:tcW w:w="705" w:type="dxa"/>
          </w:tcPr>
          <w:p w:rsidR="001320C9" w:rsidRPr="001320C9" w:rsidRDefault="001320C9" w:rsidP="001320C9">
            <w:pPr>
              <w:spacing w:line="252" w:lineRule="exact"/>
              <w:ind w:right="1"/>
              <w:jc w:val="both"/>
              <w:rPr>
                <w:rFonts w:eastAsia="Arial" w:cs="Arial"/>
                <w:sz w:val="24"/>
                <w:lang w:val="it-IT"/>
              </w:rPr>
            </w:pPr>
            <w:r w:rsidRPr="001320C9">
              <w:rPr>
                <w:rFonts w:eastAsia="Arial" w:cs="Arial"/>
                <w:spacing w:val="-2"/>
                <w:sz w:val="24"/>
                <w:lang w:val="it-IT"/>
              </w:rPr>
              <w:t>0.007</w:t>
            </w:r>
          </w:p>
        </w:tc>
        <w:tc>
          <w:tcPr>
            <w:tcW w:w="1263" w:type="dxa"/>
          </w:tcPr>
          <w:p w:rsidR="001320C9" w:rsidRPr="001320C9" w:rsidRDefault="001320C9" w:rsidP="001320C9">
            <w:pPr>
              <w:spacing w:line="252" w:lineRule="exact"/>
              <w:ind w:left="53"/>
              <w:rPr>
                <w:rFonts w:eastAsia="Arial" w:cs="Arial"/>
                <w:sz w:val="24"/>
                <w:lang w:val="it-IT"/>
              </w:rPr>
            </w:pPr>
            <w:r w:rsidRPr="001320C9">
              <w:rPr>
                <w:rFonts w:eastAsia="Arial" w:cs="Arial"/>
                <w:spacing w:val="-2"/>
                <w:sz w:val="24"/>
                <w:lang w:val="it-IT"/>
              </w:rPr>
              <w:t>UTP/letto</w:t>
            </w:r>
          </w:p>
        </w:tc>
        <w:tc>
          <w:tcPr>
            <w:tcW w:w="7185" w:type="dxa"/>
          </w:tcPr>
          <w:p w:rsidR="001320C9" w:rsidRPr="001320C9" w:rsidRDefault="001320C9" w:rsidP="001320C9">
            <w:pPr>
              <w:spacing w:line="252" w:lineRule="exact"/>
              <w:ind w:left="206"/>
              <w:rPr>
                <w:rFonts w:eastAsia="Arial" w:cs="Arial"/>
                <w:sz w:val="24"/>
                <w:lang w:val="it-IT"/>
              </w:rPr>
            </w:pPr>
            <w:r w:rsidRPr="001320C9">
              <w:rPr>
                <w:rFonts w:eastAsia="Arial" w:cs="Arial"/>
                <w:spacing w:val="-2"/>
                <w:sz w:val="24"/>
                <w:lang w:val="it-IT"/>
              </w:rPr>
              <w:t>Ergoterapista</w:t>
            </w:r>
          </w:p>
        </w:tc>
      </w:tr>
    </w:tbl>
    <w:p w:rsidR="001320C9" w:rsidRDefault="001320C9" w:rsidP="001F439F">
      <w:pPr>
        <w:pStyle w:val="StandardRisoluzionedelConsigliodiStato"/>
        <w:ind w:right="-1"/>
      </w:pPr>
    </w:p>
    <w:p w:rsidR="001F439F" w:rsidRDefault="001F439F" w:rsidP="001F439F">
      <w:pPr>
        <w:pStyle w:val="StandardRisoluzionedelConsigliodiStato"/>
        <w:ind w:right="-1"/>
      </w:pPr>
      <w:r w:rsidRPr="001320C9">
        <w:rPr>
          <w:i/>
        </w:rPr>
        <w:t>Criteri organizzativi massimi, considerati ai fini del calcolo della partecipazione finanziaria cantonale, espressi in unità a tempo pieno (UTP) per posto letto (occupato al 90%), comprensiva di vacanze, congedi e malattia, considerando un grado di dipendenza medio, stabilito con lo strumento di valutazione RAI, di 1.8</w:t>
      </w:r>
      <w:r>
        <w:t>:</w:t>
      </w:r>
    </w:p>
    <w:p w:rsidR="001F439F" w:rsidRDefault="001F439F" w:rsidP="001F439F">
      <w:pPr>
        <w:pStyle w:val="StandardRisoluzionedelConsigliodiStato"/>
        <w:ind w:right="-1"/>
      </w:pPr>
    </w:p>
    <w:p w:rsidR="001320C9" w:rsidRDefault="001320C9" w:rsidP="001F439F">
      <w:pPr>
        <w:pStyle w:val="StandardRisoluzionedelConsigliodiStato"/>
        <w:ind w:right="-1"/>
      </w:pPr>
    </w:p>
    <w:p w:rsidR="001320C9" w:rsidRDefault="001320C9" w:rsidP="001F439F">
      <w:pPr>
        <w:pStyle w:val="StandardRisoluzionedelConsigliodiStato"/>
        <w:ind w:right="-1"/>
      </w:pPr>
    </w:p>
    <w:p w:rsidR="001320C9" w:rsidRDefault="001320C9" w:rsidP="001F439F">
      <w:pPr>
        <w:pStyle w:val="StandardRisoluzionedelConsigliodiStato"/>
        <w:ind w:right="-1"/>
      </w:pPr>
    </w:p>
    <w:p w:rsidR="001320C9" w:rsidRDefault="001320C9" w:rsidP="001F439F">
      <w:pPr>
        <w:pStyle w:val="StandardRisoluzionedelConsigliodiStato"/>
        <w:ind w:right="-1"/>
      </w:pPr>
    </w:p>
    <w:tbl>
      <w:tblPr>
        <w:tblStyle w:val="TableNormal8"/>
        <w:tblW w:w="0" w:type="auto"/>
        <w:tblInd w:w="137" w:type="dxa"/>
        <w:tblLayout w:type="fixed"/>
        <w:tblLook w:val="01E0" w:firstRow="1" w:lastRow="1" w:firstColumn="1" w:lastColumn="1" w:noHBand="0" w:noVBand="0"/>
      </w:tblPr>
      <w:tblGrid>
        <w:gridCol w:w="705"/>
        <w:gridCol w:w="1263"/>
        <w:gridCol w:w="7620"/>
      </w:tblGrid>
      <w:tr w:rsidR="001320C9" w:rsidRPr="001320C9" w:rsidTr="00D57EB5">
        <w:trPr>
          <w:trHeight w:val="272"/>
        </w:trPr>
        <w:tc>
          <w:tcPr>
            <w:tcW w:w="705" w:type="dxa"/>
          </w:tcPr>
          <w:p w:rsidR="001320C9" w:rsidRPr="001320C9" w:rsidRDefault="001320C9" w:rsidP="001320C9">
            <w:pPr>
              <w:spacing w:line="252" w:lineRule="exact"/>
              <w:ind w:right="1"/>
              <w:jc w:val="both"/>
              <w:rPr>
                <w:rFonts w:eastAsia="Arial" w:cs="Arial"/>
                <w:sz w:val="24"/>
                <w:lang w:val="it-IT"/>
              </w:rPr>
            </w:pPr>
            <w:r w:rsidRPr="001320C9">
              <w:rPr>
                <w:rFonts w:eastAsia="Arial" w:cs="Arial"/>
                <w:spacing w:val="-2"/>
                <w:sz w:val="24"/>
                <w:lang w:val="it-IT"/>
              </w:rPr>
              <w:t>0.040</w:t>
            </w:r>
          </w:p>
        </w:tc>
        <w:tc>
          <w:tcPr>
            <w:tcW w:w="1263" w:type="dxa"/>
          </w:tcPr>
          <w:p w:rsidR="001320C9" w:rsidRPr="001320C9" w:rsidRDefault="001320C9" w:rsidP="001320C9">
            <w:pPr>
              <w:spacing w:line="252"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2" w:lineRule="exact"/>
              <w:ind w:left="206"/>
              <w:rPr>
                <w:rFonts w:eastAsia="Arial" w:cs="Arial"/>
                <w:sz w:val="24"/>
                <w:lang w:val="it-IT"/>
              </w:rPr>
            </w:pPr>
            <w:r w:rsidRPr="001320C9">
              <w:rPr>
                <w:rFonts w:eastAsia="Arial" w:cs="Arial"/>
                <w:sz w:val="24"/>
                <w:lang w:val="it-IT"/>
              </w:rPr>
              <w:t>FMH</w:t>
            </w:r>
            <w:r w:rsidRPr="001320C9">
              <w:rPr>
                <w:rFonts w:eastAsia="Arial" w:cs="Arial"/>
                <w:spacing w:val="-5"/>
                <w:sz w:val="24"/>
                <w:lang w:val="it-IT"/>
              </w:rPr>
              <w:t xml:space="preserve"> </w:t>
            </w:r>
            <w:r w:rsidRPr="001320C9">
              <w:rPr>
                <w:rFonts w:eastAsia="Arial" w:cs="Arial"/>
                <w:sz w:val="24"/>
                <w:lang w:val="it-IT"/>
              </w:rPr>
              <w:t>in</w:t>
            </w:r>
            <w:r w:rsidRPr="001320C9">
              <w:rPr>
                <w:rFonts w:eastAsia="Arial" w:cs="Arial"/>
                <w:spacing w:val="-2"/>
                <w:sz w:val="24"/>
                <w:lang w:val="it-IT"/>
              </w:rPr>
              <w:t xml:space="preserve"> </w:t>
            </w:r>
            <w:r w:rsidRPr="001320C9">
              <w:rPr>
                <w:rFonts w:eastAsia="Arial" w:cs="Arial"/>
                <w:sz w:val="24"/>
                <w:lang w:val="it-IT"/>
              </w:rPr>
              <w:t>medicina</w:t>
            </w:r>
            <w:r w:rsidRPr="001320C9">
              <w:rPr>
                <w:rFonts w:eastAsia="Arial" w:cs="Arial"/>
                <w:spacing w:val="-2"/>
                <w:sz w:val="24"/>
                <w:lang w:val="it-IT"/>
              </w:rPr>
              <w:t xml:space="preserve"> </w:t>
            </w:r>
            <w:r w:rsidRPr="001320C9">
              <w:rPr>
                <w:rFonts w:eastAsia="Arial" w:cs="Arial"/>
                <w:sz w:val="24"/>
                <w:lang w:val="it-IT"/>
              </w:rPr>
              <w:t>interna</w:t>
            </w:r>
            <w:r w:rsidRPr="001320C9">
              <w:rPr>
                <w:rFonts w:eastAsia="Arial" w:cs="Arial"/>
                <w:spacing w:val="-1"/>
                <w:sz w:val="24"/>
                <w:lang w:val="it-IT"/>
              </w:rPr>
              <w:t xml:space="preserve"> </w:t>
            </w:r>
            <w:r w:rsidRPr="001320C9">
              <w:rPr>
                <w:rFonts w:eastAsia="Arial" w:cs="Arial"/>
                <w:sz w:val="24"/>
                <w:lang w:val="it-IT"/>
              </w:rPr>
              <w:t>o</w:t>
            </w:r>
            <w:r w:rsidRPr="001320C9">
              <w:rPr>
                <w:rFonts w:eastAsia="Arial" w:cs="Arial"/>
                <w:spacing w:val="-4"/>
                <w:sz w:val="24"/>
                <w:lang w:val="it-IT"/>
              </w:rPr>
              <w:t xml:space="preserve"> </w:t>
            </w:r>
            <w:r w:rsidRPr="001320C9">
              <w:rPr>
                <w:rFonts w:eastAsia="Arial" w:cs="Arial"/>
                <w:sz w:val="24"/>
                <w:lang w:val="it-IT"/>
              </w:rPr>
              <w:t>generale,</w:t>
            </w:r>
            <w:r w:rsidRPr="001320C9">
              <w:rPr>
                <w:rFonts w:eastAsia="Arial" w:cs="Arial"/>
                <w:spacing w:val="-2"/>
                <w:sz w:val="24"/>
                <w:lang w:val="it-IT"/>
              </w:rPr>
              <w:t xml:space="preserve"> </w:t>
            </w:r>
            <w:r w:rsidRPr="001320C9">
              <w:rPr>
                <w:rFonts w:eastAsia="Arial" w:cs="Arial"/>
                <w:sz w:val="24"/>
                <w:lang w:val="it-IT"/>
              </w:rPr>
              <w:t>presenza</w:t>
            </w:r>
            <w:r w:rsidRPr="001320C9">
              <w:rPr>
                <w:rFonts w:eastAsia="Arial" w:cs="Arial"/>
                <w:spacing w:val="-2"/>
                <w:sz w:val="24"/>
                <w:lang w:val="it-IT"/>
              </w:rPr>
              <w:t xml:space="preserve"> </w:t>
            </w:r>
            <w:r w:rsidRPr="001320C9">
              <w:rPr>
                <w:rFonts w:eastAsia="Arial" w:cs="Arial"/>
                <w:sz w:val="24"/>
                <w:lang w:val="it-IT"/>
              </w:rPr>
              <w:t>diurna</w:t>
            </w:r>
            <w:r w:rsidRPr="001320C9">
              <w:rPr>
                <w:rFonts w:eastAsia="Arial" w:cs="Arial"/>
                <w:spacing w:val="-1"/>
                <w:sz w:val="24"/>
                <w:lang w:val="it-IT"/>
              </w:rPr>
              <w:t xml:space="preserve"> </w:t>
            </w:r>
            <w:r w:rsidRPr="001320C9">
              <w:rPr>
                <w:rFonts w:eastAsia="Arial" w:cs="Arial"/>
                <w:sz w:val="24"/>
                <w:lang w:val="it-IT"/>
              </w:rPr>
              <w:t>(per</w:t>
            </w:r>
            <w:r w:rsidRPr="001320C9">
              <w:rPr>
                <w:rFonts w:eastAsia="Arial" w:cs="Arial"/>
                <w:spacing w:val="-4"/>
                <w:sz w:val="24"/>
                <w:lang w:val="it-IT"/>
              </w:rPr>
              <w:t xml:space="preserve"> </w:t>
            </w:r>
            <w:r w:rsidRPr="001320C9">
              <w:rPr>
                <w:rFonts w:eastAsia="Arial" w:cs="Arial"/>
                <w:sz w:val="24"/>
                <w:lang w:val="it-IT"/>
              </w:rPr>
              <w:t>la</w:t>
            </w:r>
            <w:r w:rsidRPr="001320C9">
              <w:rPr>
                <w:rFonts w:eastAsia="Arial" w:cs="Arial"/>
                <w:spacing w:val="-4"/>
                <w:sz w:val="24"/>
                <w:lang w:val="it-IT"/>
              </w:rPr>
              <w:t xml:space="preserve"> </w:t>
            </w:r>
            <w:r w:rsidRPr="001320C9">
              <w:rPr>
                <w:rFonts w:eastAsia="Arial" w:cs="Arial"/>
                <w:sz w:val="24"/>
                <w:lang w:val="it-IT"/>
              </w:rPr>
              <w:t>notte</w:t>
            </w:r>
            <w:r w:rsidRPr="001320C9">
              <w:rPr>
                <w:rFonts w:eastAsia="Arial" w:cs="Arial"/>
                <w:spacing w:val="-3"/>
                <w:sz w:val="24"/>
                <w:lang w:val="it-IT"/>
              </w:rPr>
              <w:t xml:space="preserve"> </w:t>
            </w:r>
            <w:r w:rsidRPr="001320C9">
              <w:rPr>
                <w:rFonts w:eastAsia="Arial" w:cs="Arial"/>
                <w:spacing w:val="-10"/>
                <w:sz w:val="24"/>
                <w:lang w:val="it-IT"/>
              </w:rPr>
              <w:t>è</w:t>
            </w:r>
          </w:p>
        </w:tc>
      </w:tr>
      <w:tr w:rsidR="001320C9" w:rsidRPr="001320C9" w:rsidTr="00D57EB5">
        <w:trPr>
          <w:trHeight w:val="275"/>
        </w:trPr>
        <w:tc>
          <w:tcPr>
            <w:tcW w:w="705" w:type="dxa"/>
          </w:tcPr>
          <w:p w:rsidR="001320C9" w:rsidRPr="001320C9" w:rsidRDefault="001320C9" w:rsidP="001320C9">
            <w:pPr>
              <w:rPr>
                <w:rFonts w:ascii="Times New Roman" w:eastAsia="Arial" w:cs="Arial"/>
                <w:sz w:val="20"/>
                <w:lang w:val="it-IT"/>
              </w:rPr>
            </w:pPr>
          </w:p>
        </w:tc>
        <w:tc>
          <w:tcPr>
            <w:tcW w:w="1263" w:type="dxa"/>
          </w:tcPr>
          <w:p w:rsidR="001320C9" w:rsidRPr="001320C9" w:rsidRDefault="001320C9" w:rsidP="001320C9">
            <w:pPr>
              <w:rPr>
                <w:rFonts w:ascii="Times New Roman" w:eastAsia="Arial" w:cs="Arial"/>
                <w:sz w:val="20"/>
                <w:lang w:val="it-IT"/>
              </w:rPr>
            </w:pP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assicurato</w:t>
            </w:r>
            <w:r w:rsidRPr="001320C9">
              <w:rPr>
                <w:rFonts w:eastAsia="Arial" w:cs="Arial"/>
                <w:spacing w:val="53"/>
                <w:sz w:val="24"/>
                <w:lang w:val="it-IT"/>
              </w:rPr>
              <w:t xml:space="preserve"> </w:t>
            </w:r>
            <w:r w:rsidRPr="001320C9">
              <w:rPr>
                <w:rFonts w:eastAsia="Arial" w:cs="Arial"/>
                <w:sz w:val="24"/>
                <w:lang w:val="it-IT"/>
              </w:rPr>
              <w:t>un</w:t>
            </w:r>
            <w:r w:rsidRPr="001320C9">
              <w:rPr>
                <w:rFonts w:eastAsia="Arial" w:cs="Arial"/>
                <w:spacing w:val="58"/>
                <w:sz w:val="24"/>
                <w:lang w:val="it-IT"/>
              </w:rPr>
              <w:t xml:space="preserve"> </w:t>
            </w:r>
            <w:r w:rsidRPr="001320C9">
              <w:rPr>
                <w:rFonts w:eastAsia="Arial" w:cs="Arial"/>
                <w:sz w:val="24"/>
                <w:lang w:val="it-IT"/>
              </w:rPr>
              <w:t>picchetto</w:t>
            </w:r>
            <w:r w:rsidRPr="001320C9">
              <w:rPr>
                <w:rFonts w:eastAsia="Arial" w:cs="Arial"/>
                <w:spacing w:val="57"/>
                <w:sz w:val="24"/>
                <w:lang w:val="it-IT"/>
              </w:rPr>
              <w:t xml:space="preserve"> </w:t>
            </w:r>
            <w:r w:rsidRPr="001320C9">
              <w:rPr>
                <w:rFonts w:eastAsia="Arial" w:cs="Arial"/>
                <w:sz w:val="24"/>
                <w:lang w:val="it-IT"/>
              </w:rPr>
              <w:t>esterno,</w:t>
            </w:r>
            <w:r w:rsidRPr="001320C9">
              <w:rPr>
                <w:rFonts w:eastAsia="Arial" w:cs="Arial"/>
                <w:spacing w:val="58"/>
                <w:sz w:val="24"/>
                <w:lang w:val="it-IT"/>
              </w:rPr>
              <w:t xml:space="preserve"> </w:t>
            </w:r>
            <w:r w:rsidRPr="001320C9">
              <w:rPr>
                <w:rFonts w:eastAsia="Arial" w:cs="Arial"/>
                <w:sz w:val="24"/>
                <w:lang w:val="it-IT"/>
              </w:rPr>
              <w:t>tempo</w:t>
            </w:r>
            <w:r w:rsidRPr="001320C9">
              <w:rPr>
                <w:rFonts w:eastAsia="Arial" w:cs="Arial"/>
                <w:spacing w:val="58"/>
                <w:sz w:val="24"/>
                <w:lang w:val="it-IT"/>
              </w:rPr>
              <w:t xml:space="preserve"> </w:t>
            </w:r>
            <w:r w:rsidRPr="001320C9">
              <w:rPr>
                <w:rFonts w:eastAsia="Arial" w:cs="Arial"/>
                <w:sz w:val="24"/>
                <w:lang w:val="it-IT"/>
              </w:rPr>
              <w:t>d'intervento</w:t>
            </w:r>
            <w:r w:rsidRPr="001320C9">
              <w:rPr>
                <w:rFonts w:eastAsia="Arial" w:cs="Arial"/>
                <w:spacing w:val="57"/>
                <w:sz w:val="24"/>
                <w:lang w:val="it-IT"/>
              </w:rPr>
              <w:t xml:space="preserve"> </w:t>
            </w:r>
            <w:r w:rsidRPr="001320C9">
              <w:rPr>
                <w:rFonts w:eastAsia="Arial" w:cs="Arial"/>
                <w:sz w:val="24"/>
                <w:lang w:val="it-IT"/>
              </w:rPr>
              <w:t>in</w:t>
            </w:r>
            <w:r w:rsidRPr="001320C9">
              <w:rPr>
                <w:rFonts w:eastAsia="Arial" w:cs="Arial"/>
                <w:spacing w:val="58"/>
                <w:sz w:val="24"/>
                <w:lang w:val="it-IT"/>
              </w:rPr>
              <w:t xml:space="preserve"> </w:t>
            </w:r>
            <w:r w:rsidRPr="001320C9">
              <w:rPr>
                <w:rFonts w:eastAsia="Arial" w:cs="Arial"/>
                <w:sz w:val="24"/>
                <w:lang w:val="it-IT"/>
              </w:rPr>
              <w:t>sede</w:t>
            </w:r>
            <w:r w:rsidRPr="001320C9">
              <w:rPr>
                <w:rFonts w:eastAsia="Arial" w:cs="Arial"/>
                <w:spacing w:val="58"/>
                <w:sz w:val="24"/>
                <w:lang w:val="it-IT"/>
              </w:rPr>
              <w:t xml:space="preserve"> </w:t>
            </w:r>
            <w:r w:rsidRPr="001320C9">
              <w:rPr>
                <w:rFonts w:eastAsia="Arial" w:cs="Arial"/>
                <w:spacing w:val="-2"/>
                <w:sz w:val="24"/>
                <w:lang w:val="it-IT"/>
              </w:rPr>
              <w:t>entro</w:t>
            </w:r>
          </w:p>
        </w:tc>
      </w:tr>
      <w:tr w:rsidR="001320C9" w:rsidRPr="001320C9" w:rsidTr="00D57EB5">
        <w:trPr>
          <w:trHeight w:val="276"/>
        </w:trPr>
        <w:tc>
          <w:tcPr>
            <w:tcW w:w="705" w:type="dxa"/>
          </w:tcPr>
          <w:p w:rsidR="001320C9" w:rsidRPr="001320C9" w:rsidRDefault="001320C9" w:rsidP="001320C9">
            <w:pPr>
              <w:rPr>
                <w:rFonts w:ascii="Times New Roman" w:eastAsia="Arial" w:cs="Arial"/>
                <w:sz w:val="20"/>
                <w:lang w:val="it-IT"/>
              </w:rPr>
            </w:pPr>
          </w:p>
        </w:tc>
        <w:tc>
          <w:tcPr>
            <w:tcW w:w="1263" w:type="dxa"/>
          </w:tcPr>
          <w:p w:rsidR="001320C9" w:rsidRPr="001320C9" w:rsidRDefault="001320C9" w:rsidP="001320C9">
            <w:pPr>
              <w:rPr>
                <w:rFonts w:ascii="Times New Roman" w:eastAsia="Arial" w:cs="Arial"/>
                <w:sz w:val="20"/>
                <w:lang w:val="it-IT"/>
              </w:rPr>
            </w:pP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un'ora</w:t>
            </w:r>
            <w:r w:rsidRPr="001320C9">
              <w:rPr>
                <w:rFonts w:eastAsia="Arial" w:cs="Arial"/>
                <w:spacing w:val="-3"/>
                <w:sz w:val="24"/>
                <w:lang w:val="it-IT"/>
              </w:rPr>
              <w:t xml:space="preserve"> </w:t>
            </w:r>
            <w:r w:rsidRPr="001320C9">
              <w:rPr>
                <w:rFonts w:eastAsia="Arial" w:cs="Arial"/>
                <w:sz w:val="24"/>
                <w:lang w:val="it-IT"/>
              </w:rPr>
              <w:t>dalla</w:t>
            </w:r>
            <w:r w:rsidRPr="001320C9">
              <w:rPr>
                <w:rFonts w:eastAsia="Arial" w:cs="Arial"/>
                <w:spacing w:val="-1"/>
                <w:sz w:val="24"/>
                <w:lang w:val="it-IT"/>
              </w:rPr>
              <w:t xml:space="preserve"> </w:t>
            </w:r>
            <w:r w:rsidRPr="001320C9">
              <w:rPr>
                <w:rFonts w:eastAsia="Arial" w:cs="Arial"/>
                <w:spacing w:val="-2"/>
                <w:sz w:val="24"/>
                <w:lang w:val="it-IT"/>
              </w:rPr>
              <w:t>chiamata)</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0.057</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Medico</w:t>
            </w:r>
            <w:r w:rsidRPr="001320C9">
              <w:rPr>
                <w:rFonts w:eastAsia="Arial" w:cs="Arial"/>
                <w:spacing w:val="-1"/>
                <w:sz w:val="24"/>
                <w:lang w:val="it-IT"/>
              </w:rPr>
              <w:t xml:space="preserve"> </w:t>
            </w:r>
            <w:r w:rsidRPr="001320C9">
              <w:rPr>
                <w:rFonts w:eastAsia="Arial" w:cs="Arial"/>
                <w:spacing w:val="-2"/>
                <w:sz w:val="24"/>
                <w:lang w:val="it-IT"/>
              </w:rPr>
              <w:t>assistente</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0.033</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Infermiere</w:t>
            </w:r>
            <w:r w:rsidRPr="001320C9">
              <w:rPr>
                <w:rFonts w:eastAsia="Arial" w:cs="Arial"/>
                <w:spacing w:val="-4"/>
                <w:sz w:val="24"/>
                <w:lang w:val="it-IT"/>
              </w:rPr>
              <w:t xml:space="preserve"> </w:t>
            </w:r>
            <w:r w:rsidRPr="001320C9">
              <w:rPr>
                <w:rFonts w:eastAsia="Arial" w:cs="Arial"/>
                <w:spacing w:val="-2"/>
                <w:sz w:val="24"/>
                <w:lang w:val="it-IT"/>
              </w:rPr>
              <w:t>caporeparto</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0.703</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Personale</w:t>
            </w:r>
            <w:r w:rsidRPr="001320C9">
              <w:rPr>
                <w:rFonts w:eastAsia="Arial" w:cs="Arial"/>
                <w:spacing w:val="-4"/>
                <w:sz w:val="24"/>
                <w:lang w:val="it-IT"/>
              </w:rPr>
              <w:t xml:space="preserve"> </w:t>
            </w:r>
            <w:r w:rsidRPr="001320C9">
              <w:rPr>
                <w:rFonts w:eastAsia="Arial" w:cs="Arial"/>
                <w:sz w:val="24"/>
                <w:lang w:val="it-IT"/>
              </w:rPr>
              <w:t>curante</w:t>
            </w:r>
            <w:r w:rsidRPr="001320C9">
              <w:rPr>
                <w:rFonts w:eastAsia="Arial" w:cs="Arial"/>
                <w:spacing w:val="-4"/>
                <w:sz w:val="24"/>
                <w:lang w:val="it-IT"/>
              </w:rPr>
              <w:t xml:space="preserve"> </w:t>
            </w:r>
            <w:r w:rsidRPr="001320C9">
              <w:rPr>
                <w:rFonts w:eastAsia="Arial" w:cs="Arial"/>
                <w:sz w:val="24"/>
                <w:lang w:val="it-IT"/>
              </w:rPr>
              <w:t>di</w:t>
            </w:r>
            <w:r w:rsidRPr="001320C9">
              <w:rPr>
                <w:rFonts w:eastAsia="Arial" w:cs="Arial"/>
                <w:spacing w:val="-2"/>
                <w:sz w:val="24"/>
                <w:lang w:val="it-IT"/>
              </w:rPr>
              <w:t xml:space="preserve"> </w:t>
            </w:r>
            <w:r w:rsidRPr="001320C9">
              <w:rPr>
                <w:rFonts w:eastAsia="Arial" w:cs="Arial"/>
                <w:sz w:val="24"/>
                <w:lang w:val="it-IT"/>
              </w:rPr>
              <w:t>cui</w:t>
            </w:r>
            <w:r w:rsidRPr="001320C9">
              <w:rPr>
                <w:rFonts w:eastAsia="Arial" w:cs="Arial"/>
                <w:spacing w:val="-3"/>
                <w:sz w:val="24"/>
                <w:lang w:val="it-IT"/>
              </w:rPr>
              <w:t xml:space="preserve"> </w:t>
            </w:r>
            <w:r w:rsidRPr="001320C9">
              <w:rPr>
                <w:rFonts w:eastAsia="Arial" w:cs="Arial"/>
                <w:sz w:val="24"/>
                <w:lang w:val="it-IT"/>
              </w:rPr>
              <w:t>almeno</w:t>
            </w:r>
            <w:r w:rsidRPr="001320C9">
              <w:rPr>
                <w:rFonts w:eastAsia="Arial" w:cs="Arial"/>
                <w:spacing w:val="-4"/>
                <w:sz w:val="24"/>
                <w:lang w:val="it-IT"/>
              </w:rPr>
              <w:t xml:space="preserve"> </w:t>
            </w:r>
            <w:r w:rsidRPr="001320C9">
              <w:rPr>
                <w:rFonts w:eastAsia="Arial" w:cs="Arial"/>
                <w:sz w:val="24"/>
                <w:lang w:val="it-IT"/>
              </w:rPr>
              <w:t>il</w:t>
            </w:r>
            <w:r w:rsidRPr="001320C9">
              <w:rPr>
                <w:rFonts w:eastAsia="Arial" w:cs="Arial"/>
                <w:spacing w:val="-2"/>
                <w:sz w:val="24"/>
                <w:lang w:val="it-IT"/>
              </w:rPr>
              <w:t xml:space="preserve"> </w:t>
            </w:r>
            <w:r w:rsidRPr="001320C9">
              <w:rPr>
                <w:rFonts w:eastAsia="Arial" w:cs="Arial"/>
                <w:sz w:val="24"/>
                <w:lang w:val="it-IT"/>
              </w:rPr>
              <w:t>50%</w:t>
            </w:r>
            <w:r w:rsidRPr="001320C9">
              <w:rPr>
                <w:rFonts w:eastAsia="Arial" w:cs="Arial"/>
                <w:spacing w:val="-3"/>
                <w:sz w:val="24"/>
                <w:lang w:val="it-IT"/>
              </w:rPr>
              <w:t xml:space="preserve"> </w:t>
            </w:r>
            <w:r w:rsidRPr="001320C9">
              <w:rPr>
                <w:rFonts w:eastAsia="Arial" w:cs="Arial"/>
                <w:sz w:val="24"/>
                <w:lang w:val="it-IT"/>
              </w:rPr>
              <w:t>infermieri</w:t>
            </w:r>
            <w:r w:rsidRPr="001320C9">
              <w:rPr>
                <w:rFonts w:eastAsia="Arial" w:cs="Arial"/>
                <w:spacing w:val="-2"/>
                <w:sz w:val="24"/>
                <w:lang w:val="it-IT"/>
              </w:rPr>
              <w:t xml:space="preserve"> diplomati</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0.033</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z w:val="24"/>
                <w:lang w:val="it-IT"/>
              </w:rPr>
              <w:t>Aiuto</w:t>
            </w:r>
            <w:r w:rsidRPr="001320C9">
              <w:rPr>
                <w:rFonts w:eastAsia="Arial" w:cs="Arial"/>
                <w:spacing w:val="-3"/>
                <w:sz w:val="24"/>
                <w:lang w:val="it-IT"/>
              </w:rPr>
              <w:t xml:space="preserve"> </w:t>
            </w:r>
            <w:r w:rsidRPr="001320C9">
              <w:rPr>
                <w:rFonts w:eastAsia="Arial" w:cs="Arial"/>
                <w:spacing w:val="-2"/>
                <w:sz w:val="24"/>
                <w:lang w:val="it-IT"/>
              </w:rPr>
              <w:t>medico</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0.083</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pacing w:val="-2"/>
                <w:sz w:val="24"/>
                <w:lang w:val="it-IT"/>
              </w:rPr>
              <w:t>Fisioterapista</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0.033</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6"/>
              <w:rPr>
                <w:rFonts w:eastAsia="Arial" w:cs="Arial"/>
                <w:sz w:val="24"/>
                <w:lang w:val="it-IT"/>
              </w:rPr>
            </w:pPr>
            <w:r w:rsidRPr="001320C9">
              <w:rPr>
                <w:rFonts w:eastAsia="Arial" w:cs="Arial"/>
                <w:spacing w:val="-2"/>
                <w:sz w:val="24"/>
                <w:lang w:val="it-IT"/>
              </w:rPr>
              <w:t>Ergoterapista</w:t>
            </w:r>
          </w:p>
        </w:tc>
      </w:tr>
      <w:tr w:rsidR="001320C9" w:rsidRPr="001320C9" w:rsidTr="00D57EB5">
        <w:trPr>
          <w:trHeight w:val="276"/>
        </w:trPr>
        <w:tc>
          <w:tcPr>
            <w:tcW w:w="705" w:type="dxa"/>
          </w:tcPr>
          <w:p w:rsidR="001320C9" w:rsidRPr="001320C9" w:rsidRDefault="001320C9" w:rsidP="001320C9">
            <w:pPr>
              <w:spacing w:line="256" w:lineRule="exact"/>
              <w:ind w:right="1"/>
              <w:jc w:val="both"/>
              <w:rPr>
                <w:rFonts w:eastAsia="Arial" w:cs="Arial"/>
                <w:sz w:val="24"/>
                <w:lang w:val="it-IT"/>
              </w:rPr>
            </w:pPr>
            <w:r w:rsidRPr="001320C9">
              <w:rPr>
                <w:rFonts w:eastAsia="Arial" w:cs="Arial"/>
                <w:spacing w:val="-2"/>
                <w:sz w:val="24"/>
                <w:lang w:val="it-IT"/>
              </w:rPr>
              <w:t>0.017</w:t>
            </w:r>
          </w:p>
        </w:tc>
        <w:tc>
          <w:tcPr>
            <w:tcW w:w="1263" w:type="dxa"/>
          </w:tcPr>
          <w:p w:rsidR="001320C9" w:rsidRPr="001320C9" w:rsidRDefault="001320C9" w:rsidP="001320C9">
            <w:pPr>
              <w:spacing w:line="256"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6" w:lineRule="exact"/>
              <w:ind w:left="205"/>
              <w:rPr>
                <w:rFonts w:eastAsia="Arial" w:cs="Arial"/>
                <w:sz w:val="24"/>
                <w:lang w:val="it-IT"/>
              </w:rPr>
            </w:pPr>
            <w:r w:rsidRPr="001320C9">
              <w:rPr>
                <w:rFonts w:eastAsia="Arial" w:cs="Arial"/>
                <w:spacing w:val="-2"/>
                <w:sz w:val="24"/>
                <w:lang w:val="it-IT"/>
              </w:rPr>
              <w:t>Dietista</w:t>
            </w:r>
          </w:p>
        </w:tc>
      </w:tr>
      <w:tr w:rsidR="001320C9" w:rsidRPr="001320C9" w:rsidTr="00D57EB5">
        <w:trPr>
          <w:trHeight w:val="272"/>
        </w:trPr>
        <w:tc>
          <w:tcPr>
            <w:tcW w:w="705" w:type="dxa"/>
          </w:tcPr>
          <w:p w:rsidR="001320C9" w:rsidRPr="001320C9" w:rsidRDefault="001320C9" w:rsidP="001320C9">
            <w:pPr>
              <w:spacing w:line="252" w:lineRule="exact"/>
              <w:ind w:right="1"/>
              <w:jc w:val="both"/>
              <w:rPr>
                <w:rFonts w:eastAsia="Arial" w:cs="Arial"/>
                <w:sz w:val="24"/>
                <w:lang w:val="it-IT"/>
              </w:rPr>
            </w:pPr>
            <w:r w:rsidRPr="001320C9">
              <w:rPr>
                <w:rFonts w:eastAsia="Arial" w:cs="Arial"/>
                <w:spacing w:val="-2"/>
                <w:sz w:val="24"/>
                <w:lang w:val="it-IT"/>
              </w:rPr>
              <w:t>0.017</w:t>
            </w:r>
          </w:p>
        </w:tc>
        <w:tc>
          <w:tcPr>
            <w:tcW w:w="1263" w:type="dxa"/>
          </w:tcPr>
          <w:p w:rsidR="001320C9" w:rsidRPr="001320C9" w:rsidRDefault="001320C9" w:rsidP="001320C9">
            <w:pPr>
              <w:spacing w:line="252" w:lineRule="exact"/>
              <w:ind w:left="53"/>
              <w:rPr>
                <w:rFonts w:eastAsia="Arial" w:cs="Arial"/>
                <w:sz w:val="24"/>
                <w:lang w:val="it-IT"/>
              </w:rPr>
            </w:pPr>
            <w:r w:rsidRPr="001320C9">
              <w:rPr>
                <w:rFonts w:eastAsia="Arial" w:cs="Arial"/>
                <w:spacing w:val="-2"/>
                <w:sz w:val="24"/>
                <w:lang w:val="it-IT"/>
              </w:rPr>
              <w:t>UTP/letto</w:t>
            </w:r>
          </w:p>
        </w:tc>
        <w:tc>
          <w:tcPr>
            <w:tcW w:w="7620" w:type="dxa"/>
          </w:tcPr>
          <w:p w:rsidR="001320C9" w:rsidRPr="001320C9" w:rsidRDefault="001320C9" w:rsidP="001320C9">
            <w:pPr>
              <w:spacing w:line="252" w:lineRule="exact"/>
              <w:ind w:left="205"/>
              <w:rPr>
                <w:rFonts w:eastAsia="Arial" w:cs="Arial"/>
                <w:sz w:val="24"/>
                <w:lang w:val="it-IT"/>
              </w:rPr>
            </w:pPr>
            <w:r w:rsidRPr="001320C9">
              <w:rPr>
                <w:rFonts w:eastAsia="Arial" w:cs="Arial"/>
                <w:sz w:val="24"/>
                <w:lang w:val="it-IT"/>
              </w:rPr>
              <w:t>Assistente</w:t>
            </w:r>
            <w:r w:rsidRPr="001320C9">
              <w:rPr>
                <w:rFonts w:eastAsia="Arial" w:cs="Arial"/>
                <w:spacing w:val="-4"/>
                <w:sz w:val="24"/>
                <w:lang w:val="it-IT"/>
              </w:rPr>
              <w:t xml:space="preserve"> </w:t>
            </w:r>
            <w:r w:rsidRPr="001320C9">
              <w:rPr>
                <w:rFonts w:eastAsia="Arial" w:cs="Arial"/>
                <w:spacing w:val="-2"/>
                <w:sz w:val="24"/>
                <w:lang w:val="it-IT"/>
              </w:rPr>
              <w:t>sociale</w:t>
            </w:r>
          </w:p>
        </w:tc>
      </w:tr>
    </w:tbl>
    <w:p w:rsidR="001F439F" w:rsidRDefault="001F439F" w:rsidP="001F439F">
      <w:pPr>
        <w:pStyle w:val="StandardRisoluzionedelConsigliodiStato"/>
        <w:ind w:right="-1"/>
      </w:pPr>
    </w:p>
    <w:p w:rsidR="001F439F" w:rsidRDefault="001F439F" w:rsidP="001320C9">
      <w:pPr>
        <w:pStyle w:val="StandardRisoluzionedelConsigliodiStato"/>
        <w:tabs>
          <w:tab w:val="left" w:pos="567"/>
        </w:tabs>
        <w:ind w:left="284" w:right="-1" w:hanging="284"/>
      </w:pPr>
      <w:r w:rsidRPr="001320C9">
        <w:t>6.</w:t>
      </w:r>
      <w:r w:rsidRPr="001320C9">
        <w:tab/>
      </w:r>
      <w:r w:rsidRPr="001320C9">
        <w:rPr>
          <w:u w:val="single"/>
        </w:rPr>
        <w:t>Dotazione supplementare per gli istituti che garantiscono un centro di primo soccorso</w:t>
      </w:r>
      <w:r>
        <w:t>. Per gli istituti che, accanto ai letti RAMI, garantiscono un centro di primo soccorso, sono riconosciute le seguenti unità supplementari (espresse in unità a tempo pieno):</w:t>
      </w:r>
    </w:p>
    <w:p w:rsidR="001320C9" w:rsidRDefault="001F439F" w:rsidP="001F439F">
      <w:pPr>
        <w:pStyle w:val="StandardRisoluzionedelConsigliodiStato"/>
        <w:ind w:right="-1"/>
      </w:pPr>
      <w:r>
        <w:t xml:space="preserve"> </w:t>
      </w:r>
    </w:p>
    <w:p w:rsidR="001F439F" w:rsidRDefault="001F439F" w:rsidP="001F439F">
      <w:pPr>
        <w:pStyle w:val="StandardRisoluzionedelConsigliodiStato"/>
        <w:ind w:right="-1"/>
      </w:pPr>
      <w:r>
        <w:t>0.70</w:t>
      </w:r>
      <w:r>
        <w:tab/>
        <w:t>UTP</w:t>
      </w:r>
      <w:r>
        <w:tab/>
        <w:t>Medico assistente</w:t>
      </w:r>
    </w:p>
    <w:p w:rsidR="001F439F" w:rsidRDefault="001F439F" w:rsidP="001F439F">
      <w:pPr>
        <w:pStyle w:val="StandardRisoluzionedelConsigliodiStato"/>
        <w:ind w:right="-1"/>
      </w:pPr>
      <w:r>
        <w:t>1.70 ­&gt;UTP­&gt;Infermieri diplomati</w:t>
      </w:r>
    </w:p>
    <w:p w:rsidR="001320C9" w:rsidRDefault="001320C9" w:rsidP="001F439F">
      <w:pPr>
        <w:pStyle w:val="StandardRisoluzionedelConsigliodiStato"/>
        <w:ind w:right="-1"/>
      </w:pPr>
    </w:p>
    <w:p w:rsidR="001F439F" w:rsidRDefault="001F439F" w:rsidP="001F439F">
      <w:pPr>
        <w:pStyle w:val="StandardRisoluzionedelConsigliodiStato"/>
        <w:ind w:right="-1"/>
      </w:pPr>
      <w:r>
        <w:t>La dotazione dei centri di primo soccorso sarà valutata alla fine del periodo di sperimentazione, sulla base del numero degli interventi effettuati e della loro durata.</w:t>
      </w:r>
    </w:p>
    <w:p w:rsidR="001320C9" w:rsidRDefault="001320C9" w:rsidP="001F439F">
      <w:pPr>
        <w:pStyle w:val="StandardRisoluzionedelConsigliodiStato"/>
        <w:ind w:right="-1"/>
      </w:pPr>
    </w:p>
    <w:p w:rsidR="001F439F" w:rsidRDefault="001320C9" w:rsidP="001320C9">
      <w:pPr>
        <w:pStyle w:val="Titolo3"/>
        <w:numPr>
          <w:ilvl w:val="0"/>
          <w:numId w:val="0"/>
        </w:numPr>
      </w:pPr>
      <w:bookmarkStart w:id="48" w:name="_Toc179882506"/>
      <w:r>
        <w:t>9.2.1</w:t>
      </w:r>
      <w:r w:rsidR="001F439F">
        <w:tab/>
        <w:t>Assetto giuridico letti RAMI</w:t>
      </w:r>
      <w:bookmarkEnd w:id="48"/>
    </w:p>
    <w:p w:rsidR="001F439F" w:rsidRDefault="001320C9" w:rsidP="001320C9">
      <w:pPr>
        <w:pStyle w:val="Titolo4"/>
        <w:numPr>
          <w:ilvl w:val="0"/>
          <w:numId w:val="0"/>
        </w:numPr>
      </w:pPr>
      <w:r>
        <w:t>9.2.1.1</w:t>
      </w:r>
      <w:r w:rsidR="001F439F">
        <w:tab/>
        <w:t>Situazione attuale e soddisfazione per questi reparti</w:t>
      </w:r>
    </w:p>
    <w:p w:rsidR="001F439F" w:rsidRDefault="001F439F" w:rsidP="001F439F">
      <w:pPr>
        <w:pStyle w:val="StandardRisoluzionedelConsigliodiStato"/>
        <w:ind w:right="-1"/>
      </w:pPr>
      <w:r>
        <w:t>Le sentenze del TAF hanno criticato fortemente il regime attuale dal profilo giuridico.</w:t>
      </w:r>
    </w:p>
    <w:p w:rsidR="001F439F" w:rsidRDefault="001F439F" w:rsidP="001F439F">
      <w:pPr>
        <w:pStyle w:val="StandardRisoluzionedelConsigliodiStato"/>
        <w:ind w:right="-1"/>
      </w:pPr>
    </w:p>
    <w:p w:rsidR="001F439F" w:rsidRDefault="001320C9" w:rsidP="001F439F">
      <w:pPr>
        <w:pStyle w:val="StandardRisoluzionedelConsigliodiStato"/>
        <w:ind w:right="-1"/>
      </w:pPr>
      <w:r>
        <w:t xml:space="preserve">I RAMI sono considerati </w:t>
      </w:r>
      <w:r>
        <w:rPr>
          <w:rFonts w:cs="Arial"/>
        </w:rPr>
        <w:t>«</w:t>
      </w:r>
      <w:r w:rsidR="001F439F" w:rsidRPr="001320C9">
        <w:rPr>
          <w:i/>
        </w:rPr>
        <w:t>reparti che dispensano cure, assistenza medica e misure di riabilitazione per pazienti lungodegenti (case di cura)</w:t>
      </w:r>
      <w:r>
        <w:rPr>
          <w:rFonts w:cs="Arial"/>
        </w:rPr>
        <w:t>»</w:t>
      </w:r>
      <w:r w:rsidR="001F439F">
        <w:t xml:space="preserve"> secondo l’art. 39 cpv. 3 LAMal, ma la lor</w:t>
      </w:r>
      <w:r>
        <w:t>o denominazione non figura nell'</w:t>
      </w:r>
      <w:r w:rsidR="001F439F">
        <w:t>elenco dei fornitor</w:t>
      </w:r>
      <w:r>
        <w:t>i di prestazione stabiliti dall'</w:t>
      </w:r>
      <w:r w:rsidR="001F439F">
        <w:t>art. 35 cpv. 2 LAMal. Il TAF ne ha pertanto dedotto che non rappresentano un fornitore autorizzato a</w:t>
      </w:r>
      <w:r>
        <w:t xml:space="preserve"> operare a carico dell'</w:t>
      </w:r>
      <w:r w:rsidR="001F439F">
        <w:t>assicurazione malattie.</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Tecnicamente, i RAMI prevedono una fatturazione delle prestazioni coerente con quella di una casa per </w:t>
      </w:r>
      <w:r w:rsidR="001320C9">
        <w:t>anziani (fatturazione secondo l'</w:t>
      </w:r>
      <w:r>
        <w:t>OPre per le cure e secondo TARMED per le prestazioni mediche, diagnostiche e terapeutiche), ad eccezione dei costi d</w:t>
      </w:r>
      <w:r w:rsidR="001320C9">
        <w:t>'</w:t>
      </w:r>
      <w:r>
        <w:t>investimento, remunerati all</w:t>
      </w:r>
      <w:r w:rsidR="001320C9">
        <w:t>'</w:t>
      </w:r>
      <w:r>
        <w:t>interno della tariffa a car</w:t>
      </w:r>
      <w:r w:rsidR="001320C9">
        <w:t>ico del Cantone. Il disavanzo d'</w:t>
      </w:r>
      <w:r>
        <w:t xml:space="preserve">esercizio, dopo deduzione delle fatturazioni agli </w:t>
      </w:r>
      <w:r w:rsidR="001320C9">
        <w:t>assicuratori e al paziente (</w:t>
      </w:r>
      <w:r>
        <w:t>30</w:t>
      </w:r>
      <w:r w:rsidR="001320C9">
        <w:t xml:space="preserve"> franchi al giorno, limitato a </w:t>
      </w:r>
      <w:r>
        <w:t xml:space="preserve">600 </w:t>
      </w:r>
      <w:r w:rsidR="001320C9">
        <w:t>franchi all'</w:t>
      </w:r>
      <w:r>
        <w:t>anno; cfr. art. 66ebis lett. b LCAMal), considerato un c</w:t>
      </w:r>
      <w:r w:rsidR="001320C9">
        <w:t xml:space="preserve">osto massimo giornaliero di </w:t>
      </w:r>
      <w:r>
        <w:t>484.80</w:t>
      </w:r>
      <w:r w:rsidR="001320C9">
        <w:t xml:space="preserve"> franchi</w:t>
      </w:r>
      <w:r>
        <w:t>, è coperto interamente dal Cantone, senza partecipazione finanziaria dei Comuni come è invece il caso delle case per anziani e dei reparti CAT. Gli investimenti non sono considerati come finanziabili con misure ad hoc, come previsto dalla LAnz, bensì il loro costo (in termini di ammortamenti e interessi) è incluso nel costo giornaliero r</w:t>
      </w:r>
      <w:r w:rsidR="001320C9">
        <w:t xml:space="preserve">iconosciuto nella misura di </w:t>
      </w:r>
      <w:r>
        <w:t>38.80</w:t>
      </w:r>
      <w:r w:rsidR="001320C9">
        <w:t xml:space="preserve"> franchi</w:t>
      </w:r>
      <w:r>
        <w:t xml:space="preserve"> (8% di </w:t>
      </w:r>
      <w:r w:rsidR="001320C9">
        <w:t>484.80 franchi)</w:t>
      </w:r>
      <w:r>
        <w:t>.</w:t>
      </w:r>
    </w:p>
    <w:p w:rsidR="001F439F" w:rsidRDefault="001F439F" w:rsidP="001F439F">
      <w:pPr>
        <w:pStyle w:val="StandardRisoluzionedelConsigliodiStato"/>
        <w:ind w:right="-1"/>
      </w:pPr>
      <w:r>
        <w:lastRenderedPageBreak/>
        <w:t xml:space="preserve">Nel complesso, secondo i dati consolidati per il 2021, per rapporto al costo giornaliero massimo riconosciuto, gli assicuratori si </w:t>
      </w:r>
      <w:r w:rsidR="00222585">
        <w:t>assumono in media il 42.3% (</w:t>
      </w:r>
      <w:r>
        <w:t>204.90</w:t>
      </w:r>
      <w:r w:rsidR="00222585">
        <w:t xml:space="preserve"> franchi) e i pazienti il 3.6% (</w:t>
      </w:r>
      <w:r>
        <w:t>17.60</w:t>
      </w:r>
      <w:r w:rsidR="00222585">
        <w:t xml:space="preserve"> franchi</w:t>
      </w:r>
      <w:r>
        <w:t xml:space="preserve">). </w:t>
      </w:r>
      <w:r w:rsidRPr="00222585">
        <w:rPr>
          <w:b/>
        </w:rPr>
        <w:t>Nel 2021 il Cantone ha finanziato i RAMI con circa 9 milioni di franchi</w:t>
      </w:r>
      <w:r>
        <w:t>. Le critiche sollevate al momento del</w:t>
      </w:r>
      <w:r w:rsidR="00222585">
        <w:t>l'</w:t>
      </w:r>
      <w:r>
        <w:t>istituzione dei RAMI di instaurare un regime chiaramente favorevole agli assicuratori malattia rispetto alla quota parte del 45% della tariffa a loro carico per le degenze acute secondo il sistema SwissDRG, si sono dunque rivelate infondate, a maggior ragione se si considerano anche gli effetti sulla durata delle degenze. La parte</w:t>
      </w:r>
      <w:r w:rsidR="00222585">
        <w:t xml:space="preserve">cipazione del paziente è di </w:t>
      </w:r>
      <w:r>
        <w:t xml:space="preserve">600 </w:t>
      </w:r>
      <w:r w:rsidR="00222585">
        <w:t xml:space="preserve">franchi </w:t>
      </w:r>
      <w:r>
        <w:t xml:space="preserve">(al massimo per anno), ossia </w:t>
      </w:r>
      <w:r w:rsidR="00222585">
        <w:t>franchi</w:t>
      </w:r>
      <w:r>
        <w:t xml:space="preserve"> 30 x 20 giorni al massimo anche se il paziente viene ricoverato più volte in un anno nei RAMI.</w:t>
      </w:r>
    </w:p>
    <w:p w:rsidR="001F439F" w:rsidRDefault="001F439F" w:rsidP="001F439F">
      <w:pPr>
        <w:pStyle w:val="StandardRisoluzionedelConsigliodiStato"/>
        <w:ind w:right="-1"/>
      </w:pPr>
      <w:r>
        <w:t xml:space="preserve">La partecipazione del paziente corrisponde a 30/484 </w:t>
      </w:r>
      <w:r w:rsidR="00222585">
        <w:t>franchi,</w:t>
      </w:r>
      <w:r>
        <w:t xml:space="preserve"> poco più del 6%. Quella degli assicurati + pazienti a </w:t>
      </w:r>
      <w:r w:rsidR="00222585">
        <w:t xml:space="preserve">franchi </w:t>
      </w:r>
      <w:r>
        <w:t xml:space="preserve">(204.90 + 30) = 234.90, ossia </w:t>
      </w:r>
      <w:r w:rsidR="00222585">
        <w:t>a</w:t>
      </w:r>
      <w:r>
        <w:t>l 48% del costo giornaliero complessivo</w:t>
      </w:r>
    </w:p>
    <w:p w:rsidR="001F439F" w:rsidRDefault="00222585" w:rsidP="001F439F">
      <w:pPr>
        <w:pStyle w:val="StandardRisoluzionedelConsigliodiStato"/>
        <w:ind w:right="-1"/>
      </w:pPr>
      <w:r>
        <w:t>L'</w:t>
      </w:r>
      <w:r w:rsidR="001F439F">
        <w:t>art</w:t>
      </w:r>
      <w:r>
        <w:t xml:space="preserve">. </w:t>
      </w:r>
      <w:r w:rsidR="001F439F">
        <w:t>84a cpv. 2 LCAMal avrebbe previsto a partire dal terzo anno (dal 2020) una remunerazione forfettaria (simile a quella ospedaliera), sulla base della fatturazione</w:t>
      </w:r>
      <w:r>
        <w:t xml:space="preserve"> analitica dei primi due anni d'</w:t>
      </w:r>
      <w:r w:rsidR="001F439F">
        <w:t>esercizio. Ciò che non è mai avven</w:t>
      </w:r>
      <w:r>
        <w:t>uto, in attesa di consolidare l'</w:t>
      </w:r>
      <w:r w:rsidR="001F439F">
        <w:t>assetto giuridico prima di poterne semmai ridiscutere con gli assicuratori malattia e di verificare la funzionalità del regime transitorio.</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La formalizzazione del contributo cantonale avviene attraverso la sottoscrizione di un contratto quadro e di un contratto annuale, in analogia a quanto previsto per gli ospedali per</w:t>
      </w:r>
      <w:r w:rsidR="00222585">
        <w:t xml:space="preserve"> l'</w:t>
      </w:r>
      <w:r>
        <w:t>ambito stazionario.</w:t>
      </w:r>
    </w:p>
    <w:p w:rsidR="001F439F" w:rsidRDefault="001F439F" w:rsidP="001F439F">
      <w:pPr>
        <w:pStyle w:val="StandardRisoluzionedelConsigliodiStato"/>
        <w:ind w:right="-1"/>
      </w:pPr>
    </w:p>
    <w:p w:rsidR="001F439F" w:rsidRDefault="001F439F" w:rsidP="001F439F">
      <w:pPr>
        <w:pStyle w:val="StandardRisoluzionedelConsigliodiStato"/>
        <w:ind w:right="-1"/>
      </w:pPr>
      <w:r>
        <w:t>In questi anni, la presa in carico dei pazienti in regime RAMI si è vieppiù caratterizzata, affrancandosi in modo riconoscibile da quella ospedaliera acuta e di CAT­STT, a grande soddisfazione della rete sociosanitaria e dei pazienti.</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Il Consiglio di Stato sostiene pertanto questo comparto di cura e la possibilità </w:t>
      </w:r>
      <w:r w:rsidR="00222585">
        <w:t>di renderlo compatibile con la L</w:t>
      </w:r>
      <w:r>
        <w:t>egislazione federale con alcune modifiche da apportare nelle leggi cantonali interessate, come illustrato di seguito.</w:t>
      </w:r>
    </w:p>
    <w:p w:rsidR="001F439F" w:rsidRDefault="001F439F" w:rsidP="001F439F">
      <w:pPr>
        <w:pStyle w:val="StandardRisoluzionedelConsigliodiStato"/>
        <w:ind w:right="-1"/>
      </w:pPr>
    </w:p>
    <w:p w:rsidR="001F439F" w:rsidRDefault="00CA72C7" w:rsidP="00CA72C7">
      <w:pPr>
        <w:pStyle w:val="Titolo4"/>
        <w:numPr>
          <w:ilvl w:val="0"/>
          <w:numId w:val="0"/>
        </w:numPr>
        <w:tabs>
          <w:tab w:val="left" w:pos="567"/>
        </w:tabs>
      </w:pPr>
      <w:r>
        <w:t>9.2.1.2</w:t>
      </w:r>
      <w:r w:rsidR="001F439F">
        <w:tab/>
        <w:t>Conformità alla LAMal</w:t>
      </w:r>
    </w:p>
    <w:p w:rsidR="001F439F" w:rsidRDefault="00CA72C7" w:rsidP="001F439F">
      <w:pPr>
        <w:pStyle w:val="StandardRisoluzionedelConsigliodiStato"/>
        <w:ind w:right="-1"/>
      </w:pPr>
      <w:r>
        <w:t>Attualmente l'</w:t>
      </w:r>
      <w:r w:rsidR="001F439F">
        <w:t xml:space="preserve">art. 63a LCAMal elenca gli istituti necessari a coprire il fabbisogno di cure aggiungendo a ospedali, case di cura e case </w:t>
      </w:r>
      <w:r>
        <w:t xml:space="preserve">per partorienti, alla lett. d) </w:t>
      </w:r>
      <w:r>
        <w:rPr>
          <w:rFonts w:cs="Arial"/>
        </w:rPr>
        <w:t>«</w:t>
      </w:r>
      <w:r w:rsidR="001F439F" w:rsidRPr="00CA72C7">
        <w:rPr>
          <w:i/>
        </w:rPr>
        <w:t>i reparti Acuti a minore intensi</w:t>
      </w:r>
      <w:r w:rsidRPr="00CA72C7">
        <w:rPr>
          <w:i/>
        </w:rPr>
        <w:t>tà (Rami), di regola situati all'</w:t>
      </w:r>
      <w:r w:rsidR="001F439F" w:rsidRPr="00CA72C7">
        <w:rPr>
          <w:i/>
        </w:rPr>
        <w:t>interno degli ospedali somatici acuti di acuti alla lett. a)</w:t>
      </w:r>
      <w:r>
        <w:rPr>
          <w:rFonts w:cs="Arial"/>
        </w:rPr>
        <w:t>»</w:t>
      </w:r>
      <w:r w:rsidR="001F439F">
        <w:t>. In questa formulazione e in forma distinta un tale fornitore di</w:t>
      </w:r>
      <w:r>
        <w:t xml:space="preserve"> prestazioni non è previsto all'</w:t>
      </w:r>
      <w:r w:rsidR="001F439F">
        <w:t>art. 35 LAMal.</w:t>
      </w:r>
    </w:p>
    <w:p w:rsidR="001F439F" w:rsidRDefault="001F439F" w:rsidP="001F439F">
      <w:pPr>
        <w:pStyle w:val="StandardRisoluzionedelConsigliodiStato"/>
        <w:ind w:right="-1"/>
      </w:pPr>
    </w:p>
    <w:p w:rsidR="001F439F" w:rsidRDefault="001F439F" w:rsidP="001F439F">
      <w:pPr>
        <w:pStyle w:val="StandardRisoluzionedelConsigliodiStato"/>
        <w:ind w:right="-1"/>
      </w:pPr>
      <w:r>
        <w:t>Si p</w:t>
      </w:r>
      <w:r w:rsidR="00CA72C7">
        <w:t>ropone pertanto di modificare l'</w:t>
      </w:r>
      <w:r>
        <w:t>art. 63a LCAMal e correlati, così come gli artt. 1 e 2 della LEOC così come indicato nei disegni di legge allegati al rapporto.</w:t>
      </w:r>
    </w:p>
    <w:p w:rsidR="001F439F" w:rsidRDefault="001F439F" w:rsidP="001F439F">
      <w:pPr>
        <w:pStyle w:val="StandardRisoluzionedelConsigliodiStato"/>
        <w:ind w:right="-1"/>
      </w:pPr>
    </w:p>
    <w:p w:rsidR="001F439F" w:rsidRDefault="00CA72C7" w:rsidP="00CA72C7">
      <w:pPr>
        <w:pStyle w:val="Titolo4"/>
        <w:numPr>
          <w:ilvl w:val="0"/>
          <w:numId w:val="0"/>
        </w:numPr>
        <w:tabs>
          <w:tab w:val="left" w:pos="567"/>
        </w:tabs>
      </w:pPr>
      <w:r>
        <w:t>9.2.1.3</w:t>
      </w:r>
      <w:r w:rsidR="001F439F">
        <w:tab/>
        <w:t>Finanziamento delle prestazioni di cura</w:t>
      </w:r>
    </w:p>
    <w:p w:rsidR="001F439F" w:rsidRDefault="001F439F" w:rsidP="001F439F">
      <w:pPr>
        <w:pStyle w:val="StandardRisoluzionedelConsigliodiStato"/>
        <w:ind w:right="-1"/>
      </w:pPr>
      <w:r>
        <w:t>Viste le riserve degli assicuratori malattia e la buona prova data dal sistema attuale di fatturazione, si propone di consolidare la soluzione transitoria e abbandonare il rimborso forfettario.</w:t>
      </w:r>
    </w:p>
    <w:p w:rsidR="001F439F" w:rsidRDefault="00CA72C7" w:rsidP="001F439F">
      <w:pPr>
        <w:pStyle w:val="StandardRisoluzionedelConsigliodiStato"/>
        <w:ind w:right="-1"/>
      </w:pPr>
      <w:r>
        <w:lastRenderedPageBreak/>
        <w:t>L'</w:t>
      </w:r>
      <w:r w:rsidR="001F439F">
        <w:t>art. 84a LCA</w:t>
      </w:r>
      <w:r>
        <w:t xml:space="preserve">Mal viene quindi abrogato e all'art. 66ebis lett. b LCAMal l'espressione </w:t>
      </w:r>
      <w:r>
        <w:rPr>
          <w:rFonts w:cs="Arial"/>
        </w:rPr>
        <w:t>«</w:t>
      </w:r>
      <w:r w:rsidR="001F439F" w:rsidRPr="00CA72C7">
        <w:rPr>
          <w:i/>
        </w:rPr>
        <w:t>rimborso delle prestazioni mediche, infermieristiche, diagnostiche e terapeutiche sulla base di forfait stabiliti tramite convenzione (si vedano art. 67 e ss. LCAMal)</w:t>
      </w:r>
      <w:r>
        <w:rPr>
          <w:rFonts w:cs="Arial"/>
        </w:rPr>
        <w:t>»</w:t>
      </w:r>
      <w:r w:rsidR="001F439F">
        <w:t xml:space="preserve"> viene sostituita dalle</w:t>
      </w:r>
      <w:r>
        <w:t xml:space="preserve"> indicazioni ora contenute all'a</w:t>
      </w:r>
      <w:r w:rsidR="001F439F">
        <w:t>rt. 84a cpv.1 LCAMal, ovvero:</w:t>
      </w:r>
    </w:p>
    <w:p w:rsidR="00CA72C7" w:rsidRDefault="00CA72C7" w:rsidP="001F439F">
      <w:pPr>
        <w:pStyle w:val="StandardRisoluzionedelConsigliodiStato"/>
        <w:ind w:right="-1"/>
      </w:pPr>
    </w:p>
    <w:p w:rsidR="001F439F" w:rsidRDefault="001F439F" w:rsidP="001F439F">
      <w:pPr>
        <w:pStyle w:val="StandardRisoluzionedelConsigliodiStato"/>
        <w:ind w:right="-1"/>
      </w:pPr>
      <w:r>
        <w:t>le prestazioni di cura e assistenza in base ai criteri di cui agli art. 7 e segg. OPre; le prestazioni mediche, diagnos</w:t>
      </w:r>
      <w:r w:rsidR="00CA72C7">
        <w:t>tiche e terapeutiche all'</w:t>
      </w:r>
      <w:r>
        <w:t>atto;</w:t>
      </w:r>
    </w:p>
    <w:p w:rsidR="001F439F" w:rsidRDefault="001F439F" w:rsidP="001F439F">
      <w:pPr>
        <w:pStyle w:val="StandardRisoluzionedelConsigliodiStato"/>
        <w:ind w:right="-1"/>
      </w:pPr>
      <w:r>
        <w:t>i medicamenti e i mezzi ausiliari per singola fornitura.</w:t>
      </w:r>
    </w:p>
    <w:p w:rsidR="001F439F" w:rsidRDefault="001F439F" w:rsidP="001F439F">
      <w:pPr>
        <w:pStyle w:val="StandardRisoluzionedelConsigliodiStato"/>
        <w:ind w:right="-1"/>
      </w:pPr>
    </w:p>
    <w:p w:rsidR="001F439F" w:rsidRDefault="00CA72C7" w:rsidP="00CA72C7">
      <w:pPr>
        <w:pStyle w:val="Titolo4"/>
        <w:numPr>
          <w:ilvl w:val="0"/>
          <w:numId w:val="0"/>
        </w:numPr>
      </w:pPr>
      <w:r>
        <w:t>9.2.1.4</w:t>
      </w:r>
      <w:r w:rsidR="001F439F">
        <w:tab/>
        <w:t>Finanziamento dei costi d’investimento</w:t>
      </w:r>
    </w:p>
    <w:p w:rsidR="001F439F" w:rsidRDefault="001F439F" w:rsidP="001F439F">
      <w:pPr>
        <w:pStyle w:val="StandardRisoluzionedelConsigliodiStato"/>
        <w:ind w:right="-1"/>
      </w:pPr>
      <w:r>
        <w:t>Le strutture RAMI resteranno limitate nel numero ma diverse tra loro a seconda degli enti gestori (EOC rispettivamente enti e cliniche privati). Si intende parificare le modalità di finanziamento cantonale degli investimenti per i RAMI a quelle in vigore per le case per anziani. Ciò implica di scorporare dal contributo cantonale annuale di gestione la quota parte destinata agli investimenti e di prevedere invece la possibilità di erogare sussidi specifici in caso di investimenti. Questa modifica permetterà di sostenere la realizzazione del nuovo Centro sociosanitario di Acquarossa, che dovrà andare a sostituire il vetusto ospedale.</w:t>
      </w:r>
    </w:p>
    <w:p w:rsidR="001F439F" w:rsidRDefault="001F439F" w:rsidP="001F439F">
      <w:pPr>
        <w:pStyle w:val="StandardRisoluzionedelConsigliodiStato"/>
        <w:ind w:right="-1"/>
      </w:pPr>
      <w:r>
        <w:t>Si prop</w:t>
      </w:r>
      <w:r w:rsidR="00CA72C7">
        <w:t>one pertanto di sopprimere, all'</w:t>
      </w:r>
      <w:r>
        <w:t>a</w:t>
      </w:r>
      <w:r w:rsidR="00CA72C7">
        <w:t>rticolo 66ebis lett. a LCAMal l'espressione costi d'</w:t>
      </w:r>
      <w:r>
        <w:t>investimento e di aggiungere una norma specifica (66e ter LCAMal) sul finanziamento</w:t>
      </w:r>
      <w:r w:rsidR="00CA72C7">
        <w:t xml:space="preserve"> dei costi d'</w:t>
      </w:r>
      <w:r>
        <w:t>investimento che rimanda alla LAnz. Il testo è quello di cui al disegno legge allegato al rapporto.</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Questa modifica permetterebbe di risparmiare sulla dotazione di 135 letti </w:t>
      </w:r>
      <w:r w:rsidR="00CA72C7">
        <w:t>RAMI 1.7 milioni di franchi all'</w:t>
      </w:r>
      <w:r>
        <w:t>anno (fr. 38.8*135letti*365gg*90% di occupazione), ment</w:t>
      </w:r>
      <w:r w:rsidR="00CA72C7">
        <w:t>re sul Cantone ricadrebbe poi l'</w:t>
      </w:r>
      <w:r>
        <w:t>onere di sussidiamento degli investimenti nel caso di nuove costruzioni o ristrutturazione di edifici esistenti ai sensi della LAnz.</w:t>
      </w:r>
    </w:p>
    <w:p w:rsidR="001F439F" w:rsidRDefault="001F439F" w:rsidP="001F439F">
      <w:pPr>
        <w:pStyle w:val="StandardRisoluzionedelConsigliodiStato"/>
        <w:ind w:right="-1"/>
      </w:pPr>
    </w:p>
    <w:p w:rsidR="001F439F" w:rsidRDefault="00CA72C7" w:rsidP="001F439F">
      <w:pPr>
        <w:pStyle w:val="StandardRisoluzionedelConsigliodiStato"/>
        <w:ind w:right="-1"/>
      </w:pPr>
      <w:r>
        <w:t>Il tema delle tariffe "</w:t>
      </w:r>
      <w:r w:rsidR="001F439F">
        <w:t>insufficienti</w:t>
      </w:r>
      <w:r>
        <w:t>"</w:t>
      </w:r>
      <w:r w:rsidR="001F439F">
        <w:t xml:space="preserve"> per gli ospedali meriterebbe un capitolo dedicato. Il problema delle tariffe insufficienti è comunque un tema nazionale. Tuttavia, non si può non ribadire i numerosi problemi finanziari di cui soffrono gran parte degli ospedali svizzeri come menzionato in precedenza.</w:t>
      </w:r>
    </w:p>
    <w:p w:rsidR="001F439F" w:rsidRDefault="001F439F" w:rsidP="001F439F">
      <w:pPr>
        <w:pStyle w:val="StandardRisoluzionedelConsigliodiStato"/>
        <w:ind w:right="-1"/>
      </w:pPr>
      <w:r>
        <w:t>La tariffa del Cantone, calcolata su un costo giornaliero di CHF 484.30, è vecchia ormai di più di 10 anni e non è mai stata adeguata, in particolare al rincaro del costo del personale, dei costi energetici, degli alimentari, ecc.</w:t>
      </w:r>
    </w:p>
    <w:p w:rsidR="001F439F" w:rsidRDefault="00CA72C7" w:rsidP="001F439F">
      <w:pPr>
        <w:pStyle w:val="StandardRisoluzionedelConsigliodiStato"/>
        <w:ind w:right="-1"/>
      </w:pPr>
      <w:r>
        <w:t>Togliere semplicemente l'</w:t>
      </w:r>
      <w:r w:rsidR="001F439F">
        <w:t>8% della tariffa a tutti gli istituti RAMI, poiché – quando investono – il Cantone li tratterebbe come CPA, renderà tutto il comparto precario. Infatti, la tar</w:t>
      </w:r>
      <w:r>
        <w:t>iffa copre forse solo i costi d'</w:t>
      </w:r>
      <w:r w:rsidR="001F439F">
        <w:t xml:space="preserve">esercizio (senza oneri finanziari) con un EBIDTDA tra 0% e 1%! Se si vuole veramente mantenere una maggiore intensità di cure nei RAMI – come deciso dal Parlamento con la POC 2015 </w:t>
      </w:r>
      <w:r>
        <w:t>–</w:t>
      </w:r>
      <w:r w:rsidR="001F439F">
        <w:t xml:space="preserve"> per non farli scadere a CAT­STT, un adeguamento della tariffa appare indispensabile!</w:t>
      </w:r>
    </w:p>
    <w:p w:rsidR="001F439F" w:rsidRDefault="001F439F" w:rsidP="001F439F">
      <w:pPr>
        <w:pStyle w:val="StandardRisoluzionedelConsigliodiStato"/>
        <w:ind w:right="-1"/>
      </w:pPr>
    </w:p>
    <w:p w:rsidR="001F439F" w:rsidRDefault="00CA72C7" w:rsidP="001F439F">
      <w:pPr>
        <w:pStyle w:val="StandardRisoluzionedelConsigliodiStato"/>
        <w:ind w:right="-1"/>
      </w:pPr>
      <w:r>
        <w:t>In occasione dell'</w:t>
      </w:r>
      <w:r w:rsidR="001F439F">
        <w:t>audizione del G</w:t>
      </w:r>
      <w:r>
        <w:t>overno del 6 giugno 2024, quest'</w:t>
      </w:r>
      <w:r w:rsidR="001F439F">
        <w:t>ultim</w:t>
      </w:r>
      <w:r>
        <w:t>o</w:t>
      </w:r>
      <w:r w:rsidR="001F439F">
        <w:t xml:space="preserve"> ha affermato di condividere la necessità </w:t>
      </w:r>
      <w:r>
        <w:t>di una revisione della tariffa "</w:t>
      </w:r>
      <w:r w:rsidR="001F439F">
        <w:t>garantita</w:t>
      </w:r>
      <w:r>
        <w:t>"</w:t>
      </w:r>
      <w:r w:rsidR="001F439F">
        <w:t xml:space="preserve"> dal Cantone.</w:t>
      </w:r>
    </w:p>
    <w:p w:rsidR="00CA72C7" w:rsidRDefault="00CA72C7" w:rsidP="001F439F">
      <w:pPr>
        <w:pStyle w:val="StandardRisoluzionedelConsigliodiStato"/>
        <w:ind w:right="-1"/>
      </w:pPr>
      <w:r>
        <w:br w:type="page"/>
      </w:r>
    </w:p>
    <w:p w:rsidR="001F439F" w:rsidRDefault="00BE0BBB" w:rsidP="00BE0BBB">
      <w:pPr>
        <w:pStyle w:val="Titolo2"/>
        <w:numPr>
          <w:ilvl w:val="0"/>
          <w:numId w:val="0"/>
        </w:numPr>
        <w:tabs>
          <w:tab w:val="left" w:pos="567"/>
        </w:tabs>
      </w:pPr>
      <w:bookmarkStart w:id="49" w:name="_Toc179882507"/>
      <w:r>
        <w:lastRenderedPageBreak/>
        <w:t>9.3</w:t>
      </w:r>
      <w:r w:rsidR="001F439F">
        <w:tab/>
        <w:t>INDIRIZZI STRATEGICI</w:t>
      </w:r>
      <w:bookmarkEnd w:id="49"/>
    </w:p>
    <w:p w:rsidR="001F439F" w:rsidRDefault="001F439F" w:rsidP="001F439F">
      <w:pPr>
        <w:pStyle w:val="StandardRisoluzionedelConsigliodiStato"/>
        <w:ind w:right="-1"/>
      </w:pPr>
      <w:r>
        <w:t>Le parti interessate rappresentate in seno alla Commissione della pianificazione sanitaria hanno formulato parecchie osservazioni rispetto alle indicazioni e alle proposte di indirizzi risultanti dal Rapporto SUPSI.</w:t>
      </w:r>
    </w:p>
    <w:p w:rsidR="001F439F" w:rsidRDefault="001F439F" w:rsidP="001F439F">
      <w:pPr>
        <w:pStyle w:val="StandardRisoluzionedelConsigliodiStato"/>
        <w:ind w:right="-1"/>
      </w:pPr>
      <w:r>
        <w:t xml:space="preserve">Secondo il Governo risulta tuttavia difficile individuare proposte di aggiornamento e modifica che esprimano </w:t>
      </w:r>
      <w:r w:rsidR="00BE0BBB">
        <w:t>visioni ampiamente condivise all'</w:t>
      </w:r>
      <w:r>
        <w:t>interno della Commissione. Anche queste divergenze rafforzano la convinzione che le indicazioni dello studio SUPSI rappresentino nel complesso una sintesi equilibrata, ancorché forzatamen</w:t>
      </w:r>
      <w:r w:rsidR="00BE0BBB">
        <w:t>te poco profilata verso una o l'</w:t>
      </w:r>
      <w:r>
        <w:t>altra direzione. Si propone pertanto di recepire gli indirizzi strategici dello studio SUPSI che sono così riassunti e, se del caso completati con suggerimenti aggiuntivi.</w:t>
      </w:r>
    </w:p>
    <w:p w:rsidR="001F439F" w:rsidRDefault="001F439F" w:rsidP="001F439F">
      <w:pPr>
        <w:pStyle w:val="StandardRisoluzionedelConsigliodiStato"/>
        <w:ind w:right="-1"/>
      </w:pPr>
    </w:p>
    <w:p w:rsidR="001F439F" w:rsidRDefault="00BE0BBB" w:rsidP="00BE0BBB">
      <w:pPr>
        <w:pStyle w:val="Titolo3"/>
        <w:numPr>
          <w:ilvl w:val="0"/>
          <w:numId w:val="0"/>
        </w:numPr>
        <w:ind w:left="567" w:hanging="567"/>
        <w:jc w:val="both"/>
      </w:pPr>
      <w:bookmarkStart w:id="50" w:name="_Toc179882508"/>
      <w:r>
        <w:t>9.3.1</w:t>
      </w:r>
      <w:r w:rsidR="001F439F">
        <w:tab/>
        <w:t>Perseguire con determinazione un’adeguata allocazione dei servizi sull’asse prossimità/concentrazione</w:t>
      </w:r>
      <w:bookmarkEnd w:id="50"/>
    </w:p>
    <w:p w:rsidR="001F439F" w:rsidRDefault="001F439F" w:rsidP="001F439F">
      <w:pPr>
        <w:pStyle w:val="StandardRisoluzionedelConsigliodiStato"/>
        <w:ind w:right="-1"/>
      </w:pPr>
      <w:r>
        <w:t>Per il settore somatico­acuto si tratta di riproporre la suddivisione delle prestazioni in base alle cinque macrocatego</w:t>
      </w:r>
      <w:r w:rsidR="00BE0BBB">
        <w:t>rie definite nella scorsa P</w:t>
      </w:r>
      <w:r>
        <w:t>ianificazione e attualizzate in base alla versione aggiornata del modello della GD­ZH: il pacchetto di base e le prestazioni specialistiche a più ospedali, assicurando le cure di prossimità, le prestazioni multidisciplinari e complesse e la medicina altamente specializzata, con numeri di casi limitati, di principio su un'unica o un numero esiguo di sedi, mentre le discipline trasversali su più sedi a dipendenza dei legami con gli altri mandati attribuiti e ai volumi attesi, importanti per la geriatria, più contenuti per la pediatria.</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La Commissione rileva che bisognerebbe specificare cosa entra in quale categoria e che vi è qualche perplessità circa la conformità al principio del metodo di Zurigo e che quindi potrebbe dar adito a contestazioni. Inoltre, la differenza nella scelta tra prossimità e concentrazione deve restare fondata sulla qualità che può essere garantita, segnatamente con delle casistiche minime in percentuale e per nr. di casi.</w:t>
      </w:r>
    </w:p>
    <w:p w:rsidR="001F439F" w:rsidRDefault="001F439F" w:rsidP="001F439F">
      <w:pPr>
        <w:pStyle w:val="StandardRisoluzionedelConsigliodiStato"/>
        <w:ind w:right="-1"/>
      </w:pPr>
    </w:p>
    <w:p w:rsidR="001F439F" w:rsidRDefault="001F439F" w:rsidP="001F439F">
      <w:pPr>
        <w:pStyle w:val="StandardRisoluzionedelConsigliodiStato"/>
        <w:ind w:right="-1"/>
      </w:pPr>
      <w:r>
        <w:t>Per completare le indicazioni su questo punto, il Consiglio di Stato propone di confermare la decisione adottata dal Gra</w:t>
      </w:r>
      <w:r w:rsidR="00BE0BBB">
        <w:t>n Consiglio in occasione della P</w:t>
      </w:r>
      <w:r>
        <w:t xml:space="preserve">ianificazione ospedaliera 2015 relativa al mantenimento di un reparto di medicina interna acuta nelle </w:t>
      </w:r>
      <w:r w:rsidR="00BE0BBB">
        <w:t>sedi di Acquarossa e Faido dell'</w:t>
      </w:r>
      <w:r>
        <w:t>Ospedale Regionale di Bellinzona e Valli. In tale contesto andrà valutata la dimensione strutturale e la dotazione di risorse dei relativi centri di primo soccorso.</w:t>
      </w:r>
    </w:p>
    <w:p w:rsidR="001F439F" w:rsidRDefault="001F439F" w:rsidP="001F439F">
      <w:pPr>
        <w:pStyle w:val="StandardRisoluzionedelConsigliodiStato"/>
        <w:ind w:right="-1"/>
      </w:pPr>
    </w:p>
    <w:p w:rsidR="001F439F" w:rsidRDefault="00BE0BBB" w:rsidP="001F439F">
      <w:pPr>
        <w:pStyle w:val="StandardRisoluzionedelConsigliodiStato"/>
        <w:ind w:right="-1"/>
      </w:pPr>
      <w:r>
        <w:t>L’iniziativa popolare "P</w:t>
      </w:r>
      <w:r w:rsidR="001F439F">
        <w:t>er cure mediche ospedaliere di prossimità</w:t>
      </w:r>
      <w:r>
        <w:t>"</w:t>
      </w:r>
      <w:r w:rsidR="001F439F">
        <w:t xml:space="preserve">, depositata nel 2017 è stata nel frattempo ritirata a seguito della recente approvazione del Messaggio </w:t>
      </w:r>
      <w:r>
        <w:t xml:space="preserve">n. </w:t>
      </w:r>
      <w:r w:rsidR="001F439F">
        <w:t>8326 da parte di questo Parlamento.</w:t>
      </w:r>
    </w:p>
    <w:p w:rsidR="001F439F" w:rsidRDefault="001F439F" w:rsidP="001F439F">
      <w:pPr>
        <w:pStyle w:val="StandardRisoluzionedelConsigliodiStato"/>
        <w:ind w:right="-1"/>
      </w:pPr>
    </w:p>
    <w:p w:rsidR="001F439F" w:rsidRDefault="001F439F" w:rsidP="001F439F">
      <w:pPr>
        <w:pStyle w:val="StandardRisoluzionedelConsigliodiStato"/>
        <w:ind w:right="-1"/>
      </w:pPr>
      <w:r>
        <w:t>La gestione dei reparti di medicina acuta di Faido e Acquarossa comporta costi annui per</w:t>
      </w:r>
      <w:r w:rsidR="00BE0BBB">
        <w:t xml:space="preserve"> </w:t>
      </w:r>
      <w:r>
        <w:t>9.5 milioni di franchi, di cui 7.5 milioni di franchi recuperati</w:t>
      </w:r>
      <w:r w:rsidR="00BE0BBB">
        <w:t xml:space="preserve"> tramite le tariffe assunte da a</w:t>
      </w:r>
      <w:r>
        <w:t>ssicuratori malattia e Cantone in ragione del 45% rispettivamente del 55</w:t>
      </w:r>
      <w:r w:rsidR="00BE0BBB">
        <w:t>%, con uno scoperto assunto dal'</w:t>
      </w:r>
      <w:r>
        <w:t>’EOC di 2 milioni di franchi (dati 2019).</w:t>
      </w:r>
    </w:p>
    <w:p w:rsidR="001F439F" w:rsidRDefault="00BE0BBB" w:rsidP="001F439F">
      <w:pPr>
        <w:pStyle w:val="StandardRisoluzionedelConsigliodiStato"/>
        <w:ind w:right="-1"/>
      </w:pPr>
      <w:r>
        <w:t>Come indicato nell'</w:t>
      </w:r>
      <w:r w:rsidR="001F439F">
        <w:t>introduzione, l</w:t>
      </w:r>
      <w:r>
        <w:t>'iniziativa popolare "</w:t>
      </w:r>
      <w:r w:rsidR="001F439F">
        <w:t>Per cure mediche e ospedaliere di prossimità</w:t>
      </w:r>
      <w:r>
        <w:t>"</w:t>
      </w:r>
      <w:r w:rsidR="001F439F">
        <w:t>, depositata nel 2017, è stata nel frattempo ritirata a seguito della recente approvazione del Messaggio n. 8326 da parte di questo Parlamento con il relativo controprogetto.</w:t>
      </w:r>
    </w:p>
    <w:p w:rsidR="001F439F" w:rsidRDefault="001F439F" w:rsidP="001F439F">
      <w:pPr>
        <w:pStyle w:val="StandardRisoluzionedelConsigliodiStato"/>
        <w:ind w:right="-1"/>
      </w:pPr>
      <w:r>
        <w:lastRenderedPageBreak/>
        <w:t>Una parte della Commissione ritiene comunque che, al di là di criteri di economicità o diseconomicità, il ruolo di questi reparti di medicina nei due ospedali di Faido e Acquarossa debba essere preservato anc</w:t>
      </w:r>
      <w:r w:rsidR="00BE0BBB">
        <w:t>he in futuro poiché fungono da "</w:t>
      </w:r>
      <w:r>
        <w:t>polmone</w:t>
      </w:r>
      <w:r w:rsidR="00BE0BBB">
        <w:t>"</w:t>
      </w:r>
      <w:r>
        <w:t xml:space="preserve"> all’Ospedale San Giovanni di Bellinzona e privilegiano la prossimità con il paziente.</w:t>
      </w:r>
    </w:p>
    <w:p w:rsidR="001F439F" w:rsidRDefault="001F439F" w:rsidP="001F439F">
      <w:pPr>
        <w:pStyle w:val="StandardRisoluzionedelConsigliodiStato"/>
        <w:ind w:right="-1"/>
      </w:pPr>
      <w:r>
        <w:t>Un’altra parte della Commissione, per contro, evidenzia come questo sia un esempio di diseconomicità delle cure; quan</w:t>
      </w:r>
      <w:r w:rsidR="00BE0BBB">
        <w:t>ti sono i pazienti trattati all'anno? Con quali frequenze? Cos'</w:t>
      </w:r>
      <w:r>
        <w:t xml:space="preserve">è il costo della prestazione? Meglio sarebbe ipotizzare il modello di Centro sociosanitario al posto di mantenere reparti somatici acuti con numeri insostenibili. </w:t>
      </w:r>
    </w:p>
    <w:p w:rsidR="001F439F" w:rsidRDefault="001F439F" w:rsidP="001F439F">
      <w:pPr>
        <w:pStyle w:val="StandardRisoluzionedelConsigliodiStato"/>
        <w:ind w:right="-1"/>
      </w:pPr>
    </w:p>
    <w:p w:rsidR="001F439F" w:rsidRDefault="0037541E" w:rsidP="001F439F">
      <w:pPr>
        <w:pStyle w:val="StandardRisoluzionedelConsigliodiStato"/>
        <w:ind w:right="-1"/>
      </w:pPr>
      <w:r>
        <w:t>Nell'</w:t>
      </w:r>
      <w:r w:rsidR="001F439F">
        <w:t>attribuzione dei mandati potrà essere cons</w:t>
      </w:r>
      <w:r w:rsidR="00BE0BBB">
        <w:t>iderata anche la rilevanza dell'</w:t>
      </w:r>
      <w:r w:rsidR="001F439F">
        <w:t xml:space="preserve">istituto per la copertura del fabbisogno cantonale. La CDS raccomanda di stabilire per ogni gruppo di prestazioni una quota minima del 5% massimo 10% per un periodo definito. In aggiunta, i Cantoni possono definire delle quote diverse. In queste valutazioni andrà </w:t>
      </w:r>
      <w:r w:rsidR="00BE0BBB">
        <w:t>presa in considerazione anche l'</w:t>
      </w:r>
      <w:r w:rsidR="001F439F">
        <w:t>attività ambulatoriale assicurata dagli istituti per la stessa tipologia di prestazione.</w:t>
      </w:r>
    </w:p>
    <w:p w:rsidR="001F439F" w:rsidRDefault="001F439F" w:rsidP="001F439F">
      <w:pPr>
        <w:pStyle w:val="StandardRisoluzionedelConsigliodiStato"/>
        <w:ind w:right="-1"/>
      </w:pPr>
    </w:p>
    <w:p w:rsidR="001F439F" w:rsidRDefault="001F439F" w:rsidP="001F439F">
      <w:pPr>
        <w:pStyle w:val="StandardRisoluzionedelConsigliodiStato"/>
        <w:ind w:right="-1"/>
      </w:pPr>
      <w:r>
        <w:t>La Commissione rileva che questi elementi non possono essere considerati nella fase di attribuzione, ma prima di compilare il modulo di offerta affinché le regole del gioco siano conosciute. Inoltre</w:t>
      </w:r>
      <w:r w:rsidR="00BE0BBB">
        <w:t>,</w:t>
      </w:r>
      <w:r>
        <w:t xml:space="preserve"> oltre alla quota in %, bisognerà anche inserire la questione dei numeri minimi di casi per specializzazione.</w:t>
      </w:r>
    </w:p>
    <w:p w:rsidR="001F439F" w:rsidRDefault="001F439F" w:rsidP="001F439F">
      <w:pPr>
        <w:pStyle w:val="StandardRisoluzionedelConsigliodiStato"/>
        <w:ind w:right="-1"/>
      </w:pPr>
    </w:p>
    <w:p w:rsidR="001F439F" w:rsidRDefault="0037541E" w:rsidP="0037541E">
      <w:pPr>
        <w:pStyle w:val="Titolo3"/>
        <w:numPr>
          <w:ilvl w:val="0"/>
          <w:numId w:val="0"/>
        </w:numPr>
        <w:ind w:left="567" w:hanging="567"/>
        <w:jc w:val="both"/>
      </w:pPr>
      <w:bookmarkStart w:id="51" w:name="_Toc179882509"/>
      <w:r>
        <w:t>9.3.2</w:t>
      </w:r>
      <w:r w:rsidR="001F439F">
        <w:tab/>
        <w:t>Puntare a un ospedale di riferimento per la medicina somatico-acuta e altamente specializzata</w:t>
      </w:r>
      <w:bookmarkEnd w:id="51"/>
    </w:p>
    <w:p w:rsidR="001F439F" w:rsidRDefault="001F439F" w:rsidP="001F439F">
      <w:pPr>
        <w:pStyle w:val="StandardRisoluzionedelConsigliodiStato"/>
        <w:ind w:right="-1"/>
      </w:pPr>
      <w:r>
        <w:t>Coerentemente con quanto espresso in precedenza</w:t>
      </w:r>
      <w:r w:rsidR="0037541E">
        <w:t>,</w:t>
      </w:r>
      <w:r>
        <w:t xml:space="preserve"> occorre disporre di un ospedale che funga da riferimento – con poche e motivate eccezioni – per la medicina altamente specializzata e per le prestazioni multidisciplinari e complesse.</w:t>
      </w:r>
    </w:p>
    <w:p w:rsidR="001F439F" w:rsidRDefault="0037541E" w:rsidP="001F439F">
      <w:pPr>
        <w:pStyle w:val="StandardRisoluzionedelConsigliodiStato"/>
        <w:ind w:right="-1"/>
      </w:pPr>
      <w:r>
        <w:t xml:space="preserve">Per queste </w:t>
      </w:r>
      <w:r w:rsidR="001F439F">
        <w:t xml:space="preserve">ultime </w:t>
      </w:r>
      <w:r>
        <w:t>andrà indicato già nel modulo d'</w:t>
      </w:r>
      <w:r w:rsidR="001F439F">
        <w:t>offerta cosa rientra in quest’ultime discipline.</w:t>
      </w:r>
    </w:p>
    <w:p w:rsidR="001F439F" w:rsidRDefault="001F439F" w:rsidP="001F439F">
      <w:pPr>
        <w:pStyle w:val="StandardRisoluzionedelConsigliodiStato"/>
        <w:ind w:right="-1"/>
      </w:pPr>
    </w:p>
    <w:p w:rsidR="001F439F" w:rsidRDefault="0037541E" w:rsidP="0037541E">
      <w:pPr>
        <w:pStyle w:val="Titolo3"/>
        <w:numPr>
          <w:ilvl w:val="0"/>
          <w:numId w:val="0"/>
        </w:numPr>
        <w:tabs>
          <w:tab w:val="left" w:pos="567"/>
        </w:tabs>
        <w:jc w:val="both"/>
      </w:pPr>
      <w:bookmarkStart w:id="52" w:name="_Toc179882510"/>
      <w:r>
        <w:t>9.3.3</w:t>
      </w:r>
      <w:r w:rsidR="001F439F">
        <w:tab/>
        <w:t>Continuare a favorire dinamicamente l’appropriatezza organizzativa</w:t>
      </w:r>
      <w:bookmarkEnd w:id="52"/>
    </w:p>
    <w:p w:rsidR="001F439F" w:rsidRDefault="001F439F" w:rsidP="001F439F">
      <w:pPr>
        <w:pStyle w:val="StandardRisoluzionedelConsigliodiStato"/>
        <w:ind w:right="-1"/>
      </w:pPr>
      <w:r>
        <w:t>È auspicata la formalizzazione del monitoraggio dello sviluppo dei vari comparti di cura a monte e a valle della degenza ospedaliera stazionaria, con la valutazione dei criteri di eleggibilità al ricovero, dello</w:t>
      </w:r>
      <w:r w:rsidR="0037541E">
        <w:t xml:space="preserve"> skill mix del personale e dell'</w:t>
      </w:r>
      <w:r>
        <w:t>organizzazione delle cure.</w:t>
      </w:r>
    </w:p>
    <w:p w:rsidR="001F439F" w:rsidRDefault="001F439F" w:rsidP="001F439F">
      <w:pPr>
        <w:pStyle w:val="StandardRisoluzionedelConsigliodiStato"/>
        <w:ind w:right="-1"/>
      </w:pPr>
    </w:p>
    <w:p w:rsidR="001F439F" w:rsidRDefault="0037541E" w:rsidP="0037541E">
      <w:pPr>
        <w:pStyle w:val="Titolo3"/>
        <w:numPr>
          <w:ilvl w:val="0"/>
          <w:numId w:val="0"/>
        </w:numPr>
        <w:tabs>
          <w:tab w:val="left" w:pos="567"/>
        </w:tabs>
        <w:ind w:left="567" w:hanging="567"/>
        <w:jc w:val="both"/>
      </w:pPr>
      <w:bookmarkStart w:id="53" w:name="_Toc179882511"/>
      <w:r>
        <w:t>9.3.4</w:t>
      </w:r>
      <w:r w:rsidR="001F439F">
        <w:tab/>
        <w:t>Promuovere la definizione di percorsi diagnostici terapeutici assistenziali (PDTA) per le patologie ad alta prevalenza o rilevanza</w:t>
      </w:r>
      <w:bookmarkEnd w:id="53"/>
    </w:p>
    <w:p w:rsidR="001F439F" w:rsidRDefault="001F439F" w:rsidP="001F439F">
      <w:pPr>
        <w:pStyle w:val="StandardRisoluzionedelConsigliodiStato"/>
        <w:ind w:right="-1"/>
      </w:pPr>
      <w:r>
        <w:t>Gli istituti ospedalieri, in collaborazione con i medici di famiglia, devono partecipare fattivamente alla defini</w:t>
      </w:r>
      <w:r w:rsidR="0037541E">
        <w:t>zione e poi alla gestione e all'</w:t>
      </w:r>
      <w:r>
        <w:t>adozione dei PDTA.</w:t>
      </w:r>
    </w:p>
    <w:p w:rsidR="001F439F" w:rsidRDefault="001F439F" w:rsidP="001F439F">
      <w:pPr>
        <w:pStyle w:val="StandardRisoluzionedelConsigliodiStato"/>
        <w:ind w:right="-1"/>
      </w:pPr>
      <w:r>
        <w:t>La Commissione ritiene che in questo ambito il Cantone debba fungere da regista e quindi che si definisca chi sarà il responsabile.</w:t>
      </w:r>
    </w:p>
    <w:p w:rsidR="001F439F" w:rsidRDefault="001F439F" w:rsidP="001F439F">
      <w:pPr>
        <w:pStyle w:val="StandardRisoluzionedelConsigliodiStato"/>
        <w:ind w:right="-1"/>
      </w:pPr>
      <w:r>
        <w:t>È auspicata una maggiore interazione fra i vari comparti di cura a monte e a valle della degenza ospedaliera.</w:t>
      </w:r>
    </w:p>
    <w:p w:rsidR="001F439F" w:rsidRDefault="001F439F" w:rsidP="001F439F">
      <w:pPr>
        <w:pStyle w:val="StandardRisoluzionedelConsigliodiStato"/>
        <w:ind w:right="-1"/>
      </w:pPr>
    </w:p>
    <w:p w:rsidR="001F439F" w:rsidRDefault="001F439F" w:rsidP="001F439F">
      <w:pPr>
        <w:pStyle w:val="StandardRisoluzionedelConsigliodiStato"/>
        <w:ind w:right="-1"/>
      </w:pPr>
      <w:r>
        <w:t>Un</w:t>
      </w:r>
      <w:r w:rsidR="0037541E">
        <w:t xml:space="preserve"> rafforzamento della centrale d'</w:t>
      </w:r>
      <w:r>
        <w:t>allarme 144</w:t>
      </w:r>
      <w:r w:rsidR="0037541E">
        <w:t>,</w:t>
      </w:r>
      <w:r>
        <w:t xml:space="preserve"> anche in ottica di coordinamento sanitario</w:t>
      </w:r>
      <w:r w:rsidR="0037541E">
        <w:t>,</w:t>
      </w:r>
      <w:r>
        <w:t xml:space="preserve"> potrebbe contribuire a indirizzare in mod</w:t>
      </w:r>
      <w:r w:rsidR="0037541E">
        <w:t>o pertinente i pazienti verso l'</w:t>
      </w:r>
      <w:r>
        <w:t xml:space="preserve">interlocutore più appropriato. Questo potrebbe avvenire con la presenza fisica presso la stessa centrale </w:t>
      </w:r>
      <w:r>
        <w:lastRenderedPageBreak/>
        <w:t>della guardia medica, con la gestione delle richieste di trasferimento non medicalizzato tra istituti e del servizio di telemedicina.</w:t>
      </w:r>
    </w:p>
    <w:p w:rsidR="001F439F" w:rsidRDefault="001F439F" w:rsidP="001F439F">
      <w:pPr>
        <w:pStyle w:val="StandardRisoluzionedelConsigliodiStato"/>
        <w:ind w:right="-1"/>
      </w:pPr>
    </w:p>
    <w:p w:rsidR="001F439F" w:rsidRDefault="0037541E" w:rsidP="0037541E">
      <w:pPr>
        <w:pStyle w:val="Titolo3"/>
        <w:numPr>
          <w:ilvl w:val="0"/>
          <w:numId w:val="0"/>
        </w:numPr>
        <w:tabs>
          <w:tab w:val="left" w:pos="567"/>
        </w:tabs>
        <w:jc w:val="both"/>
      </w:pPr>
      <w:bookmarkStart w:id="54" w:name="_Toc179882512"/>
      <w:r>
        <w:t>9.3.5</w:t>
      </w:r>
      <w:r w:rsidR="001F439F">
        <w:tab/>
        <w:t>Migliorare le informazioni a disposizione di pazienti e popolazione</w:t>
      </w:r>
      <w:bookmarkEnd w:id="54"/>
    </w:p>
    <w:p w:rsidR="001F439F" w:rsidRDefault="001F439F" w:rsidP="001F439F">
      <w:pPr>
        <w:pStyle w:val="StandardRisoluzionedelConsigliodiStato"/>
        <w:ind w:right="-1"/>
      </w:pPr>
      <w:r>
        <w:t>Si auspica a breve una concertazione tra i vari attori del sistema sanitario cantonale al fine di</w:t>
      </w:r>
      <w:r w:rsidR="0037541E">
        <w:t xml:space="preserve"> coordinare la pubblicazione d'</w:t>
      </w:r>
      <w:r>
        <w:t>informazioni oggettive e indispensabili alla popolazione per poter operare delle scelte che riguardano la propria salute con consapevolezza.</w:t>
      </w:r>
    </w:p>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Pr="0037541E" w:rsidRDefault="0037541E" w:rsidP="0037541E">
      <w:pPr>
        <w:pStyle w:val="Titolo1"/>
        <w:numPr>
          <w:ilvl w:val="0"/>
          <w:numId w:val="0"/>
        </w:numPr>
        <w:ind w:left="567" w:hanging="567"/>
        <w:rPr>
          <w:sz w:val="24"/>
          <w:szCs w:val="24"/>
        </w:rPr>
      </w:pPr>
      <w:bookmarkStart w:id="55" w:name="_Toc179882513"/>
      <w:r w:rsidRPr="0037541E">
        <w:rPr>
          <w:sz w:val="24"/>
          <w:szCs w:val="24"/>
        </w:rPr>
        <w:t>10.</w:t>
      </w:r>
      <w:r w:rsidR="001F439F" w:rsidRPr="0037541E">
        <w:rPr>
          <w:sz w:val="24"/>
          <w:szCs w:val="24"/>
        </w:rPr>
        <w:tab/>
        <w:t>LE CONSEGUENZE</w:t>
      </w:r>
      <w:bookmarkEnd w:id="55"/>
    </w:p>
    <w:p w:rsidR="001F439F" w:rsidRDefault="001F439F" w:rsidP="001F439F">
      <w:pPr>
        <w:pStyle w:val="StandardRisoluzionedelConsigliodiStato"/>
        <w:ind w:right="-1"/>
      </w:pPr>
      <w:r>
        <w:t xml:space="preserve">Non </w:t>
      </w:r>
      <w:r w:rsidR="0037541E">
        <w:t>è prevista alcuna modifica dell'</w:t>
      </w:r>
      <w:r w:rsidRPr="0037541E">
        <w:rPr>
          <w:u w:val="single"/>
        </w:rPr>
        <w:t>organico</w:t>
      </w:r>
      <w:r>
        <w:t xml:space="preserve"> e nemmeno sono previste conseguenze per i Comuni né in termini di dispendio amministrativo né in termini di oneri finanziari, ritenuto che il settore ospedaliero continuerà a essere gestito e finanziato</w:t>
      </w:r>
      <w:r w:rsidR="0037541E">
        <w:t>, per la parte che incombe all'E</w:t>
      </w:r>
      <w:r>
        <w:t>nte pubblico, esclusivamente dal Cantone. Questi principi vengono confermati anche per rapporto alle Case di cura­RAMI.</w:t>
      </w:r>
    </w:p>
    <w:p w:rsidR="001F439F" w:rsidRDefault="001F439F" w:rsidP="001F439F">
      <w:pPr>
        <w:pStyle w:val="StandardRisoluzionedelConsigliodiStato"/>
        <w:ind w:right="-1"/>
      </w:pPr>
    </w:p>
    <w:p w:rsidR="001F439F" w:rsidRDefault="0037541E" w:rsidP="001F439F">
      <w:pPr>
        <w:pStyle w:val="StandardRisoluzionedelConsigliodiStato"/>
        <w:ind w:right="-1"/>
      </w:pPr>
      <w:r>
        <w:t>Le problematiche d</w:t>
      </w:r>
      <w:r w:rsidRPr="0037541E">
        <w:t>'</w:t>
      </w:r>
      <w:r w:rsidR="001F439F" w:rsidRPr="0037541E">
        <w:rPr>
          <w:u w:val="single"/>
        </w:rPr>
        <w:t>investimento</w:t>
      </w:r>
      <w:r w:rsidR="001F439F">
        <w:t xml:space="preserve"> riguardano solo i letti RAMI, mentre il problema non si pone per gli istituti ospedalieri acuti in quanto la tariffa concordata tra fornitori di prestazione e assicuratori comprende anche la parte relativa alla remunerazione degli investimenti.</w:t>
      </w:r>
    </w:p>
    <w:p w:rsidR="001F439F" w:rsidRDefault="001F439F" w:rsidP="001F439F">
      <w:pPr>
        <w:pStyle w:val="StandardRisoluzionedelConsigliodiStato"/>
        <w:ind w:right="-1"/>
      </w:pPr>
      <w:r>
        <w:t>Il presente messaggio propone che le modalità del finanziamento cantonale degli investimenti delle strutture RAMI siano equiparate a quelle in vigore per le case per anziani. Di conseguenza</w:t>
      </w:r>
      <w:r w:rsidR="0037541E">
        <w:t>,</w:t>
      </w:r>
      <w:r>
        <w:t xml:space="preserve"> occorrerà prevedere un piano degli investimenti per la ristrutturazione de</w:t>
      </w:r>
      <w:r w:rsidR="0037541E">
        <w:t>i letti RAMI esistenti presso l'</w:t>
      </w:r>
      <w:r>
        <w:t>Ospedale Malcantonese di Castelrotto e la Clinica Varini di Orselina, che sono le strutture più vetuste in esercizio, mentre i RAMI esistenti presso gli Ospedali regionali di Mendrisio e Locarno sono rispettivamente di recente costruzione o ancora in ottimo stato. Diverso è il discorso per i RAMI di Acquarossa che dovranno essere ricollocati nel nuovo centro sociosanitario, la cui edificazione è ancora</w:t>
      </w:r>
      <w:r w:rsidR="0037541E">
        <w:t xml:space="preserve"> in fase di progettazione. L'</w:t>
      </w:r>
      <w:r>
        <w:t>apertura di una trentina di nuovi RAMI nel Luganese potrebbe invece avvenire in edifici già esistenti, opportunamente adattati, la cui ubicazione non è ancora stata individuata.</w:t>
      </w:r>
    </w:p>
    <w:p w:rsidR="0037541E" w:rsidRDefault="0037541E" w:rsidP="001F439F">
      <w:pPr>
        <w:pStyle w:val="StandardRisoluzionedelConsigliodiStato"/>
        <w:ind w:right="-1"/>
      </w:pPr>
    </w:p>
    <w:p w:rsidR="001F439F" w:rsidRDefault="001F439F" w:rsidP="001F439F">
      <w:pPr>
        <w:pStyle w:val="StandardRisoluzionedelConsigliodiStato"/>
        <w:ind w:right="-1"/>
      </w:pPr>
      <w:r>
        <w:t>La nuova POC impatta sui costi di gestione dei letti RAMI:</w:t>
      </w:r>
    </w:p>
    <w:p w:rsidR="001F439F" w:rsidRDefault="0037541E" w:rsidP="003446C0">
      <w:pPr>
        <w:pStyle w:val="StandardRisoluzionedelConsigliodiStato"/>
        <w:numPr>
          <w:ilvl w:val="1"/>
          <w:numId w:val="59"/>
        </w:numPr>
        <w:ind w:left="284" w:right="-1" w:hanging="284"/>
      </w:pPr>
      <w:r>
        <w:t>il</w:t>
      </w:r>
      <w:r w:rsidR="001F439F">
        <w:t xml:space="preserve"> finanziamento cantonale degli investimenti permette di risparmiare la quota parte di costi giornalieri riservata alla remunerazione degli investimenti sui letti RAMI esistenti (135) pari a c</w:t>
      </w:r>
      <w:r>
        <w:t>irca 1.7 milioni di franchi all'</w:t>
      </w:r>
      <w:r w:rsidR="001F439F">
        <w:t>anno.</w:t>
      </w:r>
    </w:p>
    <w:p w:rsidR="001F439F" w:rsidRDefault="0037541E" w:rsidP="003446C0">
      <w:pPr>
        <w:pStyle w:val="StandardRisoluzionedelConsigliodiStato"/>
        <w:numPr>
          <w:ilvl w:val="1"/>
          <w:numId w:val="58"/>
        </w:numPr>
        <w:ind w:left="284" w:right="-1" w:hanging="284"/>
      </w:pPr>
      <w:r>
        <w:t>L'</w:t>
      </w:r>
      <w:r w:rsidR="001F439F">
        <w:t>apertura di una trentina di nuovi letti RAMI con un costo giornali</w:t>
      </w:r>
      <w:r>
        <w:t xml:space="preserve">ero a carico del Cantone di </w:t>
      </w:r>
      <w:r w:rsidR="001F439F">
        <w:t xml:space="preserve">262.30 </w:t>
      </w:r>
      <w:r>
        <w:t xml:space="preserve">franchi </w:t>
      </w:r>
      <w:r w:rsidR="001F439F">
        <w:t>(dato 2021) compor</w:t>
      </w:r>
      <w:r>
        <w:t>terà 2.6 milioni di franchi all'</w:t>
      </w:r>
      <w:r w:rsidR="001F439F">
        <w:t>anno (fr. 262.3*30letti*365gg*90% di occupazione), compensati in parte da un minor ricorso a strutture ospedaliere acute.</w:t>
      </w:r>
    </w:p>
    <w:p w:rsidR="001F439F" w:rsidRDefault="001F439F" w:rsidP="001F439F">
      <w:pPr>
        <w:pStyle w:val="StandardRisoluzionedelConsigliodiStato"/>
        <w:ind w:right="-1"/>
      </w:pPr>
    </w:p>
    <w:p w:rsidR="001F439F" w:rsidRDefault="0037541E" w:rsidP="001F439F">
      <w:pPr>
        <w:pStyle w:val="StandardRisoluzionedelConsigliodiStato"/>
        <w:ind w:right="-1"/>
      </w:pPr>
      <w:r>
        <w:t>Le proposte di questo Messaggio si inseriscono nelle L</w:t>
      </w:r>
      <w:r w:rsidR="001F439F">
        <w:t>inee direttive 2019­2023 – e</w:t>
      </w:r>
      <w:r>
        <w:t xml:space="preserve"> andrà ripreso nelle future Linee direttive, sull'asse strategico n. 3 "</w:t>
      </w:r>
      <w:r w:rsidR="001F439F">
        <w:t>Qualità di vita</w:t>
      </w:r>
      <w:r>
        <w:t>" e nell'</w:t>
      </w:r>
      <w:r w:rsidR="001F439F">
        <w:t>obiettivo</w:t>
      </w:r>
    </w:p>
    <w:p w:rsidR="001F439F" w:rsidRDefault="0037541E" w:rsidP="001F439F">
      <w:pPr>
        <w:pStyle w:val="StandardRisoluzionedelConsigliodiStato"/>
        <w:ind w:right="-1"/>
      </w:pPr>
      <w:r>
        <w:t>n. 26 "</w:t>
      </w:r>
      <w:r w:rsidR="001F439F">
        <w:t>Migliorare la qualità, la sicurezza e l’efficacia del sistema sanitario</w:t>
      </w:r>
      <w:r>
        <w:t>"</w:t>
      </w:r>
      <w:r w:rsidR="001F439F">
        <w:t>.</w:t>
      </w:r>
    </w:p>
    <w:p w:rsidR="001F439F" w:rsidRPr="00690933" w:rsidRDefault="001F439F" w:rsidP="001F439F">
      <w:pPr>
        <w:pStyle w:val="StandardRisoluzionedelConsigliodiStato"/>
        <w:ind w:right="-1"/>
        <w:rPr>
          <w:b/>
        </w:rPr>
      </w:pPr>
      <w:r w:rsidRPr="00690933">
        <w:rPr>
          <w:b/>
        </w:rPr>
        <w:lastRenderedPageBreak/>
        <w:t>Dopo Basilea Città e Ginevra, il Ticino ha il più elev</w:t>
      </w:r>
      <w:r w:rsidR="00690933">
        <w:rPr>
          <w:b/>
        </w:rPr>
        <w:t>ato costo annuo pro capite dell'</w:t>
      </w:r>
      <w:r w:rsidRPr="00690933">
        <w:rPr>
          <w:b/>
        </w:rPr>
        <w:t>assicurazione malattia di base.</w:t>
      </w:r>
    </w:p>
    <w:p w:rsidR="001F439F" w:rsidRPr="00690933" w:rsidRDefault="001F439F" w:rsidP="001F439F">
      <w:pPr>
        <w:pStyle w:val="StandardRisoluzionedelConsigliodiStato"/>
        <w:ind w:right="-1"/>
        <w:rPr>
          <w:b/>
        </w:rPr>
      </w:pPr>
      <w:r w:rsidRPr="00690933">
        <w:rPr>
          <w:b/>
        </w:rPr>
        <w:t>Ciò è legato al fatto che il nostro Cantone si distingue a livello svizzero per consumi elevati di prestazioni sanitarie: ciò è evidente, ad esempio, nei confronti sulla densità di letti somatico-acuti, sul t</w:t>
      </w:r>
      <w:r w:rsidR="00E35691" w:rsidRPr="00690933">
        <w:rPr>
          <w:b/>
        </w:rPr>
        <w:t>asso di ospedalizzazione ogni 1'</w:t>
      </w:r>
      <w:r w:rsidRPr="00690933">
        <w:rPr>
          <w:b/>
        </w:rPr>
        <w:t>000 abitanti e sulla durata media della degenza.</w:t>
      </w:r>
    </w:p>
    <w:p w:rsidR="001F439F" w:rsidRDefault="001F439F" w:rsidP="001F439F">
      <w:pPr>
        <w:pStyle w:val="StandardRisoluzionedelConsigliodiStato"/>
        <w:ind w:right="-1"/>
      </w:pPr>
    </w:p>
    <w:p w:rsidR="001F439F" w:rsidRDefault="001F439F" w:rsidP="001F439F">
      <w:pPr>
        <w:pStyle w:val="StandardRisoluzionedelConsigliodiStato"/>
        <w:ind w:right="-1"/>
      </w:pPr>
      <w:r>
        <w:t xml:space="preserve">Se non va dimenticato che le persone con più di 65 anni costituiscono un quarto della popolazione ticinese e che le spese sanitarie generate da questa fascia di popolazione sono rilevanti, il Consiglio di Stato dovrà pur tener conto del recente studio da cui risulta che il consumo di sanità è in realtà particolarmente marcato da noi </w:t>
      </w:r>
      <w:r w:rsidR="00E35691">
        <w:t xml:space="preserve">anche </w:t>
      </w:r>
      <w:r>
        <w:t>dai giovani</w:t>
      </w:r>
      <w:r w:rsidR="00E35691">
        <w:t>,</w:t>
      </w:r>
      <w:r>
        <w:t xml:space="preserve"> al di là di quanto afferma il Messaggio.</w:t>
      </w:r>
    </w:p>
    <w:p w:rsidR="001F439F" w:rsidRDefault="001F439F" w:rsidP="001F439F">
      <w:pPr>
        <w:pStyle w:val="StandardRisoluzionedelConsigliodiStato"/>
        <w:ind w:right="-1"/>
      </w:pPr>
    </w:p>
    <w:p w:rsidR="001F439F" w:rsidRDefault="001F439F" w:rsidP="001F439F">
      <w:pPr>
        <w:pStyle w:val="StandardRisoluzionedelConsigliodiStato"/>
        <w:ind w:right="-1"/>
      </w:pPr>
      <w:r>
        <w:t>La Commissione rileva comunque ancora queste criticità in punto al finanziamento dei letti RAMI:</w:t>
      </w:r>
    </w:p>
    <w:p w:rsidR="001F439F" w:rsidRDefault="00E35691" w:rsidP="003446C0">
      <w:pPr>
        <w:pStyle w:val="StandardRisoluzionedelConsigliodiStato"/>
        <w:numPr>
          <w:ilvl w:val="1"/>
          <w:numId w:val="61"/>
        </w:numPr>
        <w:ind w:left="284" w:right="-1" w:hanging="284"/>
      </w:pPr>
      <w:r>
        <w:t>d</w:t>
      </w:r>
      <w:r w:rsidR="001F439F">
        <w:t xml:space="preserve">i regola, il finanziamento dello Stato secondo </w:t>
      </w:r>
      <w:r>
        <w:t>la LAnz copre l'</w:t>
      </w:r>
      <w:r w:rsidR="001F439F">
        <w:t>ammortamento del prestito e degli interessi ipotecari. Lo Stato dovrà tenere conto che Istituz</w:t>
      </w:r>
      <w:r>
        <w:t>ioni private (Fondazioni) con l'</w:t>
      </w:r>
      <w:r w:rsidR="001F439F">
        <w:t>unico scopo della gestione di strutture sanitarie non dispongono di sufficienti capitali (liquidità) da investir</w:t>
      </w:r>
      <w:r>
        <w:t>e nella ristrutturazione e nell'</w:t>
      </w:r>
      <w:r w:rsidR="001F439F">
        <w:t>ammodernamento/ampliame</w:t>
      </w:r>
      <w:r>
        <w:t>nto di immobili. Il ricorso all'</w:t>
      </w:r>
      <w:r w:rsidR="001F439F">
        <w:t>indebitamento sarà la regola;</w:t>
      </w:r>
    </w:p>
    <w:p w:rsidR="001F439F" w:rsidRDefault="00E35691" w:rsidP="003446C0">
      <w:pPr>
        <w:pStyle w:val="StandardRisoluzionedelConsigliodiStato"/>
        <w:numPr>
          <w:ilvl w:val="1"/>
          <w:numId w:val="61"/>
        </w:numPr>
        <w:ind w:left="284" w:right="-1" w:hanging="284"/>
      </w:pPr>
      <w:r>
        <w:t>i</w:t>
      </w:r>
      <w:r w:rsidR="001F439F">
        <w:t xml:space="preserve">l risparmio nel finanziamento sopra indicato in 1.7 milioni </w:t>
      </w:r>
      <w:r>
        <w:t xml:space="preserve">di franchi </w:t>
      </w:r>
      <w:r w:rsidR="001F439F">
        <w:t>appare poco realistico a fronte del necessario adeguamento tariffale RAMI;</w:t>
      </w:r>
    </w:p>
    <w:p w:rsidR="001F439F" w:rsidRDefault="00E35691" w:rsidP="003446C0">
      <w:pPr>
        <w:pStyle w:val="StandardRisoluzionedelConsigliodiStato"/>
        <w:numPr>
          <w:ilvl w:val="1"/>
          <w:numId w:val="60"/>
        </w:numPr>
        <w:ind w:left="284" w:right="-1" w:hanging="284"/>
      </w:pPr>
      <w:r>
        <w:t>s</w:t>
      </w:r>
      <w:r w:rsidR="001F439F">
        <w:t>enza un adeguamento tariffale sarà poco attrattiva</w:t>
      </w:r>
      <w:r>
        <w:t xml:space="preserve"> l'</w:t>
      </w:r>
      <w:r w:rsidR="001F439F">
        <w:t>estensione dei RAMI. La Commissione ha comunque appurato</w:t>
      </w:r>
      <w:r>
        <w:t>,</w:t>
      </w:r>
      <w:r w:rsidR="001F439F">
        <w:t xml:space="preserve"> in </w:t>
      </w:r>
      <w:r>
        <w:t>occasione dell'</w:t>
      </w:r>
      <w:r w:rsidR="001F439F">
        <w:t xml:space="preserve">audizione </w:t>
      </w:r>
      <w:r>
        <w:t xml:space="preserve">del </w:t>
      </w:r>
      <w:r w:rsidR="001F439F">
        <w:t>6 giugno 2024</w:t>
      </w:r>
      <w:r>
        <w:t>,</w:t>
      </w:r>
      <w:r w:rsidR="001F439F">
        <w:t xml:space="preserve"> che il Governo condivide, come indicato in precedenza, la necessità di una revisione della tariffa. Ri</w:t>
      </w:r>
      <w:r>
        <w:t>mane comunque da quantificare l'</w:t>
      </w:r>
      <w:r w:rsidR="001F439F">
        <w:t>auspicato minor ricorso alle strutt</w:t>
      </w:r>
      <w:r>
        <w:t>ure ospedaliere, senz'</w:t>
      </w:r>
      <w:r w:rsidR="001F439F">
        <w:t>altro più marcato a seguito del trasferimento di</w:t>
      </w:r>
      <w:r>
        <w:t xml:space="preserve"> attività dallo stazionario all'</w:t>
      </w:r>
      <w:r w:rsidR="001F439F">
        <w:t>ambulatoriale</w:t>
      </w:r>
    </w:p>
    <w:p w:rsidR="001F439F" w:rsidRDefault="001F439F" w:rsidP="001F439F">
      <w:pPr>
        <w:pStyle w:val="StandardRisoluzionedelConsigliodiStato"/>
        <w:ind w:right="-1"/>
      </w:pPr>
      <w:r>
        <w:t xml:space="preserve"> </w:t>
      </w:r>
    </w:p>
    <w:p w:rsidR="001F439F" w:rsidRDefault="001F439F" w:rsidP="002E0D26">
      <w:pPr>
        <w:pStyle w:val="StandardRisoluzionedelConsigliodiStato"/>
        <w:spacing w:after="120"/>
        <w:ind w:right="-1"/>
      </w:pPr>
    </w:p>
    <w:p w:rsidR="001F439F" w:rsidRPr="002E0D26" w:rsidRDefault="002E0D26" w:rsidP="002E0D26">
      <w:pPr>
        <w:pStyle w:val="Titolo1"/>
        <w:numPr>
          <w:ilvl w:val="0"/>
          <w:numId w:val="0"/>
        </w:numPr>
        <w:spacing w:before="0"/>
        <w:ind w:left="567" w:hanging="567"/>
        <w:jc w:val="both"/>
        <w:rPr>
          <w:sz w:val="24"/>
          <w:szCs w:val="24"/>
        </w:rPr>
      </w:pPr>
      <w:bookmarkStart w:id="56" w:name="_Toc179882514"/>
      <w:r w:rsidRPr="002E0D26">
        <w:rPr>
          <w:sz w:val="24"/>
          <w:szCs w:val="24"/>
        </w:rPr>
        <w:t>11.</w:t>
      </w:r>
      <w:r w:rsidRPr="002E0D26">
        <w:rPr>
          <w:sz w:val="24"/>
          <w:szCs w:val="24"/>
        </w:rPr>
        <w:tab/>
        <w:t xml:space="preserve">LE AUDIZIONI </w:t>
      </w:r>
      <w:r w:rsidR="001F439F" w:rsidRPr="002E0D26">
        <w:rPr>
          <w:sz w:val="24"/>
          <w:szCs w:val="24"/>
        </w:rPr>
        <w:t>IN</w:t>
      </w:r>
      <w:r w:rsidRPr="002E0D26">
        <w:rPr>
          <w:sz w:val="24"/>
          <w:szCs w:val="24"/>
        </w:rPr>
        <w:t xml:space="preserve"> </w:t>
      </w:r>
      <w:r w:rsidR="001F439F" w:rsidRPr="002E0D26">
        <w:rPr>
          <w:sz w:val="24"/>
          <w:szCs w:val="24"/>
        </w:rPr>
        <w:t>SENO</w:t>
      </w:r>
      <w:r w:rsidRPr="002E0D26">
        <w:rPr>
          <w:sz w:val="24"/>
          <w:szCs w:val="24"/>
        </w:rPr>
        <w:t xml:space="preserve"> </w:t>
      </w:r>
      <w:r w:rsidR="001F439F" w:rsidRPr="002E0D26">
        <w:rPr>
          <w:sz w:val="24"/>
          <w:szCs w:val="24"/>
        </w:rPr>
        <w:t>ALLA</w:t>
      </w:r>
      <w:r w:rsidRPr="002E0D26">
        <w:rPr>
          <w:sz w:val="24"/>
          <w:szCs w:val="24"/>
        </w:rPr>
        <w:t xml:space="preserve"> </w:t>
      </w:r>
      <w:r w:rsidR="001F439F" w:rsidRPr="002E0D26">
        <w:rPr>
          <w:sz w:val="24"/>
          <w:szCs w:val="24"/>
        </w:rPr>
        <w:t>SOTTOCOMMISSIONE</w:t>
      </w:r>
      <w:r w:rsidRPr="002E0D26">
        <w:rPr>
          <w:sz w:val="24"/>
          <w:szCs w:val="24"/>
        </w:rPr>
        <w:t xml:space="preserve"> </w:t>
      </w:r>
      <w:r w:rsidR="001F439F" w:rsidRPr="002E0D26">
        <w:rPr>
          <w:sz w:val="24"/>
          <w:szCs w:val="24"/>
        </w:rPr>
        <w:t>PIANIFICAZIONE OSPEDALIERA CANTONALE</w:t>
      </w:r>
      <w:bookmarkEnd w:id="56"/>
    </w:p>
    <w:p w:rsidR="001F439F" w:rsidRDefault="001F439F" w:rsidP="001F439F">
      <w:pPr>
        <w:pStyle w:val="StandardRisoluzionedelConsigliodiStato"/>
        <w:ind w:right="-1"/>
      </w:pPr>
      <w:r>
        <w:t>L'11 maggio 2023 la Commissione sanità e sicurezza sociale, alla quale è attribuito il Messaggio sulla Pianificazione ospedaliera cantonale, ha deciso di creare una Sottocommissione dedicata per lo svolgimento dei lavori.</w:t>
      </w:r>
    </w:p>
    <w:p w:rsidR="001F439F" w:rsidRDefault="001F439F" w:rsidP="001F439F">
      <w:pPr>
        <w:pStyle w:val="StandardRisoluzionedelConsigliodiStato"/>
        <w:ind w:right="-1"/>
      </w:pPr>
      <w:r>
        <w:t>La Commissione ha dapprima sentito in audizione il Consiglio di Stato, per poi cedere i lavori alla Sottocommissione, la quale ha audizionato gli attori interessati (per ulteriore completezza, il presente R rimanda alle prese di posizione allegate al M).</w:t>
      </w:r>
    </w:p>
    <w:p w:rsidR="001F439F" w:rsidRDefault="001F439F" w:rsidP="001F439F">
      <w:pPr>
        <w:pStyle w:val="StandardRisoluzionedelConsigliodiStato"/>
        <w:ind w:right="-1"/>
      </w:pPr>
    </w:p>
    <w:p w:rsidR="001F439F" w:rsidRDefault="002E0D26" w:rsidP="002E0D26">
      <w:pPr>
        <w:pStyle w:val="Titolo2"/>
        <w:numPr>
          <w:ilvl w:val="0"/>
          <w:numId w:val="0"/>
        </w:numPr>
        <w:tabs>
          <w:tab w:val="left" w:pos="567"/>
        </w:tabs>
      </w:pPr>
      <w:bookmarkStart w:id="57" w:name="_Toc179882515"/>
      <w:r>
        <w:t>11.1</w:t>
      </w:r>
      <w:r w:rsidR="001F439F">
        <w:tab/>
        <w:t>CONSIGLIO DI STATO</w:t>
      </w:r>
      <w:bookmarkEnd w:id="57"/>
    </w:p>
    <w:p w:rsidR="001F439F" w:rsidRDefault="001F439F" w:rsidP="001F439F">
      <w:pPr>
        <w:pStyle w:val="StandardRisoluzionedelConsigliodiStato"/>
        <w:ind w:right="-1"/>
      </w:pPr>
      <w:r>
        <w:t xml:space="preserve">Il 25 maggio 2023 il Consiglio di Stato, nelle persone del Direttore del DSS, del Direttore della Divisione della salute pubblica e della Capo Area di gestione sanitaria, è stato sentito in audizione in </w:t>
      </w:r>
      <w:r w:rsidR="0097399F">
        <w:t>seno al plenum commissionale. L'</w:t>
      </w:r>
      <w:r>
        <w:t xml:space="preserve">audizione è servita a riassumere il contenuto del Messaggio con qualche aggiornamento di cui già si è detto. Per rafforzare qualità ed efficienza delle prestazioni un altro tassello è la modifica della LAMal, che ha </w:t>
      </w:r>
      <w:r>
        <w:lastRenderedPageBreak/>
        <w:t xml:space="preserve">portato all'istituto della Commissione federale per la qualità. A ciò si aggiunge l'adozione del </w:t>
      </w:r>
      <w:hyperlink r:id="rId14" w:history="1">
        <w:r w:rsidRPr="0097399F">
          <w:rPr>
            <w:rStyle w:val="Collegamentoipertestuale"/>
          </w:rPr>
          <w:t>Regolamento sulla qualità e sulla sicurezza delle strutture ospedaliere [RL 811.850]</w:t>
        </w:r>
      </w:hyperlink>
      <w:r>
        <w:t xml:space="preserve"> a seguito dell'</w:t>
      </w:r>
      <w:hyperlink r:id="rId15" w:history="1">
        <w:r w:rsidRPr="0097399F">
          <w:rPr>
            <w:rStyle w:val="Collegamentoipertestuale"/>
          </w:rPr>
          <w:t>approvazione parlamentare</w:t>
        </w:r>
      </w:hyperlink>
      <w:r>
        <w:t xml:space="preserve"> del controprogetto all'</w:t>
      </w:r>
      <w:hyperlink r:id="rId16" w:history="1">
        <w:r w:rsidRPr="0097399F">
          <w:rPr>
            <w:rStyle w:val="Collegamentoipertestuale"/>
          </w:rPr>
          <w:t>I</w:t>
        </w:r>
        <w:r w:rsidR="0020241B" w:rsidRPr="0097399F">
          <w:rPr>
            <w:rStyle w:val="Collegamentoipertestuale"/>
          </w:rPr>
          <w:t xml:space="preserve">niziativa popolare n. </w:t>
        </w:r>
        <w:r w:rsidRPr="0097399F">
          <w:rPr>
            <w:rStyle w:val="Collegamentoipertestuale"/>
          </w:rPr>
          <w:t xml:space="preserve">P137 </w:t>
        </w:r>
        <w:r w:rsidR="0020241B" w:rsidRPr="0097399F">
          <w:rPr>
            <w:rStyle w:val="Collegamentoipertestuale"/>
          </w:rPr>
          <w:t>"P</w:t>
        </w:r>
        <w:r w:rsidRPr="0097399F">
          <w:rPr>
            <w:rStyle w:val="Collegamentoipertestuale"/>
          </w:rPr>
          <w:t>er la qualità e la sicurezza delle cure</w:t>
        </w:r>
      </w:hyperlink>
      <w:r w:rsidR="0020241B">
        <w:t>"</w:t>
      </w:r>
      <w:r>
        <w:t>.</w:t>
      </w:r>
    </w:p>
    <w:p w:rsidR="001F439F" w:rsidRDefault="001F439F" w:rsidP="001F439F">
      <w:pPr>
        <w:pStyle w:val="StandardRisoluzionedelConsigliodiStato"/>
        <w:ind w:right="-1"/>
      </w:pPr>
      <w:r>
        <w:t>Una seconda audizione, volta a chiarire alcuni aspetti e ottenere risposte ad alcuni q</w:t>
      </w:r>
      <w:r w:rsidR="0020241B">
        <w:t>uesiti emersi e</w:t>
      </w:r>
      <w:r>
        <w:t xml:space="preserve"> accennati anche di seguito, è avvenuta </w:t>
      </w:r>
      <w:r w:rsidR="0020241B">
        <w:t xml:space="preserve">il 6 giugno 2024 </w:t>
      </w:r>
      <w:r>
        <w:t>in presenza del Direttore del DSS, del Direttore della Divisione della salute pubblica e del Capo Area di gestione sanitaria.</w:t>
      </w:r>
    </w:p>
    <w:p w:rsidR="001F439F" w:rsidRDefault="001F439F" w:rsidP="001F439F">
      <w:pPr>
        <w:pStyle w:val="StandardRisoluzionedelConsigliodiStato"/>
        <w:ind w:right="-1"/>
      </w:pPr>
    </w:p>
    <w:p w:rsidR="001F439F" w:rsidRDefault="0020241B" w:rsidP="0020241B">
      <w:pPr>
        <w:pStyle w:val="Titolo2"/>
        <w:numPr>
          <w:ilvl w:val="0"/>
          <w:numId w:val="0"/>
        </w:numPr>
        <w:tabs>
          <w:tab w:val="left" w:pos="567"/>
        </w:tabs>
        <w:jc w:val="both"/>
      </w:pPr>
      <w:bookmarkStart w:id="58" w:name="_Toc179882516"/>
      <w:r>
        <w:t>11.2</w:t>
      </w:r>
      <w:r w:rsidR="001F439F">
        <w:tab/>
        <w:t>SUPSI</w:t>
      </w:r>
      <w:bookmarkEnd w:id="58"/>
    </w:p>
    <w:p w:rsidR="001F439F" w:rsidRDefault="001F439F" w:rsidP="001F439F">
      <w:pPr>
        <w:pStyle w:val="StandardRisoluzionedelConsigliodiStato"/>
        <w:ind w:right="-1"/>
      </w:pPr>
      <w:r>
        <w:t>In data 24 agosto 2023 la Sottocommissione Pianificazione ospedaliera ha sentito in audizione il prof. Carlo De Pietro</w:t>
      </w:r>
      <w:r w:rsidR="0020241B">
        <w:t>,</w:t>
      </w:r>
      <w:r>
        <w:t xml:space="preserve"> autore dello studio sugli indirizzi strategici (Dipartimento economia aziendale, sanità e sociale, SUPSI).</w:t>
      </w:r>
    </w:p>
    <w:p w:rsidR="001F439F" w:rsidRDefault="001F439F" w:rsidP="001F439F">
      <w:pPr>
        <w:pStyle w:val="StandardRisoluzionedelConsigliodiStato"/>
        <w:ind w:right="-1"/>
      </w:pPr>
      <w:r>
        <w:t>I</w:t>
      </w:r>
      <w:r w:rsidR="0020241B">
        <w:t>l Prof. De Pietro ha attirato l'</w:t>
      </w:r>
      <w:r>
        <w:t>attenzione sul fatto che i professionisti del settore, soprattutto quelli che hanno a che fare con specializzazioni meno frequenti, ritengono che il settore ospedaliero ticinese non sia ancora sufficientemente concentrato, come del resto dimostrano i</w:t>
      </w:r>
      <w:r w:rsidR="0020241B">
        <w:t xml:space="preserve"> relativi</w:t>
      </w:r>
      <w:r>
        <w:t xml:space="preserve"> dati. Egli, dunque, non intravvede motivi per non procedere a una concentrazione selettiva laddove necessario.</w:t>
      </w:r>
    </w:p>
    <w:p w:rsidR="001F439F" w:rsidRDefault="001F439F" w:rsidP="001F439F">
      <w:pPr>
        <w:pStyle w:val="StandardRisoluzionedelConsigliodiStato"/>
        <w:ind w:right="-1"/>
      </w:pPr>
    </w:p>
    <w:p w:rsidR="001F439F" w:rsidRDefault="001F439F" w:rsidP="001F439F">
      <w:pPr>
        <w:pStyle w:val="StandardRisoluzionedelConsigliodiStato"/>
        <w:ind w:right="-1"/>
      </w:pPr>
      <w:r>
        <w:t>Circa i RAMI, dato che sembrano ottenere qualche successo, ritiene opportuno puntare su di essi. È quindi il momento di rendere la soluzione definitiva anche sulla modalità di finanziamento.</w:t>
      </w:r>
    </w:p>
    <w:p w:rsidR="001F439F" w:rsidRDefault="001F439F" w:rsidP="001F439F">
      <w:pPr>
        <w:pStyle w:val="StandardRisoluzionedelConsigliodiStato"/>
        <w:ind w:right="-1"/>
      </w:pPr>
      <w:r>
        <w:t>Egli ha poi informato che sembrano esserci troppe differenze</w:t>
      </w:r>
      <w:r w:rsidR="0020241B">
        <w:t xml:space="preserve"> di trattamento tra un sito e l'</w:t>
      </w:r>
      <w:r>
        <w:t>altro relativamente alle grandi patologie con grandi numeri che assorbono molte risorse e dunque si tratta di un processo che va standardizzato. In questo senso il Ticino potrebbe decidere di non aspettare la politica federale per 10­15 anni (quando sarà la Commissione federale per la qualità a imporlo) e procedere già su questa strada.</w:t>
      </w:r>
    </w:p>
    <w:p w:rsidR="001F439F" w:rsidRDefault="001F439F" w:rsidP="001F439F">
      <w:pPr>
        <w:pStyle w:val="StandardRisoluzionedelConsigliodiStato"/>
        <w:ind w:right="-1"/>
      </w:pPr>
      <w:r>
        <w:t xml:space="preserve"> </w:t>
      </w:r>
    </w:p>
    <w:p w:rsidR="001F439F" w:rsidRDefault="0020241B" w:rsidP="0020241B">
      <w:pPr>
        <w:pStyle w:val="Titolo2"/>
        <w:numPr>
          <w:ilvl w:val="0"/>
          <w:numId w:val="0"/>
        </w:numPr>
        <w:tabs>
          <w:tab w:val="left" w:pos="567"/>
        </w:tabs>
        <w:jc w:val="both"/>
      </w:pPr>
      <w:bookmarkStart w:id="59" w:name="_Toc179882517"/>
      <w:r>
        <w:t>11.3</w:t>
      </w:r>
      <w:r>
        <w:tab/>
      </w:r>
      <w:r w:rsidR="001F439F">
        <w:t>ASSOCIAZIONE DELLE CLINICHE PRIVATE</w:t>
      </w:r>
      <w:bookmarkEnd w:id="59"/>
    </w:p>
    <w:p w:rsidR="001F439F" w:rsidRDefault="001F439F" w:rsidP="001F439F">
      <w:pPr>
        <w:pStyle w:val="StandardRisoluzionedelConsigliodiStato"/>
        <w:ind w:right="-1"/>
      </w:pPr>
      <w:r>
        <w:t>Il 24 agosto 2023 la Sottocommissione ha audizionato il Presidente dell'Associazione delle cliniche private ticinesi (ACPT), sig. Giancarlo Dillena.</w:t>
      </w:r>
    </w:p>
    <w:p w:rsidR="001F439F" w:rsidRDefault="001F439F" w:rsidP="001F439F">
      <w:pPr>
        <w:pStyle w:val="StandardRisoluzionedelConsigliodiStato"/>
        <w:ind w:right="-1"/>
      </w:pPr>
      <w:r>
        <w:t>Egli ha rimarcato il fatto che il principio di base della conciliazione tra specializzazione e territorialità è facilmente condivisibile, ma che bisognerà vedere come verrà declinato. La sua sensazione è che in questo momento si insiste molto sullo spingere verso l'ospedale principale universitario, magari a scapito di una certa dimensione di territorialità e non vorrebbe che la spinta verso lo sviluppo della parte accademica, che è fatta anche da componenti di prestigio e rivalità personale, andasse a scapito della vicinanza delle strutture al territorio, di cui loro sono una componente importante.</w:t>
      </w:r>
    </w:p>
    <w:p w:rsidR="001F439F" w:rsidRDefault="001F439F" w:rsidP="001F439F">
      <w:pPr>
        <w:pStyle w:val="StandardRisoluzionedelConsigliodiStato"/>
        <w:ind w:right="-1"/>
      </w:pPr>
      <w:r>
        <w:t>Il sig. Dillena ha poi rilevato come i tre scenari prefigurati nella valutazione di bisogni, da un lato sono rassicuranti perché significa che non vi sono delle linee preconcette (bisogna tagliare per risparmiare, ecc.), ma hanno un margine di apprezzamento e adeguamento molto ampio, per cui chi si aspettava una Pianificazione con indicazioni precise è rimasto un po' deluso. E si chiede se saranno i funzionari a decidere quale scenario applicare.</w:t>
      </w:r>
    </w:p>
    <w:p w:rsidR="0020241B" w:rsidRDefault="001F439F" w:rsidP="001F439F">
      <w:pPr>
        <w:pStyle w:val="StandardRisoluzionedelConsigliodiStato"/>
        <w:ind w:right="-1"/>
      </w:pPr>
      <w:r>
        <w:t>Infine, circa la collaborazione pubblico­privato, egli sottolinea come essa dovrebbe essere strutturata e non solo di principio, con accordi puntuali negoziati in modo settoriali, senza che ci sia una filosofia per favorire queste iniziative.</w:t>
      </w:r>
      <w:r w:rsidR="0020241B">
        <w:br w:type="page"/>
      </w:r>
    </w:p>
    <w:p w:rsidR="001F439F" w:rsidRDefault="0020241B" w:rsidP="0020241B">
      <w:pPr>
        <w:pStyle w:val="Titolo2"/>
        <w:numPr>
          <w:ilvl w:val="0"/>
          <w:numId w:val="0"/>
        </w:numPr>
        <w:tabs>
          <w:tab w:val="left" w:pos="567"/>
        </w:tabs>
      </w:pPr>
      <w:bookmarkStart w:id="60" w:name="_Toc179882518"/>
      <w:r>
        <w:lastRenderedPageBreak/>
        <w:t>11.4</w:t>
      </w:r>
      <w:r>
        <w:tab/>
      </w:r>
      <w:r w:rsidR="001F439F">
        <w:t>ENTE OSPEDALIERO CANTONALE</w:t>
      </w:r>
      <w:bookmarkEnd w:id="60"/>
    </w:p>
    <w:p w:rsidR="001F439F" w:rsidRDefault="001F439F" w:rsidP="001F439F">
      <w:pPr>
        <w:pStyle w:val="StandardRisoluzionedelConsigliodiStato"/>
        <w:ind w:right="-1"/>
      </w:pPr>
      <w:r>
        <w:t>Il Direttore generale dell'EOC, sig. Glauco Martinetti, e il Capo dell'area medica, prof. Paolo Ferrari, sono stati sentiti in audizione in seno alla Sottocommissione il 31 agosto 2023.</w:t>
      </w:r>
    </w:p>
    <w:p w:rsidR="001F439F" w:rsidRDefault="001F439F" w:rsidP="001F439F">
      <w:pPr>
        <w:pStyle w:val="StandardRisoluzionedelConsigliodiStato"/>
        <w:ind w:right="-1"/>
      </w:pPr>
      <w:r>
        <w:t>In particolare, relativamente al fabbisogno, il Dir. Martinetti ritiene che alcune cifre necessitino di un approfondimento: tutti i membri della Commissione Pianificazione sanitaria concordano con il fatto che il solo anno 2019 come riferimento porta ad avere una variazione nelle proiezioni delle cifre molto alta, motivo per cui lo scenario minimo e quello massimo divergono molto. Non vi è sicurezza, a suo parere, che quello medio rappresenti la media che davvero si presenterà.</w:t>
      </w:r>
    </w:p>
    <w:p w:rsidR="001F439F" w:rsidRDefault="0020241B" w:rsidP="001F439F">
      <w:pPr>
        <w:pStyle w:val="StandardRisoluzionedelConsigliodiStato"/>
        <w:ind w:right="-1"/>
      </w:pPr>
      <w:r>
        <w:t>Inoltre, l'</w:t>
      </w:r>
      <w:r w:rsidR="001F439F">
        <w:t>analisi sul fabbisogno è a comparti stagni, sebbene i vari sistemi (acuto, RAMI, ecc.) sono permeabili.</w:t>
      </w:r>
    </w:p>
    <w:p w:rsidR="001F439F" w:rsidRDefault="001F439F" w:rsidP="001F439F">
      <w:pPr>
        <w:pStyle w:val="StandardRisoluzionedelConsigliodiStato"/>
        <w:ind w:right="-1"/>
      </w:pPr>
      <w:r>
        <w:t>Bisogna cercare di essere in chiaro su cosa si vuole ottenere con una Pianificazione ospedaliera: il contenimento dei costi o il miglioramento della qualità? Si tratta di un elemento che non traspare in modo chiaro.</w:t>
      </w:r>
    </w:p>
    <w:p w:rsidR="001F439F" w:rsidRDefault="001F439F" w:rsidP="001F439F">
      <w:pPr>
        <w:pStyle w:val="StandardRisoluzionedelConsigliodiStato"/>
        <w:ind w:right="-1"/>
      </w:pPr>
      <w:r>
        <w:t xml:space="preserve">Essi rimarcano il </w:t>
      </w:r>
      <w:r w:rsidR="0020241B">
        <w:t>fatto che il trasferimento sull'</w:t>
      </w:r>
      <w:r>
        <w:t>ambulatoriale presuppone che vada affrontato il quesito della sostenibilità: per la comunità è più economic</w:t>
      </w:r>
      <w:r w:rsidR="0020241B">
        <w:t>o il regime ambulatoriale, ma l'</w:t>
      </w:r>
      <w:r>
        <w:t>EOC poi non riesce più ad autofinanziare</w:t>
      </w:r>
      <w:r w:rsidR="0020241B">
        <w:t xml:space="preserve"> la sua attività in generale. L'</w:t>
      </w:r>
      <w:r>
        <w:t xml:space="preserve">ambulatoriale </w:t>
      </w:r>
      <w:r w:rsidR="0020241B">
        <w:t>sta crescendo del 6%­7% e non c'</w:t>
      </w:r>
      <w:r>
        <w:t>è una copertura dei costi. La tariffa attuale, che è la più bassa in Svizzera, non copre i costi e porta a un forte deficit. È dunque necessaria una copertura dei costi con una tariffa maggiore.</w:t>
      </w:r>
    </w:p>
    <w:p w:rsidR="001F439F" w:rsidRDefault="0020241B" w:rsidP="001F439F">
      <w:pPr>
        <w:pStyle w:val="StandardRisoluzionedelConsigliodiStato"/>
        <w:ind w:right="-1"/>
      </w:pPr>
      <w:r>
        <w:t>Inoltre, nell'</w:t>
      </w:r>
      <w:r w:rsidR="001F439F">
        <w:t>ambito formativo, sebbene il sistema oggi prevede uguali diritti, i doveri sono completamente diversi. Da una statistica svizzera emerge che il 4% dei medici viene formato dalle cliniche private, mentre il restante 96% dagli ospedali pubblici. Quello della formazione è un compito che impatta fortemente sui costi.</w:t>
      </w:r>
    </w:p>
    <w:p w:rsidR="001F439F" w:rsidRDefault="0020241B" w:rsidP="001F439F">
      <w:pPr>
        <w:pStyle w:val="StandardRisoluzionedelConsigliodiStato"/>
        <w:ind w:right="-1"/>
      </w:pPr>
      <w:r>
        <w:t>Infine, l'</w:t>
      </w:r>
      <w:r w:rsidR="001F439F">
        <w:t>EOC è fautore di una definizione di indicatori chiar</w:t>
      </w:r>
      <w:r>
        <w:t>i e univoci (valevoli sia per l'</w:t>
      </w:r>
      <w:r w:rsidR="001F439F">
        <w:t>EOC, sia per le cliniche). Esso parteggia per una concentrazione, perché gli indicatori porteranno a quella. Il concetto di multisito, che condividono, non presuppone che si faccia tutto dappertutto, bensì anche di mettere un focus (cosa impossibile senza indicatori chiari). Non centralizzare significherebbe mettere in pericolo la qualità delle cure. La decisione</w:t>
      </w:r>
      <w:r>
        <w:t xml:space="preserve"> </w:t>
      </w:r>
      <w:r w:rsidR="001F439F">
        <w:t>politica da prendere, a loro avviso, è se si vuole promuovere e sostenere la qualità per il paziente, oppure un suo trasferimento per le cure fuori Cantone. Oggi si assiste a una mancanza di formazione a causa del non raggiungimento di un certo numero di casi: tra 6 o 7 anni i medici che sono stati formati in Ticino avranno visto pochi casi e questo causerà un grande problema di qualità dei medi</w:t>
      </w:r>
      <w:r>
        <w:t>ci.</w:t>
      </w:r>
    </w:p>
    <w:p w:rsidR="001F439F" w:rsidRDefault="001F439F" w:rsidP="001F439F">
      <w:pPr>
        <w:pStyle w:val="StandardRisoluzionedelConsigliodiStato"/>
        <w:ind w:right="-1"/>
      </w:pPr>
    </w:p>
    <w:p w:rsidR="001F439F" w:rsidRDefault="0020241B" w:rsidP="0020241B">
      <w:pPr>
        <w:pStyle w:val="Titolo2"/>
        <w:numPr>
          <w:ilvl w:val="0"/>
          <w:numId w:val="0"/>
        </w:numPr>
        <w:tabs>
          <w:tab w:val="left" w:pos="567"/>
        </w:tabs>
      </w:pPr>
      <w:bookmarkStart w:id="61" w:name="_Toc179882519"/>
      <w:r>
        <w:t>11.5</w:t>
      </w:r>
      <w:r w:rsidR="001F439F">
        <w:tab/>
        <w:t>CURAFUTURA</w:t>
      </w:r>
      <w:bookmarkEnd w:id="61"/>
    </w:p>
    <w:p w:rsidR="001F439F" w:rsidRDefault="001F439F" w:rsidP="001F439F">
      <w:pPr>
        <w:pStyle w:val="StandardRisoluzionedelConsigliodiStato"/>
        <w:ind w:right="-1"/>
      </w:pPr>
      <w:r>
        <w:t>Il 14 settembre 2023 la Sottocommissione ha sentito in audizione il Presidente di Curafutura, sig. Pius Zängerle, e la Responsabile della comunicazione della Svizzera italiana, sig.ra Céline Antonini.</w:t>
      </w:r>
    </w:p>
    <w:p w:rsidR="001F439F" w:rsidRDefault="001F439F" w:rsidP="001F439F">
      <w:pPr>
        <w:pStyle w:val="StandardRisoluzionedelConsigliodiStato"/>
        <w:ind w:right="-1"/>
      </w:pPr>
      <w:r>
        <w:t>Curafutura si è in particolare concentrata sul non ottimale tasso di occupazione dei letti, un dato che va preso in considerazione per pensare a come dovrebbero essere le strutture ospedaliere del futuro e facendo presente che, sebbene non siano i costi del settore stazionario a esplodere, vi è stato un leggero aumento anche in questo ambito, con un impatto di una certa rilevanza. Essa</w:t>
      </w:r>
      <w:r w:rsidR="0020241B">
        <w:t xml:space="preserve"> ha lamentato la mancanza di un'</w:t>
      </w:r>
      <w:r>
        <w:t>analisi dettagliata della situazione</w:t>
      </w:r>
      <w:r w:rsidR="0020241B">
        <w:t xml:space="preserve"> attuale prima di procedere all'</w:t>
      </w:r>
      <w:r>
        <w:t>elaborazione degli Indirizzi strategici.</w:t>
      </w:r>
    </w:p>
    <w:p w:rsidR="001F439F" w:rsidRDefault="001F439F" w:rsidP="001F439F">
      <w:pPr>
        <w:pStyle w:val="StandardRisoluzionedelConsigliodiStato"/>
        <w:ind w:right="-1"/>
      </w:pPr>
      <w:r>
        <w:t>Indirizzi che, sottolinea, sono talmente gen</w:t>
      </w:r>
      <w:r w:rsidR="0020241B">
        <w:t>erici (ad es. relativamente all'</w:t>
      </w:r>
      <w:r>
        <w:t>asse concentrazione/prossimità) che non ch</w:t>
      </w:r>
      <w:r w:rsidR="0020241B">
        <w:t>iariscono in quale direzione s'</w:t>
      </w:r>
      <w:r>
        <w:t xml:space="preserve">intende proseguire, </w:t>
      </w:r>
      <w:r>
        <w:lastRenderedPageBreak/>
        <w:t>facendo presupporre che si opti per uno status quo. Ciò, nonostante sarebbe importante proseguire nella direzione della concentrazione, che apporterebbe vantaggi in termini anche di qualità delle cure.</w:t>
      </w:r>
    </w:p>
    <w:p w:rsidR="001F439F" w:rsidRDefault="001F439F" w:rsidP="001F439F">
      <w:pPr>
        <w:pStyle w:val="StandardRisoluzionedelConsigliodiStato"/>
        <w:ind w:right="-1"/>
      </w:pPr>
      <w:r>
        <w:t>Relativamente ai RAMI, essa non li ritiene strategici, affermando che lo sono molto di più la qualità e i costi sulle grandi specialità.</w:t>
      </w:r>
    </w:p>
    <w:p w:rsidR="001F439F" w:rsidRDefault="001F439F" w:rsidP="001F439F">
      <w:pPr>
        <w:pStyle w:val="StandardRisoluzionedelConsigliodiStato"/>
        <w:ind w:right="-1"/>
      </w:pPr>
      <w:r>
        <w:t>Curafutura ritiene che i seguenti interrogativi siano ancora aperti:</w:t>
      </w:r>
    </w:p>
    <w:p w:rsidR="001F439F" w:rsidRPr="006F2366" w:rsidRDefault="006F2366" w:rsidP="00690933">
      <w:pPr>
        <w:pStyle w:val="StandardRisoluzionedelConsigliodiStato"/>
        <w:ind w:left="567" w:right="-1" w:hanging="283"/>
        <w:rPr>
          <w:i/>
        </w:rPr>
      </w:pPr>
      <w:r>
        <w:rPr>
          <w:rFonts w:cs="Arial"/>
        </w:rPr>
        <w:t>«</w:t>
      </w:r>
      <w:r w:rsidR="001F439F">
        <w:t>1.</w:t>
      </w:r>
      <w:r w:rsidR="001F439F">
        <w:tab/>
      </w:r>
      <w:r w:rsidR="001F439F" w:rsidRPr="006F2366">
        <w:rPr>
          <w:i/>
        </w:rPr>
        <w:t>cosa pensa il CdS del tasso di occupazione così basso in molte cliniche? Non considera che ci sono dei costi e delle implicazioni anche per la scarsità a livello di personale legati a questa sovradotazione?</w:t>
      </w:r>
    </w:p>
    <w:p w:rsidR="001F439F" w:rsidRPr="006F2366" w:rsidRDefault="001F439F" w:rsidP="00690933">
      <w:pPr>
        <w:pStyle w:val="StandardRisoluzionedelConsigliodiStato"/>
        <w:ind w:left="567" w:right="-1" w:hanging="283"/>
        <w:rPr>
          <w:i/>
        </w:rPr>
      </w:pPr>
      <w:r w:rsidRPr="006F2366">
        <w:rPr>
          <w:i/>
        </w:rPr>
        <w:t>2.</w:t>
      </w:r>
      <w:r w:rsidRPr="006F2366">
        <w:rPr>
          <w:i/>
        </w:rPr>
        <w:tab/>
        <w:t>Quali sono i criteri per definire dove concentrare? Quali sono gli ambiti, oltre per esempio alle maternità, dove il CdS pensa ci sia un margine per concentrare?</w:t>
      </w:r>
    </w:p>
    <w:p w:rsidR="001F439F" w:rsidRPr="006F2366" w:rsidRDefault="001F439F" w:rsidP="00690933">
      <w:pPr>
        <w:pStyle w:val="StandardRisoluzionedelConsigliodiStato"/>
        <w:ind w:left="567" w:right="-1" w:hanging="283"/>
        <w:rPr>
          <w:i/>
        </w:rPr>
      </w:pPr>
      <w:r w:rsidRPr="006F2366">
        <w:rPr>
          <w:i/>
        </w:rPr>
        <w:t>3.</w:t>
      </w:r>
      <w:r w:rsidRPr="006F2366">
        <w:rPr>
          <w:i/>
        </w:rPr>
        <w:tab/>
        <w:t>Perché, contrariamente al Cantone ZH, non vengono definiti e richiesti numeri minimi per operatore?</w:t>
      </w:r>
    </w:p>
    <w:p w:rsidR="001F439F" w:rsidRPr="006F2366" w:rsidRDefault="001F439F" w:rsidP="00690933">
      <w:pPr>
        <w:pStyle w:val="StandardRisoluzionedelConsigliodiStato"/>
        <w:ind w:left="567" w:right="-1" w:hanging="283"/>
        <w:rPr>
          <w:i/>
        </w:rPr>
      </w:pPr>
      <w:r w:rsidRPr="006F2366">
        <w:rPr>
          <w:i/>
        </w:rPr>
        <w:t>4.</w:t>
      </w:r>
      <w:r w:rsidRPr="006F2366">
        <w:rPr>
          <w:i/>
        </w:rPr>
        <w:tab/>
        <w:t>Quali strutture oggi non raggiungono i numeri minimi così come definiti nei moduli d'offerta?</w:t>
      </w:r>
    </w:p>
    <w:p w:rsidR="001F439F" w:rsidRPr="006F2366" w:rsidRDefault="001F439F" w:rsidP="00690933">
      <w:pPr>
        <w:pStyle w:val="StandardRisoluzionedelConsigliodiStato"/>
        <w:ind w:left="567" w:right="-1" w:hanging="283"/>
        <w:rPr>
          <w:i/>
        </w:rPr>
      </w:pPr>
      <w:r w:rsidRPr="006F2366">
        <w:rPr>
          <w:i/>
        </w:rPr>
        <w:t>5.</w:t>
      </w:r>
      <w:r w:rsidRPr="006F2366">
        <w:rPr>
          <w:i/>
        </w:rPr>
        <w:tab/>
        <w:t>Gli attuali PS sul territorio raggiungono i numeri minimi? Se no, si considera che gli stessi raggiungono i criteri di efficienza/efficacia?</w:t>
      </w:r>
    </w:p>
    <w:p w:rsidR="001F439F" w:rsidRPr="006F2366" w:rsidRDefault="001F439F" w:rsidP="00690933">
      <w:pPr>
        <w:pStyle w:val="StandardRisoluzionedelConsigliodiStato"/>
        <w:ind w:left="567" w:right="-1" w:hanging="283"/>
        <w:rPr>
          <w:i/>
        </w:rPr>
      </w:pPr>
      <w:r w:rsidRPr="006F2366">
        <w:rPr>
          <w:i/>
        </w:rPr>
        <w:t>6.</w:t>
      </w:r>
      <w:r w:rsidRPr="006F2366">
        <w:rPr>
          <w:i/>
        </w:rPr>
        <w:tab/>
        <w:t>Se una clinica non dispone ancora di un determinato criterio nel 2023</w:t>
      </w:r>
      <w:r w:rsidR="00690933" w:rsidRPr="006F2366">
        <w:rPr>
          <w:i/>
        </w:rPr>
        <w:t>,</w:t>
      </w:r>
      <w:r w:rsidRPr="006F2366">
        <w:rPr>
          <w:i/>
        </w:rPr>
        <w:t xml:space="preserve"> ma indica che nel 2024 ce l'avrà, ma poi questo non si concretizza, queste prestazioni verranno considerate PIG?</w:t>
      </w:r>
    </w:p>
    <w:p w:rsidR="001F439F" w:rsidRPr="006F2366" w:rsidRDefault="001F439F" w:rsidP="00690933">
      <w:pPr>
        <w:pStyle w:val="StandardRisoluzionedelConsigliodiStato"/>
        <w:ind w:left="567" w:right="-1" w:hanging="283"/>
        <w:rPr>
          <w:i/>
        </w:rPr>
      </w:pPr>
      <w:r w:rsidRPr="006F2366">
        <w:rPr>
          <w:i/>
        </w:rPr>
        <w:t>7.</w:t>
      </w:r>
      <w:r w:rsidRPr="006F2366">
        <w:rPr>
          <w:i/>
        </w:rPr>
        <w:tab/>
        <w:t>Il rapporto SUPSI indica che le maternità non raggiungono i numeri minimi e che questo crea una situazione pericolosa. Quali sono le intenzioni del CdS in materia di reparti di maternità? È pronto a finanziare le maternità che non raggiungono i criteri tramite le PIG?</w:t>
      </w:r>
    </w:p>
    <w:p w:rsidR="001F439F" w:rsidRPr="006F2366" w:rsidRDefault="001F439F" w:rsidP="00690933">
      <w:pPr>
        <w:pStyle w:val="StandardRisoluzionedelConsigliodiStato"/>
        <w:ind w:left="567" w:right="-1" w:hanging="283"/>
        <w:rPr>
          <w:i/>
        </w:rPr>
      </w:pPr>
      <w:r w:rsidRPr="006F2366">
        <w:rPr>
          <w:i/>
        </w:rPr>
        <w:t>8.</w:t>
      </w:r>
      <w:r w:rsidRPr="006F2366">
        <w:rPr>
          <w:i/>
        </w:rPr>
        <w:tab/>
        <w:t>Come si pensa di migliorare l'informazione sui fornitori di prestazioni a disposizione dei pazienti?</w:t>
      </w:r>
      <w:r w:rsidR="006F2366" w:rsidRPr="006F2366">
        <w:rPr>
          <w:rFonts w:cs="Arial"/>
        </w:rPr>
        <w:t>»</w:t>
      </w:r>
      <w:r w:rsidR="006F2366">
        <w:rPr>
          <w:rFonts w:cs="Arial"/>
        </w:rPr>
        <w:t>.</w:t>
      </w:r>
    </w:p>
    <w:p w:rsidR="001F439F" w:rsidRDefault="001F439F" w:rsidP="00690933">
      <w:pPr>
        <w:pStyle w:val="StandardRisoluzionedelConsigliodiStato"/>
        <w:ind w:right="-1"/>
      </w:pPr>
      <w:r>
        <w:t>Essa propone inoltre di inserire nel DL allegato al M</w:t>
      </w:r>
      <w:r w:rsidR="00690933">
        <w:t>essaggio</w:t>
      </w:r>
      <w:r>
        <w:t xml:space="preserve"> (art. 2 cpv. 1, lett. B), il criterio dei numeri minimi anche per operatore: un medico, per eseguire determinate operazioni, dovrebbe assicurare di farne almeno un certo numero.</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Sempre nel DL, propone che venga chiarito come bisogna scindere tra le prestazioni LAMal secondo i criteri definiti dalla Legge e le scelte di politica regionali, le quali non possono essere finanziate dai premi.</w:t>
      </w:r>
    </w:p>
    <w:p w:rsidR="001F439F" w:rsidRDefault="001F439F" w:rsidP="001F439F">
      <w:pPr>
        <w:pStyle w:val="StandardRisoluzionedelConsigliodiStato"/>
        <w:ind w:right="-1"/>
      </w:pPr>
      <w:r>
        <w:t>Infine, ribadisce che dovrebbe esistere la possibilità di rivedere alcuni aspetti della Pianificazione durante il suo corso, per non dover aspettare tanti anni per apportare degli ev. cambiamenti che si renderebb</w:t>
      </w:r>
      <w:r w:rsidR="00690933">
        <w:t>ero necessari in corso d'</w:t>
      </w:r>
      <w:r>
        <w:t>opera.</w:t>
      </w:r>
    </w:p>
    <w:p w:rsidR="001F439F" w:rsidRDefault="001F439F" w:rsidP="001F439F">
      <w:pPr>
        <w:pStyle w:val="StandardRisoluzionedelConsigliodiStato"/>
        <w:ind w:right="-1"/>
      </w:pPr>
    </w:p>
    <w:p w:rsidR="001F439F" w:rsidRDefault="00690933" w:rsidP="00690933">
      <w:pPr>
        <w:pStyle w:val="Titolo2"/>
        <w:numPr>
          <w:ilvl w:val="0"/>
          <w:numId w:val="0"/>
        </w:numPr>
        <w:tabs>
          <w:tab w:val="left" w:pos="567"/>
        </w:tabs>
      </w:pPr>
      <w:bookmarkStart w:id="62" w:name="_Toc179882520"/>
      <w:r>
        <w:t>11.6</w:t>
      </w:r>
      <w:r w:rsidR="001F439F">
        <w:tab/>
        <w:t>CLINICA MONCUCCO</w:t>
      </w:r>
      <w:bookmarkEnd w:id="62"/>
    </w:p>
    <w:p w:rsidR="001F439F" w:rsidRDefault="001F439F" w:rsidP="001F439F">
      <w:pPr>
        <w:pStyle w:val="StandardRisoluzionedelConsigliodiStato"/>
        <w:ind w:right="-1"/>
      </w:pPr>
      <w:r>
        <w:t>In occasione della sua riunione del 21 settembre 2023, la Sottocommissione ha audizionato il Direttore della Clinica Moncucco, sig. Christian Camponovo, e il Presidente del CdA della stessa, avv. dr. Mauro Dell'Ambrogio.</w:t>
      </w:r>
    </w:p>
    <w:p w:rsidR="001F439F" w:rsidRDefault="001F439F" w:rsidP="001F439F">
      <w:pPr>
        <w:pStyle w:val="StandardRisoluzionedelConsigliodiStato"/>
        <w:ind w:right="-1"/>
      </w:pPr>
      <w:r>
        <w:t xml:space="preserve">Essi lamentano che la tendenza </w:t>
      </w:r>
      <w:r w:rsidR="00690933">
        <w:t>di rafforzare il monopolio dell'</w:t>
      </w:r>
      <w:r>
        <w:t>EOC emerge anche con la Pianificazione in oggetto, che va a discapito dei privati (il M</w:t>
      </w:r>
      <w:r w:rsidR="00690933">
        <w:t>essaggio</w:t>
      </w:r>
      <w:r>
        <w:t xml:space="preserve"> nulla dice sul</w:t>
      </w:r>
      <w:r w:rsidR="00690933">
        <w:t xml:space="preserve"> fatto che dove è possibile dev'</w:t>
      </w:r>
      <w:r>
        <w:t>esserci una concorrenza, per rispetto de</w:t>
      </w:r>
      <w:r w:rsidR="00690933">
        <w:t>ll'</w:t>
      </w:r>
      <w:r>
        <w:t>autonomia dei medici).</w:t>
      </w:r>
    </w:p>
    <w:p w:rsidR="001F439F" w:rsidRDefault="001F439F" w:rsidP="001F439F">
      <w:pPr>
        <w:pStyle w:val="StandardRisoluzionedelConsigliodiStato"/>
        <w:ind w:right="-1"/>
      </w:pPr>
      <w:r>
        <w:t>Inoltre, essi affermano di essere assolutamente para</w:t>
      </w:r>
      <w:r w:rsidR="00690933">
        <w:t>gonabili, se non superiore, all'</w:t>
      </w:r>
      <w:r>
        <w:t>EOC in ordine alla formazione del personale non medico. Anzi, vorrebbero fare di più, ma vi sono delle prescrizioni molto restrittive che non lo rendono possibile.</w:t>
      </w:r>
    </w:p>
    <w:p w:rsidR="001F439F" w:rsidRDefault="001F439F" w:rsidP="001F439F">
      <w:pPr>
        <w:pStyle w:val="StandardRisoluzionedelConsigliodiStato"/>
        <w:ind w:right="-1"/>
      </w:pPr>
      <w:r>
        <w:lastRenderedPageBreak/>
        <w:t>Infine, fanno notare come oggi il regime sia in sovraofferta di posti di stage e di formazione: ci sono lunghi periodi dell’anno in cui i posti offerti non sono occupati.</w:t>
      </w:r>
    </w:p>
    <w:p w:rsidR="001F439F" w:rsidRDefault="001F439F" w:rsidP="001F439F">
      <w:pPr>
        <w:pStyle w:val="StandardRisoluzionedelConsigliodiStato"/>
        <w:ind w:right="-1"/>
      </w:pPr>
    </w:p>
    <w:p w:rsidR="001F439F" w:rsidRDefault="00690933" w:rsidP="00690933">
      <w:pPr>
        <w:pStyle w:val="Titolo2"/>
        <w:numPr>
          <w:ilvl w:val="0"/>
          <w:numId w:val="0"/>
        </w:numPr>
        <w:tabs>
          <w:tab w:val="left" w:pos="567"/>
        </w:tabs>
      </w:pPr>
      <w:bookmarkStart w:id="63" w:name="_Toc179882521"/>
      <w:r>
        <w:t>11.7</w:t>
      </w:r>
      <w:r w:rsidR="001F439F">
        <w:tab/>
        <w:t>SWISS MEDICAL NETWORK</w:t>
      </w:r>
      <w:bookmarkEnd w:id="63"/>
    </w:p>
    <w:p w:rsidR="001F439F" w:rsidRDefault="001F439F" w:rsidP="001F439F">
      <w:pPr>
        <w:pStyle w:val="StandardRisoluzionedelConsigliodiStato"/>
        <w:ind w:right="-1"/>
      </w:pPr>
      <w:r>
        <w:t>In rappresentanza di Swiss Medical Network il 21 settembre 2023 sono stati sentiti in audizione il Direttore generale della Regione Ticino per Clinica Ars Medica e Clinica Sant'Anna, sig. Fabio Rezzonico, e la Direttrice della Clinica St. Anna, sig.ra Michela Pfyffer.</w:t>
      </w:r>
    </w:p>
    <w:p w:rsidR="001F439F" w:rsidRDefault="001F439F" w:rsidP="001F439F">
      <w:pPr>
        <w:pStyle w:val="StandardRisoluzionedelConsigliodiStato"/>
        <w:ind w:right="-1"/>
      </w:pPr>
      <w:r>
        <w:t xml:space="preserve">La sig.ra Pfyffer osserva che lo scopo di una pianificazione ospedaliera non è quello di pianificare un'offerta, e nemmeno di vietare o assegnare mandati, se non si vuole ricadere </w:t>
      </w:r>
      <w:r w:rsidR="00690933">
        <w:t>sullo stesso errore fatto con l'</w:t>
      </w:r>
      <w:r>
        <w:t>ultima, perché ci sono delle dinamiche tali, nel nostro Cantone, che impediranno di andare a togliere o a stravolgere lo scenario pianificatorio attuale. Soprattutto considerando determinati attori che, per importanza o per investimenti fatti ecc. oggi hanno un posizionamento che difficilmente è contestabile. La Pianificazion</w:t>
      </w:r>
      <w:r w:rsidR="00690933">
        <w:t>e serve a garantire l'</w:t>
      </w:r>
      <w:r>
        <w:t xml:space="preserve">approvvigionamento delle cure (tutti devono avere accesso alle cure) coprendo il fabbisogno, garantendo cure economicamente sostenibili e di qualità. Dunque, se c'è più offerta sul mercato, essa non deve essere ridotta, bensì si può lavorare ad es. sulle MAS (dove in Ticino manca la massa critica per avere più di </w:t>
      </w:r>
      <w:r w:rsidR="00690933">
        <w:t>un</w:t>
      </w:r>
      <w:r>
        <w:t xml:space="preserve"> ospedale) creando Centri di specialità. Per il "pacchetto di base" piuttosto che quei mandati specialistici ma accessori a quelli di base, che permettono alle strutture di prendere a carico il paziente in maniera completa, si dovrebbe avere il coraggio di dare un mandato alle strutture che rispettano il modello di Zurigo. Se prendiamo un modello da altri Cantoni, non possiamo poi adattarlo (a favore di una parte e a sfavore di un'altra).</w:t>
      </w:r>
    </w:p>
    <w:p w:rsidR="001F439F" w:rsidRDefault="001F439F" w:rsidP="001F439F">
      <w:pPr>
        <w:pStyle w:val="StandardRisoluzionedelConsigliodiStato"/>
        <w:ind w:right="-1"/>
      </w:pPr>
      <w:r>
        <w:t>Se il modello di Zurigo richiede determinati criteri e le strutture si stanno impegnando, facendo anche investimenti importanti, non si può poi trovare altre argomentazioni per non dare il mandato perché il fabbisogno è già garantito da altre strutture. Se si decide di adottare il modello di Zurigo, il principio è che le strutture che hanno i requisiti ricevono il mandato; quello che suggeriscono, a supplemento, è concedere un periodo di tempo per soddisfare requisiti di volumi o di numeri di medici o di creare sinergie sul territorio che, oggi, non si riescono ancora a creare.</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t>Inoltre, gli audizionati biasimano il fatto che quando si parla di qualità si mette ancora in discussione quella del privato, dimenticando che con il modello di finanziamento ospedaliero ogni anno ricevono un contratto di prestazione (che rientra in un contratto quadro) e per ottenere il finanziamento devono rispondere a tutta una serie di requisiti. A loro avviso, una Pianificazione moderna non deve entrare più nel tema pubblico/privato, ma di chi può fare meglio le cose (e dunque le collaborazioni non sono solo auspicabili, ma necessarie).</w:t>
      </w:r>
    </w:p>
    <w:p w:rsidR="001F439F" w:rsidRDefault="001F439F" w:rsidP="001F439F">
      <w:pPr>
        <w:pStyle w:val="StandardRisoluzionedelConsigliodiStato"/>
        <w:ind w:right="-1"/>
      </w:pPr>
      <w:r>
        <w:t xml:space="preserve">Infine, relativamente all’ambito della formazione, essi affermano di eseguire tutto quello che gli viene richiesto, pur rimarcando che è chiaro che non </w:t>
      </w:r>
      <w:r w:rsidR="00690933">
        <w:t>possono arrivare ai numeri dell'</w:t>
      </w:r>
      <w:r>
        <w:t>EOC, non avendo la massa di volume di pazienti</w:t>
      </w:r>
      <w:r w:rsidR="00690933">
        <w:t xml:space="preserve"> per essere attrattivi in quell'</w:t>
      </w:r>
      <w:r>
        <w:t>ambito.</w:t>
      </w:r>
    </w:p>
    <w:p w:rsidR="001F439F" w:rsidRDefault="001F439F" w:rsidP="001F439F">
      <w:pPr>
        <w:pStyle w:val="StandardRisoluzionedelConsigliodiStato"/>
        <w:ind w:right="-1"/>
      </w:pPr>
    </w:p>
    <w:p w:rsidR="001F439F" w:rsidRDefault="00690933" w:rsidP="00690933">
      <w:pPr>
        <w:pStyle w:val="Titolo2"/>
        <w:numPr>
          <w:ilvl w:val="0"/>
          <w:numId w:val="0"/>
        </w:numPr>
        <w:tabs>
          <w:tab w:val="left" w:pos="567"/>
        </w:tabs>
      </w:pPr>
      <w:bookmarkStart w:id="64" w:name="_Toc179882522"/>
      <w:r>
        <w:t>11.8</w:t>
      </w:r>
      <w:r w:rsidR="001F439F">
        <w:tab/>
        <w:t>ORDINE DEI MEDICI DEL CANTONE TICINO</w:t>
      </w:r>
      <w:bookmarkEnd w:id="64"/>
    </w:p>
    <w:p w:rsidR="001F439F" w:rsidRDefault="001F439F" w:rsidP="001F439F">
      <w:pPr>
        <w:pStyle w:val="StandardRisoluzionedelConsigliodiStato"/>
        <w:ind w:right="-1"/>
      </w:pPr>
      <w:r>
        <w:t>Il Presidente dell'Ordine dei medici del Cantone Ticino (OMCT), dr. med. Franco Denti, è stato sentito in audizione il 12 ottobre 2023.</w:t>
      </w:r>
    </w:p>
    <w:p w:rsidR="001F439F" w:rsidRDefault="00690933" w:rsidP="001F439F">
      <w:pPr>
        <w:pStyle w:val="StandardRisoluzionedelConsigliodiStato"/>
        <w:ind w:right="-1"/>
      </w:pPr>
      <w:r>
        <w:lastRenderedPageBreak/>
        <w:t>Egli ha attirato l'</w:t>
      </w:r>
      <w:r w:rsidR="001F439F">
        <w:t>attenzione sul fatto che nel M</w:t>
      </w:r>
      <w:r>
        <w:t>essaggio</w:t>
      </w:r>
      <w:r w:rsidR="001F439F">
        <w:t xml:space="preserve"> i RAMI vengono mantenuti, ma rimane il problema del contenuto sanitario da dargli. I RAMI, </w:t>
      </w:r>
      <w:r>
        <w:t>essendo passati dal cpv. 1 dell'</w:t>
      </w:r>
      <w:r w:rsidR="001F439F">
        <w:t>art. 39 al cpv. 3 LCAMal</w:t>
      </w:r>
      <w:r>
        <w:t>,</w:t>
      </w:r>
      <w:r w:rsidR="001F439F">
        <w:t xml:space="preserve"> si confondono con la riabilitazione. A suo avviso è fondamentale salvare i RAMI con lo stesso criterio finanziario e andranno previsti sempre negli ospedali acuti, pena il rischio che in futuro spariranno e diventeranno CAT. I RAMI non sono fatti solo per gli anziani, bensì per i pazienti adulti che devono solo essere stabilizzati.</w:t>
      </w:r>
    </w:p>
    <w:p w:rsidR="001F439F" w:rsidRDefault="001F439F" w:rsidP="001F439F">
      <w:pPr>
        <w:pStyle w:val="StandardRisoluzionedelConsigliodiStato"/>
        <w:ind w:right="-1"/>
      </w:pPr>
      <w:r>
        <w:t>In merito alla concentrazione, egli auspica che vengano concentrate almeno le MAS. È necessario, a suo avviso, cambiare il paradigma di gestione degli ospedali e delle cliniche, che è rimasto indietro. Il personale deve essere valorizzato dal punto di vista finanziario e poi messo in condizione di poter lavorare a tempo parziale. Anche i medici stessi non lavorano più al 100%, ciò significa un bisogno di almeno il 30% in più di</w:t>
      </w:r>
      <w:r w:rsidR="00690933">
        <w:t xml:space="preserve"> medici per l'</w:t>
      </w:r>
      <w:r>
        <w:t>EOC. Dunque, o si centralizzano le competenze e si evitano i doppioni, o il rischio è di perdere competenze, energie e casistiche. Anche nella formazione degli infermieri e dei medici si dovrà rivedere quali sono i posti che hanno una casistica tale da permetterla.</w:t>
      </w:r>
    </w:p>
    <w:p w:rsidR="001F439F" w:rsidRDefault="001F439F" w:rsidP="001F439F">
      <w:pPr>
        <w:pStyle w:val="StandardRisoluzionedelConsigliodiStato"/>
        <w:ind w:right="-1"/>
      </w:pPr>
    </w:p>
    <w:p w:rsidR="001F439F" w:rsidRDefault="001F439F" w:rsidP="00690933">
      <w:pPr>
        <w:pStyle w:val="StandardRisoluzionedelConsigliodiStato"/>
        <w:ind w:right="-1"/>
      </w:pPr>
    </w:p>
    <w:p w:rsidR="001F439F" w:rsidRPr="00690933" w:rsidRDefault="00690933" w:rsidP="00690933">
      <w:pPr>
        <w:pStyle w:val="Titolo1"/>
        <w:numPr>
          <w:ilvl w:val="0"/>
          <w:numId w:val="0"/>
        </w:numPr>
        <w:spacing w:before="0"/>
        <w:ind w:left="567" w:hanging="567"/>
        <w:jc w:val="both"/>
        <w:rPr>
          <w:sz w:val="24"/>
          <w:szCs w:val="24"/>
        </w:rPr>
      </w:pPr>
      <w:bookmarkStart w:id="65" w:name="_Toc179882523"/>
      <w:r w:rsidRPr="00690933">
        <w:rPr>
          <w:sz w:val="24"/>
          <w:szCs w:val="24"/>
        </w:rPr>
        <w:t>12</w:t>
      </w:r>
      <w:r w:rsidR="001F439F" w:rsidRPr="00690933">
        <w:rPr>
          <w:sz w:val="24"/>
          <w:szCs w:val="24"/>
        </w:rPr>
        <w:t>.</w:t>
      </w:r>
      <w:r w:rsidR="001F439F" w:rsidRPr="00690933">
        <w:rPr>
          <w:sz w:val="24"/>
          <w:szCs w:val="24"/>
        </w:rPr>
        <w:tab/>
        <w:t>RIFLESSIONI COMMISSIONALI</w:t>
      </w:r>
      <w:bookmarkEnd w:id="65"/>
    </w:p>
    <w:p w:rsidR="001F439F" w:rsidRDefault="001F439F" w:rsidP="001F439F">
      <w:pPr>
        <w:pStyle w:val="StandardRisoluzionedelConsigliodiStato"/>
        <w:ind w:right="-1"/>
      </w:pPr>
      <w:r>
        <w:t>In seguito alle audizioni, la Sottocommissione ha presentato le sue riflessioni al plenum commissionale</w:t>
      </w:r>
      <w:r w:rsidR="00690933">
        <w:t>,</w:t>
      </w:r>
      <w:r>
        <w:t xml:space="preserve"> segnatamente sui</w:t>
      </w:r>
      <w:r w:rsidR="00690933">
        <w:t xml:space="preserve"> punti per i quali è prevista l'</w:t>
      </w:r>
      <w:r>
        <w:t>approvazione del Gran Consiglio (</w:t>
      </w:r>
      <w:r w:rsidRPr="00DC243B">
        <w:rPr>
          <w:u w:val="single"/>
        </w:rPr>
        <w:t>infra A</w:t>
      </w:r>
      <w:r>
        <w:t>), sui principi che la Pianificazione dovrebbe tener presente (</w:t>
      </w:r>
      <w:r w:rsidRPr="00DC243B">
        <w:rPr>
          <w:u w:val="single"/>
        </w:rPr>
        <w:t>infra B</w:t>
      </w:r>
      <w:r>
        <w:t>), sulla seconda audizione del Consiglio di Stato avvenuta in data 6 giugno 2024 (</w:t>
      </w:r>
      <w:r w:rsidRPr="00DC243B">
        <w:rPr>
          <w:u w:val="single"/>
        </w:rPr>
        <w:t>infra C</w:t>
      </w:r>
      <w:r>
        <w:t>) voluta per chiarire alcuni aspetti e ottenere risposte ad alcuni quesiti emersi e accennati anche qui di seguito. La Commissione ha ritenuto di evadere con questo Rapporto un altro atto parlamentare pendente (</w:t>
      </w:r>
      <w:r w:rsidRPr="00DC243B">
        <w:rPr>
          <w:u w:val="single"/>
        </w:rPr>
        <w:t>infra D</w:t>
      </w:r>
      <w:r>
        <w:t>) prima di soffermarsi su alcuni altri temi ritenuti strategici (infra E).</w:t>
      </w:r>
    </w:p>
    <w:p w:rsidR="001F439F" w:rsidRDefault="001F439F" w:rsidP="001F439F">
      <w:pPr>
        <w:pStyle w:val="StandardRisoluzionedelConsigliodiStato"/>
        <w:ind w:right="-1"/>
      </w:pPr>
    </w:p>
    <w:p w:rsidR="001F439F" w:rsidRPr="0097399F" w:rsidRDefault="001F439F" w:rsidP="00DC243B">
      <w:pPr>
        <w:pStyle w:val="Titolo2"/>
        <w:numPr>
          <w:ilvl w:val="0"/>
          <w:numId w:val="0"/>
        </w:numPr>
        <w:ind w:left="544" w:hanging="544"/>
      </w:pPr>
      <w:bookmarkStart w:id="66" w:name="_Toc179882524"/>
      <w:r w:rsidRPr="0097399F">
        <w:t>A.</w:t>
      </w:r>
      <w:r w:rsidRPr="0097399F">
        <w:tab/>
        <w:t>PUNTI DI DECISIONE DEL GRAN CONSIGLIO</w:t>
      </w:r>
      <w:bookmarkEnd w:id="66"/>
    </w:p>
    <w:p w:rsidR="001F439F" w:rsidRPr="00DC243B" w:rsidRDefault="00FE72E6" w:rsidP="00FE72E6">
      <w:pPr>
        <w:pStyle w:val="Titolo3"/>
        <w:numPr>
          <w:ilvl w:val="0"/>
          <w:numId w:val="0"/>
        </w:numPr>
        <w:ind w:left="567" w:hanging="567"/>
      </w:pPr>
      <w:bookmarkStart w:id="67" w:name="_Toc179882525"/>
      <w:r>
        <w:t>A.</w:t>
      </w:r>
      <w:r w:rsidR="00C905A6">
        <w:t xml:space="preserve"> </w:t>
      </w:r>
      <w:r>
        <w:t>1</w:t>
      </w:r>
      <w:r>
        <w:tab/>
      </w:r>
      <w:r w:rsidR="0097399F" w:rsidRPr="00DC243B">
        <w:t>Circa l'</w:t>
      </w:r>
      <w:r w:rsidR="001F439F" w:rsidRPr="00DC243B">
        <w:t>impostazione s</w:t>
      </w:r>
      <w:r w:rsidR="0097399F" w:rsidRPr="00DC243B">
        <w:t>trategica sulla base del M</w:t>
      </w:r>
      <w:r w:rsidR="001F439F" w:rsidRPr="00DC243B">
        <w:t>essaggio del CdS:</w:t>
      </w:r>
      <w:bookmarkEnd w:id="67"/>
    </w:p>
    <w:p w:rsidR="001F439F" w:rsidRDefault="001F439F" w:rsidP="001F439F">
      <w:pPr>
        <w:pStyle w:val="StandardRisoluzionedelConsigliodiStato"/>
        <w:ind w:right="-1"/>
      </w:pPr>
      <w:r>
        <w:t>Nel Messaggio, la Commissione ritiene manchino alcune osservazioni fondamentali:</w:t>
      </w:r>
    </w:p>
    <w:p w:rsidR="001F439F" w:rsidRDefault="0097399F" w:rsidP="0097399F">
      <w:pPr>
        <w:pStyle w:val="StandardRisoluzionedelConsigliodiStato"/>
        <w:ind w:left="567" w:right="-1" w:hanging="283"/>
      </w:pPr>
      <w:r>
        <w:t>a)</w:t>
      </w:r>
      <w:r>
        <w:tab/>
        <w:t>r</w:t>
      </w:r>
      <w:r w:rsidR="001F439F">
        <w:t>uolo del Cantone: esso ha un ruolo cruciale nel determinare:</w:t>
      </w:r>
    </w:p>
    <w:p w:rsidR="001F439F" w:rsidRDefault="001F439F" w:rsidP="0097399F">
      <w:pPr>
        <w:pStyle w:val="StandardRisoluzionedelConsigliodiStato"/>
        <w:numPr>
          <w:ilvl w:val="0"/>
          <w:numId w:val="62"/>
        </w:numPr>
        <w:ind w:left="851" w:right="-1" w:hanging="284"/>
      </w:pPr>
      <w:r>
        <w:t>coordinazione delle Pianificazioni e previsto passaggio stazionario verso ambulatoriale + PDTA.</w:t>
      </w:r>
    </w:p>
    <w:p w:rsidR="001F439F" w:rsidRDefault="001F439F" w:rsidP="0097399F">
      <w:pPr>
        <w:pStyle w:val="StandardRisoluzionedelConsigliodiStato"/>
        <w:numPr>
          <w:ilvl w:val="0"/>
          <w:numId w:val="62"/>
        </w:numPr>
        <w:ind w:left="851" w:right="-1" w:hanging="284"/>
      </w:pPr>
      <w:r>
        <w:t>Elaborazione degli indicatori di qualità ed economicità univoci e trasparenti</w:t>
      </w:r>
      <w:r w:rsidR="0097399F">
        <w:t>.</w:t>
      </w:r>
    </w:p>
    <w:p w:rsidR="001F439F" w:rsidRDefault="001F439F" w:rsidP="0097399F">
      <w:pPr>
        <w:pStyle w:val="StandardRisoluzionedelConsigliodiStato"/>
        <w:numPr>
          <w:ilvl w:val="0"/>
          <w:numId w:val="62"/>
        </w:numPr>
        <w:ind w:left="851" w:right="-1" w:hanging="284"/>
      </w:pPr>
      <w:r>
        <w:t>Definizione della lista di SPLG attribuiti ai grandi ambiti di prestazione: pacchetto base, prestazioni specialistiche, multidisciplinari e complesse (e MAS).</w:t>
      </w:r>
    </w:p>
    <w:p w:rsidR="001F439F" w:rsidRDefault="001F439F" w:rsidP="0097399F">
      <w:pPr>
        <w:pStyle w:val="StandardRisoluzionedelConsigliodiStato"/>
        <w:numPr>
          <w:ilvl w:val="0"/>
          <w:numId w:val="62"/>
        </w:numPr>
        <w:ind w:left="851" w:right="-1" w:hanging="284"/>
      </w:pPr>
      <w:r>
        <w:t>Modalità e frequenza monitoraggio.</w:t>
      </w:r>
    </w:p>
    <w:p w:rsidR="001F439F" w:rsidRDefault="001F439F" w:rsidP="0097399F">
      <w:pPr>
        <w:pStyle w:val="StandardRisoluzionedelConsigliodiStato"/>
        <w:numPr>
          <w:ilvl w:val="0"/>
          <w:numId w:val="62"/>
        </w:numPr>
        <w:ind w:left="851" w:right="-1" w:hanging="284"/>
      </w:pPr>
      <w:r>
        <w:t>Numeri minimi</w:t>
      </w:r>
      <w:r w:rsidR="00DC243B">
        <w:t>.</w:t>
      </w:r>
    </w:p>
    <w:p w:rsidR="001F439F" w:rsidRDefault="001F439F" w:rsidP="00DC243B">
      <w:pPr>
        <w:pStyle w:val="StandardRisoluzionedelConsigliodiStato"/>
        <w:numPr>
          <w:ilvl w:val="0"/>
          <w:numId w:val="63"/>
        </w:numPr>
        <w:ind w:left="851" w:right="-1" w:hanging="284"/>
      </w:pPr>
      <w:r>
        <w:t>Implementazione</w:t>
      </w:r>
      <w:r w:rsidR="00DC243B">
        <w:t xml:space="preserve"> </w:t>
      </w:r>
      <w:r>
        <w:t>di</w:t>
      </w:r>
      <w:r w:rsidR="00DC243B">
        <w:t xml:space="preserve"> un'</w:t>
      </w:r>
      <w:r>
        <w:t>effettiva</w:t>
      </w:r>
      <w:r w:rsidR="00DC243B">
        <w:t xml:space="preserve"> </w:t>
      </w:r>
      <w:r>
        <w:t>Rollende</w:t>
      </w:r>
      <w:r w:rsidR="00DC243B">
        <w:t xml:space="preserve"> </w:t>
      </w:r>
      <w:r>
        <w:t>Planung</w:t>
      </w:r>
      <w:r w:rsidR="00DC243B">
        <w:t xml:space="preserve"> </w:t>
      </w:r>
      <w:r>
        <w:t>che</w:t>
      </w:r>
      <w:r w:rsidR="00DC243B">
        <w:t xml:space="preserve"> </w:t>
      </w:r>
      <w:r>
        <w:t>possa</w:t>
      </w:r>
      <w:r w:rsidR="00DC243B">
        <w:t xml:space="preserve"> </w:t>
      </w:r>
      <w:r>
        <w:t>adattarsi costantemente e celermente alle modifiche contestuali ed evoluzioni cliniche.</w:t>
      </w:r>
    </w:p>
    <w:p w:rsidR="001F439F" w:rsidRDefault="001F439F" w:rsidP="001F439F">
      <w:pPr>
        <w:pStyle w:val="StandardRisoluzionedelConsigliodiStato"/>
        <w:ind w:right="-1"/>
      </w:pPr>
    </w:p>
    <w:p w:rsidR="001F439F" w:rsidRDefault="001F439F" w:rsidP="00DC243B">
      <w:pPr>
        <w:pStyle w:val="StandardRisoluzionedelConsigliodiStato"/>
        <w:ind w:left="567" w:right="-1" w:hanging="283"/>
      </w:pPr>
      <w:r>
        <w:t>b)</w:t>
      </w:r>
      <w:r>
        <w:tab/>
        <w:t>Si parla di quote di mercato nella fase di attribuzione dei mandati – questo deve essere definito e fatto prima. Quando ci si candida bisogna conoscere le regole del gioco come già sopra indicato.</w:t>
      </w:r>
    </w:p>
    <w:p w:rsidR="001F439F" w:rsidRDefault="001F439F" w:rsidP="001F439F">
      <w:pPr>
        <w:pStyle w:val="StandardRisoluzionedelConsigliodiStato"/>
        <w:ind w:right="-1"/>
      </w:pPr>
    </w:p>
    <w:p w:rsidR="001F439F" w:rsidRDefault="001F439F" w:rsidP="00DC243B">
      <w:pPr>
        <w:pStyle w:val="StandardRisoluzionedelConsigliodiStato"/>
        <w:ind w:left="567" w:right="-1" w:hanging="283"/>
      </w:pPr>
      <w:r>
        <w:lastRenderedPageBreak/>
        <w:t>c)</w:t>
      </w:r>
      <w:r>
        <w:tab/>
        <w:t>No</w:t>
      </w:r>
      <w:r w:rsidR="00DC243B">
        <w:t>n si fa menzione del ruolo dell'</w:t>
      </w:r>
      <w:r>
        <w:t>ospedale pubblico, o poco. Certo durante le audizioni sono emerse le differenti visioni tra EOC e rappresentanti delle Cliniche private che, per contro, lamentano una concen</w:t>
      </w:r>
      <w:r w:rsidR="00DC243B">
        <w:t>trazione elevata di mandati all'EOC. Dall'altro lato la dirigenza dell'</w:t>
      </w:r>
      <w:r>
        <w:t>EOC ha sollevato di recente (20/21.06.2024 sui Quotidiani ticinesi</w:t>
      </w:r>
      <w:r w:rsidR="00DC243B">
        <w:rPr>
          <w:rStyle w:val="Rimandonotaapidipagina"/>
        </w:rPr>
        <w:footnoteReference w:id="4"/>
      </w:r>
      <w:r>
        <w:t>4) l’insufficiente sostegno della politica cantonale al settore della ricerca medicosanitaria svolta dall’EOC e ciò a differenza di quanto fatto da altri Cantoni.</w:t>
      </w:r>
    </w:p>
    <w:p w:rsidR="001F439F" w:rsidRDefault="001F439F" w:rsidP="00DC243B">
      <w:pPr>
        <w:pStyle w:val="StandardRisoluzionedelConsigliodiStato"/>
        <w:ind w:left="567" w:right="-1"/>
      </w:pPr>
      <w:r>
        <w:t>Forse, salvo voler iniziare a pensare a una legge cantonale sugli ospedali (quindi pubblici e privati) come esistono in altri Cantoni, si p</w:t>
      </w:r>
      <w:r w:rsidR="00DC243B">
        <w:t>otrebbe rimarcare il ruolo dell'</w:t>
      </w:r>
      <w:r>
        <w:t>ospedale pubblico (vedi anche catalogo PIG, che rimane magro rispetto ad altri Cantoni), nonché altri suoi compiti di politica regionale, obbligo di ammissione, sovraccapacità, formazione e, appunto, ricerca.</w:t>
      </w:r>
    </w:p>
    <w:p w:rsidR="00DC243B" w:rsidRDefault="00DC243B" w:rsidP="00DC243B">
      <w:pPr>
        <w:pStyle w:val="StandardRisoluzionedelConsigliodiStato"/>
        <w:ind w:left="567" w:right="-1"/>
      </w:pPr>
    </w:p>
    <w:p w:rsidR="001F439F" w:rsidRDefault="001F439F" w:rsidP="00DC243B">
      <w:pPr>
        <w:pStyle w:val="StandardRisoluzionedelConsigliodiStato"/>
        <w:ind w:left="567" w:right="-1" w:hanging="283"/>
      </w:pPr>
      <w:r>
        <w:t>d)</w:t>
      </w:r>
      <w:r>
        <w:tab/>
        <w:t>Non si fa menzione o poco alle discipline trasversali tipo: geriatria, cure palliative, pediatria, ecc.).</w:t>
      </w:r>
    </w:p>
    <w:p w:rsidR="001F439F" w:rsidRDefault="001F439F" w:rsidP="001F439F">
      <w:pPr>
        <w:pStyle w:val="StandardRisoluzionedelConsigliodiStato"/>
        <w:ind w:right="-1"/>
      </w:pPr>
    </w:p>
    <w:p w:rsidR="001F439F" w:rsidRPr="00DC243B" w:rsidRDefault="00FE72E6" w:rsidP="00FE72E6">
      <w:pPr>
        <w:pStyle w:val="Titolo3"/>
        <w:numPr>
          <w:ilvl w:val="0"/>
          <w:numId w:val="0"/>
        </w:numPr>
        <w:ind w:left="567" w:hanging="567"/>
        <w:jc w:val="both"/>
      </w:pPr>
      <w:bookmarkStart w:id="68" w:name="_Toc179882526"/>
      <w:r>
        <w:t>A. 2</w:t>
      </w:r>
      <w:r>
        <w:tab/>
      </w:r>
      <w:r w:rsidR="001F439F" w:rsidRPr="00DC243B">
        <w:t>Circ</w:t>
      </w:r>
      <w:r w:rsidR="00DC243B" w:rsidRPr="00DC243B">
        <w:t>a il modulo di sollecitazione d'</w:t>
      </w:r>
      <w:r w:rsidR="001F439F" w:rsidRPr="00DC243B">
        <w:t>offerta, della suddivisione nei gruppi di prestazione e dei requisiti:</w:t>
      </w:r>
      <w:bookmarkEnd w:id="68"/>
    </w:p>
    <w:p w:rsidR="001F439F" w:rsidRDefault="001F439F" w:rsidP="001F439F">
      <w:pPr>
        <w:pStyle w:val="StandardRisoluzionedelConsigliodiStato"/>
        <w:ind w:right="-1"/>
      </w:pPr>
      <w:r>
        <w:t>Come sopra indicato, fondamentalmente la Commissione chiede che i moduli di sollecitazione vadano rivisti in modo tale che le regole di partenza e le condizioni siano chiare pe</w:t>
      </w:r>
      <w:r w:rsidR="00DC243B">
        <w:t>r tutti i concorrenti prima dell'</w:t>
      </w:r>
      <w:r>
        <w:t>inoltro delle loro offerte e non al momen</w:t>
      </w:r>
      <w:r w:rsidR="00DC243B">
        <w:t>to dell'</w:t>
      </w:r>
      <w:r>
        <w:t>attribuzione dei mandati, in quanto potrebbero sorgere problemi di trasparenza. Pertanto, i moduli dovranno contenere:</w:t>
      </w:r>
    </w:p>
    <w:p w:rsidR="001F439F" w:rsidRDefault="001F439F" w:rsidP="001D5B09">
      <w:pPr>
        <w:pStyle w:val="StandardRisoluzionedelConsigliodiStato"/>
        <w:numPr>
          <w:ilvl w:val="1"/>
          <w:numId w:val="64"/>
        </w:numPr>
        <w:ind w:left="567" w:right="-1" w:hanging="283"/>
      </w:pPr>
      <w:r>
        <w:t>le quote minime e il numero di casi minimi (5% e minimo 10 casi per tipo);</w:t>
      </w:r>
    </w:p>
    <w:p w:rsidR="001F439F" w:rsidRDefault="00DC243B" w:rsidP="001D5B09">
      <w:pPr>
        <w:pStyle w:val="StandardRisoluzionedelConsigliodiStato"/>
        <w:numPr>
          <w:ilvl w:val="1"/>
          <w:numId w:val="64"/>
        </w:numPr>
        <w:ind w:left="567" w:right="-1" w:hanging="283"/>
      </w:pPr>
      <w:r>
        <w:t>l'</w:t>
      </w:r>
      <w:r w:rsidR="001F439F">
        <w:t>esatto periodo in cui questi requisiti dovevano o entro cui debbono essere assolti e le conseguenze in caso di mancato assolvimento;</w:t>
      </w:r>
    </w:p>
    <w:p w:rsidR="001F439F" w:rsidRDefault="001F439F" w:rsidP="001D5B09">
      <w:pPr>
        <w:pStyle w:val="StandardRisoluzionedelConsigliodiStato"/>
        <w:numPr>
          <w:ilvl w:val="1"/>
          <w:numId w:val="64"/>
        </w:numPr>
        <w:ind w:left="567" w:right="-1" w:hanging="283"/>
      </w:pPr>
      <w:r>
        <w:t>per i mandati relativi alla medicina multidisciplinari e complesse (MDC) bisogna applicare criteri chiari di cosa categorizza una prestazione come tale (necessità di presenza in house di altre specialità, medicina intensiva di livello superiore, numeri minimi).</w:t>
      </w:r>
    </w:p>
    <w:p w:rsidR="001F439F" w:rsidRDefault="001F439F" w:rsidP="001F439F">
      <w:pPr>
        <w:pStyle w:val="StandardRisoluzionedelConsigliodiStato"/>
        <w:ind w:right="-1"/>
      </w:pPr>
    </w:p>
    <w:p w:rsidR="001F439F" w:rsidRDefault="00FE72E6" w:rsidP="00FE72E6">
      <w:pPr>
        <w:pStyle w:val="Titolo3"/>
        <w:numPr>
          <w:ilvl w:val="0"/>
          <w:numId w:val="0"/>
        </w:numPr>
        <w:ind w:left="567" w:hanging="567"/>
        <w:jc w:val="both"/>
      </w:pPr>
      <w:bookmarkStart w:id="69" w:name="_Toc179882527"/>
      <w:r>
        <w:t>A.</w:t>
      </w:r>
      <w:r w:rsidR="00C905A6">
        <w:t xml:space="preserve"> </w:t>
      </w:r>
      <w:r>
        <w:t>3</w:t>
      </w:r>
      <w:r>
        <w:tab/>
      </w:r>
      <w:r w:rsidR="00DC243B">
        <w:t>In merito all'</w:t>
      </w:r>
      <w:r w:rsidR="001F439F">
        <w:t>eventuale aumento della quota parte minima del Cantone</w:t>
      </w:r>
      <w:bookmarkEnd w:id="69"/>
    </w:p>
    <w:p w:rsidR="001F439F" w:rsidRDefault="001F439F" w:rsidP="001F439F">
      <w:pPr>
        <w:pStyle w:val="StandardRisoluzionedelConsigliodiStato"/>
        <w:ind w:right="-1"/>
      </w:pPr>
      <w:r>
        <w:t>La Commissione ritiene che allo stadio attuale e in questo periodo storico si debba mantenere lo status quo.</w:t>
      </w:r>
    </w:p>
    <w:p w:rsidR="001F439F" w:rsidRDefault="001F439F" w:rsidP="001F439F">
      <w:pPr>
        <w:pStyle w:val="StandardRisoluzionedelConsigliodiStato"/>
        <w:ind w:right="-1"/>
      </w:pPr>
      <w:r>
        <w:t>A riguardo della partecipazione del Canton</w:t>
      </w:r>
      <w:r w:rsidR="00DC243B">
        <w:t>e ai costi delle prestazioni d'</w:t>
      </w:r>
      <w:r>
        <w:t>interesse generale</w:t>
      </w:r>
      <w:r w:rsidR="00DC243B">
        <w:t>, f</w:t>
      </w:r>
      <w:r>
        <w:t>atta eccezione per un eventuale ampliamento/potenzi</w:t>
      </w:r>
      <w:r w:rsidR="00DC243B">
        <w:t>amento dell'</w:t>
      </w:r>
      <w:r>
        <w:t>attività dei Consultori di salute sessuale che sono oggetto di un atto parlamentare (M</w:t>
      </w:r>
      <w:r w:rsidR="00DC243B">
        <w:t xml:space="preserve">ozione n. </w:t>
      </w:r>
      <w:r>
        <w:t>1632) ancora in fase di disamina commissiona</w:t>
      </w:r>
      <w:r w:rsidR="00DC243B">
        <w:t xml:space="preserve">le, per le altre prestazioni </w:t>
      </w:r>
      <w:r>
        <w:t>esistenti non si chiedono modifiche come non se ne propongono di nuove.</w:t>
      </w:r>
    </w:p>
    <w:p w:rsidR="001F439F" w:rsidRDefault="001F439F" w:rsidP="001F439F">
      <w:pPr>
        <w:pStyle w:val="StandardRisoluzionedelConsigliodiStato"/>
        <w:ind w:right="-1"/>
      </w:pPr>
    </w:p>
    <w:p w:rsidR="001F439F" w:rsidRDefault="00FE72E6" w:rsidP="00FE72E6">
      <w:pPr>
        <w:pStyle w:val="Titolo3"/>
        <w:numPr>
          <w:ilvl w:val="0"/>
          <w:numId w:val="0"/>
        </w:numPr>
        <w:ind w:left="567" w:hanging="567"/>
        <w:jc w:val="both"/>
      </w:pPr>
      <w:bookmarkStart w:id="70" w:name="_Toc179882528"/>
      <w:r>
        <w:t>A.</w:t>
      </w:r>
      <w:r w:rsidR="00C905A6">
        <w:t xml:space="preserve"> </w:t>
      </w:r>
      <w:r>
        <w:t>4</w:t>
      </w:r>
      <w:r>
        <w:tab/>
      </w:r>
      <w:r w:rsidR="001F439F">
        <w:t>Circa i disegni di legge allegati al messaggio</w:t>
      </w:r>
      <w:bookmarkEnd w:id="70"/>
    </w:p>
    <w:p w:rsidR="001F439F" w:rsidRDefault="001F439F" w:rsidP="001F439F">
      <w:pPr>
        <w:pStyle w:val="StandardRisoluzionedelConsigliodiStato"/>
        <w:ind w:right="-1"/>
      </w:pPr>
      <w:r>
        <w:t>Gli stessi sono approvati con le modifiche apportate nei testi allegati al presente rapporto a seguito di quanto ivi indicato e concluso dalla scrivente Commissione.</w:t>
      </w:r>
    </w:p>
    <w:p w:rsidR="001F439F" w:rsidRDefault="001F439F" w:rsidP="001F439F">
      <w:pPr>
        <w:pStyle w:val="StandardRisoluzionedelConsigliodiStato"/>
        <w:ind w:right="-1"/>
      </w:pPr>
    </w:p>
    <w:p w:rsidR="001F439F" w:rsidRDefault="00FE72E6" w:rsidP="00FE72E6">
      <w:pPr>
        <w:pStyle w:val="Titolo3"/>
        <w:numPr>
          <w:ilvl w:val="0"/>
          <w:numId w:val="0"/>
        </w:numPr>
        <w:tabs>
          <w:tab w:val="left" w:pos="567"/>
        </w:tabs>
        <w:ind w:left="726" w:hanging="726"/>
        <w:jc w:val="both"/>
      </w:pPr>
      <w:bookmarkStart w:id="71" w:name="_Toc179882529"/>
      <w:r>
        <w:lastRenderedPageBreak/>
        <w:t>A.</w:t>
      </w:r>
      <w:r w:rsidR="00C905A6">
        <w:t xml:space="preserve"> </w:t>
      </w:r>
      <w:r>
        <w:t>5</w:t>
      </w:r>
      <w:r>
        <w:tab/>
      </w:r>
      <w:r w:rsidR="001F439F">
        <w:t>Circa il finanziamento di programmi sanitari specifici</w:t>
      </w:r>
      <w:bookmarkEnd w:id="71"/>
    </w:p>
    <w:p w:rsidR="001F439F" w:rsidRDefault="001F439F" w:rsidP="001F439F">
      <w:pPr>
        <w:pStyle w:val="StandardRisoluzionedelConsigliodiStato"/>
        <w:ind w:right="-1"/>
      </w:pPr>
      <w:r>
        <w:t>Non essendovi programmi sanitari specifici previsti nella presente Pianificazione, non vi sono preavvisi da dare.</w:t>
      </w:r>
    </w:p>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Default="001F439F" w:rsidP="00DC243B">
      <w:pPr>
        <w:pStyle w:val="Titolo2"/>
        <w:numPr>
          <w:ilvl w:val="0"/>
          <w:numId w:val="0"/>
        </w:numPr>
        <w:ind w:left="544" w:hanging="544"/>
        <w:jc w:val="both"/>
      </w:pPr>
      <w:bookmarkStart w:id="72" w:name="_Toc179882530"/>
      <w:r>
        <w:t>B.</w:t>
      </w:r>
      <w:r>
        <w:tab/>
        <w:t>IL SENSO DELLA PIANIFICAZIONE</w:t>
      </w:r>
      <w:bookmarkEnd w:id="72"/>
    </w:p>
    <w:p w:rsidR="001F439F" w:rsidRDefault="001F439F" w:rsidP="001F439F">
      <w:pPr>
        <w:pStyle w:val="StandardRisoluzionedelConsigliodiStato"/>
        <w:ind w:right="-1"/>
      </w:pPr>
      <w:r>
        <w:t>La Pianificazione dovrebbe:</w:t>
      </w:r>
    </w:p>
    <w:p w:rsidR="001F439F" w:rsidRDefault="001F439F" w:rsidP="001D5B09">
      <w:pPr>
        <w:pStyle w:val="StandardRisoluzionedelConsigliodiStato"/>
        <w:numPr>
          <w:ilvl w:val="1"/>
          <w:numId w:val="65"/>
        </w:numPr>
        <w:ind w:left="567" w:right="-1" w:hanging="283"/>
      </w:pPr>
      <w:r>
        <w:t>rispettare la sussidiarietà dell'offerta pubblica (principio costituzionale);</w:t>
      </w:r>
    </w:p>
    <w:p w:rsidR="001F439F" w:rsidRDefault="001F439F" w:rsidP="001D5B09">
      <w:pPr>
        <w:pStyle w:val="StandardRisoluzionedelConsigliodiStato"/>
        <w:numPr>
          <w:ilvl w:val="1"/>
          <w:numId w:val="65"/>
        </w:numPr>
        <w:ind w:left="567" w:right="-1" w:hanging="283"/>
      </w:pPr>
      <w:r>
        <w:t>essere lo strumento per definire gli standard di qualità ovvero permettere di capire quale qualità di medicina possiamo permetterci e come ottimizzare il sistema;</w:t>
      </w:r>
    </w:p>
    <w:p w:rsidR="001F439F" w:rsidRDefault="001F439F" w:rsidP="001D5B09">
      <w:pPr>
        <w:pStyle w:val="StandardRisoluzionedelConsigliodiStato"/>
        <w:numPr>
          <w:ilvl w:val="1"/>
          <w:numId w:val="65"/>
        </w:numPr>
        <w:ind w:left="567" w:right="-1" w:hanging="283"/>
      </w:pPr>
      <w:r>
        <w:t>dovrebbe identificare mancanze nell'offerta sia in termini di disponibilità che prossimità;</w:t>
      </w:r>
    </w:p>
    <w:p w:rsidR="001F439F" w:rsidRDefault="001F439F" w:rsidP="001D5B09">
      <w:pPr>
        <w:pStyle w:val="StandardRisoluzionedelConsigliodiStato"/>
        <w:numPr>
          <w:ilvl w:val="1"/>
          <w:numId w:val="65"/>
        </w:numPr>
        <w:ind w:left="567" w:right="-1" w:hanging="283"/>
      </w:pPr>
      <w:r>
        <w:t>garantire, con imparzialità e trasparenza, che gli attori che rispettano i criteri ricevano i mandati (se vi sono nuovi attori il conferimento del mandato dovrebbe o potrebbe essere concesso in forma provvisoria su tipo 3 anni) e questo sia che siano nel settore pubblico o nel privato;</w:t>
      </w:r>
    </w:p>
    <w:p w:rsidR="001F439F" w:rsidRDefault="001F439F" w:rsidP="001D5B09">
      <w:pPr>
        <w:pStyle w:val="StandardRisoluzionedelConsigliodiStato"/>
        <w:numPr>
          <w:ilvl w:val="1"/>
          <w:numId w:val="65"/>
        </w:numPr>
        <w:ind w:left="567" w:right="-1" w:hanging="283"/>
      </w:pPr>
      <w:r>
        <w:t>definire la medicina altamente specializzata in maniera sensata e rappresentare un'eccezione. La medicina specializzata riguarda in genere una medicina di punta e rara;</w:t>
      </w:r>
    </w:p>
    <w:p w:rsidR="001F439F" w:rsidRDefault="001F439F" w:rsidP="001D5B09">
      <w:pPr>
        <w:pStyle w:val="StandardRisoluzionedelConsigliodiStato"/>
        <w:numPr>
          <w:ilvl w:val="1"/>
          <w:numId w:val="65"/>
        </w:numPr>
        <w:ind w:left="567" w:right="-1" w:hanging="283"/>
      </w:pPr>
      <w:r>
        <w:t>evitare che l'ospedale di riferimento che riceve il mandato altamente specia</w:t>
      </w:r>
      <w:r w:rsidR="00DC243B">
        <w:t>listico interferisca e limiti l'</w:t>
      </w:r>
      <w:r>
        <w:t>attività di prossimità;</w:t>
      </w:r>
    </w:p>
    <w:p w:rsidR="001F439F" w:rsidRDefault="001F439F" w:rsidP="001D5B09">
      <w:pPr>
        <w:pStyle w:val="StandardRisoluzionedelConsigliodiStato"/>
        <w:numPr>
          <w:ilvl w:val="1"/>
          <w:numId w:val="65"/>
        </w:numPr>
        <w:ind w:left="567" w:right="-1" w:hanging="283"/>
      </w:pPr>
      <w:r>
        <w:t>accettare il principio della collaborazione quale strumento di evoluzione del sistema sanitario, rispetto all'intervento regolatorio e pianificatorio dello Stato.</w:t>
      </w:r>
    </w:p>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Default="001F439F" w:rsidP="00DC243B">
      <w:pPr>
        <w:pStyle w:val="Titolo2"/>
        <w:numPr>
          <w:ilvl w:val="0"/>
          <w:numId w:val="0"/>
        </w:numPr>
        <w:ind w:left="544" w:hanging="544"/>
        <w:jc w:val="both"/>
      </w:pPr>
      <w:bookmarkStart w:id="73" w:name="_Toc179882531"/>
      <w:r>
        <w:t>C.</w:t>
      </w:r>
      <w:r>
        <w:tab/>
        <w:t>SECONDA AUDIZIONE DEL GOVERNO IL 6 GIUGNO 2024</w:t>
      </w:r>
      <w:bookmarkEnd w:id="73"/>
    </w:p>
    <w:p w:rsidR="001F439F" w:rsidRDefault="00DC243B" w:rsidP="001F439F">
      <w:pPr>
        <w:pStyle w:val="StandardRisoluzionedelConsigliodiStato"/>
        <w:ind w:right="-1"/>
      </w:pPr>
      <w:r>
        <w:t>L'</w:t>
      </w:r>
      <w:r w:rsidR="001F439F">
        <w:t>audizione, oltre ad alcune questioni già riprese nei relativi capitoli e</w:t>
      </w:r>
      <w:r>
        <w:t xml:space="preserve"> paragrafi, aveva soprattutto l'</w:t>
      </w:r>
      <w:r w:rsidR="001F439F">
        <w:t>obiettivo di condividere alcuni temi che vengono qui ripresi schematicamente. In breve, quindi:</w:t>
      </w:r>
    </w:p>
    <w:p w:rsidR="001F439F" w:rsidRDefault="001D5B09" w:rsidP="001D5B09">
      <w:pPr>
        <w:pStyle w:val="Titolo3"/>
        <w:numPr>
          <w:ilvl w:val="0"/>
          <w:numId w:val="0"/>
        </w:numPr>
      </w:pPr>
      <w:bookmarkStart w:id="74" w:name="_Toc179882532"/>
      <w:r>
        <w:t>C.</w:t>
      </w:r>
      <w:r w:rsidR="00C905A6">
        <w:t xml:space="preserve"> </w:t>
      </w:r>
      <w:r>
        <w:t>1</w:t>
      </w:r>
      <w:r>
        <w:tab/>
      </w:r>
      <w:r w:rsidR="001F439F">
        <w:t>Criteri di attribuzione dei mandati</w:t>
      </w:r>
      <w:bookmarkEnd w:id="74"/>
    </w:p>
    <w:p w:rsidR="001F439F" w:rsidRDefault="001D5B09" w:rsidP="001D5B09">
      <w:pPr>
        <w:pStyle w:val="Titolo4"/>
        <w:numPr>
          <w:ilvl w:val="0"/>
          <w:numId w:val="0"/>
        </w:numPr>
        <w:tabs>
          <w:tab w:val="left" w:pos="284"/>
        </w:tabs>
        <w:ind w:left="284"/>
      </w:pPr>
      <w:r>
        <w:t>C.1.1</w:t>
      </w:r>
      <w:r w:rsidR="001F439F">
        <w:tab/>
        <w:t>Quote di mercato</w:t>
      </w:r>
    </w:p>
    <w:p w:rsidR="001F439F" w:rsidRDefault="001F439F" w:rsidP="001D5B09">
      <w:pPr>
        <w:pStyle w:val="StandardRisoluzionedelConsigliodiStato"/>
        <w:numPr>
          <w:ilvl w:val="1"/>
          <w:numId w:val="66"/>
        </w:numPr>
        <w:ind w:left="567" w:right="-1" w:hanging="283"/>
      </w:pPr>
      <w:r>
        <w:t>Le quote di mercato hanno lo scopo di aumentare la concentrazione dei gruppi di prestazione e</w:t>
      </w:r>
      <w:r w:rsidR="001D5B09">
        <w:t>,</w:t>
      </w:r>
      <w:r>
        <w:t xml:space="preserve"> </w:t>
      </w:r>
      <w:r w:rsidR="001D5B09">
        <w:t>di conseguenza, di migliorare l'</w:t>
      </w:r>
      <w:r>
        <w:t>efficienza delle cure.</w:t>
      </w:r>
    </w:p>
    <w:p w:rsidR="001F439F" w:rsidRDefault="001F439F" w:rsidP="001D5B09">
      <w:pPr>
        <w:pStyle w:val="StandardRisoluzionedelConsigliodiStato"/>
        <w:numPr>
          <w:ilvl w:val="1"/>
          <w:numId w:val="66"/>
        </w:numPr>
        <w:ind w:left="567" w:right="-1" w:hanging="283"/>
      </w:pPr>
      <w:r>
        <w:t>Le quote di mercato sono modulate secondo la diffusione e la complessità dei gruppi di prestazione:</w:t>
      </w:r>
    </w:p>
    <w:p w:rsidR="001D5B09" w:rsidRDefault="001D5B09" w:rsidP="001D5B09">
      <w:pPr>
        <w:pStyle w:val="StandardRisoluzionedelConsigliodiStato"/>
        <w:ind w:left="567" w:right="-1"/>
      </w:pPr>
    </w:p>
    <w:p w:rsidR="001D5B09" w:rsidRDefault="001D5B09" w:rsidP="001D5B09">
      <w:pPr>
        <w:pStyle w:val="Corpotesto"/>
        <w:tabs>
          <w:tab w:val="left" w:pos="5843"/>
          <w:tab w:val="left" w:pos="6551"/>
        </w:tabs>
        <w:ind w:left="1031" w:right="3023"/>
        <w:rPr>
          <w:u w:val="single"/>
        </w:rPr>
      </w:pPr>
      <w:r w:rsidRPr="001D5B09">
        <w:rPr>
          <w:u w:val="single"/>
        </w:rPr>
        <w:t>Quote di mercato ipotizzate</w:t>
      </w:r>
      <w:r>
        <w:rPr>
          <w:u w:val="single"/>
        </w:rPr>
        <w:t xml:space="preserve"> </w:t>
      </w:r>
      <w:r w:rsidRPr="001D5B09">
        <w:rPr>
          <w:u w:val="single"/>
        </w:rPr>
        <w:t xml:space="preserve">Ipotesi </w:t>
      </w:r>
    </w:p>
    <w:p w:rsidR="001D5B09" w:rsidRPr="001D5B09" w:rsidRDefault="001D5B09" w:rsidP="001D5B09">
      <w:pPr>
        <w:pStyle w:val="Corpotesto"/>
        <w:tabs>
          <w:tab w:val="left" w:pos="5670"/>
          <w:tab w:val="left" w:pos="6379"/>
        </w:tabs>
        <w:ind w:left="1031" w:right="2397"/>
      </w:pPr>
      <w:r w:rsidRPr="001D5B09">
        <w:t>Cure di base</w:t>
      </w:r>
      <w:r w:rsidRPr="001D5B09">
        <w:tab/>
        <w:t>0%</w:t>
      </w:r>
      <w:r w:rsidRPr="001D5B09">
        <w:tab/>
        <w:t>2%</w:t>
      </w:r>
    </w:p>
    <w:p w:rsidR="001D5B09" w:rsidRPr="001D5B09" w:rsidRDefault="001D5B09" w:rsidP="001D5B09">
      <w:pPr>
        <w:pStyle w:val="Corpotesto"/>
        <w:tabs>
          <w:tab w:val="left" w:pos="5670"/>
          <w:tab w:val="left" w:pos="6379"/>
        </w:tabs>
        <w:ind w:left="1031" w:right="2397"/>
      </w:pPr>
      <w:r w:rsidRPr="001D5B09">
        <w:t>Prestazioni specializzate</w:t>
      </w:r>
      <w:r w:rsidRPr="001D5B09">
        <w:tab/>
        <w:t>2%</w:t>
      </w:r>
      <w:r w:rsidRPr="001D5B09">
        <w:tab/>
        <w:t>5%</w:t>
      </w:r>
    </w:p>
    <w:p w:rsidR="001D5B09" w:rsidRPr="001D5B09" w:rsidRDefault="001D5B09" w:rsidP="001D5B09">
      <w:pPr>
        <w:pStyle w:val="Corpotesto"/>
        <w:tabs>
          <w:tab w:val="left" w:pos="5670"/>
          <w:tab w:val="left" w:pos="6379"/>
        </w:tabs>
        <w:ind w:left="1031" w:right="2397"/>
      </w:pPr>
      <w:r w:rsidRPr="001D5B09">
        <w:t>Prestazioni multidisciplinari e complesse</w:t>
      </w:r>
      <w:r w:rsidRPr="001D5B09">
        <w:tab/>
        <w:t>5%</w:t>
      </w:r>
      <w:r w:rsidRPr="001D5B09">
        <w:tab/>
        <w:t>10%</w:t>
      </w:r>
    </w:p>
    <w:p w:rsidR="001D5B09" w:rsidRDefault="001D5B09" w:rsidP="001F439F">
      <w:pPr>
        <w:pStyle w:val="StandardRisoluzionedelConsigliodiStato"/>
        <w:ind w:right="-1"/>
      </w:pPr>
    </w:p>
    <w:p w:rsidR="001F439F" w:rsidRDefault="001D5B09" w:rsidP="001D5B09">
      <w:pPr>
        <w:pStyle w:val="Titolo4"/>
        <w:numPr>
          <w:ilvl w:val="0"/>
          <w:numId w:val="0"/>
        </w:numPr>
        <w:ind w:left="284"/>
      </w:pPr>
      <w:r>
        <w:t>C.1.2</w:t>
      </w:r>
      <w:r>
        <w:tab/>
      </w:r>
      <w:r w:rsidR="001F439F">
        <w:t>Numero minimo di casi</w:t>
      </w:r>
    </w:p>
    <w:p w:rsidR="001F439F" w:rsidRDefault="001D5B09" w:rsidP="001D5B09">
      <w:pPr>
        <w:pStyle w:val="StandardRisoluzionedelConsigliodiStato"/>
        <w:numPr>
          <w:ilvl w:val="0"/>
          <w:numId w:val="67"/>
        </w:numPr>
        <w:ind w:right="-1" w:hanging="436"/>
      </w:pPr>
      <w:r>
        <w:t>L'</w:t>
      </w:r>
      <w:r w:rsidR="001F439F">
        <w:t>attribuzione di un numero minimo di casi (sia per sede che per operatore) è fatta per garantire la qualità delle cure.</w:t>
      </w:r>
    </w:p>
    <w:p w:rsidR="001F439F" w:rsidRDefault="001F439F" w:rsidP="001D5B09">
      <w:pPr>
        <w:pStyle w:val="StandardRisoluzionedelConsigliodiStato"/>
        <w:numPr>
          <w:ilvl w:val="1"/>
          <w:numId w:val="68"/>
        </w:numPr>
        <w:ind w:left="709" w:right="-1" w:hanging="425"/>
      </w:pPr>
      <w:r>
        <w:lastRenderedPageBreak/>
        <w:t>Numeri minimi di casi per sede e per singoli gruppi di prestazione: ripresa di principio dei numeri definiti da ZH.</w:t>
      </w:r>
    </w:p>
    <w:p w:rsidR="001F439F" w:rsidRDefault="001F439F" w:rsidP="001D5B09">
      <w:pPr>
        <w:pStyle w:val="StandardRisoluzionedelConsigliodiStato"/>
        <w:numPr>
          <w:ilvl w:val="1"/>
          <w:numId w:val="68"/>
        </w:numPr>
        <w:ind w:left="709" w:right="-1" w:hanging="425"/>
      </w:pPr>
      <w:r>
        <w:t>Numeri minimi di casi per operatore: obbligo di registrazione per i gruppi di prestazione definiti da ZH, ma non criteri di attribuzione dei mandati allo stato attuale.</w:t>
      </w:r>
    </w:p>
    <w:p w:rsidR="001F439F" w:rsidRDefault="001F439F" w:rsidP="001D5B09">
      <w:pPr>
        <w:pStyle w:val="StandardRisoluzionedelConsigliodiStato"/>
        <w:numPr>
          <w:ilvl w:val="1"/>
          <w:numId w:val="68"/>
        </w:numPr>
        <w:ind w:left="709" w:right="-1" w:hanging="425"/>
      </w:pPr>
      <w:r>
        <w:t>Introduzione in un secondo tempo con la Rollende Planung.</w:t>
      </w:r>
    </w:p>
    <w:p w:rsidR="001D5B09" w:rsidRDefault="001D5B09" w:rsidP="001D5B09">
      <w:pPr>
        <w:pStyle w:val="StandardRisoluzionedelConsigliodiStato"/>
        <w:ind w:right="-1"/>
      </w:pPr>
    </w:p>
    <w:p w:rsidR="001F439F" w:rsidRPr="001D5B09" w:rsidRDefault="001F439F" w:rsidP="001D5B09">
      <w:pPr>
        <w:pStyle w:val="StandardRisoluzionedelConsigliodiStato"/>
        <w:ind w:right="-1"/>
        <w:rPr>
          <w:u w:val="single"/>
        </w:rPr>
      </w:pPr>
      <w:r w:rsidRPr="001D5B09">
        <w:rPr>
          <w:u w:val="single"/>
        </w:rPr>
        <w:t>Attuazione</w:t>
      </w:r>
      <w:r w:rsidR="001D5B09">
        <w:rPr>
          <w:u w:val="single"/>
        </w:rPr>
        <w:t>:</w:t>
      </w:r>
    </w:p>
    <w:p w:rsidR="001F439F" w:rsidRDefault="001F439F" w:rsidP="001D5B09">
      <w:pPr>
        <w:pStyle w:val="StandardRisoluzionedelConsigliodiStato"/>
        <w:numPr>
          <w:ilvl w:val="1"/>
          <w:numId w:val="69"/>
        </w:numPr>
        <w:ind w:left="709" w:right="-1" w:hanging="425"/>
      </w:pPr>
      <w:r>
        <w:t>Il numero minimo di casi per sede è facilmente verificabile grazie ai dati forniti dalla statistica sanitaria.</w:t>
      </w:r>
    </w:p>
    <w:p w:rsidR="001F439F" w:rsidRDefault="001F439F" w:rsidP="001D5B09">
      <w:pPr>
        <w:pStyle w:val="StandardRisoluzionedelConsigliodiStato"/>
        <w:numPr>
          <w:ilvl w:val="1"/>
          <w:numId w:val="69"/>
        </w:numPr>
        <w:ind w:left="709" w:right="-1" w:hanging="425"/>
      </w:pPr>
      <w:r>
        <w:t>Per il numero minimo di casi per operatore, servono dati attualmente non disponibili.</w:t>
      </w:r>
    </w:p>
    <w:p w:rsidR="001F439F" w:rsidRDefault="001D5B09" w:rsidP="001D5B09">
      <w:pPr>
        <w:pStyle w:val="StandardRisoluzionedelConsigliodiStato"/>
        <w:numPr>
          <w:ilvl w:val="1"/>
          <w:numId w:val="69"/>
        </w:numPr>
        <w:ind w:left="709" w:right="-1" w:hanging="425"/>
      </w:pPr>
      <w:r>
        <w:t>Con l'</w:t>
      </w:r>
      <w:r w:rsidR="001F439F">
        <w:t>introduzione d</w:t>
      </w:r>
      <w:r>
        <w:t>i «SpiGes» (nuovo progetto dell'</w:t>
      </w:r>
      <w:r w:rsidR="001F439F">
        <w:t>UST per la raccolta dei dati sanitar</w:t>
      </w:r>
      <w:r>
        <w:t>i) nell'</w:t>
      </w:r>
      <w:r w:rsidR="001F439F">
        <w:t>anno 2025 (per la raccolta dei dati 2024), è prevista la dichiarazione da parte degli istituti sanitari degli operatori che hanno fornito la singola prestazione.</w:t>
      </w:r>
    </w:p>
    <w:p w:rsidR="001D5B09" w:rsidRDefault="001D5B09" w:rsidP="001D5B09">
      <w:pPr>
        <w:pStyle w:val="StandardRisoluzionedelConsigliodiStato"/>
        <w:ind w:left="709" w:right="-1"/>
      </w:pPr>
    </w:p>
    <w:p w:rsidR="001F439F" w:rsidRDefault="001D5B09" w:rsidP="001D5B09">
      <w:pPr>
        <w:pStyle w:val="Titolo4"/>
        <w:numPr>
          <w:ilvl w:val="0"/>
          <w:numId w:val="0"/>
        </w:numPr>
        <w:ind w:left="709" w:hanging="425"/>
      </w:pPr>
      <w:r>
        <w:t>C.1.3</w:t>
      </w:r>
      <w:r>
        <w:tab/>
        <w:t>"</w:t>
      </w:r>
      <w:r w:rsidR="001F439F">
        <w:t>Impatto</w:t>
      </w:r>
      <w:r>
        <w:t>"</w:t>
      </w:r>
      <w:r w:rsidR="001F439F">
        <w:t xml:space="preserve"> sui mandati di prestazione</w:t>
      </w:r>
    </w:p>
    <w:p w:rsidR="001F439F" w:rsidRDefault="001D5B09" w:rsidP="001F439F">
      <w:pPr>
        <w:pStyle w:val="StandardRisoluzionedelConsigliodiStato"/>
        <w:ind w:right="-1"/>
      </w:pPr>
      <w:r>
        <w:t>L'impatto dell'</w:t>
      </w:r>
      <w:r w:rsidR="001F439F">
        <w:t>introduzione delle quote di mercato (in entrambe le varianti) e dei numeri minimi per sede è modesto, se si considerano le Pianificazioni attuali, in termini sia di mandati sia di volumi di prestazioni.</w:t>
      </w:r>
    </w:p>
    <w:p w:rsidR="001F439F" w:rsidRDefault="001F439F" w:rsidP="001F439F">
      <w:pPr>
        <w:pStyle w:val="StandardRisoluzionedelConsigliodiStato"/>
        <w:ind w:right="-1"/>
      </w:pPr>
    </w:p>
    <w:p w:rsidR="001F439F" w:rsidRDefault="001D5B09" w:rsidP="001D5B09">
      <w:pPr>
        <w:pStyle w:val="Titolo4"/>
        <w:numPr>
          <w:ilvl w:val="0"/>
          <w:numId w:val="0"/>
        </w:numPr>
        <w:ind w:left="1276" w:hanging="992"/>
      </w:pPr>
      <w:r>
        <w:t>C.</w:t>
      </w:r>
      <w:r w:rsidR="001F439F">
        <w:t>1.4</w:t>
      </w:r>
      <w:r w:rsidR="001F439F">
        <w:tab/>
        <w:t>Requisiti di qualità e di economicità</w:t>
      </w:r>
    </w:p>
    <w:p w:rsidR="001F439F" w:rsidRPr="001D5B09" w:rsidRDefault="001F439F" w:rsidP="001F439F">
      <w:pPr>
        <w:pStyle w:val="StandardRisoluzionedelConsigliodiStato"/>
        <w:ind w:right="-1"/>
        <w:rPr>
          <w:u w:val="single"/>
        </w:rPr>
      </w:pPr>
      <w:r w:rsidRPr="001D5B09">
        <w:rPr>
          <w:u w:val="single"/>
        </w:rPr>
        <w:t>Qualità</w:t>
      </w:r>
      <w:r w:rsidR="001D5B09">
        <w:rPr>
          <w:u w:val="single"/>
        </w:rPr>
        <w:t>:</w:t>
      </w:r>
    </w:p>
    <w:p w:rsidR="001F439F" w:rsidRDefault="001F439F" w:rsidP="001F439F">
      <w:pPr>
        <w:pStyle w:val="StandardRisoluzionedelConsigliodiStato"/>
        <w:ind w:right="-1"/>
      </w:pPr>
      <w:r>
        <w:t>Istituto dispone di un adeguato sistema di gestione della qualità QRM, sistema di segnalazione e di apprendimento CIRS + collegamento a CIRRNET, CPI, direttive (concetto di gestione d</w:t>
      </w:r>
      <w:r w:rsidR="001D5B09">
        <w:t>el rischio clinico, concetto d'</w:t>
      </w:r>
      <w:r>
        <w:t>igiene ospedaliera, ecc.).</w:t>
      </w:r>
    </w:p>
    <w:p w:rsidR="001D5B09" w:rsidRDefault="001D5B09" w:rsidP="001F439F">
      <w:pPr>
        <w:pStyle w:val="StandardRisoluzionedelConsigliodiStato"/>
        <w:ind w:right="-1"/>
      </w:pPr>
    </w:p>
    <w:p w:rsidR="001F439F" w:rsidRPr="001D5B09" w:rsidRDefault="001F439F" w:rsidP="001F439F">
      <w:pPr>
        <w:pStyle w:val="StandardRisoluzionedelConsigliodiStato"/>
        <w:ind w:right="-1"/>
        <w:rPr>
          <w:u w:val="single"/>
        </w:rPr>
      </w:pPr>
      <w:r w:rsidRPr="001D5B09">
        <w:rPr>
          <w:u w:val="single"/>
        </w:rPr>
        <w:t>Economicità</w:t>
      </w:r>
      <w:r w:rsidR="001D5B09">
        <w:rPr>
          <w:u w:val="single"/>
        </w:rPr>
        <w:t>:</w:t>
      </w:r>
    </w:p>
    <w:p w:rsidR="001F439F" w:rsidRDefault="001F439F" w:rsidP="001F439F">
      <w:pPr>
        <w:pStyle w:val="StandardRisoluzionedelConsigliodiStato"/>
        <w:ind w:right="-1"/>
      </w:pPr>
      <w:r>
        <w:t>Confronto dei costi corretti per il</w:t>
      </w:r>
      <w:r w:rsidR="001D5B09">
        <w:t xml:space="preserve"> grado di gravità. Analisi dell'</w:t>
      </w:r>
      <w:r>
        <w:t>efficienza dei costi.</w:t>
      </w:r>
    </w:p>
    <w:p w:rsidR="001F439F" w:rsidRDefault="001F439F" w:rsidP="001F439F">
      <w:pPr>
        <w:pStyle w:val="StandardRisoluzionedelConsigliodiStato"/>
        <w:ind w:right="-1"/>
      </w:pPr>
      <w:r>
        <w:t>Confronto anche pluriennale, sulla base dei dati REKOLE. Analisi della stabilità economica.</w:t>
      </w:r>
    </w:p>
    <w:p w:rsidR="001F439F" w:rsidRDefault="001F439F" w:rsidP="001F439F">
      <w:pPr>
        <w:pStyle w:val="StandardRisoluzionedelConsigliodiStato"/>
        <w:ind w:right="-1"/>
      </w:pPr>
      <w:r>
        <w:t>Per i candidati a nuovi mandati vengono utilizzati dati previsionali.</w:t>
      </w:r>
    </w:p>
    <w:p w:rsidR="001F439F" w:rsidRDefault="001F439F" w:rsidP="001F439F">
      <w:pPr>
        <w:pStyle w:val="StandardRisoluzionedelConsigliodiStato"/>
        <w:ind w:right="-1"/>
      </w:pPr>
      <w:r>
        <w:t xml:space="preserve"> </w:t>
      </w:r>
    </w:p>
    <w:p w:rsidR="001F439F" w:rsidRDefault="001D5B09" w:rsidP="001D5B09">
      <w:pPr>
        <w:pStyle w:val="Titolo3"/>
        <w:numPr>
          <w:ilvl w:val="0"/>
          <w:numId w:val="0"/>
        </w:numPr>
        <w:tabs>
          <w:tab w:val="left" w:pos="567"/>
        </w:tabs>
        <w:jc w:val="both"/>
      </w:pPr>
      <w:bookmarkStart w:id="75" w:name="_Toc179882533"/>
      <w:r>
        <w:t>C.</w:t>
      </w:r>
      <w:r w:rsidR="00C905A6">
        <w:t xml:space="preserve"> </w:t>
      </w:r>
      <w:r>
        <w:t>2</w:t>
      </w:r>
      <w:r w:rsidR="001F439F">
        <w:tab/>
        <w:t>Rollende planung</w:t>
      </w:r>
      <w:bookmarkEnd w:id="75"/>
    </w:p>
    <w:p w:rsidR="001F439F" w:rsidRDefault="001F439F" w:rsidP="001F439F">
      <w:pPr>
        <w:pStyle w:val="StandardRisoluzionedelConsigliodiStato"/>
        <w:ind w:right="-1"/>
      </w:pPr>
      <w:r>
        <w:t>Un mandato può essere attribuito a titolo "definitivo" o provvisorio:</w:t>
      </w:r>
    </w:p>
    <w:p w:rsidR="001F439F" w:rsidRDefault="001D5B09" w:rsidP="001D5B09">
      <w:pPr>
        <w:pStyle w:val="StandardRisoluzionedelConsigliodiStato"/>
        <w:ind w:left="567" w:right="-1" w:hanging="283"/>
      </w:pPr>
      <w:r>
        <w:t>●</w:t>
      </w:r>
      <w:r>
        <w:tab/>
      </w:r>
      <w:r w:rsidRPr="00583B8B">
        <w:rPr>
          <w:u w:val="single"/>
        </w:rPr>
        <w:t>U</w:t>
      </w:r>
      <w:r w:rsidR="001F439F" w:rsidRPr="00583B8B">
        <w:rPr>
          <w:u w:val="single"/>
        </w:rPr>
        <w:t>n mandato è attribuito a titolo</w:t>
      </w:r>
      <w:r w:rsidR="00583B8B" w:rsidRPr="00583B8B">
        <w:rPr>
          <w:u w:val="single"/>
        </w:rPr>
        <w:t xml:space="preserve"> </w:t>
      </w:r>
      <w:r w:rsidRPr="00583B8B">
        <w:rPr>
          <w:u w:val="single"/>
        </w:rPr>
        <w:t>definitivo</w:t>
      </w:r>
      <w:r>
        <w:t xml:space="preserve"> quando i criteri </w:t>
      </w:r>
      <w:r w:rsidR="001F439F">
        <w:t>tecnici</w:t>
      </w:r>
      <w:r>
        <w:t xml:space="preserve"> secondo il modulo d'</w:t>
      </w:r>
      <w:r w:rsidR="001F439F">
        <w:t>offerta sono adempiuti e le quote di mercato</w:t>
      </w:r>
      <w:r>
        <w:rPr>
          <w:rStyle w:val="Rimandonotaapidipagina"/>
        </w:rPr>
        <w:footnoteReference w:id="5"/>
      </w:r>
      <w:r w:rsidR="001F439F">
        <w:t>, il numero minimo di casi per sede* (e per operatore) sono raggiunti al momento dell’attribuzione.</w:t>
      </w:r>
    </w:p>
    <w:p w:rsidR="001F439F" w:rsidRDefault="001F439F" w:rsidP="001D5B09">
      <w:pPr>
        <w:pStyle w:val="StandardRisoluzionedelConsigliodiStato"/>
        <w:ind w:left="567" w:right="-1" w:hanging="283"/>
      </w:pPr>
      <w:r>
        <w:t>●</w:t>
      </w:r>
      <w:r>
        <w:tab/>
      </w:r>
      <w:r w:rsidRPr="00583B8B">
        <w:rPr>
          <w:u w:val="single"/>
        </w:rPr>
        <w:t>Un mandato è attribuito a titolo</w:t>
      </w:r>
      <w:r w:rsidR="001D5B09" w:rsidRPr="00583B8B">
        <w:rPr>
          <w:u w:val="single"/>
        </w:rPr>
        <w:t xml:space="preserve"> provvisorio</w:t>
      </w:r>
      <w:r w:rsidR="001D5B09">
        <w:t xml:space="preserve"> quando: i criteri </w:t>
      </w:r>
      <w:r>
        <w:t>tecnici</w:t>
      </w:r>
      <w:r w:rsidR="001D5B09">
        <w:t xml:space="preserve"> secondo il modulo d'</w:t>
      </w:r>
      <w:r>
        <w:t>offerta sono adempiuti e</w:t>
      </w:r>
    </w:p>
    <w:p w:rsidR="001F439F" w:rsidRDefault="001F439F" w:rsidP="001D5B09">
      <w:pPr>
        <w:pStyle w:val="StandardRisoluzionedelConsigliodiStato"/>
        <w:ind w:left="851" w:right="-1" w:hanging="284"/>
      </w:pPr>
      <w:r>
        <w:t>a.</w:t>
      </w:r>
      <w:r>
        <w:tab/>
        <w:t>le quote di mercato, il numero minimo di casi per sede (e per operatore) non sono raggiunti, o</w:t>
      </w:r>
    </w:p>
    <w:p w:rsidR="001F439F" w:rsidRDefault="001D5B09" w:rsidP="001D5B09">
      <w:pPr>
        <w:pStyle w:val="StandardRisoluzionedelConsigliodiStato"/>
        <w:ind w:left="851" w:right="-1" w:hanging="284"/>
      </w:pPr>
      <w:r>
        <w:t>b.</w:t>
      </w:r>
      <w:r>
        <w:tab/>
        <w:t>l'istituto che richiede l'</w:t>
      </w:r>
      <w:r w:rsidR="001F439F">
        <w:t xml:space="preserve">attribuzione del gruppo di prestazioni </w:t>
      </w:r>
      <w:r>
        <w:t>non dispone del mandato con la P</w:t>
      </w:r>
      <w:r w:rsidR="001F439F">
        <w:t>ianificazione attuale.</w:t>
      </w:r>
    </w:p>
    <w:p w:rsidR="001F439F" w:rsidRDefault="001F439F" w:rsidP="001F439F">
      <w:pPr>
        <w:pStyle w:val="StandardRisoluzionedelConsigliodiStato"/>
        <w:ind w:right="-1"/>
      </w:pPr>
    </w:p>
    <w:p w:rsidR="001F439F" w:rsidRPr="00583B8B" w:rsidRDefault="001F439F" w:rsidP="001F439F">
      <w:pPr>
        <w:pStyle w:val="StandardRisoluzionedelConsigliodiStato"/>
        <w:ind w:right="-1"/>
        <w:rPr>
          <w:u w:val="single"/>
        </w:rPr>
      </w:pPr>
      <w:r w:rsidRPr="00583B8B">
        <w:rPr>
          <w:u w:val="single"/>
        </w:rPr>
        <w:lastRenderedPageBreak/>
        <w:t>Tempistiche</w:t>
      </w:r>
      <w:r w:rsidR="00583B8B">
        <w:rPr>
          <w:u w:val="single"/>
        </w:rPr>
        <w:t>:</w:t>
      </w:r>
    </w:p>
    <w:p w:rsidR="001F439F" w:rsidRDefault="00583B8B" w:rsidP="00583B8B">
      <w:pPr>
        <w:pStyle w:val="StandardRisoluzionedelConsigliodiStato"/>
        <w:ind w:left="567" w:right="-1" w:hanging="283"/>
      </w:pPr>
      <w:r>
        <w:t>●</w:t>
      </w:r>
      <w:r>
        <w:tab/>
        <w:t>aggiornamento annuale della Pianificazione secondo l'</w:t>
      </w:r>
      <w:r w:rsidR="001F439F">
        <w:t>evoluzione dei gruppi di prestazione definiti dal modello ZH (aggiornamento tecnico).</w:t>
      </w:r>
    </w:p>
    <w:p w:rsidR="001F439F" w:rsidRDefault="001F439F" w:rsidP="00583B8B">
      <w:pPr>
        <w:pStyle w:val="StandardRisoluzionedelConsigliodiStato"/>
        <w:ind w:left="567" w:right="-1" w:hanging="283"/>
      </w:pPr>
      <w:r>
        <w:t>●</w:t>
      </w:r>
      <w:r>
        <w:tab/>
        <w:t>Verifica annuale del raggiungimento dei vari criteri di attribuzione, in particolare:</w:t>
      </w:r>
    </w:p>
    <w:p w:rsidR="001F439F" w:rsidRDefault="001F439F" w:rsidP="00583B8B">
      <w:pPr>
        <w:pStyle w:val="StandardRisoluzionedelConsigliodiStato"/>
        <w:ind w:left="567" w:right="-1" w:hanging="283"/>
      </w:pPr>
      <w:r>
        <w:t>●</w:t>
      </w:r>
      <w:r>
        <w:tab/>
        <w:t>Quote di mercato.</w:t>
      </w:r>
    </w:p>
    <w:p w:rsidR="001F439F" w:rsidRDefault="001F439F" w:rsidP="00583B8B">
      <w:pPr>
        <w:pStyle w:val="StandardRisoluzionedelConsigliodiStato"/>
        <w:ind w:left="567" w:right="-1" w:hanging="283"/>
      </w:pPr>
      <w:r>
        <w:t>●</w:t>
      </w:r>
      <w:r>
        <w:tab/>
        <w:t>Numero di casi per sede (e, in futuro, per operatore).</w:t>
      </w:r>
    </w:p>
    <w:p w:rsidR="001F439F" w:rsidRDefault="001F439F" w:rsidP="001F439F">
      <w:pPr>
        <w:pStyle w:val="StandardRisoluzionedelConsigliodiStato"/>
        <w:ind w:right="-1"/>
      </w:pPr>
    </w:p>
    <w:p w:rsidR="001F439F" w:rsidRPr="00583B8B" w:rsidRDefault="00583B8B" w:rsidP="001F439F">
      <w:pPr>
        <w:pStyle w:val="StandardRisoluzionedelConsigliodiStato"/>
        <w:ind w:right="-1"/>
        <w:rPr>
          <w:u w:val="single"/>
        </w:rPr>
      </w:pPr>
      <w:r>
        <w:rPr>
          <w:u w:val="single"/>
        </w:rPr>
        <w:t>Modifica ulteriore nell'</w:t>
      </w:r>
      <w:r w:rsidR="001F439F" w:rsidRPr="00583B8B">
        <w:rPr>
          <w:u w:val="single"/>
        </w:rPr>
        <w:t>attribuzione dei mandati</w:t>
      </w:r>
      <w:r>
        <w:rPr>
          <w:u w:val="single"/>
        </w:rPr>
        <w:t>:</w:t>
      </w:r>
    </w:p>
    <w:p w:rsidR="001F439F" w:rsidRDefault="00583B8B" w:rsidP="00583B8B">
      <w:pPr>
        <w:pStyle w:val="StandardRisoluzionedelConsigliodiStato"/>
        <w:ind w:left="567" w:right="-1" w:hanging="283"/>
      </w:pPr>
      <w:r>
        <w:t>●</w:t>
      </w:r>
      <w:r>
        <w:tab/>
        <w:t>i</w:t>
      </w:r>
      <w:r w:rsidR="001F439F">
        <w:t xml:space="preserve">n caso di non raggiungimento dei </w:t>
      </w:r>
      <w:r>
        <w:t>criteri stabiliti nel modulo d'</w:t>
      </w:r>
      <w:r w:rsidR="001F439F">
        <w:t>offerta (quote di mercato e/o numeri minimi in particolare) per due anni consecutivi, i mandati provvisori decadono.</w:t>
      </w:r>
    </w:p>
    <w:p w:rsidR="001F439F" w:rsidRDefault="001F439F" w:rsidP="00583B8B">
      <w:pPr>
        <w:pStyle w:val="StandardRisoluzionedelConsigliodiStato"/>
        <w:ind w:left="567" w:right="-1" w:hanging="283"/>
      </w:pPr>
      <w:r>
        <w:t>●</w:t>
      </w:r>
      <w:r>
        <w:tab/>
        <w:t>Obbligo di notificare i cambiamenti relativi ai criteri di attribuzione, in particolare per quanto attiene ai medici. A dipende</w:t>
      </w:r>
      <w:r w:rsidR="00583B8B">
        <w:t>nza della lacuna, modifica dell'</w:t>
      </w:r>
      <w:r>
        <w:t>attribuzione dei mandati o fissazione di un termine per tornare ad adempiere i requisiti.</w:t>
      </w:r>
    </w:p>
    <w:p w:rsidR="00583B8B" w:rsidRDefault="00583B8B" w:rsidP="001F439F">
      <w:pPr>
        <w:pStyle w:val="StandardRisoluzionedelConsigliodiStato"/>
        <w:ind w:right="-1"/>
      </w:pPr>
    </w:p>
    <w:p w:rsidR="00583B8B" w:rsidRDefault="001F439F" w:rsidP="001F439F">
      <w:pPr>
        <w:pStyle w:val="StandardRisoluzionedelConsigliodiStato"/>
        <w:ind w:right="-1"/>
      </w:pPr>
      <w:r w:rsidRPr="00583B8B">
        <w:rPr>
          <w:u w:val="single"/>
        </w:rPr>
        <w:t>Tempistiche di revisione (ipotesi)</w:t>
      </w:r>
      <w:r>
        <w:t xml:space="preserve"> </w:t>
      </w:r>
    </w:p>
    <w:p w:rsidR="001F439F" w:rsidRPr="00583B8B" w:rsidRDefault="001F439F" w:rsidP="001F439F">
      <w:pPr>
        <w:pStyle w:val="StandardRisoluzionedelConsigliodiStato"/>
        <w:ind w:right="-1"/>
        <w:rPr>
          <w:u w:val="single"/>
        </w:rPr>
      </w:pPr>
      <w:r w:rsidRPr="00583B8B">
        <w:rPr>
          <w:u w:val="single"/>
        </w:rPr>
        <w:t>Competenza Consiglio di Stato</w:t>
      </w:r>
    </w:p>
    <w:p w:rsidR="001F439F" w:rsidRDefault="001F439F" w:rsidP="00583B8B">
      <w:pPr>
        <w:pStyle w:val="StandardRisoluzionedelConsigliodiStato"/>
        <w:ind w:left="567" w:right="-1" w:hanging="283"/>
      </w:pPr>
      <w:r>
        <w:t>●</w:t>
      </w:r>
      <w:r>
        <w:tab/>
        <w:t>Aggiornamenti tecnici: ogni anno.</w:t>
      </w:r>
    </w:p>
    <w:p w:rsidR="001F439F" w:rsidRDefault="001F439F" w:rsidP="00583B8B">
      <w:pPr>
        <w:pStyle w:val="StandardRisoluzionedelConsigliodiStato"/>
        <w:ind w:left="567" w:right="-1" w:hanging="283"/>
      </w:pPr>
      <w:r>
        <w:t>●</w:t>
      </w:r>
      <w:r>
        <w:tab/>
        <w:t>Mandati provvisori: ogni 2 anni.</w:t>
      </w:r>
    </w:p>
    <w:p w:rsidR="001F439F" w:rsidRDefault="00583B8B" w:rsidP="00583B8B">
      <w:pPr>
        <w:pStyle w:val="StandardRisoluzionedelConsigliodiStato"/>
        <w:ind w:left="567" w:right="-1" w:hanging="283"/>
      </w:pPr>
      <w:r>
        <w:t>●</w:t>
      </w:r>
      <w:r>
        <w:tab/>
        <w:t xml:space="preserve">Mandati </w:t>
      </w:r>
      <w:r w:rsidR="001F439F">
        <w:t>definitivi: 6 anni.</w:t>
      </w:r>
    </w:p>
    <w:p w:rsidR="001F439F" w:rsidRDefault="001F439F" w:rsidP="00583B8B">
      <w:pPr>
        <w:pStyle w:val="StandardRisoluzionedelConsigliodiStato"/>
        <w:ind w:left="567" w:right="-1" w:hanging="283"/>
      </w:pPr>
      <w:r>
        <w:t>●</w:t>
      </w:r>
      <w:r>
        <w:tab/>
        <w:t>Aggiornamenti puntuali e parziali in caso di rivalutazione del fabbisogno se necessario.</w:t>
      </w:r>
    </w:p>
    <w:p w:rsidR="001F439F" w:rsidRDefault="001F439F" w:rsidP="001F439F">
      <w:pPr>
        <w:pStyle w:val="StandardRisoluzionedelConsigliodiStato"/>
        <w:ind w:right="-1"/>
      </w:pPr>
    </w:p>
    <w:p w:rsidR="001F439F" w:rsidRPr="00583B8B" w:rsidRDefault="001F439F" w:rsidP="001F439F">
      <w:pPr>
        <w:pStyle w:val="StandardRisoluzionedelConsigliodiStato"/>
        <w:ind w:right="-1"/>
        <w:rPr>
          <w:u w:val="single"/>
        </w:rPr>
      </w:pPr>
      <w:r w:rsidRPr="00583B8B">
        <w:rPr>
          <w:u w:val="single"/>
        </w:rPr>
        <w:t>Competenza Gran Consiglio</w:t>
      </w:r>
    </w:p>
    <w:p w:rsidR="001F439F" w:rsidRDefault="001F439F" w:rsidP="00583B8B">
      <w:pPr>
        <w:pStyle w:val="StandardRisoluzionedelConsigliodiStato"/>
        <w:ind w:left="567" w:right="-1" w:hanging="283"/>
      </w:pPr>
      <w:r>
        <w:t>●</w:t>
      </w:r>
      <w:r>
        <w:tab/>
        <w:t>Nuovi indirizzi strategici: 10 anni.</w:t>
      </w:r>
    </w:p>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Default="001F439F" w:rsidP="00FE72E6">
      <w:pPr>
        <w:pStyle w:val="Titolo2"/>
        <w:numPr>
          <w:ilvl w:val="0"/>
          <w:numId w:val="0"/>
        </w:numPr>
        <w:ind w:left="544" w:hanging="544"/>
      </w:pPr>
      <w:bookmarkStart w:id="76" w:name="_Toc179882534"/>
      <w:r>
        <w:t>D.</w:t>
      </w:r>
      <w:r>
        <w:tab/>
        <w:t>EVASIONE ATTO PARLAMENTARE CONNESSO (EXCURSUS)</w:t>
      </w:r>
      <w:bookmarkEnd w:id="76"/>
    </w:p>
    <w:p w:rsidR="001F439F" w:rsidRDefault="001F439F" w:rsidP="001F439F">
      <w:pPr>
        <w:pStyle w:val="StandardRisoluzionedelConsigliodiStato"/>
        <w:ind w:right="-1"/>
      </w:pPr>
      <w:r>
        <w:t>I</w:t>
      </w:r>
      <w:r w:rsidR="00FE72E6">
        <w:t>l 19.09.2022 l'</w:t>
      </w:r>
      <w:r>
        <w:t>MPS­POP­I</w:t>
      </w:r>
      <w:r w:rsidR="00FE72E6">
        <w:t>ndipendenti aveva presentato un'</w:t>
      </w:r>
      <w:r>
        <w:t>ini</w:t>
      </w:r>
      <w:r w:rsidR="00FE72E6">
        <w:t>ziativa parlamentare generica (</w:t>
      </w:r>
      <w:r>
        <w:t>n. 750) con cui si chiedeva una</w:t>
      </w:r>
      <w:r w:rsidR="00FE72E6">
        <w:t xml:space="preserve"> modifica della LEOC­Legge sull'</w:t>
      </w:r>
      <w:r>
        <w:t>Ente ospedaliero cantonale (Per una salute di prossimità e completa). La proposta prevedeva che nella LEOC venissero inseriti questi punti:</w:t>
      </w:r>
    </w:p>
    <w:p w:rsidR="001F439F" w:rsidRDefault="001F439F" w:rsidP="001F439F">
      <w:pPr>
        <w:pStyle w:val="StandardRisoluzionedelConsigliodiStato"/>
        <w:ind w:right="-1"/>
      </w:pPr>
    </w:p>
    <w:p w:rsidR="001F439F" w:rsidRPr="00FE72E6" w:rsidRDefault="001F439F" w:rsidP="00FE72E6">
      <w:pPr>
        <w:pStyle w:val="StandardRisoluzionedelConsigliodiStato"/>
        <w:ind w:left="567" w:right="-1" w:hanging="283"/>
        <w:rPr>
          <w:i/>
        </w:rPr>
      </w:pPr>
      <w:r>
        <w:t>«</w:t>
      </w:r>
      <w:r w:rsidRPr="00FE72E6">
        <w:rPr>
          <w:i/>
        </w:rPr>
        <w:t>1.</w:t>
      </w:r>
      <w:r w:rsidRPr="00FE72E6">
        <w:rPr>
          <w:i/>
        </w:rPr>
        <w:tab/>
        <w:t>Tutte le sedi degli ospedali regionali e di zona devono essere provvisti di servizi di Pronto Soccorso aperti 7 giorni su 7, 24 ore al giorno. Nelle sedi degli ospedali regionali i Pronto Soccorso dovranno essere di tipo A (livello 3 e 4), negli ospedali di zona di tipo B (livello 1).</w:t>
      </w:r>
    </w:p>
    <w:p w:rsidR="001F439F" w:rsidRPr="00FE72E6" w:rsidRDefault="001F439F" w:rsidP="00FE72E6">
      <w:pPr>
        <w:pStyle w:val="StandardRisoluzionedelConsigliodiStato"/>
        <w:ind w:left="567" w:right="-1" w:hanging="283"/>
        <w:rPr>
          <w:i/>
        </w:rPr>
      </w:pPr>
      <w:r w:rsidRPr="00FE72E6">
        <w:rPr>
          <w:i/>
        </w:rPr>
        <w:t>2.</w:t>
      </w:r>
      <w:r w:rsidRPr="00FE72E6">
        <w:rPr>
          <w:i/>
        </w:rPr>
        <w:tab/>
        <w:t>Negli ospedali regionali dovrà parimenti essere garantito 24 ore su 24 e 7 giorni su 7 un Pronto Soccorso pediatrico.</w:t>
      </w:r>
    </w:p>
    <w:p w:rsidR="001F439F" w:rsidRPr="00FE72E6" w:rsidRDefault="001F439F" w:rsidP="00FE72E6">
      <w:pPr>
        <w:pStyle w:val="StandardRisoluzionedelConsigliodiStato"/>
        <w:ind w:left="567" w:right="-1" w:hanging="283"/>
        <w:rPr>
          <w:i/>
        </w:rPr>
      </w:pPr>
      <w:r w:rsidRPr="00FE72E6">
        <w:rPr>
          <w:i/>
        </w:rPr>
        <w:t>3.</w:t>
      </w:r>
      <w:r w:rsidRPr="00FE72E6">
        <w:rPr>
          <w:i/>
        </w:rPr>
        <w:tab/>
        <w:t>Negli ospedali regionali devono essere presenti tutte le prestazioni di base e specialistiche, incluse cure intensive, geriatriche, ostetricia e reparti per il parto fisiologico gestito da levatrici nel rispetto delle raccomandazioni OMS e UNICEF concernenti il parto.</w:t>
      </w:r>
    </w:p>
    <w:p w:rsidR="001F439F" w:rsidRPr="00FE72E6" w:rsidRDefault="00FE72E6" w:rsidP="00FE72E6">
      <w:pPr>
        <w:pStyle w:val="StandardRisoluzionedelConsigliodiStato"/>
        <w:ind w:left="567" w:right="-1" w:hanging="283"/>
        <w:rPr>
          <w:i/>
        </w:rPr>
      </w:pPr>
      <w:r>
        <w:rPr>
          <w:i/>
        </w:rPr>
        <w:t>4.</w:t>
      </w:r>
      <w:r>
        <w:rPr>
          <w:i/>
        </w:rPr>
        <w:tab/>
        <w:t>L'</w:t>
      </w:r>
      <w:r w:rsidR="001F439F" w:rsidRPr="00FE72E6">
        <w:rPr>
          <w:i/>
        </w:rPr>
        <w:t>Ospedale Italiano di Lugano-Viganello dovrà esse</w:t>
      </w:r>
      <w:r>
        <w:rPr>
          <w:i/>
        </w:rPr>
        <w:t>re inserito a pieno titolo nell'</w:t>
      </w:r>
      <w:r w:rsidR="001F439F" w:rsidRPr="00FE72E6">
        <w:rPr>
          <w:i/>
        </w:rPr>
        <w:t>elenco degli ospedali regionali.</w:t>
      </w:r>
    </w:p>
    <w:p w:rsidR="001F439F" w:rsidRPr="00FE72E6" w:rsidRDefault="001F439F" w:rsidP="00FE72E6">
      <w:pPr>
        <w:pStyle w:val="StandardRisoluzionedelConsigliodiStato"/>
        <w:ind w:left="567" w:right="-1" w:hanging="283"/>
        <w:rPr>
          <w:i/>
        </w:rPr>
      </w:pPr>
      <w:r w:rsidRPr="00FE72E6">
        <w:rPr>
          <w:i/>
        </w:rPr>
        <w:t>5.</w:t>
      </w:r>
      <w:r w:rsidRPr="00FE72E6">
        <w:rPr>
          <w:i/>
        </w:rPr>
        <w:tab/>
        <w:t xml:space="preserve">Negli ospedali regionali e di zona per ogni prestazione stazionaria presente verrà organizzato un servizio ambulatoriale destinato all’esame e alla cura di persone non </w:t>
      </w:r>
      <w:r w:rsidRPr="00FE72E6">
        <w:rPr>
          <w:i/>
        </w:rPr>
        <w:lastRenderedPageBreak/>
        <w:t>ospedalizzate aperto 7 giorni su 7 per almeno 14 ore. Il diritto di rivolgersi a questo servizio ambulatoriale deve essere garantito a ogni persona.</w:t>
      </w:r>
    </w:p>
    <w:p w:rsidR="001F439F" w:rsidRDefault="001F439F" w:rsidP="00FE72E6">
      <w:pPr>
        <w:pStyle w:val="StandardRisoluzionedelConsigliodiStato"/>
        <w:ind w:left="567" w:right="-1" w:hanging="283"/>
      </w:pPr>
      <w:r w:rsidRPr="00FE72E6">
        <w:rPr>
          <w:i/>
        </w:rPr>
        <w:t>6.</w:t>
      </w:r>
      <w:r w:rsidRPr="00FE72E6">
        <w:rPr>
          <w:i/>
        </w:rPr>
        <w:tab/>
        <w:t>Negli ospedali di zona di Acquarossa e Faido devono essere garantite le prestazioni del pacchetto base di medicina interna, così come la geriatria. Alfine di gara</w:t>
      </w:r>
      <w:r w:rsidR="00FE72E6">
        <w:rPr>
          <w:i/>
        </w:rPr>
        <w:t>ntire la qualità delle cure e l'</w:t>
      </w:r>
      <w:r w:rsidRPr="00FE72E6">
        <w:rPr>
          <w:i/>
        </w:rPr>
        <w:t>economicità dei reparti devono garantirne almeno 50 letti</w:t>
      </w:r>
      <w:r>
        <w:t>».</w:t>
      </w:r>
    </w:p>
    <w:p w:rsidR="001F439F" w:rsidRDefault="001F439F" w:rsidP="001F439F">
      <w:pPr>
        <w:pStyle w:val="StandardRisoluzionedelConsigliodiStato"/>
        <w:ind w:right="-1"/>
      </w:pPr>
    </w:p>
    <w:p w:rsidR="001F439F" w:rsidRDefault="001F439F" w:rsidP="001F439F">
      <w:pPr>
        <w:pStyle w:val="StandardRisoluzionedelConsigliodiStato"/>
        <w:ind w:right="-1"/>
      </w:pPr>
      <w:r>
        <w:t>Tenuto conto del nuovo quadro giuridico che ci si è dati per la definizione delle competenze in tema di Pianificazione ospedaliera;</w:t>
      </w:r>
    </w:p>
    <w:p w:rsidR="001F439F" w:rsidRDefault="001F439F" w:rsidP="001F439F">
      <w:pPr>
        <w:pStyle w:val="StandardRisoluzionedelConsigliodiStato"/>
        <w:ind w:right="-1"/>
      </w:pPr>
      <w:r>
        <w:t>considerato inoltre quanto è già stato votato favorevolmente, a maggioranza, dal Gran Consiglio il 13.12.2023 relativamente al Messaggio n. 8326 sull’Iniziativa</w:t>
      </w:r>
      <w:r w:rsidR="00FE72E6">
        <w:t xml:space="preserve"> popolare legislativa generica "</w:t>
      </w:r>
      <w:r>
        <w:t>Per cure mediche e ospedaliere di prossimità</w:t>
      </w:r>
      <w:r w:rsidR="00FE72E6">
        <w:t>"</w:t>
      </w:r>
      <w:r>
        <w:t xml:space="preserve"> che ha portato all</w:t>
      </w:r>
      <w:r w:rsidR="00FE72E6">
        <w:t>'</w:t>
      </w:r>
      <w:r>
        <w:t>introduzione dei nuovi art. 5a e 5b LEOC;</w:t>
      </w:r>
    </w:p>
    <w:p w:rsidR="001F439F" w:rsidRDefault="001F439F" w:rsidP="001F439F">
      <w:pPr>
        <w:pStyle w:val="StandardRisoluzionedelConsigliodiStato"/>
        <w:ind w:right="-1"/>
      </w:pPr>
      <w:r>
        <w:t>tenuto conto di quanto contenuto nel presente rapporto; si propone di respingere la citata iniziativa.</w:t>
      </w:r>
    </w:p>
    <w:p w:rsidR="001F439F" w:rsidRDefault="001F439F" w:rsidP="001F439F">
      <w:pPr>
        <w:pStyle w:val="StandardRisoluzionedelConsigliodiStato"/>
        <w:ind w:right="-1"/>
      </w:pPr>
    </w:p>
    <w:p w:rsidR="001F439F" w:rsidRDefault="001F439F" w:rsidP="001F439F">
      <w:pPr>
        <w:pStyle w:val="StandardRisoluzionedelConsigliodiStato"/>
        <w:ind w:right="-1"/>
      </w:pPr>
    </w:p>
    <w:p w:rsidR="001F439F" w:rsidRDefault="001F439F" w:rsidP="00FE72E6">
      <w:pPr>
        <w:pStyle w:val="Titolo2"/>
        <w:numPr>
          <w:ilvl w:val="0"/>
          <w:numId w:val="0"/>
        </w:numPr>
        <w:spacing w:before="0" w:after="120"/>
        <w:ind w:left="544" w:hanging="544"/>
      </w:pPr>
      <w:bookmarkStart w:id="77" w:name="_Toc179882535"/>
      <w:r>
        <w:t>E.</w:t>
      </w:r>
      <w:r>
        <w:tab/>
        <w:t>ALTRI TEMI STRATEGICI</w:t>
      </w:r>
      <w:bookmarkEnd w:id="77"/>
    </w:p>
    <w:p w:rsidR="001F439F" w:rsidRDefault="00FE72E6" w:rsidP="00FE72E6">
      <w:pPr>
        <w:pStyle w:val="StandardRisoluzionedelConsigliodiStato"/>
        <w:ind w:left="568" w:hanging="284"/>
      </w:pPr>
      <w:r>
        <w:t>1.</w:t>
      </w:r>
      <w:r>
        <w:tab/>
      </w:r>
      <w:r w:rsidRPr="00FE72E6">
        <w:rPr>
          <w:u w:val="single"/>
        </w:rPr>
        <w:t xml:space="preserve">Problema del </w:t>
      </w:r>
      <w:r w:rsidR="001F439F" w:rsidRPr="00FE72E6">
        <w:rPr>
          <w:u w:val="single"/>
        </w:rPr>
        <w:t xml:space="preserve">consumo </w:t>
      </w:r>
      <w:r w:rsidRPr="00FE72E6">
        <w:rPr>
          <w:u w:val="single"/>
        </w:rPr>
        <w:t xml:space="preserve">di </w:t>
      </w:r>
      <w:r w:rsidR="001F439F" w:rsidRPr="00FE72E6">
        <w:rPr>
          <w:u w:val="single"/>
        </w:rPr>
        <w:t>sanità dei giovani</w:t>
      </w:r>
      <w:r>
        <w:t>,</w:t>
      </w:r>
      <w:r w:rsidR="001F439F">
        <w:t xml:space="preserve"> ma anche il monitoraggio de</w:t>
      </w:r>
      <w:r>
        <w:t>i costi dello screening e dell'aumento di costi di quest'</w:t>
      </w:r>
      <w:r w:rsidR="001F439F">
        <w:t>ultimo.</w:t>
      </w:r>
    </w:p>
    <w:p w:rsidR="00FE72E6" w:rsidRDefault="00FE72E6" w:rsidP="00FE72E6">
      <w:pPr>
        <w:pStyle w:val="StandardRisoluzionedelConsigliodiStato"/>
        <w:ind w:left="568" w:hanging="284"/>
      </w:pPr>
    </w:p>
    <w:p w:rsidR="001F439F" w:rsidRDefault="00FE72E6" w:rsidP="00FE72E6">
      <w:pPr>
        <w:pStyle w:val="StandardRisoluzionedelConsigliodiStato"/>
        <w:ind w:left="568" w:hanging="284"/>
      </w:pPr>
      <w:r>
        <w:t>2.</w:t>
      </w:r>
      <w:r>
        <w:tab/>
      </w:r>
      <w:r w:rsidRPr="00FE72E6">
        <w:rPr>
          <w:u w:val="single"/>
        </w:rPr>
        <w:t>Collaborazioni pubblico-</w:t>
      </w:r>
      <w:r w:rsidR="001F439F" w:rsidRPr="00FE72E6">
        <w:rPr>
          <w:u w:val="single"/>
        </w:rPr>
        <w:t>privato</w:t>
      </w:r>
      <w:r w:rsidR="001F439F">
        <w:t xml:space="preserve"> con uguali diritti e oneri, anche nella formazione del personale medico e infermieristico che al momento pare essere una discriminante nella misura in cui la formazione del personale medico difficilmente può essere erogata delle strutture private a causa dei requisiti di riconoscimento </w:t>
      </w:r>
      <w:r>
        <w:t xml:space="preserve">ISFM con conseguente </w:t>
      </w:r>
      <w:r w:rsidR="001F439F">
        <w:t xml:space="preserve">iniquità di oneri. Il punto viene evidenziato in quanto si ritiene che la posizione del </w:t>
      </w:r>
      <w:r>
        <w:t>G</w:t>
      </w:r>
      <w:r w:rsidR="001F439F">
        <w:t>overno su questo tema non sia del tutto chiara secondo il contenuto del Messaggio. Di fatto</w:t>
      </w:r>
      <w:r>
        <w:t>,</w:t>
      </w:r>
      <w:r w:rsidR="001F439F">
        <w:t xml:space="preserve"> esistono già ogg</w:t>
      </w:r>
      <w:r>
        <w:t>i delle collaborazioni pubblico-</w:t>
      </w:r>
      <w:r w:rsidR="001F439F">
        <w:t xml:space="preserve">private sia nel settore della riabilitazione (Clinica Hildebrand, Brissago – Clinica EOC di Novaggio) o in quello della ginecologia e ostetricia </w:t>
      </w:r>
      <w:r>
        <w:t>tra la Clinica Santa Chiara e l'</w:t>
      </w:r>
      <w:r w:rsidR="001F439F">
        <w:t>Ospedale EOC La Carità.</w:t>
      </w:r>
    </w:p>
    <w:p w:rsidR="001F439F" w:rsidRDefault="001F439F" w:rsidP="00FE72E6">
      <w:pPr>
        <w:pStyle w:val="StandardRisoluzionedelConsigliodiStato"/>
        <w:ind w:left="567" w:right="-1"/>
      </w:pPr>
      <w:r>
        <w:t>Altri ambiti e attori possono essere sostenuti in queste collaborazioni nella misura in cui tendono a ridurre i costi, aume</w:t>
      </w:r>
      <w:r w:rsidR="00FE72E6">
        <w:t>ntare la qualità e accrescere l'</w:t>
      </w:r>
      <w:r>
        <w:t xml:space="preserve">esperienza e la motivazione dei medici e degli infermieri (tutti fattori da monitorare). Si pensi ad es. a delle </w:t>
      </w:r>
      <w:r w:rsidR="00FE72E6">
        <w:t>collaborazioni tra Clinica Sant'Anna con l'</w:t>
      </w:r>
      <w:r>
        <w:t>Osp</w:t>
      </w:r>
      <w:r w:rsidR="00FE72E6">
        <w:t>edale Civico e/o Italiano dell'</w:t>
      </w:r>
      <w:r>
        <w:t>EOC a Lugano.</w:t>
      </w:r>
      <w:r w:rsidR="00FE72E6">
        <w:t xml:space="preserve"> </w:t>
      </w:r>
      <w:r>
        <w:t xml:space="preserve"> </w:t>
      </w:r>
    </w:p>
    <w:p w:rsidR="001F439F" w:rsidRDefault="001F439F" w:rsidP="00FE72E6">
      <w:pPr>
        <w:pStyle w:val="StandardRisoluzionedelConsigliodiStato"/>
        <w:ind w:left="567" w:right="-1"/>
      </w:pPr>
      <w:r>
        <w:t>Tra concorrenza</w:t>
      </w:r>
      <w:r w:rsidR="00FE72E6">
        <w:t xml:space="preserve"> e competizione forse una sana "</w:t>
      </w:r>
      <w:r>
        <w:t>coopetizione</w:t>
      </w:r>
      <w:r w:rsidR="00FE72E6">
        <w:t>"</w:t>
      </w:r>
      <w:r>
        <w:t xml:space="preserve"> può risultare la soluzione.</w:t>
      </w:r>
    </w:p>
    <w:p w:rsidR="001F439F" w:rsidRDefault="001F439F" w:rsidP="00FE72E6">
      <w:pPr>
        <w:pStyle w:val="StandardRisoluzionedelConsigliodiStato"/>
        <w:ind w:left="567"/>
      </w:pPr>
      <w:r>
        <w:t>Queste collaborazioni possono risolvere anche alcuni problemi spesso molto concreti: ad es. quello secondo cui un Ospedale o una Clinica ottengono un mandato di prestazione per una specialità grazie a uno specialista in forza pr</w:t>
      </w:r>
      <w:r w:rsidR="00FE72E6">
        <w:t>esso questa struttura. Se quest'</w:t>
      </w:r>
      <w:r>
        <w:t xml:space="preserve">ultimo volesse andarsene per passare ad altra clinica o ospedale il risultato </w:t>
      </w:r>
      <w:r w:rsidR="00FE72E6">
        <w:t>sarebbe</w:t>
      </w:r>
      <w:r>
        <w:t xml:space="preserve"> che la struttura perde</w:t>
      </w:r>
      <w:r w:rsidR="00FE72E6">
        <w:t>rebbe</w:t>
      </w:r>
      <w:r>
        <w:t xml:space="preserve"> il mandato che andrebbe spostato alla nuova oppure il medico resterebbe vincolato a vita allo stesso datore di lavoro.</w:t>
      </w:r>
    </w:p>
    <w:p w:rsidR="001F439F" w:rsidRDefault="001F439F" w:rsidP="00FE72E6">
      <w:pPr>
        <w:pStyle w:val="StandardRisoluzionedelConsigliodiStato"/>
      </w:pPr>
    </w:p>
    <w:p w:rsidR="001F439F" w:rsidRDefault="00FE72E6" w:rsidP="00FE72E6">
      <w:pPr>
        <w:pStyle w:val="StandardRisoluzionedelConsigliodiStato"/>
        <w:ind w:left="567"/>
      </w:pPr>
      <w:r>
        <w:t>In occasione dell'</w:t>
      </w:r>
      <w:r w:rsidR="001F439F">
        <w:t>audizione 6 giugno 2024 il DSS ha osservato in merit</w:t>
      </w:r>
      <w:r>
        <w:t>o alla collaborazione pubblico­</w:t>
      </w:r>
      <w:r w:rsidR="001F439F">
        <w:t>pr</w:t>
      </w:r>
      <w:r>
        <w:t>ivato che le basi legali della P</w:t>
      </w:r>
      <w:r w:rsidR="001F439F">
        <w:t xml:space="preserve">ianificazione ospedaliera non </w:t>
      </w:r>
      <w:r>
        <w:lastRenderedPageBreak/>
        <w:t>permettono interventi d'</w:t>
      </w:r>
      <w:r w:rsidR="001F439F">
        <w:t>imperio particolarmente incisivi, ad es</w:t>
      </w:r>
      <w:r>
        <w:t>.</w:t>
      </w:r>
      <w:r w:rsidR="001F439F">
        <w:t xml:space="preserve"> imponendo la chiusura di strutture o la collaborazione pubblico­privato.</w:t>
      </w:r>
    </w:p>
    <w:p w:rsidR="001F439F" w:rsidRDefault="001F439F" w:rsidP="00FE72E6">
      <w:pPr>
        <w:pStyle w:val="StandardRisoluzionedelConsigliodiStato"/>
        <w:ind w:left="567" w:right="-1"/>
      </w:pPr>
      <w:r>
        <w:t>Il Cantone può comunque appoggiare iniziative di collaborazione tra istituti, volte a migliorar</w:t>
      </w:r>
      <w:r w:rsidR="00FE72E6">
        <w:t>e l'</w:t>
      </w:r>
      <w:r>
        <w:t>efficienza delle cure ed evitare ridondanze.</w:t>
      </w:r>
    </w:p>
    <w:p w:rsidR="001F439F" w:rsidRDefault="001F439F" w:rsidP="00FE72E6">
      <w:pPr>
        <w:pStyle w:val="StandardRisoluzionedelConsigliodiStato"/>
        <w:ind w:left="567" w:right="-1"/>
      </w:pPr>
      <w:r>
        <w:t>Strumenti interessanti e oggettivi per promuovere queste collaborazioni sono i criteri:</w:t>
      </w:r>
    </w:p>
    <w:p w:rsidR="001F439F" w:rsidRDefault="001F439F" w:rsidP="00FE72E6">
      <w:pPr>
        <w:pStyle w:val="StandardRisoluzionedelConsigliodiStato"/>
        <w:ind w:left="851" w:right="-1" w:hanging="142"/>
      </w:pPr>
      <w:r>
        <w:t>●</w:t>
      </w:r>
      <w:r>
        <w:tab/>
        <w:t>della quota di mercato;</w:t>
      </w:r>
    </w:p>
    <w:p w:rsidR="001F439F" w:rsidRDefault="001F439F" w:rsidP="00FE72E6">
      <w:pPr>
        <w:pStyle w:val="StandardRisoluzionedelConsigliodiStato"/>
        <w:ind w:left="851" w:right="-1" w:hanging="142"/>
      </w:pPr>
      <w:r>
        <w:t>●</w:t>
      </w:r>
      <w:r>
        <w:tab/>
      </w:r>
      <w:r w:rsidR="00FE72E6">
        <w:t>del numero minimo di casi per l'</w:t>
      </w:r>
      <w:r>
        <w:t>attribuzione dei mandati.</w:t>
      </w:r>
    </w:p>
    <w:p w:rsidR="001F439F" w:rsidRDefault="001F439F" w:rsidP="001F439F">
      <w:pPr>
        <w:pStyle w:val="StandardRisoluzionedelConsigliodiStato"/>
        <w:ind w:right="-1"/>
      </w:pPr>
    </w:p>
    <w:p w:rsidR="001F439F" w:rsidRDefault="001F439F" w:rsidP="00FE72E6">
      <w:pPr>
        <w:pStyle w:val="StandardRisoluzionedelConsigliodiStato"/>
        <w:ind w:left="567" w:right="-1" w:hanging="283"/>
      </w:pPr>
      <w:r w:rsidRPr="00FE72E6">
        <w:t>3.</w:t>
      </w:r>
      <w:r w:rsidRPr="00FE72E6">
        <w:tab/>
      </w:r>
      <w:r w:rsidRPr="003E5EE0">
        <w:t>Maggiore</w:t>
      </w:r>
      <w:r w:rsidRPr="00FE72E6">
        <w:rPr>
          <w:u w:val="single"/>
        </w:rPr>
        <w:t xml:space="preserve"> concorrenza </w:t>
      </w:r>
      <w:r w:rsidRPr="003E5EE0">
        <w:t>o miglior suddivisione dei compiti?</w:t>
      </w:r>
      <w:r>
        <w:t xml:space="preserve"> </w:t>
      </w:r>
      <w:r w:rsidR="00FE72E6">
        <w:t>Nel messaggio si è partiti dall'</w:t>
      </w:r>
      <w:r>
        <w:t>evidenziare che la concorrenza è una premessa</w:t>
      </w:r>
      <w:r w:rsidR="00FE72E6">
        <w:t>,</w:t>
      </w:r>
      <w:r>
        <w:t xml:space="preserve"> salvo poi negli orientamenti strategici sottolineare gli aspetti di </w:t>
      </w:r>
      <w:r w:rsidRPr="003E5EE0">
        <w:rPr>
          <w:u w:val="single"/>
        </w:rPr>
        <w:t>prossimità</w:t>
      </w:r>
      <w:r>
        <w:t xml:space="preserve"> e soprattutto di </w:t>
      </w:r>
      <w:r w:rsidRPr="003E5EE0">
        <w:rPr>
          <w:u w:val="single"/>
        </w:rPr>
        <w:t>concentrazione</w:t>
      </w:r>
      <w:r>
        <w:t>.</w:t>
      </w:r>
    </w:p>
    <w:p w:rsidR="001F439F" w:rsidRDefault="001F439F" w:rsidP="00FE72E6">
      <w:pPr>
        <w:pStyle w:val="StandardRisoluzionedelConsigliodiStato"/>
        <w:ind w:left="567" w:right="-1"/>
      </w:pPr>
      <w:r>
        <w:t xml:space="preserve">Sulla </w:t>
      </w:r>
      <w:r w:rsidRPr="003E5EE0">
        <w:rPr>
          <w:u w:val="single"/>
        </w:rPr>
        <w:t>prossimità</w:t>
      </w:r>
      <w:r>
        <w:t xml:space="preserve"> la Commissione resta in questo ambito pianificatorio vincolata comunque al voto che ha </w:t>
      </w:r>
      <w:r w:rsidR="003E5EE0">
        <w:t>approvato il testo conforme all'</w:t>
      </w:r>
      <w:r>
        <w:t xml:space="preserve">Iniziativa popolare denominata </w:t>
      </w:r>
      <w:r w:rsidR="003E5EE0">
        <w:t>"P</w:t>
      </w:r>
      <w:r>
        <w:t>er cure mediche e ospedaliere di prossimità</w:t>
      </w:r>
      <w:r w:rsidR="003E5EE0">
        <w:t>" (n</w:t>
      </w:r>
      <w:r>
        <w:t>. 138 e relativo Messaggi e Rapporto n. 8326 votati di recente in Gran Consiglio). Ne consegue che soluzioni drastiche non paiono essere attuabili al momento</w:t>
      </w:r>
      <w:r w:rsidR="003E5EE0">
        <w:t>,</w:t>
      </w:r>
      <w:r>
        <w:t xml:space="preserve"> ragione per cui un margine di risparmio e ottimizzazione dei costi rimane nella concentrazione e in una sana concorrenza fondata su una corretta e trasparente procedura di assegnazione dei mandati che tenga conto dei fattori già sopra esposti.</w:t>
      </w:r>
    </w:p>
    <w:p w:rsidR="001F439F" w:rsidRDefault="001F439F" w:rsidP="00FE72E6">
      <w:pPr>
        <w:pStyle w:val="StandardRisoluzionedelConsigliodiStato"/>
        <w:ind w:left="567" w:right="-1"/>
      </w:pPr>
      <w:r>
        <w:t>Resta il fatt</w:t>
      </w:r>
      <w:r w:rsidR="003E5EE0">
        <w:t>o che prioritario sarebbe che l'</w:t>
      </w:r>
      <w:r>
        <w:t>accessibilità a cure di qualità sia g</w:t>
      </w:r>
      <w:r w:rsidR="003E5EE0">
        <w:t>arantito, concetto diverso dall'</w:t>
      </w:r>
      <w:r>
        <w:t>assicurare una medicina di prossimità diffusa sul territorio che viene assicurata dai medici di famiglia.</w:t>
      </w:r>
    </w:p>
    <w:p w:rsidR="001F439F" w:rsidRDefault="003E5EE0" w:rsidP="00FE72E6">
      <w:pPr>
        <w:pStyle w:val="StandardRisoluzionedelConsigliodiStato"/>
        <w:ind w:left="567" w:right="-1"/>
      </w:pPr>
      <w:r>
        <w:t>La C</w:t>
      </w:r>
      <w:r w:rsidR="001F439F">
        <w:t xml:space="preserve">ommissione evidenzia il principio della </w:t>
      </w:r>
      <w:r w:rsidR="001F439F" w:rsidRPr="003E5EE0">
        <w:rPr>
          <w:u w:val="single"/>
        </w:rPr>
        <w:t>libertà di scelta del paziente</w:t>
      </w:r>
      <w:r w:rsidR="001F439F">
        <w:t xml:space="preserve"> tra cliniche private, </w:t>
      </w:r>
      <w:r>
        <w:t>anche tra loro, e ospedali dell'</w:t>
      </w:r>
      <w:r w:rsidR="001F439F">
        <w:t>EOC con la loro concorrenza interna. Questa libertà è stata voluta anche dalla Confederazione</w:t>
      </w:r>
      <w:r>
        <w:t xml:space="preserve"> con l'</w:t>
      </w:r>
      <w:r w:rsidR="001F439F">
        <w:t xml:space="preserve">attuale sistema e con quello futuro di finanziamento del sistema sanitario (EFAS) che stabilisce, a parità di condizioni – e nel caso specifico di questa pianificazione </w:t>
      </w:r>
      <w:r>
        <w:t>–</w:t>
      </w:r>
      <w:r w:rsidR="001F439F">
        <w:t xml:space="preserve"> di condizioni di partenza con l</w:t>
      </w:r>
      <w:r>
        <w:t>a dovuta chiarezza dei moduli d'</w:t>
      </w:r>
      <w:r w:rsidR="001F439F">
        <w:t>offerta e nelle relative assegnazioni.</w:t>
      </w:r>
    </w:p>
    <w:p w:rsidR="001F439F" w:rsidRDefault="001F439F" w:rsidP="00FE72E6">
      <w:pPr>
        <w:pStyle w:val="StandardRisoluzionedelConsigliodiStato"/>
        <w:ind w:left="567" w:right="-1"/>
      </w:pPr>
    </w:p>
    <w:p w:rsidR="001F439F" w:rsidRDefault="001F439F" w:rsidP="00FE72E6">
      <w:pPr>
        <w:pStyle w:val="StandardRisoluzionedelConsigliodiStato"/>
        <w:ind w:left="567" w:right="-1"/>
      </w:pPr>
      <w:r>
        <w:t>Sul tema della concorrenza tra gli attori, il Governo nella seconda audizione di cui sopra ci ha indicato quanto segue:</w:t>
      </w:r>
    </w:p>
    <w:p w:rsidR="001F439F" w:rsidRDefault="003E5EE0" w:rsidP="003E5EE0">
      <w:pPr>
        <w:pStyle w:val="StandardRisoluzionedelConsigliodiStato"/>
        <w:numPr>
          <w:ilvl w:val="0"/>
          <w:numId w:val="70"/>
        </w:numPr>
        <w:ind w:left="851" w:right="-1" w:hanging="284"/>
      </w:pPr>
      <w:r>
        <w:t>l</w:t>
      </w:r>
      <w:r w:rsidR="001F439F">
        <w:t>a procedura di assegnazione dei mandati di prestazioni deve essere trasparente e fondata su criteri oggettivi e misurabili.</w:t>
      </w:r>
    </w:p>
    <w:p w:rsidR="001F439F" w:rsidRDefault="001F439F" w:rsidP="003E5EE0">
      <w:pPr>
        <w:pStyle w:val="StandardRisoluzionedelConsigliodiStato"/>
        <w:numPr>
          <w:ilvl w:val="0"/>
          <w:numId w:val="70"/>
        </w:numPr>
        <w:ind w:left="851" w:right="-1" w:hanging="284"/>
      </w:pPr>
      <w:r>
        <w:t>La sentenza del TAF contro la Pianificazione 2015 ha indicato che il Cantone ha privilegiato gli ospedali pubblici a priori, non fondandosi su criteri oggettivi.</w:t>
      </w:r>
    </w:p>
    <w:p w:rsidR="001F439F" w:rsidRDefault="003E5EE0" w:rsidP="001F439F">
      <w:pPr>
        <w:pStyle w:val="StandardRisoluzionedelConsigliodiStato"/>
        <w:ind w:right="-1"/>
      </w:pPr>
      <w:r>
        <w:t>L'</w:t>
      </w:r>
      <w:r w:rsidR="001F439F">
        <w:t>obiettivo è dunque</w:t>
      </w:r>
      <w:r>
        <w:t xml:space="preserve"> di consentire una concorrenza "</w:t>
      </w:r>
      <w:r w:rsidR="001F439F">
        <w:t>alla pari</w:t>
      </w:r>
      <w:r>
        <w:t>"</w:t>
      </w:r>
      <w:r w:rsidR="001F439F">
        <w:t xml:space="preserve"> tra i vari attori che solleciteranno dei mandati, grazie a una procedura trasparente e aperta.</w:t>
      </w:r>
    </w:p>
    <w:p w:rsidR="003E5EE0" w:rsidRDefault="003E5EE0" w:rsidP="001F439F">
      <w:pPr>
        <w:pStyle w:val="StandardRisoluzionedelConsigliodiStato"/>
        <w:ind w:right="-1"/>
      </w:pPr>
    </w:p>
    <w:p w:rsidR="001F439F" w:rsidRDefault="001F439F" w:rsidP="001F439F">
      <w:pPr>
        <w:pStyle w:val="StandardRisoluzionedelConsigliodiStato"/>
        <w:ind w:right="-1"/>
      </w:pPr>
      <w:r>
        <w:t>Mentre sulla prossimità vs concentrazione, il Governo ha richiamato quanto segue:</w:t>
      </w:r>
    </w:p>
    <w:p w:rsidR="001F439F" w:rsidRDefault="001F439F" w:rsidP="003E5EE0">
      <w:pPr>
        <w:pStyle w:val="StandardRisoluzionedelConsigliodiStato"/>
        <w:ind w:left="567" w:right="-1" w:hanging="283"/>
      </w:pPr>
      <w:r>
        <w:t>●</w:t>
      </w:r>
      <w:r>
        <w:tab/>
        <w:t>Art. 58b cpv. 4 OAMal</w:t>
      </w:r>
    </w:p>
    <w:p w:rsidR="001F439F" w:rsidRPr="003E5EE0" w:rsidRDefault="001F439F" w:rsidP="003E5EE0">
      <w:pPr>
        <w:pStyle w:val="StandardRisoluzionedelConsigliodiStato"/>
        <w:ind w:left="709" w:right="-1" w:hanging="142"/>
        <w:rPr>
          <w:i/>
        </w:rPr>
      </w:pPr>
      <w:r>
        <w:t>«</w:t>
      </w:r>
      <w:r w:rsidR="003E5EE0">
        <w:rPr>
          <w:i/>
        </w:rPr>
        <w:t>Nel determinare l'</w:t>
      </w:r>
      <w:r w:rsidRPr="003E5EE0">
        <w:rPr>
          <w:i/>
        </w:rPr>
        <w:t>offert</w:t>
      </w:r>
      <w:r w:rsidR="003E5EE0">
        <w:rPr>
          <w:i/>
        </w:rPr>
        <w:t>a da assicurare che figura nell'</w:t>
      </w:r>
      <w:r w:rsidRPr="003E5EE0">
        <w:rPr>
          <w:i/>
        </w:rPr>
        <w:t>elenco, i Cantoni considerano in particolare:</w:t>
      </w:r>
    </w:p>
    <w:p w:rsidR="001F439F" w:rsidRPr="003E5EE0" w:rsidRDefault="003E5EE0" w:rsidP="003E5EE0">
      <w:pPr>
        <w:pStyle w:val="StandardRisoluzionedelConsigliodiStato"/>
        <w:ind w:left="1134" w:right="-1" w:hanging="283"/>
        <w:rPr>
          <w:i/>
        </w:rPr>
      </w:pPr>
      <w:r>
        <w:rPr>
          <w:i/>
        </w:rPr>
        <w:t>a.</w:t>
      </w:r>
      <w:r>
        <w:rPr>
          <w:i/>
        </w:rPr>
        <w:tab/>
        <w:t>l'</w:t>
      </w:r>
      <w:r w:rsidR="001F439F" w:rsidRPr="003E5EE0">
        <w:rPr>
          <w:i/>
        </w:rPr>
        <w:t>economicità e la qualità della fornitura di prestazioni;</w:t>
      </w:r>
    </w:p>
    <w:p w:rsidR="001F439F" w:rsidRDefault="003E5EE0" w:rsidP="003E5EE0">
      <w:pPr>
        <w:pStyle w:val="StandardRisoluzionedelConsigliodiStato"/>
        <w:ind w:left="1134" w:right="-1" w:hanging="283"/>
      </w:pPr>
      <w:r>
        <w:rPr>
          <w:i/>
        </w:rPr>
        <w:t>b.</w:t>
      </w:r>
      <w:r>
        <w:rPr>
          <w:i/>
        </w:rPr>
        <w:tab/>
        <w:t>l'</w:t>
      </w:r>
      <w:r w:rsidR="001F439F" w:rsidRPr="003E5EE0">
        <w:rPr>
          <w:i/>
        </w:rPr>
        <w:t>accesso dei pazienti alle cure entro un termine utile;</w:t>
      </w:r>
      <w:r w:rsidR="001F439F">
        <w:t xml:space="preserve"> […]».</w:t>
      </w:r>
    </w:p>
    <w:p w:rsidR="001F439F" w:rsidRDefault="001F439F" w:rsidP="003E5EE0">
      <w:pPr>
        <w:pStyle w:val="StandardRisoluzionedelConsigliodiStato"/>
        <w:ind w:left="567" w:right="-1" w:hanging="283"/>
      </w:pPr>
      <w:r>
        <w:t>●</w:t>
      </w:r>
      <w:r>
        <w:tab/>
        <w:t>Concentra</w:t>
      </w:r>
      <w:r w:rsidR="003E5EE0">
        <w:t>zione: consente di migliorare l'</w:t>
      </w:r>
      <w:r>
        <w:t>economicità e la qualità.</w:t>
      </w:r>
    </w:p>
    <w:p w:rsidR="001F439F" w:rsidRDefault="001F439F" w:rsidP="003E5EE0">
      <w:pPr>
        <w:pStyle w:val="StandardRisoluzionedelConsigliodiStato"/>
        <w:ind w:left="567" w:right="-1" w:hanging="283"/>
      </w:pPr>
      <w:r>
        <w:t>●</w:t>
      </w:r>
      <w:r>
        <w:tab/>
        <w:t>Prossimità: consente di garantire l’</w:t>
      </w:r>
      <w:r w:rsidR="003E5EE0">
        <w:t>'</w:t>
      </w:r>
      <w:r>
        <w:t>ccesso entro un termine utile alle cure.</w:t>
      </w:r>
    </w:p>
    <w:p w:rsidR="001F439F" w:rsidRDefault="001F439F" w:rsidP="003E5EE0">
      <w:pPr>
        <w:pStyle w:val="StandardRisoluzionedelConsigliodiStato"/>
        <w:ind w:left="567" w:right="-1" w:hanging="283"/>
      </w:pPr>
      <w:r>
        <w:t>●</w:t>
      </w:r>
      <w:r>
        <w:tab/>
        <w:t>Necessità di trovare il giusto equilibrio tra le due dimensioni.</w:t>
      </w:r>
    </w:p>
    <w:p w:rsidR="001F439F" w:rsidRDefault="001F439F" w:rsidP="003E5EE0">
      <w:pPr>
        <w:pStyle w:val="StandardRisoluzionedelConsigliodiStato"/>
        <w:ind w:left="567" w:right="-1" w:hanging="283"/>
      </w:pPr>
      <w:r>
        <w:lastRenderedPageBreak/>
        <w:t>●</w:t>
      </w:r>
      <w:r>
        <w:tab/>
        <w:t xml:space="preserve">Cure ambulatoriali </w:t>
      </w:r>
      <w:r w:rsidR="003E5EE0" w:rsidRPr="003E5EE0">
        <w:rPr>
          <w:rFonts w:ascii="Wingdings" w:eastAsia="Arial" w:hAnsi="Wingdings" w:cs="Arial"/>
          <w:lang w:val="it-IT"/>
        </w:rPr>
        <w:t></w:t>
      </w:r>
      <w:r>
        <w:t xml:space="preserve"> Diffusione capillare a garanzia delle cure necessarie, senza degenza ospedaliera.</w:t>
      </w:r>
    </w:p>
    <w:p w:rsidR="001F439F" w:rsidRDefault="001F439F" w:rsidP="003E5EE0">
      <w:pPr>
        <w:pStyle w:val="StandardRisoluzionedelConsigliodiStato"/>
        <w:ind w:left="567" w:right="-1" w:hanging="283"/>
      </w:pPr>
      <w:r>
        <w:t>●</w:t>
      </w:r>
      <w:r>
        <w:tab/>
        <w:t xml:space="preserve">Cure di base </w:t>
      </w:r>
      <w:r w:rsidR="003E5EE0" w:rsidRPr="0062020E">
        <w:rPr>
          <w:rFonts w:ascii="Wingdings" w:hAnsi="Wingdings"/>
        </w:rPr>
        <w:t></w:t>
      </w:r>
      <w:r>
        <w:t xml:space="preserve"> importanza della prossimità, in quanto non sono richieste strutture o specialisti particolari.</w:t>
      </w:r>
    </w:p>
    <w:p w:rsidR="001F439F" w:rsidRDefault="001F439F" w:rsidP="003E5EE0">
      <w:pPr>
        <w:pStyle w:val="StandardRisoluzionedelConsigliodiStato"/>
        <w:ind w:left="567" w:right="-1" w:hanging="283"/>
      </w:pPr>
      <w:r>
        <w:t>●</w:t>
      </w:r>
      <w:r>
        <w:tab/>
        <w:t xml:space="preserve">Concentrazione "graduale" delle prestazioni specialistiche e multidisciplinari e complesse </w:t>
      </w:r>
      <w:r w:rsidR="003E5EE0" w:rsidRPr="0062020E">
        <w:rPr>
          <w:rFonts w:ascii="Wingdings" w:hAnsi="Wingdings"/>
        </w:rPr>
        <w:t></w:t>
      </w:r>
      <w:r w:rsidR="003E5EE0">
        <w:rPr>
          <w:rFonts w:ascii="Wingdings" w:hAnsi="Wingdings"/>
        </w:rPr>
        <w:t></w:t>
      </w:r>
      <w:r>
        <w:t>quanto più esigenti per complessità e infrastrutture necessarie, tanto maggio</w:t>
      </w:r>
      <w:r w:rsidR="003E5EE0">
        <w:t>re è l'importanza di concentrare l'</w:t>
      </w:r>
      <w:r>
        <w:t>offerta.</w:t>
      </w:r>
    </w:p>
    <w:p w:rsidR="001F439F" w:rsidRDefault="001F439F" w:rsidP="003E5EE0">
      <w:pPr>
        <w:pStyle w:val="StandardRisoluzionedelConsigliodiStato"/>
        <w:ind w:left="567" w:right="-1" w:hanging="283"/>
      </w:pPr>
      <w:r>
        <w:t>●</w:t>
      </w:r>
      <w:r>
        <w:tab/>
        <w:t>Strumento: quote di mercato.</w:t>
      </w:r>
    </w:p>
    <w:p w:rsidR="001F439F" w:rsidRDefault="001F439F" w:rsidP="001F439F">
      <w:pPr>
        <w:pStyle w:val="StandardRisoluzionedelConsigliodiStato"/>
        <w:ind w:right="-1"/>
      </w:pPr>
    </w:p>
    <w:p w:rsidR="001F439F" w:rsidRDefault="001F439F" w:rsidP="003E5EE0">
      <w:pPr>
        <w:pStyle w:val="StandardRisoluzionedelConsigliodiStato"/>
        <w:ind w:left="567" w:right="-1" w:hanging="283"/>
      </w:pPr>
      <w:r>
        <w:t>4.</w:t>
      </w:r>
      <w:r>
        <w:tab/>
      </w:r>
      <w:r w:rsidRPr="003E5EE0">
        <w:rPr>
          <w:u w:val="single"/>
        </w:rPr>
        <w:t>Investimenti maggiori nella politica sanitaria</w:t>
      </w:r>
      <w:r w:rsidRPr="003E5EE0">
        <w:t xml:space="preserve"> quale strumento per preservare la salute e ridurre i costi di cura delle malattie</w:t>
      </w:r>
      <w:r>
        <w:t>. Circa questo aspetto</w:t>
      </w:r>
      <w:r w:rsidR="003E5EE0">
        <w:t>,</w:t>
      </w:r>
      <w:r>
        <w:t xml:space="preserve"> essendovi un atto parlamentare (M</w:t>
      </w:r>
      <w:r w:rsidR="003E5EE0">
        <w:t>ozione n. 1557) e relativo M</w:t>
      </w:r>
      <w:r>
        <w:t>essaggio (n. 8362) attualmente sotto esame della Commissione</w:t>
      </w:r>
      <w:r w:rsidR="003E5EE0">
        <w:t>,</w:t>
      </w:r>
      <w:r>
        <w:t xml:space="preserve"> si rinuncia a entrare nel dettagl</w:t>
      </w:r>
      <w:r w:rsidR="003E5EE0">
        <w:t>io in questa sede rinviando all'</w:t>
      </w:r>
      <w:r>
        <w:t>apposito rapporto che verrà emesso.</w:t>
      </w:r>
    </w:p>
    <w:p w:rsidR="001F439F" w:rsidRDefault="001F439F" w:rsidP="001F439F">
      <w:pPr>
        <w:pStyle w:val="StandardRisoluzionedelConsigliodiStato"/>
        <w:ind w:right="-1"/>
      </w:pPr>
    </w:p>
    <w:p w:rsidR="001F439F" w:rsidRDefault="001F439F" w:rsidP="003E5EE0">
      <w:pPr>
        <w:pStyle w:val="StandardRisoluzionedelConsigliodiStato"/>
        <w:ind w:left="567" w:right="-1" w:hanging="283"/>
      </w:pPr>
      <w:r>
        <w:t>5.</w:t>
      </w:r>
      <w:r>
        <w:tab/>
      </w:r>
      <w:r w:rsidRPr="003E5EE0">
        <w:t>Sviluppo e sostegno ai</w:t>
      </w:r>
      <w:r w:rsidRPr="003E5EE0">
        <w:rPr>
          <w:u w:val="single"/>
        </w:rPr>
        <w:t xml:space="preserve"> medici di famiglia/medici del territorio</w:t>
      </w:r>
      <w:r w:rsidRPr="003E5EE0">
        <w:t>. Il tema è stato sollevato ancora di recente (cfr. Corriere del Ticino 24 giugno 202</w:t>
      </w:r>
      <w:r>
        <w:t xml:space="preserve">4: </w:t>
      </w:r>
      <w:r w:rsidR="003E5EE0">
        <w:t>"</w:t>
      </w:r>
      <w:r>
        <w:t>Più valore ai medici di famiglia</w:t>
      </w:r>
      <w:r w:rsidR="003E5EE0">
        <w:t>"). L'</w:t>
      </w:r>
      <w:r>
        <w:t>efficienza della medicina di famiglia attiva sul territorio è fondamentale per ridurre i costi, le ospedalizzazioni ed evitare le doppie prestazioni (radiografie, ecografie, TAC</w:t>
      </w:r>
      <w:r w:rsidR="003E5EE0">
        <w:t>, ecc.</w:t>
      </w:r>
      <w:r>
        <w:t xml:space="preserve">). La medicina di famiglia deve </w:t>
      </w:r>
      <w:r w:rsidR="003E5EE0">
        <w:t>fungere da filtro e regia per l'</w:t>
      </w:r>
      <w:r>
        <w:t>accesso ai medici specialisti, alle ospedalizzazioni e successive degenze post ospedaliere. Da un modello di sanità reattiva che porta al ricovero o a cure specialistiche, si dovrà promuovere un modello di medicina proattiva coordinata sulla persona del paziente dai medici del ter</w:t>
      </w:r>
      <w:r w:rsidR="003E5EE0">
        <w:t>ritorio. Se non che il ruolo, l'</w:t>
      </w:r>
      <w:r>
        <w:t xml:space="preserve">immagine e il prestigio di tale professione è in calo anche perché le tariffe vigenti e il proliferare ci centri medici nelle città rende più duro trovare medici interessati a questo tipo di attività che rende meno di diverse specializzazioni. Ne consegue che si tratterà di portare avanti, anche quale </w:t>
      </w:r>
      <w:r w:rsidR="003E5EE0">
        <w:t>indirizzo strategico, oltre all'</w:t>
      </w:r>
      <w:r>
        <w:t xml:space="preserve">integrazione delle varie pianificazioni (psichiatrica, anziani e </w:t>
      </w:r>
      <w:r w:rsidR="003E5EE0">
        <w:t>cure a domicilio) con la nuova P</w:t>
      </w:r>
      <w:r>
        <w:t>ianificazione ospedaliera, anche una politica di promozione e supporto dei medici di famiglia</w:t>
      </w:r>
      <w:r w:rsidR="003E5EE0">
        <w:t>,</w:t>
      </w:r>
      <w:r>
        <w:t xml:space="preserve"> e questo non solo nelle zone periferiche</w:t>
      </w:r>
      <w:r w:rsidR="003E5EE0">
        <w:t>,</w:t>
      </w:r>
      <w:r>
        <w:t xml:space="preserve"> dove forse si dovranno trovare sistemi di finanziamento misti con la partecipazione di </w:t>
      </w:r>
      <w:r w:rsidR="003E5EE0">
        <w:t>E</w:t>
      </w:r>
      <w:r>
        <w:t>nti locali quali i Comuni, ev. Consorziati, patriziati, ecc. La Commissione saluta positivamente la collaborazione tra EOC, OMCT e USI volto ad attivare un innovativo servizio finalizzato al potenziamento della medicina di famiglia</w:t>
      </w:r>
      <w:r w:rsidR="003E5EE0">
        <w:rPr>
          <w:rStyle w:val="Rimandonotaapidipagina"/>
        </w:rPr>
        <w:footnoteReference w:id="6"/>
      </w:r>
      <w:r>
        <w:t xml:space="preserve">. </w:t>
      </w:r>
    </w:p>
    <w:p w:rsidR="001F439F" w:rsidRDefault="001F439F" w:rsidP="001F439F">
      <w:pPr>
        <w:pStyle w:val="StandardRisoluzionedelConsigliodiStato"/>
        <w:ind w:right="-1"/>
      </w:pPr>
    </w:p>
    <w:p w:rsidR="001F439F" w:rsidRDefault="001F439F" w:rsidP="003E5EE0">
      <w:pPr>
        <w:pStyle w:val="StandardRisoluzionedelConsigliodiStato"/>
        <w:ind w:left="567" w:right="-1"/>
      </w:pPr>
      <w:r>
        <w:t>La Commissione, per quanto non riguardi direttamente la POC</w:t>
      </w:r>
      <w:r w:rsidR="003E5EE0">
        <w:t>,</w:t>
      </w:r>
      <w:r>
        <w:t xml:space="preserve"> ma i medic</w:t>
      </w:r>
      <w:r w:rsidR="003E5EE0">
        <w:t>i in genere, ha preso atto dell'</w:t>
      </w:r>
      <w:r>
        <w:t>introduzione, a far tempo dal 1° gennaio 2026 del TARDOC, il quale sostituirà il TARMED. Il cambio di struttura tariffale era auspicata da tempo dalle casse malati per ridurre i costi che si ripercuotono sui premi.</w:t>
      </w:r>
    </w:p>
    <w:p w:rsidR="001F439F" w:rsidRDefault="001F439F" w:rsidP="001F439F">
      <w:pPr>
        <w:pStyle w:val="StandardRisoluzionedelConsigliodiStato"/>
        <w:ind w:right="-1"/>
      </w:pPr>
    </w:p>
    <w:p w:rsidR="001F439F" w:rsidRDefault="001F439F" w:rsidP="003E5EE0">
      <w:pPr>
        <w:pStyle w:val="StandardRisoluzionedelConsigliodiStato"/>
        <w:ind w:left="567" w:right="-1" w:hanging="283"/>
      </w:pPr>
      <w:r>
        <w:t>6.</w:t>
      </w:r>
      <w:r>
        <w:tab/>
      </w:r>
      <w:r w:rsidRPr="005B47AC">
        <w:rPr>
          <w:u w:val="single"/>
        </w:rPr>
        <w:t>Pediatria</w:t>
      </w:r>
      <w:r w:rsidR="005B47AC">
        <w:t>: l</w:t>
      </w:r>
      <w:r>
        <w:t>o studio sul fabbisogno non fa nessuna menzione su una categoria importante; quella pediatrica. Delle proiezioni in questo ambito sarebbero auspicate. In ogni caso</w:t>
      </w:r>
      <w:r w:rsidR="003F750C">
        <w:t>,</w:t>
      </w:r>
      <w:r>
        <w:t xml:space="preserve"> per rapporto allo stato attuale, un maggior coordinamento picchetti soprattutto durante le ferie.</w:t>
      </w:r>
    </w:p>
    <w:p w:rsidR="001F439F" w:rsidRDefault="001F439F" w:rsidP="001F439F">
      <w:pPr>
        <w:pStyle w:val="StandardRisoluzionedelConsigliodiStato"/>
        <w:ind w:right="-1"/>
      </w:pPr>
    </w:p>
    <w:p w:rsidR="001F439F" w:rsidRDefault="001F439F" w:rsidP="003F750C">
      <w:pPr>
        <w:pStyle w:val="StandardRisoluzionedelConsigliodiStato"/>
        <w:ind w:left="567" w:right="-1" w:hanging="283"/>
      </w:pPr>
      <w:r>
        <w:t>7.</w:t>
      </w:r>
      <w:r>
        <w:tab/>
        <w:t xml:space="preserve">Il proseguimento da parte delle autorità politiche, scolastiche nonché dell’EOC e delle cliniche private presenti in Ticino dei lavori volti a promuovere la formazione e le condizioni quadre alfine del mantenimento in attività del </w:t>
      </w:r>
      <w:r w:rsidRPr="003F750C">
        <w:rPr>
          <w:u w:val="single"/>
        </w:rPr>
        <w:t>personale infermieristico</w:t>
      </w:r>
      <w:r>
        <w:t>, laddove per condizioni quadro non si devono intendere solo condizioni salariali bensì pure attrattività della professione con una migliore conciliabilità lavoro famiglia avuti presente anche le esigenze delle nuove generazioni che sempre più auspicano lavoro a tempo parziale.</w:t>
      </w:r>
    </w:p>
    <w:p w:rsidR="001F439F" w:rsidRDefault="001F439F" w:rsidP="001F439F">
      <w:pPr>
        <w:pStyle w:val="StandardRisoluzionedelConsigliodiStato"/>
        <w:ind w:right="-1"/>
      </w:pPr>
    </w:p>
    <w:p w:rsidR="001F439F" w:rsidRDefault="001F439F" w:rsidP="003F750C">
      <w:pPr>
        <w:pStyle w:val="StandardRisoluzionedelConsigliodiStato"/>
        <w:ind w:left="567" w:right="-1" w:hanging="283"/>
      </w:pPr>
      <w:r>
        <w:t>8.</w:t>
      </w:r>
      <w:r>
        <w:tab/>
        <w:t xml:space="preserve">Infine, si ritiene che la Pianificazione in oggetto trascuri, almeno in apparenza, il settore della </w:t>
      </w:r>
      <w:r w:rsidRPr="003F750C">
        <w:rPr>
          <w:b/>
          <w:u w:val="single"/>
        </w:rPr>
        <w:t>ricerca</w:t>
      </w:r>
      <w:r w:rsidRPr="003F750C">
        <w:rPr>
          <w:u w:val="single"/>
        </w:rPr>
        <w:t xml:space="preserve"> e sperimentazione</w:t>
      </w:r>
      <w:r w:rsidR="003F750C">
        <w:t>, senza dimenticare, nell'</w:t>
      </w:r>
      <w:r>
        <w:t xml:space="preserve">era digitale, anche la </w:t>
      </w:r>
      <w:r w:rsidRPr="003F750C">
        <w:rPr>
          <w:u w:val="single"/>
        </w:rPr>
        <w:t>telemedicina. La Commissione auspica che il tema degli investimenti del Cantone per la ricerca possa essere oggetto di una verifica e proposta di Messaggio apposito</w:t>
      </w:r>
      <w:r>
        <w:t>.</w:t>
      </w:r>
    </w:p>
    <w:p w:rsidR="001F439F" w:rsidRDefault="001F439F" w:rsidP="003F750C">
      <w:pPr>
        <w:pStyle w:val="StandardRisoluzionedelConsigliodiStato"/>
        <w:ind w:right="-1"/>
      </w:pPr>
    </w:p>
    <w:p w:rsidR="001F439F" w:rsidRDefault="001F439F" w:rsidP="003F750C">
      <w:pPr>
        <w:pStyle w:val="StandardRisoluzionedelConsigliodiStato"/>
        <w:ind w:right="-1"/>
      </w:pPr>
    </w:p>
    <w:p w:rsidR="003446C0" w:rsidRDefault="003446C0" w:rsidP="003F750C">
      <w:pPr>
        <w:pStyle w:val="StandardRisoluzionedelConsigliodiStato"/>
        <w:ind w:right="-1"/>
      </w:pPr>
    </w:p>
    <w:p w:rsidR="003446C0" w:rsidRDefault="003446C0" w:rsidP="003F750C">
      <w:pPr>
        <w:pStyle w:val="StandardRisoluzionedelConsigliodiStato"/>
        <w:ind w:right="-1"/>
      </w:pPr>
    </w:p>
    <w:p w:rsidR="003446C0" w:rsidRDefault="003446C0" w:rsidP="003F750C">
      <w:pPr>
        <w:pStyle w:val="StandardRisoluzionedelConsigliodiStato"/>
        <w:ind w:right="-1"/>
      </w:pPr>
    </w:p>
    <w:p w:rsidR="001F439F" w:rsidRPr="003F750C" w:rsidRDefault="003F750C" w:rsidP="003F750C">
      <w:pPr>
        <w:pStyle w:val="Titolo1"/>
        <w:numPr>
          <w:ilvl w:val="0"/>
          <w:numId w:val="0"/>
        </w:numPr>
        <w:spacing w:before="0" w:after="0"/>
        <w:ind w:left="567" w:hanging="567"/>
        <w:jc w:val="both"/>
        <w:rPr>
          <w:sz w:val="24"/>
          <w:szCs w:val="24"/>
        </w:rPr>
      </w:pPr>
      <w:bookmarkStart w:id="78" w:name="_Toc179882536"/>
      <w:r w:rsidRPr="003F750C">
        <w:rPr>
          <w:sz w:val="24"/>
          <w:szCs w:val="24"/>
        </w:rPr>
        <w:t>12.</w:t>
      </w:r>
      <w:r w:rsidR="001F439F" w:rsidRPr="003F750C">
        <w:rPr>
          <w:sz w:val="24"/>
          <w:szCs w:val="24"/>
        </w:rPr>
        <w:tab/>
        <w:t>CONCLUSIONI</w:t>
      </w:r>
      <w:bookmarkEnd w:id="78"/>
    </w:p>
    <w:p w:rsidR="001F439F" w:rsidRPr="003F750C" w:rsidRDefault="001F439F" w:rsidP="003F750C">
      <w:pPr>
        <w:pStyle w:val="StandardRisoluzionedelConsigliodiStato"/>
        <w:ind w:right="-1"/>
        <w:jc w:val="right"/>
        <w:rPr>
          <w:i/>
        </w:rPr>
      </w:pPr>
      <w:r w:rsidRPr="003F750C">
        <w:rPr>
          <w:i/>
        </w:rPr>
        <w:t>Gli enigmi non si sciolgono, si sciogliessero non sarebbero tali.</w:t>
      </w:r>
    </w:p>
    <w:p w:rsidR="001F439F" w:rsidRPr="003F750C" w:rsidRDefault="001F439F" w:rsidP="003F750C">
      <w:pPr>
        <w:pStyle w:val="StandardRisoluzionedelConsigliodiStato"/>
        <w:ind w:right="-1"/>
        <w:jc w:val="right"/>
      </w:pPr>
      <w:r w:rsidRPr="003F750C">
        <w:t>(Paul Celan)</w:t>
      </w:r>
    </w:p>
    <w:p w:rsidR="001F439F" w:rsidRDefault="001F439F" w:rsidP="001F439F">
      <w:pPr>
        <w:pStyle w:val="StandardRisoluzionedelConsigliodiStato"/>
        <w:ind w:right="-1"/>
      </w:pPr>
    </w:p>
    <w:p w:rsidR="001F439F" w:rsidRDefault="001F439F" w:rsidP="001F439F">
      <w:pPr>
        <w:pStyle w:val="StandardRisoluzionedelConsigliodiStato"/>
        <w:ind w:right="-1"/>
      </w:pPr>
      <w:r>
        <w:t>Tenuto conto di quanto sopra, la scrivente Commissione,</w:t>
      </w:r>
    </w:p>
    <w:p w:rsidR="001F439F" w:rsidRDefault="001F439F" w:rsidP="001F439F">
      <w:pPr>
        <w:pStyle w:val="StandardRisoluzionedelConsigliodiStato"/>
        <w:ind w:right="-1"/>
      </w:pPr>
      <w:r>
        <w:t>consapevole della necessità di dotarsi quanto prima di una nuova PO</w:t>
      </w:r>
      <w:r w:rsidR="003F750C">
        <w:t>C soprattutto tenuto conto dell'</w:t>
      </w:r>
      <w:r>
        <w:t>esisto di quella precedente;</w:t>
      </w:r>
    </w:p>
    <w:p w:rsidR="003446C0" w:rsidRDefault="003446C0" w:rsidP="001F439F">
      <w:pPr>
        <w:pStyle w:val="StandardRisoluzionedelConsigliodiStato"/>
        <w:ind w:right="-1"/>
      </w:pPr>
    </w:p>
    <w:p w:rsidR="001F439F" w:rsidRDefault="001F439F" w:rsidP="001F439F">
      <w:pPr>
        <w:pStyle w:val="StandardRisoluzionedelConsigliodiStato"/>
        <w:ind w:right="-1"/>
      </w:pPr>
      <w:r>
        <w:t>conscia che ogni pianificazione presenta dei fattori imponderabili</w:t>
      </w:r>
      <w:r w:rsidR="003F750C">
        <w:t>,</w:t>
      </w:r>
      <w:r>
        <w:t xml:space="preserve"> ma fiduciosa che la Commissione di controllo dei mandati di prestazione istituita con la recente modifica del riparto delle competenze in materia di POC tra Esecutivo e Legislativo possa correggere eventuali errori previsionali e verificare il raggiungimento dei numeri minimi indicati nei considerandi del presente rapporto;</w:t>
      </w:r>
    </w:p>
    <w:p w:rsidR="003446C0" w:rsidRDefault="003446C0" w:rsidP="001F439F">
      <w:pPr>
        <w:pStyle w:val="StandardRisoluzionedelConsigliodiStato"/>
        <w:ind w:right="-1"/>
      </w:pPr>
    </w:p>
    <w:p w:rsidR="001F439F" w:rsidRDefault="001F439F" w:rsidP="001F439F">
      <w:pPr>
        <w:pStyle w:val="StandardRisoluzionedelConsigliodiStato"/>
        <w:ind w:right="-1"/>
      </w:pPr>
      <w:r>
        <w:t>preso atto che le modalità e i criteri delle POC sono sempre più vincolati e vincolanti secondo il diritto federale superiore;</w:t>
      </w:r>
    </w:p>
    <w:p w:rsidR="003446C0" w:rsidRDefault="003446C0" w:rsidP="001F439F">
      <w:pPr>
        <w:pStyle w:val="StandardRisoluzionedelConsigliodiStato"/>
        <w:ind w:right="-1"/>
      </w:pPr>
    </w:p>
    <w:p w:rsidR="001F439F" w:rsidRDefault="001F439F" w:rsidP="001F439F">
      <w:pPr>
        <w:pStyle w:val="StandardRisoluzionedelConsigliodiStato"/>
        <w:ind w:right="-1"/>
      </w:pPr>
      <w:r>
        <w:t>preoccupata comunque per la situazione economico finanziaria del Cantone;</w:t>
      </w:r>
    </w:p>
    <w:p w:rsidR="003446C0" w:rsidRDefault="003446C0" w:rsidP="001F439F">
      <w:pPr>
        <w:pStyle w:val="StandardRisoluzionedelConsigliodiStato"/>
        <w:ind w:right="-1"/>
      </w:pPr>
    </w:p>
    <w:p w:rsidR="001F439F" w:rsidRDefault="001F439F" w:rsidP="001F439F">
      <w:pPr>
        <w:pStyle w:val="StandardRisoluzionedelConsigliodiStato"/>
        <w:ind w:right="-1"/>
      </w:pPr>
      <w:r>
        <w:t>auspicando sia dagli attori pubblici come da quelli privati una collaborazione laddove necessaria o anche solo opportuna e una sana competizione di mercato volta a ridurre/ottimizzare i costi sia che anche la popolazione possa fare la sua parte con (cor­) responsabilità alfine di ridurre i costi della salute e</w:t>
      </w:r>
      <w:r w:rsidR="003F750C">
        <w:t>,</w:t>
      </w:r>
      <w:r>
        <w:t xml:space="preserve"> di riflesso</w:t>
      </w:r>
      <w:r w:rsidR="003F750C">
        <w:t>, i premi della cassa m</w:t>
      </w:r>
      <w:r>
        <w:t>alati (in Ticino sempre più al</w:t>
      </w:r>
      <w:r w:rsidR="003F750C">
        <w:t>ti della media e non solo per l'</w:t>
      </w:r>
      <w:r>
        <w:t>invecchiamento della popolazione);</w:t>
      </w:r>
    </w:p>
    <w:p w:rsidR="001F439F" w:rsidRDefault="001F439F" w:rsidP="001F439F">
      <w:pPr>
        <w:pStyle w:val="StandardRisoluzionedelConsigliodiStato"/>
        <w:ind w:right="-1"/>
      </w:pPr>
    </w:p>
    <w:p w:rsidR="003446C0" w:rsidRDefault="003446C0" w:rsidP="001F439F">
      <w:pPr>
        <w:pStyle w:val="StandardRisoluzionedelConsigliodiStato"/>
        <w:ind w:right="-1"/>
      </w:pPr>
    </w:p>
    <w:p w:rsidR="003446C0" w:rsidRDefault="003446C0" w:rsidP="001F439F">
      <w:pPr>
        <w:pStyle w:val="StandardRisoluzionedelConsigliodiStato"/>
        <w:ind w:right="-1"/>
      </w:pPr>
    </w:p>
    <w:p w:rsidR="003446C0" w:rsidRDefault="003446C0" w:rsidP="001F439F">
      <w:pPr>
        <w:pStyle w:val="StandardRisoluzionedelConsigliodiStato"/>
        <w:ind w:right="-1"/>
      </w:pPr>
    </w:p>
    <w:p w:rsidR="001F439F" w:rsidRDefault="001F439F" w:rsidP="001F439F">
      <w:pPr>
        <w:pStyle w:val="StandardRisoluzionedelConsigliodiStato"/>
        <w:ind w:right="-1"/>
      </w:pPr>
      <w:r>
        <w:lastRenderedPageBreak/>
        <w:t>invita il Gran Consiglio ad approvare il presente rapporto</w:t>
      </w:r>
      <w:r w:rsidR="0039757D">
        <w:t>, adottando l'allegato decreto legislativo concernente la P</w:t>
      </w:r>
      <w:r w:rsidR="0039757D" w:rsidRPr="0039757D">
        <w:t>ianificazione ospedaliera cantonale</w:t>
      </w:r>
      <w:r w:rsidR="0039757D">
        <w:t xml:space="preserve"> e approvando gli annessi disegni di legge, che non subiscono modifiche rispetto alla proposta governativa, </w:t>
      </w:r>
      <w:r>
        <w:t>e</w:t>
      </w:r>
      <w:r w:rsidR="0039757D">
        <w:t>, nel contempo,</w:t>
      </w:r>
      <w:r>
        <w:t xml:space="preserve"> a respinge</w:t>
      </w:r>
      <w:r w:rsidR="003F750C">
        <w:t>re</w:t>
      </w:r>
      <w:r>
        <w:t xml:space="preserve"> l</w:t>
      </w:r>
      <w:r w:rsidR="003F750C">
        <w:t>'</w:t>
      </w:r>
      <w:r>
        <w:t>I</w:t>
      </w:r>
      <w:r w:rsidR="003F750C">
        <w:t>niziativa generica n. 750 "</w:t>
      </w:r>
      <w:r>
        <w:t>Per una salute di prossimità e completa</w:t>
      </w:r>
      <w:r w:rsidR="003F750C">
        <w:t>"</w:t>
      </w:r>
      <w:r>
        <w:t>.</w:t>
      </w:r>
    </w:p>
    <w:p w:rsidR="001F439F" w:rsidRDefault="001F439F" w:rsidP="001F439F">
      <w:pPr>
        <w:pStyle w:val="StandardRisoluzionedelConsigliodiStato"/>
        <w:ind w:right="-1"/>
      </w:pPr>
    </w:p>
    <w:p w:rsidR="003446C0" w:rsidRDefault="003446C0" w:rsidP="001F439F">
      <w:pPr>
        <w:pStyle w:val="StandardRisoluzionedelConsigliodiStato"/>
        <w:ind w:right="-1"/>
      </w:pPr>
    </w:p>
    <w:p w:rsidR="003F750C" w:rsidRDefault="001F439F" w:rsidP="003446C0">
      <w:pPr>
        <w:pStyle w:val="StandardRisoluzionedelConsigliodiStato"/>
        <w:spacing w:after="120"/>
      </w:pPr>
      <w:r>
        <w:t>Per la Commissi</w:t>
      </w:r>
      <w:r w:rsidR="003446C0">
        <w:t>one sanità e sicurezza sociale:</w:t>
      </w:r>
    </w:p>
    <w:p w:rsidR="001F439F" w:rsidRDefault="001F439F" w:rsidP="001F439F">
      <w:pPr>
        <w:pStyle w:val="StandardRisoluzionedelConsigliodiStato"/>
        <w:ind w:right="-1"/>
      </w:pPr>
      <w:r>
        <w:t>Matteo Quadranti, relatore</w:t>
      </w:r>
    </w:p>
    <w:p w:rsidR="00FC5C9F" w:rsidRDefault="003446C0" w:rsidP="001F439F">
      <w:pPr>
        <w:pStyle w:val="StandardRisoluzionedelConsigliodiStato"/>
        <w:ind w:right="-1"/>
      </w:pPr>
      <w:r>
        <w:t xml:space="preserve">Agustoni - Aldi - Caverzasio - </w:t>
      </w:r>
      <w:r w:rsidR="009656BB">
        <w:t xml:space="preserve">Cedraschi - Corti </w:t>
      </w:r>
      <w:r w:rsidR="00FC5C9F">
        <w:t>-</w:t>
      </w:r>
      <w:r w:rsidR="009656BB">
        <w:t xml:space="preserve"> </w:t>
      </w:r>
    </w:p>
    <w:p w:rsidR="009656BB" w:rsidRDefault="009656BB" w:rsidP="001F439F">
      <w:pPr>
        <w:pStyle w:val="StandardRisoluzionedelConsigliodiStato"/>
        <w:ind w:right="-1"/>
      </w:pPr>
      <w:r>
        <w:t xml:space="preserve">Filippini </w:t>
      </w:r>
      <w:r w:rsidR="003446C0">
        <w:t>-</w:t>
      </w:r>
      <w:r>
        <w:t xml:space="preserve"> Forini</w:t>
      </w:r>
      <w:r w:rsidR="003446C0">
        <w:t xml:space="preserve"> -</w:t>
      </w:r>
      <w:r w:rsidR="00FC5C9F">
        <w:t xml:space="preserve"> </w:t>
      </w:r>
      <w:r>
        <w:t xml:space="preserve">Gianella </w:t>
      </w:r>
      <w:r w:rsidR="00FC5C9F">
        <w:t xml:space="preserve">Alex </w:t>
      </w:r>
      <w:r>
        <w:t xml:space="preserve">- Giudici </w:t>
      </w:r>
      <w:r w:rsidR="00FC5C9F">
        <w:t>-</w:t>
      </w:r>
      <w:r>
        <w:t xml:space="preserve"> Isabella</w:t>
      </w:r>
      <w:r w:rsidR="003446C0">
        <w:t xml:space="preserve"> -</w:t>
      </w:r>
    </w:p>
    <w:p w:rsidR="009656BB" w:rsidRDefault="009656BB" w:rsidP="001F439F">
      <w:pPr>
        <w:pStyle w:val="StandardRisoluzionedelConsigliodiStato"/>
        <w:ind w:right="-1"/>
      </w:pPr>
      <w:r>
        <w:t xml:space="preserve">Mazzoleni - Merlo </w:t>
      </w:r>
      <w:r w:rsidR="003446C0">
        <w:t>-</w:t>
      </w:r>
      <w:r>
        <w:t xml:space="preserve"> Petralli</w:t>
      </w:r>
      <w:r w:rsidR="00610883">
        <w:t xml:space="preserve"> (con riserva)</w:t>
      </w:r>
      <w:r w:rsidR="003446C0">
        <w:t xml:space="preserve"> -</w:t>
      </w:r>
    </w:p>
    <w:p w:rsidR="00FC5C9F" w:rsidRDefault="009656BB" w:rsidP="001F439F">
      <w:pPr>
        <w:pStyle w:val="StandardRisoluzionedelConsigliodiStato"/>
        <w:ind w:right="-1"/>
      </w:pPr>
      <w:r>
        <w:t xml:space="preserve">Riget - Rusconi </w:t>
      </w:r>
      <w:r w:rsidR="00FC5C9F">
        <w:t>-</w:t>
      </w:r>
      <w:r>
        <w:t xml:space="preserve"> Schnellmann</w:t>
      </w: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p>
    <w:p w:rsidR="00FC5C9F" w:rsidRDefault="00FC5C9F" w:rsidP="001F439F">
      <w:pPr>
        <w:pStyle w:val="StandardRisoluzionedelConsigliodiStato"/>
        <w:ind w:right="-1"/>
      </w:pPr>
      <w:r w:rsidRPr="00FC5C9F">
        <w:rPr>
          <w:u w:val="single"/>
        </w:rPr>
        <w:t>Allegato</w:t>
      </w:r>
      <w:r>
        <w:t>:</w:t>
      </w:r>
    </w:p>
    <w:p w:rsidR="003F750C" w:rsidRDefault="00FC5C9F" w:rsidP="001F439F">
      <w:pPr>
        <w:pStyle w:val="StandardRisoluzionedelConsigliodiStato"/>
        <w:ind w:right="-1"/>
      </w:pPr>
      <w:r>
        <w:t xml:space="preserve">- Preavviso della Commissione gestione e finanze </w:t>
      </w:r>
      <w:r w:rsidR="001B6CD3">
        <w:t xml:space="preserve">del 20 </w:t>
      </w:r>
      <w:r w:rsidR="001B6CD3" w:rsidRPr="001B6CD3">
        <w:t xml:space="preserve">novembre </w:t>
      </w:r>
      <w:r w:rsidRPr="001B6CD3">
        <w:t>2024</w:t>
      </w:r>
      <w:r w:rsidR="003F750C">
        <w:br w:type="page"/>
      </w:r>
    </w:p>
    <w:p w:rsidR="001F439F" w:rsidRDefault="001F439F" w:rsidP="001F439F">
      <w:pPr>
        <w:pStyle w:val="StandardRisoluzionedelConsigliodiStato"/>
        <w:ind w:right="-1"/>
      </w:pPr>
      <w:r>
        <w:lastRenderedPageBreak/>
        <w:t>Disegno di</w:t>
      </w:r>
    </w:p>
    <w:p w:rsidR="0012548E" w:rsidRDefault="0012548E" w:rsidP="001F439F">
      <w:pPr>
        <w:pStyle w:val="StandardRisoluzionedelConsigliodiStato"/>
        <w:ind w:right="-1"/>
      </w:pPr>
    </w:p>
    <w:p w:rsidR="001F439F" w:rsidRPr="0012548E" w:rsidRDefault="001F439F" w:rsidP="001F439F">
      <w:pPr>
        <w:pStyle w:val="StandardRisoluzionedelConsigliodiStato"/>
        <w:ind w:right="-1"/>
        <w:rPr>
          <w:b/>
        </w:rPr>
      </w:pPr>
      <w:r w:rsidRPr="0012548E">
        <w:rPr>
          <w:b/>
        </w:rPr>
        <w:t>Decreto legislativo</w:t>
      </w:r>
    </w:p>
    <w:p w:rsidR="001F439F" w:rsidRPr="0012548E" w:rsidRDefault="001F439F" w:rsidP="001F439F">
      <w:pPr>
        <w:pStyle w:val="StandardRisoluzionedelConsigliodiStato"/>
        <w:ind w:right="-1"/>
        <w:rPr>
          <w:b/>
        </w:rPr>
      </w:pPr>
      <w:r w:rsidRPr="0012548E">
        <w:rPr>
          <w:b/>
        </w:rPr>
        <w:t>concernente la pianificazione ospedaliera cantonale</w:t>
      </w:r>
    </w:p>
    <w:p w:rsidR="001F439F" w:rsidRDefault="001F439F" w:rsidP="001F439F">
      <w:pPr>
        <w:pStyle w:val="StandardRisoluzionedelConsigliodiStato"/>
        <w:ind w:right="-1"/>
      </w:pPr>
      <w:r>
        <w:t>del ....................</w:t>
      </w:r>
    </w:p>
    <w:p w:rsidR="001F439F" w:rsidRDefault="001F439F" w:rsidP="001F439F">
      <w:pPr>
        <w:pStyle w:val="StandardRisoluzionedelConsigliodiStato"/>
        <w:ind w:right="-1"/>
      </w:pPr>
    </w:p>
    <w:p w:rsidR="001F439F" w:rsidRDefault="001F439F" w:rsidP="001F439F">
      <w:pPr>
        <w:pStyle w:val="StandardRisoluzionedelConsigliodiStato"/>
        <w:ind w:right="-1"/>
      </w:pPr>
      <w:r>
        <w:t>IL GRAN CONSIGLIO</w:t>
      </w:r>
    </w:p>
    <w:p w:rsidR="001F439F" w:rsidRDefault="001F439F" w:rsidP="001F439F">
      <w:pPr>
        <w:pStyle w:val="StandardRisoluzionedelConsigliodiStato"/>
        <w:ind w:right="-1"/>
      </w:pPr>
      <w:r>
        <w:t>DELLA REPUBBLICA E CANTONE TICINO</w:t>
      </w:r>
    </w:p>
    <w:p w:rsidR="001F439F" w:rsidRDefault="001F439F" w:rsidP="001F439F">
      <w:pPr>
        <w:pStyle w:val="StandardRisoluzionedelConsigliodiStato"/>
        <w:ind w:right="-1"/>
      </w:pPr>
    </w:p>
    <w:p w:rsidR="001F439F" w:rsidRDefault="003446C0" w:rsidP="001F439F">
      <w:pPr>
        <w:pStyle w:val="StandardRisoluzionedelConsigliodiStato"/>
        <w:ind w:right="-1"/>
      </w:pPr>
      <w:r>
        <w:t>v</w:t>
      </w:r>
      <w:r w:rsidR="0012548E">
        <w:t xml:space="preserve">isto </w:t>
      </w:r>
      <w:r w:rsidR="001F439F">
        <w:t>l'articolo</w:t>
      </w:r>
      <w:r w:rsidR="0012548E">
        <w:t xml:space="preserve"> 65 della legge cantonale di applicazione </w:t>
      </w:r>
      <w:r w:rsidR="001F439F">
        <w:t>della</w:t>
      </w:r>
      <w:r w:rsidR="0012548E">
        <w:t xml:space="preserve"> legge </w:t>
      </w:r>
      <w:r w:rsidR="001F439F">
        <w:t>federale sull'assicurazione malattie del 26 giugno 1997 (LCAMal);</w:t>
      </w:r>
    </w:p>
    <w:p w:rsidR="0012548E" w:rsidRDefault="001F439F" w:rsidP="001F439F">
      <w:pPr>
        <w:pStyle w:val="StandardRisoluzionedelConsigliodiStato"/>
        <w:ind w:right="-1"/>
      </w:pPr>
      <w:r>
        <w:t xml:space="preserve">visto il messaggio del Consiglio di Stato n. 8250 del 22 marzo 2023, </w:t>
      </w:r>
    </w:p>
    <w:p w:rsidR="00B0378C" w:rsidRDefault="00B0378C" w:rsidP="001F439F">
      <w:pPr>
        <w:pStyle w:val="StandardRisoluzionedelConsigliodiStato"/>
        <w:ind w:right="-1"/>
      </w:pPr>
      <w:r>
        <w:t>visto il rapporto della Commissione sanità e sicurezza sociale n. 8250</w:t>
      </w:r>
      <w:r w:rsidR="003446C0">
        <w:t xml:space="preserve"> R</w:t>
      </w:r>
      <w:r>
        <w:t xml:space="preserve"> del 10 ottobre 2024,</w:t>
      </w:r>
    </w:p>
    <w:p w:rsidR="0012548E" w:rsidRDefault="0012548E" w:rsidP="001F439F">
      <w:pPr>
        <w:pStyle w:val="StandardRisoluzionedelConsigliodiStato"/>
        <w:ind w:right="-1"/>
      </w:pPr>
    </w:p>
    <w:p w:rsidR="001F439F" w:rsidRDefault="001F439F" w:rsidP="001F439F">
      <w:pPr>
        <w:pStyle w:val="StandardRisoluzionedelConsigliodiStato"/>
        <w:ind w:right="-1"/>
      </w:pPr>
      <w:r>
        <w:t>decreta:</w:t>
      </w:r>
    </w:p>
    <w:p w:rsidR="0012548E" w:rsidRDefault="0012548E" w:rsidP="001F439F">
      <w:pPr>
        <w:pStyle w:val="StandardRisoluzionedelConsigliodiStato"/>
        <w:ind w:right="-1"/>
      </w:pPr>
    </w:p>
    <w:p w:rsidR="001F439F" w:rsidRPr="001A21B5" w:rsidRDefault="001F439F" w:rsidP="001F439F">
      <w:pPr>
        <w:pStyle w:val="StandardRisoluzionedelConsigliodiStato"/>
        <w:ind w:right="-1"/>
        <w:rPr>
          <w:b/>
        </w:rPr>
      </w:pPr>
      <w:r w:rsidRPr="001A21B5">
        <w:rPr>
          <w:b/>
        </w:rPr>
        <w:t>Art. 1</w:t>
      </w:r>
    </w:p>
    <w:p w:rsidR="001F439F" w:rsidRDefault="001F439F" w:rsidP="001F439F">
      <w:pPr>
        <w:pStyle w:val="StandardRisoluzionedelConsigliodiStato"/>
        <w:ind w:right="-1"/>
      </w:pPr>
      <w:r>
        <w:t>Il rapporto sul fabbisogno di cure con orizzonte temporale 2032 allestito dal Dipartimento della sanità del Cantone di Zurigo è approvato.</w:t>
      </w:r>
    </w:p>
    <w:p w:rsidR="001F439F" w:rsidRDefault="001F439F" w:rsidP="001F439F">
      <w:pPr>
        <w:pStyle w:val="StandardRisoluzionedelConsigliodiStato"/>
        <w:ind w:right="-1"/>
      </w:pPr>
    </w:p>
    <w:p w:rsidR="001F439F" w:rsidRPr="001A21B5" w:rsidRDefault="001F439F" w:rsidP="001F439F">
      <w:pPr>
        <w:pStyle w:val="StandardRisoluzionedelConsigliodiStato"/>
        <w:ind w:right="-1"/>
        <w:rPr>
          <w:b/>
        </w:rPr>
      </w:pPr>
      <w:r w:rsidRPr="001A21B5">
        <w:rPr>
          <w:b/>
        </w:rPr>
        <w:t>Art. 2</w:t>
      </w:r>
    </w:p>
    <w:p w:rsidR="001F439F" w:rsidRDefault="001F439F" w:rsidP="001F439F">
      <w:pPr>
        <w:pStyle w:val="StandardRisoluzionedelConsigliodiStato"/>
        <w:ind w:right="-1"/>
      </w:pPr>
      <w:r>
        <w:t>La seconda tappa della pianificazione ospedaliera (definizione e attribuzione dei mandati) deve tener conto dei seguenti indirizzi strategici:</w:t>
      </w:r>
    </w:p>
    <w:p w:rsidR="001F439F" w:rsidRDefault="001F439F" w:rsidP="0012548E">
      <w:pPr>
        <w:pStyle w:val="StandardRisoluzionedelConsigliodiStato"/>
        <w:ind w:left="567" w:right="-1" w:hanging="283"/>
      </w:pPr>
      <w:r>
        <w:t>1.</w:t>
      </w:r>
      <w:r>
        <w:tab/>
        <w:t>L'assegnazione dei mandati:</w:t>
      </w:r>
    </w:p>
    <w:p w:rsidR="001F439F" w:rsidRDefault="001F439F" w:rsidP="0012548E">
      <w:pPr>
        <w:pStyle w:val="StandardRisoluzionedelConsigliodiStato"/>
        <w:ind w:left="851" w:right="-1" w:hanging="284"/>
      </w:pPr>
      <w:r>
        <w:t>a.</w:t>
      </w:r>
      <w:r>
        <w:tab/>
        <w:t>deve assicurare una medicina di prossimità diffusa sul territorio (pacchetto di base)</w:t>
      </w:r>
    </w:p>
    <w:p w:rsidR="001F439F" w:rsidRDefault="001F439F" w:rsidP="0012548E">
      <w:pPr>
        <w:pStyle w:val="StandardRisoluzionedelConsigliodiStato"/>
        <w:ind w:left="851" w:right="-1" w:hanging="284"/>
      </w:pPr>
      <w:r>
        <w:t>b.</w:t>
      </w:r>
      <w:r>
        <w:tab/>
        <w:t>garantire una determinata concentrazione dell'attività (numeri minimi per sede e quota di mercato storica stabiliti per tipologia di prestazione nel modulo di sollecitazione dell'offerta) nelle prestazioni specialistiche e in quelle multidisciplinari e complesse.</w:t>
      </w:r>
    </w:p>
    <w:p w:rsidR="001F439F" w:rsidRDefault="001F439F" w:rsidP="0012548E">
      <w:pPr>
        <w:pStyle w:val="StandardRisoluzionedelConsigliodiStato"/>
        <w:ind w:left="567" w:right="-1" w:hanging="283"/>
      </w:pPr>
      <w:r>
        <w:t>2.</w:t>
      </w:r>
      <w:r>
        <w:tab/>
        <w:t>I mandati che comportano una presa in carico complessa devono tener conto dell'impegno della struttura a formalizzare progetti di collaborazione con altri fornitori di prestazione sul territorio per definire percorsi diagnostici e terapeutici comuni (PDTA).</w:t>
      </w:r>
    </w:p>
    <w:p w:rsidR="001F439F" w:rsidRDefault="00F43A30" w:rsidP="0012548E">
      <w:pPr>
        <w:pStyle w:val="StandardRisoluzionedelConsigliodiStato"/>
        <w:ind w:left="567" w:right="-1" w:hanging="283"/>
      </w:pPr>
      <w:r>
        <w:t>3.</w:t>
      </w:r>
      <w:r>
        <w:tab/>
        <w:t>Sarà</w:t>
      </w:r>
      <w:bookmarkStart w:id="79" w:name="_GoBack"/>
      <w:bookmarkEnd w:id="79"/>
      <w:r w:rsidR="001F439F">
        <w:t xml:space="preserve"> concessa in forma provvisoria per la durata di 2 anni ai nuovi attori sanitari/concorrenti - a cui verrà poi confermata – se garantiranno il raggiungimento degli obiettivi di concentrazione dell’attività come da cpv. 1 lett. b).</w:t>
      </w:r>
    </w:p>
    <w:p w:rsidR="001F439F" w:rsidRDefault="001F439F" w:rsidP="0012548E">
      <w:pPr>
        <w:pStyle w:val="StandardRisoluzionedelConsigliodiStato"/>
        <w:ind w:left="567" w:right="-1" w:hanging="283"/>
      </w:pPr>
      <w:r>
        <w:t>4.</w:t>
      </w:r>
      <w:r>
        <w:tab/>
        <w:t>Il Consiglio di Stato è incaricato di implementare un sistema di monitoraggio di valutazione dell'appropriatezza organizzativa dei vari comparti di cura.</w:t>
      </w:r>
    </w:p>
    <w:p w:rsidR="001F439F" w:rsidRDefault="001F439F" w:rsidP="0012548E">
      <w:pPr>
        <w:pStyle w:val="StandardRisoluzionedelConsigliodiStato"/>
        <w:ind w:left="567" w:right="-1" w:hanging="283"/>
      </w:pPr>
      <w:r>
        <w:t>5.</w:t>
      </w:r>
      <w:r>
        <w:tab/>
        <w:t>Il Consiglio di Stato è incaricato di elaborare un sistema informativo semplice, fruibile e completo riguardo alla qualità e al costo delle prestazioni erogate dai singoli istituti ospedalieri.</w:t>
      </w:r>
    </w:p>
    <w:p w:rsidR="001F439F" w:rsidRDefault="001F439F" w:rsidP="001F439F">
      <w:pPr>
        <w:pStyle w:val="StandardRisoluzionedelConsigliodiStato"/>
        <w:ind w:right="-1"/>
      </w:pPr>
    </w:p>
    <w:p w:rsidR="001F439F" w:rsidRPr="001A21B5" w:rsidRDefault="001F439F" w:rsidP="001F439F">
      <w:pPr>
        <w:pStyle w:val="StandardRisoluzionedelConsigliodiStato"/>
        <w:ind w:right="-1"/>
        <w:rPr>
          <w:b/>
        </w:rPr>
      </w:pPr>
      <w:r w:rsidRPr="001A21B5">
        <w:rPr>
          <w:b/>
        </w:rPr>
        <w:t>Art. 3</w:t>
      </w:r>
    </w:p>
    <w:p w:rsidR="001F439F" w:rsidRDefault="001F439F" w:rsidP="001F439F">
      <w:pPr>
        <w:pStyle w:val="StandardRisoluzionedelConsigliodiStato"/>
        <w:ind w:right="-1"/>
      </w:pPr>
      <w:r>
        <w:t>Sono approvate le seguenti prestazioni economicamente d'interesse generale:</w:t>
      </w:r>
    </w:p>
    <w:p w:rsidR="001F439F" w:rsidRDefault="001F439F" w:rsidP="0012548E">
      <w:pPr>
        <w:pStyle w:val="StandardRisoluzionedelConsigliodiStato"/>
        <w:ind w:left="567" w:right="-1" w:hanging="283"/>
      </w:pPr>
      <w:r>
        <w:t>a.</w:t>
      </w:r>
      <w:r>
        <w:tab/>
        <w:t>formazione post­diploma dei medici assistenti per la prima specializzazione e per la specializzazione approfondita;</w:t>
      </w:r>
    </w:p>
    <w:p w:rsidR="001F439F" w:rsidRDefault="001F439F" w:rsidP="00360F36">
      <w:pPr>
        <w:pStyle w:val="StandardRisoluzionedelConsigliodiStato"/>
        <w:ind w:left="567" w:right="-1" w:hanging="283"/>
      </w:pPr>
      <w:r>
        <w:lastRenderedPageBreak/>
        <w:t>b.</w:t>
      </w:r>
      <w:r>
        <w:tab/>
        <w:t>sgravio per l'accompagnamento formativo negli enti sociosanitari;</w:t>
      </w:r>
    </w:p>
    <w:p w:rsidR="001F439F" w:rsidRDefault="001F439F" w:rsidP="0012548E">
      <w:pPr>
        <w:pStyle w:val="StandardRisoluzionedelConsigliodiStato"/>
        <w:ind w:left="567" w:right="-1" w:hanging="283"/>
      </w:pPr>
      <w:r>
        <w:t>c.</w:t>
      </w:r>
      <w:r>
        <w:tab/>
        <w:t>contributo per il finanziamento dei centri di primo soccorso delle sedi di Acquarossa e Faido dell'Ospedale regionale di Bellinzona e Valli e dell'Ospedale Malcantonese di Castelrotto;</w:t>
      </w:r>
    </w:p>
    <w:p w:rsidR="001F439F" w:rsidRDefault="001F439F" w:rsidP="0012548E">
      <w:pPr>
        <w:pStyle w:val="StandardRisoluzionedelConsigliodiStato"/>
        <w:ind w:left="567" w:right="-1" w:hanging="283"/>
      </w:pPr>
      <w:r>
        <w:t>d.</w:t>
      </w:r>
      <w:r>
        <w:tab/>
        <w:t>contributo all'Ente Ospedaliero Cantonale quale partecipazione al finanziamento:</w:t>
      </w:r>
    </w:p>
    <w:p w:rsidR="001F439F" w:rsidRDefault="001F439F" w:rsidP="0012548E">
      <w:pPr>
        <w:pStyle w:val="StandardRisoluzionedelConsigliodiStato"/>
        <w:ind w:left="851" w:right="-1" w:hanging="284"/>
      </w:pPr>
      <w:r>
        <w:t>­</w:t>
      </w:r>
      <w:r>
        <w:tab/>
        <w:t>dei consultori di salute sessuale;</w:t>
      </w:r>
    </w:p>
    <w:p w:rsidR="001F439F" w:rsidRDefault="001F439F" w:rsidP="0012548E">
      <w:pPr>
        <w:pStyle w:val="StandardRisoluzionedelConsigliodiStato"/>
        <w:ind w:left="851" w:right="-1" w:hanging="284"/>
      </w:pPr>
      <w:r>
        <w:t>­</w:t>
      </w:r>
      <w:r>
        <w:tab/>
        <w:t>del piano di messa in allarme dei servizi ospedalieri;</w:t>
      </w:r>
    </w:p>
    <w:p w:rsidR="001F439F" w:rsidRDefault="001F439F" w:rsidP="0012548E">
      <w:pPr>
        <w:pStyle w:val="StandardRisoluzionedelConsigliodiStato"/>
        <w:ind w:left="851" w:right="-1" w:hanging="284"/>
      </w:pPr>
      <w:r>
        <w:t>­</w:t>
      </w:r>
      <w:r>
        <w:tab/>
        <w:t>del coordinamento per l'organizzazione dell'espianto d'organi;</w:t>
      </w:r>
    </w:p>
    <w:p w:rsidR="001F439F" w:rsidRDefault="001F439F" w:rsidP="0012548E">
      <w:pPr>
        <w:pStyle w:val="StandardRisoluzionedelConsigliodiStato"/>
        <w:ind w:left="851" w:right="-1" w:hanging="284"/>
      </w:pPr>
      <w:r>
        <w:t>­</w:t>
      </w:r>
      <w:r>
        <w:tab/>
        <w:t>dell'implementazione della cartella informatizzata del paziente;</w:t>
      </w:r>
    </w:p>
    <w:p w:rsidR="001F439F" w:rsidRDefault="001F439F" w:rsidP="0012548E">
      <w:pPr>
        <w:pStyle w:val="StandardRisoluzionedelConsigliodiStato"/>
        <w:ind w:left="851" w:right="-1" w:hanging="284"/>
      </w:pPr>
      <w:r>
        <w:t>­</w:t>
      </w:r>
      <w:r>
        <w:tab/>
        <w:t>delle cure neonatali di livello IIB e pediatriche;</w:t>
      </w:r>
    </w:p>
    <w:p w:rsidR="001F439F" w:rsidRDefault="001F439F" w:rsidP="0012548E">
      <w:pPr>
        <w:pStyle w:val="StandardRisoluzionedelConsigliodiStato"/>
        <w:ind w:left="851" w:right="-1" w:hanging="284"/>
      </w:pPr>
      <w:r>
        <w:t>­</w:t>
      </w:r>
      <w:r>
        <w:tab/>
        <w:t>delle attività di sostegno nel reparto pediatrico;</w:t>
      </w:r>
    </w:p>
    <w:p w:rsidR="001F439F" w:rsidRDefault="001F439F" w:rsidP="0012548E">
      <w:pPr>
        <w:pStyle w:val="StandardRisoluzionedelConsigliodiStato"/>
        <w:ind w:left="851" w:right="-1" w:hanging="284"/>
      </w:pPr>
      <w:r>
        <w:t>­</w:t>
      </w:r>
      <w:r>
        <w:tab/>
        <w:t>dell'attività del centro di competenza malattie rare;</w:t>
      </w:r>
    </w:p>
    <w:p w:rsidR="001F439F" w:rsidRDefault="001F439F" w:rsidP="0012548E">
      <w:pPr>
        <w:pStyle w:val="StandardRisoluzionedelConsigliodiStato"/>
        <w:ind w:left="851" w:right="-1" w:hanging="284"/>
      </w:pPr>
      <w:r>
        <w:t>­</w:t>
      </w:r>
      <w:r>
        <w:tab/>
        <w:t>del mantenimento di uno studio medico presso il centro sociosanitario di Cevio.</w:t>
      </w:r>
    </w:p>
    <w:p w:rsidR="001F439F" w:rsidRDefault="001F439F" w:rsidP="001F439F">
      <w:pPr>
        <w:pStyle w:val="StandardRisoluzionedelConsigliodiStato"/>
        <w:ind w:right="-1"/>
      </w:pPr>
    </w:p>
    <w:p w:rsidR="001F439F" w:rsidRPr="001A21B5" w:rsidRDefault="001F439F" w:rsidP="001F439F">
      <w:pPr>
        <w:pStyle w:val="StandardRisoluzionedelConsigliodiStato"/>
        <w:ind w:right="-1"/>
        <w:rPr>
          <w:b/>
        </w:rPr>
      </w:pPr>
      <w:r w:rsidRPr="001A21B5">
        <w:rPr>
          <w:b/>
        </w:rPr>
        <w:t>Art. 4</w:t>
      </w:r>
    </w:p>
    <w:p w:rsidR="001F439F" w:rsidRDefault="001F439F" w:rsidP="001F439F">
      <w:pPr>
        <w:pStyle w:val="StandardRisoluzionedelConsigliodiStato"/>
        <w:ind w:right="-1"/>
      </w:pPr>
      <w:r w:rsidRPr="0012548E">
        <w:rPr>
          <w:vertAlign w:val="superscript"/>
        </w:rPr>
        <w:t>1</w:t>
      </w:r>
      <w:r>
        <w:t>Il presente decreto legislativo entra in vigore immediatamente.</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p>
    <w:p w:rsidR="0012548E" w:rsidRDefault="0012548E" w:rsidP="001F439F">
      <w:pPr>
        <w:pStyle w:val="StandardRisoluzionedelConsigliodiStato"/>
        <w:ind w:right="-1"/>
      </w:pPr>
    </w:p>
    <w:p w:rsidR="0012548E" w:rsidRDefault="0012548E" w:rsidP="001F439F">
      <w:pPr>
        <w:pStyle w:val="StandardRisoluzionedelConsigliodiStato"/>
        <w:ind w:right="-1"/>
      </w:pPr>
    </w:p>
    <w:p w:rsidR="0012548E" w:rsidRDefault="0012548E" w:rsidP="001F439F">
      <w:pPr>
        <w:pStyle w:val="StandardRisoluzionedelConsigliodiStato"/>
        <w:ind w:right="-1"/>
      </w:pPr>
    </w:p>
    <w:p w:rsidR="0012548E" w:rsidRDefault="0012548E" w:rsidP="001F439F">
      <w:pPr>
        <w:pStyle w:val="StandardRisoluzionedelConsigliodiStato"/>
        <w:ind w:right="-1"/>
      </w:pPr>
    </w:p>
    <w:p w:rsidR="0012548E" w:rsidRDefault="0012548E" w:rsidP="001F439F">
      <w:pPr>
        <w:pStyle w:val="StandardRisoluzionedelConsigliodiStato"/>
        <w:ind w:right="-1"/>
      </w:pPr>
    </w:p>
    <w:p w:rsidR="0012548E" w:rsidRDefault="0012548E" w:rsidP="001F439F">
      <w:pPr>
        <w:pStyle w:val="StandardRisoluzionedelConsigliodiStato"/>
        <w:ind w:right="-1"/>
      </w:pPr>
    </w:p>
    <w:p w:rsidR="0012548E" w:rsidRDefault="0012548E" w:rsidP="001F439F">
      <w:pPr>
        <w:pStyle w:val="StandardRisoluzionedelConsigliodiStato"/>
        <w:ind w:right="-1"/>
      </w:pPr>
      <w:r>
        <w:br w:type="page"/>
      </w:r>
    </w:p>
    <w:p w:rsidR="0012548E" w:rsidRDefault="0012548E" w:rsidP="001F439F">
      <w:pPr>
        <w:pStyle w:val="StandardRisoluzionedelConsigliodiStato"/>
        <w:ind w:right="-1"/>
      </w:pPr>
    </w:p>
    <w:p w:rsidR="001F439F" w:rsidRDefault="001F439F" w:rsidP="001F439F">
      <w:pPr>
        <w:pStyle w:val="StandardRisoluzionedelConsigliodiStato"/>
        <w:ind w:right="-1"/>
      </w:pPr>
      <w:r>
        <w:t>Disegno di</w:t>
      </w:r>
    </w:p>
    <w:p w:rsidR="0012548E" w:rsidRDefault="0012548E" w:rsidP="001F439F">
      <w:pPr>
        <w:pStyle w:val="StandardRisoluzionedelConsigliodiStato"/>
        <w:ind w:right="-1"/>
      </w:pPr>
    </w:p>
    <w:p w:rsidR="001F439F" w:rsidRPr="0012548E" w:rsidRDefault="001F439F" w:rsidP="001F439F">
      <w:pPr>
        <w:pStyle w:val="StandardRisoluzionedelConsigliodiStato"/>
        <w:ind w:right="-1"/>
        <w:rPr>
          <w:b/>
        </w:rPr>
      </w:pPr>
      <w:r w:rsidRPr="0012548E">
        <w:rPr>
          <w:b/>
        </w:rPr>
        <w:t>Legge</w:t>
      </w:r>
    </w:p>
    <w:p w:rsidR="001F439F" w:rsidRPr="0012548E" w:rsidRDefault="001F439F" w:rsidP="001F439F">
      <w:pPr>
        <w:pStyle w:val="StandardRisoluzionedelConsigliodiStato"/>
        <w:ind w:right="-1"/>
        <w:rPr>
          <w:b/>
        </w:rPr>
      </w:pPr>
      <w:r w:rsidRPr="0012548E">
        <w:rPr>
          <w:b/>
        </w:rPr>
        <w:t>di applicazione della legge federale sull'assicurazione malattie (LCAMal)</w:t>
      </w:r>
    </w:p>
    <w:p w:rsidR="001F439F" w:rsidRDefault="001F439F" w:rsidP="001F439F">
      <w:pPr>
        <w:pStyle w:val="StandardRisoluzionedelConsigliodiStato"/>
        <w:ind w:right="-1"/>
      </w:pPr>
      <w:r>
        <w:t>modifica del ....................</w:t>
      </w:r>
    </w:p>
    <w:p w:rsidR="001F439F" w:rsidRDefault="001F439F" w:rsidP="001F439F">
      <w:pPr>
        <w:pStyle w:val="StandardRisoluzionedelConsigliodiStato"/>
        <w:ind w:right="-1"/>
      </w:pPr>
    </w:p>
    <w:p w:rsidR="001F439F" w:rsidRDefault="001F439F" w:rsidP="001F439F">
      <w:pPr>
        <w:pStyle w:val="StandardRisoluzionedelConsigliodiStato"/>
        <w:ind w:right="-1"/>
      </w:pPr>
      <w:r>
        <w:t>IL GRAN CONSIGLIO</w:t>
      </w:r>
    </w:p>
    <w:p w:rsidR="001F439F" w:rsidRDefault="001F439F" w:rsidP="001F439F">
      <w:pPr>
        <w:pStyle w:val="StandardRisoluzionedelConsigliodiStato"/>
        <w:ind w:right="-1"/>
      </w:pPr>
      <w:r>
        <w:t>DELLA REPUBBLICA E CANTONE TICINO</w:t>
      </w:r>
    </w:p>
    <w:p w:rsidR="001F439F" w:rsidRDefault="001F439F" w:rsidP="001F439F">
      <w:pPr>
        <w:pStyle w:val="StandardRisoluzionedelConsigliodiStato"/>
        <w:ind w:right="-1"/>
      </w:pPr>
    </w:p>
    <w:p w:rsidR="0012548E" w:rsidRDefault="001F439F" w:rsidP="001F439F">
      <w:pPr>
        <w:pStyle w:val="StandardRisoluzionedelConsigliodiStato"/>
        <w:ind w:right="-1"/>
      </w:pPr>
      <w:r>
        <w:t>visto il messaggio del Consiglio di Stato n. 8250 del 22 marzo 2023,</w:t>
      </w:r>
    </w:p>
    <w:p w:rsidR="0012548E" w:rsidRDefault="0012548E" w:rsidP="001F439F">
      <w:pPr>
        <w:pStyle w:val="StandardRisoluzionedelConsigliodiStato"/>
        <w:ind w:right="-1"/>
      </w:pPr>
    </w:p>
    <w:p w:rsidR="001F439F" w:rsidRDefault="001F439F" w:rsidP="001F439F">
      <w:pPr>
        <w:pStyle w:val="StandardRisoluzionedelConsigliodiStato"/>
        <w:ind w:right="-1"/>
      </w:pPr>
      <w:r>
        <w:t>decreta:</w:t>
      </w:r>
    </w:p>
    <w:p w:rsidR="0012548E" w:rsidRDefault="0012548E" w:rsidP="001F439F">
      <w:pPr>
        <w:pStyle w:val="StandardRisoluzionedelConsigliodiStato"/>
        <w:ind w:right="-1"/>
      </w:pPr>
    </w:p>
    <w:p w:rsidR="001F439F" w:rsidRDefault="001F439F" w:rsidP="001F439F">
      <w:pPr>
        <w:pStyle w:val="StandardRisoluzionedelConsigliodiStato"/>
        <w:ind w:right="-1"/>
      </w:pPr>
      <w:r>
        <w:t>I</w:t>
      </w:r>
    </w:p>
    <w:p w:rsidR="001F439F" w:rsidRDefault="001F439F" w:rsidP="001F439F">
      <w:pPr>
        <w:pStyle w:val="StandardRisoluzionedelConsigliodiStato"/>
        <w:ind w:right="-1"/>
      </w:pPr>
      <w:r>
        <w:t>La legge di applicazione della legge federale sull'assicurazione malattie del 26 giugno 1997 (LCAMal) è modificata come segue:</w:t>
      </w:r>
    </w:p>
    <w:p w:rsidR="0012548E" w:rsidRDefault="0012548E" w:rsidP="001F439F">
      <w:pPr>
        <w:pStyle w:val="StandardRisoluzionedelConsigliodiStato"/>
        <w:ind w:right="-1"/>
      </w:pPr>
    </w:p>
    <w:p w:rsidR="001F439F" w:rsidRPr="0012548E" w:rsidRDefault="001F439F" w:rsidP="001F439F">
      <w:pPr>
        <w:pStyle w:val="StandardRisoluzionedelConsigliodiStato"/>
        <w:ind w:right="-1"/>
        <w:rPr>
          <w:vertAlign w:val="superscript"/>
        </w:rPr>
      </w:pPr>
      <w:r w:rsidRPr="001B0F11">
        <w:rPr>
          <w:b/>
        </w:rPr>
        <w:t>Art. 63a cpv. 1 lett. d e cpv</w:t>
      </w:r>
      <w:r w:rsidR="001B0F11">
        <w:rPr>
          <w:b/>
        </w:rPr>
        <w:t>.</w:t>
      </w:r>
      <w:r w:rsidRPr="0012548E">
        <w:rPr>
          <w:b/>
          <w:vertAlign w:val="superscript"/>
        </w:rPr>
        <w:t xml:space="preserve">. </w:t>
      </w:r>
      <w:r w:rsidRPr="001B0F11">
        <w:rPr>
          <w:b/>
        </w:rPr>
        <w:t>1</w:t>
      </w:r>
      <w:r w:rsidRPr="0012548E">
        <w:rPr>
          <w:b/>
          <w:vertAlign w:val="superscript"/>
        </w:rPr>
        <w:t>bis</w:t>
      </w:r>
    </w:p>
    <w:p w:rsidR="001F439F" w:rsidRDefault="001F439F" w:rsidP="001F439F">
      <w:pPr>
        <w:pStyle w:val="StandardRisoluzionedelConsigliodiStato"/>
        <w:ind w:right="-1"/>
      </w:pPr>
      <w:r w:rsidRPr="00B0378C">
        <w:rPr>
          <w:vertAlign w:val="superscript"/>
        </w:rPr>
        <w:t>1</w:t>
      </w:r>
      <w:r>
        <w:t>Per definire l'offerta necessaria a coprire il fabbisogno di cure la pianificazione ai sensi dell'art. 39 LAMal considera i seguenti istituti:</w:t>
      </w:r>
    </w:p>
    <w:p w:rsidR="001F439F" w:rsidRDefault="001F439F" w:rsidP="001F439F">
      <w:pPr>
        <w:pStyle w:val="StandardRisoluzionedelConsigliodiStato"/>
        <w:ind w:right="-1"/>
      </w:pPr>
      <w:r>
        <w:t>(…)</w:t>
      </w:r>
    </w:p>
    <w:p w:rsidR="001F439F" w:rsidRPr="0012548E" w:rsidRDefault="001F439F" w:rsidP="001F439F">
      <w:pPr>
        <w:pStyle w:val="StandardRisoluzionedelConsigliodiStato"/>
        <w:ind w:right="-1"/>
        <w:rPr>
          <w:i/>
        </w:rPr>
      </w:pPr>
      <w:r w:rsidRPr="0012548E">
        <w:rPr>
          <w:i/>
        </w:rPr>
        <w:t>d) abrogata</w:t>
      </w:r>
    </w:p>
    <w:p w:rsidR="001F439F" w:rsidRDefault="001F439F" w:rsidP="001F439F">
      <w:pPr>
        <w:pStyle w:val="StandardRisoluzionedelConsigliodiStato"/>
        <w:ind w:right="-1"/>
      </w:pPr>
      <w:r w:rsidRPr="0012548E">
        <w:rPr>
          <w:vertAlign w:val="superscript"/>
        </w:rPr>
        <w:t>1bis</w:t>
      </w:r>
      <w:r>
        <w:t>Le case di cura (art. 39 cpv. 3 LAMal) possono gestire i reparti acuti di minore intensità (di seguito Case di cura ­ RAMI) di regola situati in prossimità degli ospedali somatico acuti di cui al cpv. 1 lett. a.</w:t>
      </w:r>
    </w:p>
    <w:p w:rsidR="0012548E" w:rsidRDefault="0012548E" w:rsidP="001F439F">
      <w:pPr>
        <w:pStyle w:val="StandardRisoluzionedelConsigliodiStato"/>
        <w:ind w:right="-1"/>
      </w:pPr>
    </w:p>
    <w:p w:rsidR="0012548E" w:rsidRDefault="001F439F" w:rsidP="001F439F">
      <w:pPr>
        <w:pStyle w:val="StandardRisoluzionedelConsigliodiStato"/>
        <w:ind w:right="-1"/>
      </w:pPr>
      <w:r w:rsidRPr="0012548E">
        <w:rPr>
          <w:b/>
        </w:rPr>
        <w:t>C. Modalità di pianificazione</w:t>
      </w:r>
      <w:r>
        <w:t xml:space="preserve"> </w:t>
      </w:r>
    </w:p>
    <w:p w:rsidR="001F439F" w:rsidRPr="0012548E" w:rsidRDefault="001F439F" w:rsidP="001F439F">
      <w:pPr>
        <w:pStyle w:val="StandardRisoluzionedelConsigliodiStato"/>
        <w:ind w:right="-1"/>
        <w:rPr>
          <w:b/>
        </w:rPr>
      </w:pPr>
      <w:r w:rsidRPr="0012548E">
        <w:rPr>
          <w:b/>
        </w:rPr>
        <w:t>Art. 63b</w:t>
      </w:r>
    </w:p>
    <w:p w:rsidR="001F439F" w:rsidRDefault="001F439F" w:rsidP="001F439F">
      <w:pPr>
        <w:pStyle w:val="StandardRisoluzionedelConsigliodiStato"/>
        <w:ind w:right="-1"/>
      </w:pPr>
      <w:r>
        <w:t>La pianificazione è riferita alle prestazioni per quanto concerne gli ospedali somatico acuti e le case per partorienti, alle prestazioni o alle capacità per la riabilitazione e la cura di malattie psichiatriche in ospedale, alle capacità per le case di cura e le case di cura ­ RAMI.</w:t>
      </w:r>
    </w:p>
    <w:p w:rsidR="0012548E" w:rsidRDefault="0012548E" w:rsidP="001F439F">
      <w:pPr>
        <w:pStyle w:val="StandardRisoluzionedelConsigliodiStato"/>
        <w:ind w:right="-1"/>
      </w:pPr>
    </w:p>
    <w:p w:rsidR="001F439F" w:rsidRDefault="001F439F" w:rsidP="001F439F">
      <w:pPr>
        <w:pStyle w:val="StandardRisoluzionedelConsigliodiStato"/>
        <w:ind w:right="-1"/>
      </w:pPr>
      <w:r w:rsidRPr="0012548E">
        <w:t>TITOLO V</w:t>
      </w:r>
      <w:r w:rsidRPr="0012548E">
        <w:rPr>
          <w:vertAlign w:val="superscript"/>
        </w:rPr>
        <w:t>bis</w:t>
      </w:r>
    </w:p>
    <w:p w:rsidR="001F439F" w:rsidRDefault="001F439F" w:rsidP="001F439F">
      <w:pPr>
        <w:pStyle w:val="StandardRisoluzionedelConsigliodiStato"/>
        <w:ind w:right="-1"/>
        <w:rPr>
          <w:b/>
        </w:rPr>
      </w:pPr>
      <w:r w:rsidRPr="0012548E">
        <w:rPr>
          <w:b/>
        </w:rPr>
        <w:t>Finanziamento delle prestazioni di cura erogate negli ospedali (art. 39 cpv. 1 LAMal) e nelle case di cura – RAMI (art. 39 cpv. 3 LAMal)</w:t>
      </w:r>
    </w:p>
    <w:p w:rsidR="00BD392E" w:rsidRPr="0012548E" w:rsidRDefault="00BD392E" w:rsidP="001F439F">
      <w:pPr>
        <w:pStyle w:val="StandardRisoluzionedelConsigliodiStato"/>
        <w:ind w:right="-1"/>
        <w:rPr>
          <w:b/>
        </w:rPr>
      </w:pPr>
    </w:p>
    <w:p w:rsidR="001F439F" w:rsidRPr="00BD392E" w:rsidRDefault="001F439F" w:rsidP="001F439F">
      <w:pPr>
        <w:pStyle w:val="StandardRisoluzionedelConsigliodiStato"/>
        <w:ind w:right="-1"/>
        <w:rPr>
          <w:b/>
        </w:rPr>
      </w:pPr>
      <w:r w:rsidRPr="00BD392E">
        <w:rPr>
          <w:b/>
        </w:rPr>
        <w:t>Art. 66a cpv. 2</w:t>
      </w:r>
    </w:p>
    <w:p w:rsidR="001F439F" w:rsidRDefault="001F439F" w:rsidP="001F439F">
      <w:pPr>
        <w:pStyle w:val="StandardRisoluzionedelConsigliodiStato"/>
        <w:ind w:right="-1"/>
      </w:pPr>
      <w:r w:rsidRPr="00BD392E">
        <w:rPr>
          <w:vertAlign w:val="superscript"/>
        </w:rPr>
        <w:t>2</w:t>
      </w:r>
      <w:r>
        <w:t>Il Cantone partecipa al finanziamento delle prestazioni erogate nelle case di cura – RAMI autorizzate a esercitare a carico della LAMal e che figurano sull'elenco ai sensi dell'art. 39 cpv. 3 LAMal.</w:t>
      </w:r>
    </w:p>
    <w:p w:rsidR="00BD392E" w:rsidRDefault="00BD392E"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Art. 66b lett. c</w:t>
      </w:r>
    </w:p>
    <w:p w:rsidR="00B0378C" w:rsidRDefault="001F439F" w:rsidP="001F439F">
      <w:pPr>
        <w:pStyle w:val="StandardRisoluzionedelConsigliodiStato"/>
        <w:ind w:right="-1"/>
      </w:pPr>
      <w:r>
        <w:t xml:space="preserve">Sono considerati fornitori di prestazioni: </w:t>
      </w:r>
    </w:p>
    <w:p w:rsidR="001F439F" w:rsidRDefault="001F439F" w:rsidP="001F439F">
      <w:pPr>
        <w:pStyle w:val="StandardRisoluzionedelConsigliodiStato"/>
        <w:ind w:right="-1"/>
      </w:pPr>
      <w:r>
        <w:t>(…)</w:t>
      </w:r>
    </w:p>
    <w:p w:rsidR="001F439F" w:rsidRDefault="001F439F" w:rsidP="001F439F">
      <w:pPr>
        <w:pStyle w:val="StandardRisoluzionedelConsigliodiStato"/>
        <w:ind w:right="-1"/>
      </w:pPr>
      <w:r>
        <w:t>c) le case di cura ­ RAMI.</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lastRenderedPageBreak/>
        <w:t>Art. 66c cpv. 1</w:t>
      </w:r>
    </w:p>
    <w:p w:rsidR="001F439F" w:rsidRDefault="001F439F" w:rsidP="001F439F">
      <w:pPr>
        <w:pStyle w:val="StandardRisoluzionedelConsigliodiStato"/>
        <w:ind w:right="-1"/>
      </w:pPr>
      <w:r>
        <w:t xml:space="preserve"> </w:t>
      </w:r>
    </w:p>
    <w:p w:rsidR="001F439F" w:rsidRDefault="001F439F" w:rsidP="001F439F">
      <w:pPr>
        <w:pStyle w:val="StandardRisoluzionedelConsigliodiStato"/>
        <w:ind w:right="-1"/>
      </w:pPr>
      <w:r w:rsidRPr="00BD392E">
        <w:rPr>
          <w:vertAlign w:val="superscript"/>
        </w:rPr>
        <w:t>1</w:t>
      </w:r>
      <w:r>
        <w:t>Il finanziamento delle prestazioni erogate dai fornitori di prestazioni con sede nel Cantone indicati nell'art. 66a è assunto dal Cantone tramite un contributo globale, dagli assicuratori LAMal e, per le case di cura – RAMI, anche dai pazienti.</w:t>
      </w:r>
    </w:p>
    <w:p w:rsidR="001F439F" w:rsidRDefault="001F439F" w:rsidP="001F439F">
      <w:pPr>
        <w:pStyle w:val="StandardRisoluzionedelConsigliodiStato"/>
        <w:ind w:right="-1"/>
      </w:pPr>
    </w:p>
    <w:p w:rsidR="00BD392E" w:rsidRDefault="001F439F" w:rsidP="001F439F">
      <w:pPr>
        <w:pStyle w:val="StandardRisoluzionedelConsigliodiStato"/>
        <w:ind w:right="-1"/>
        <w:rPr>
          <w:b/>
        </w:rPr>
      </w:pPr>
      <w:r w:rsidRPr="00BD392E">
        <w:rPr>
          <w:b/>
        </w:rPr>
        <w:t xml:space="preserve">II. Prestazioni erogate dalle case di cura – RAMI </w:t>
      </w:r>
    </w:p>
    <w:p w:rsidR="001F439F" w:rsidRPr="00BD392E" w:rsidRDefault="001F439F" w:rsidP="001F439F">
      <w:pPr>
        <w:pStyle w:val="StandardRisoluzionedelConsigliodiStato"/>
        <w:ind w:right="-1"/>
        <w:rPr>
          <w:b/>
        </w:rPr>
      </w:pPr>
      <w:r w:rsidRPr="00BD392E">
        <w:rPr>
          <w:b/>
        </w:rPr>
        <w:t>Art. 66e</w:t>
      </w:r>
      <w:r w:rsidRPr="00BD392E">
        <w:rPr>
          <w:b/>
          <w:vertAlign w:val="superscript"/>
        </w:rPr>
        <w:t>bis</w:t>
      </w:r>
    </w:p>
    <w:p w:rsidR="001F439F" w:rsidRPr="00BD392E" w:rsidRDefault="001F439F" w:rsidP="001F439F">
      <w:pPr>
        <w:pStyle w:val="StandardRisoluzionedelConsigliodiStato"/>
        <w:ind w:right="-1"/>
      </w:pPr>
      <w:r w:rsidRPr="00BD392E">
        <w:t>Il contributo globale è stabilito tenendo conto:</w:t>
      </w:r>
    </w:p>
    <w:p w:rsidR="001F439F" w:rsidRDefault="001F439F" w:rsidP="00BD392E">
      <w:pPr>
        <w:pStyle w:val="StandardRisoluzionedelConsigliodiStato"/>
        <w:ind w:left="567" w:right="-1" w:hanging="283"/>
      </w:pPr>
      <w:r>
        <w:t>a)</w:t>
      </w:r>
      <w:r>
        <w:tab/>
        <w:t>dei costi:</w:t>
      </w:r>
    </w:p>
    <w:p w:rsidR="001F439F" w:rsidRDefault="001F439F" w:rsidP="00BD392E">
      <w:pPr>
        <w:pStyle w:val="StandardRisoluzionedelConsigliodiStato"/>
        <w:ind w:left="851" w:right="-1" w:hanging="284"/>
      </w:pPr>
      <w:r>
        <w:t>­</w:t>
      </w:r>
      <w:r>
        <w:tab/>
        <w:t>delle prestazioni di cura;</w:t>
      </w:r>
    </w:p>
    <w:p w:rsidR="001F439F" w:rsidRDefault="001F439F" w:rsidP="00BD392E">
      <w:pPr>
        <w:pStyle w:val="StandardRisoluzionedelConsigliodiStato"/>
        <w:ind w:left="851" w:right="-1" w:hanging="284"/>
      </w:pPr>
      <w:r>
        <w:t>­</w:t>
      </w:r>
      <w:r>
        <w:tab/>
        <w:t>alberghieri;</w:t>
      </w:r>
    </w:p>
    <w:p w:rsidR="001F439F" w:rsidRDefault="001F439F" w:rsidP="00BD392E">
      <w:pPr>
        <w:pStyle w:val="StandardRisoluzionedelConsigliodiStato"/>
        <w:ind w:left="851" w:right="-1" w:hanging="284"/>
      </w:pPr>
      <w:r>
        <w:t>­</w:t>
      </w:r>
      <w:r>
        <w:tab/>
        <w:t>della formazione universitaria e della formazione di base e terziaria nelle professioni sanitarie;</w:t>
      </w:r>
    </w:p>
    <w:p w:rsidR="001F439F" w:rsidRDefault="001F439F" w:rsidP="00BD392E">
      <w:pPr>
        <w:pStyle w:val="StandardRisoluzionedelConsigliodiStato"/>
        <w:ind w:left="567" w:right="-1" w:hanging="283"/>
      </w:pPr>
      <w:r>
        <w:t>b)</w:t>
      </w:r>
      <w:r>
        <w:tab/>
        <w:t>delle seguenti entrate:</w:t>
      </w:r>
    </w:p>
    <w:p w:rsidR="001F439F" w:rsidRDefault="001F439F" w:rsidP="00BD392E">
      <w:pPr>
        <w:pStyle w:val="StandardRisoluzionedelConsigliodiStato"/>
        <w:ind w:left="851" w:right="-1" w:hanging="425"/>
      </w:pPr>
      <w:r>
        <w:t>­</w:t>
      </w:r>
      <w:r>
        <w:tab/>
        <w:t>rimborso delle prestazioni di cura e assistenza in base ai criteri di cui agli art. 7 e segg. dell'ordinanza sulle prestazioni del 29 settembre 1995 (OPre), delle prestazioni mediche, diagnostiche e terapeutiche all'atto nonché dei medicamenti e dei mezzi ausiliari per singola fornitura;</w:t>
      </w:r>
    </w:p>
    <w:p w:rsidR="001F439F" w:rsidRDefault="001F439F" w:rsidP="00BD392E">
      <w:pPr>
        <w:pStyle w:val="StandardRisoluzionedelConsigliodiStato"/>
        <w:ind w:left="851" w:right="-1" w:hanging="284"/>
      </w:pPr>
      <w:r>
        <w:t>­</w:t>
      </w:r>
      <w:r>
        <w:tab/>
        <w:t>contributi a carico dei pazienti, stabiliti in fr. 30 a giornata per un massimo di fr. 600.­ annui;</w:t>
      </w:r>
    </w:p>
    <w:p w:rsidR="001F439F" w:rsidRDefault="001F439F" w:rsidP="00BD392E">
      <w:pPr>
        <w:pStyle w:val="StandardRisoluzionedelConsigliodiStato"/>
        <w:ind w:left="851" w:right="-1" w:hanging="284"/>
      </w:pPr>
      <w:r>
        <w:t>­</w:t>
      </w:r>
      <w:r>
        <w:tab/>
        <w:t>altre partecipazioni assicurative;</w:t>
      </w:r>
    </w:p>
    <w:p w:rsidR="001F439F" w:rsidRDefault="001F439F" w:rsidP="00BD392E">
      <w:pPr>
        <w:pStyle w:val="StandardRisoluzionedelConsigliodiStato"/>
        <w:ind w:left="851" w:right="-1" w:hanging="284"/>
      </w:pPr>
      <w:r>
        <w:t>­</w:t>
      </w:r>
      <w:r>
        <w:tab/>
        <w:t>altri ricavi d'esercizio.</w:t>
      </w:r>
    </w:p>
    <w:p w:rsidR="00BD392E" w:rsidRDefault="00BD392E" w:rsidP="00BD392E">
      <w:pPr>
        <w:pStyle w:val="StandardRisoluzionedelConsigliodiStato"/>
        <w:ind w:left="851" w:right="-1" w:hanging="284"/>
      </w:pPr>
    </w:p>
    <w:p w:rsidR="001F439F" w:rsidRPr="00BD392E" w:rsidRDefault="001F439F" w:rsidP="001F439F">
      <w:pPr>
        <w:pStyle w:val="StandardRisoluzionedelConsigliodiStato"/>
        <w:ind w:right="-1"/>
        <w:rPr>
          <w:b/>
        </w:rPr>
      </w:pPr>
      <w:r w:rsidRPr="00BD392E">
        <w:rPr>
          <w:b/>
        </w:rPr>
        <w:t>II</w:t>
      </w:r>
      <w:r w:rsidRPr="00BD392E">
        <w:rPr>
          <w:b/>
          <w:vertAlign w:val="superscript"/>
        </w:rPr>
        <w:t>bis</w:t>
      </w:r>
      <w:r w:rsidRPr="00BD392E">
        <w:rPr>
          <w:b/>
        </w:rPr>
        <w:t xml:space="preserve"> Finanziamento per l'acquisto di terreni, la costruzione, la ristrutturazione e l'ampliamento delle case di cura – RAMI</w:t>
      </w:r>
    </w:p>
    <w:p w:rsidR="001F439F" w:rsidRPr="00BD392E" w:rsidRDefault="001F439F" w:rsidP="001F439F">
      <w:pPr>
        <w:pStyle w:val="StandardRisoluzionedelConsigliodiStato"/>
        <w:ind w:right="-1"/>
        <w:rPr>
          <w:u w:val="single"/>
        </w:rPr>
      </w:pPr>
      <w:r w:rsidRPr="00BD392E">
        <w:rPr>
          <w:u w:val="single"/>
        </w:rPr>
        <w:t>Art. 66e</w:t>
      </w:r>
      <w:r w:rsidRPr="00BD392E">
        <w:rPr>
          <w:u w:val="single"/>
          <w:vertAlign w:val="superscript"/>
        </w:rPr>
        <w:t>ter</w:t>
      </w:r>
    </w:p>
    <w:p w:rsidR="001F439F" w:rsidRDefault="001F439F" w:rsidP="001F439F">
      <w:pPr>
        <w:pStyle w:val="StandardRisoluzionedelConsigliodiStato"/>
        <w:ind w:right="-1"/>
      </w:pPr>
      <w:r>
        <w:t>Per l'acquisto di terreni o edifici destinati alla realizzazione di case di cura – RAMI, la costruzione, la ristrutturazione, nonché l'ampliamento delle stesse, si applica per analogia l'art. 7 della legge concernente il promovimento, il coordinamento e il finanziamento delle attività a favore delle persone anziane del 30 novembre 2010 (LAnz).</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Art. 84a</w:t>
      </w:r>
    </w:p>
    <w:p w:rsidR="001F439F" w:rsidRPr="00BD392E" w:rsidRDefault="001F439F" w:rsidP="001F439F">
      <w:pPr>
        <w:pStyle w:val="StandardRisoluzionedelConsigliodiStato"/>
        <w:ind w:right="-1"/>
        <w:rPr>
          <w:i/>
        </w:rPr>
      </w:pPr>
      <w:r w:rsidRPr="00BD392E">
        <w:rPr>
          <w:i/>
        </w:rPr>
        <w:t>abrogato</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II</w:t>
      </w:r>
    </w:p>
    <w:p w:rsidR="001F439F" w:rsidRDefault="001F439F" w:rsidP="001F439F">
      <w:pPr>
        <w:pStyle w:val="StandardRisoluzionedelConsigliodiStato"/>
        <w:ind w:right="-1"/>
      </w:pPr>
      <w:r w:rsidRPr="00BD392E">
        <w:rPr>
          <w:vertAlign w:val="superscript"/>
        </w:rPr>
        <w:t>1</w:t>
      </w:r>
      <w:r>
        <w:t>La presente legge sottostà a referendum facoltativo.</w:t>
      </w:r>
    </w:p>
    <w:p w:rsidR="001F439F" w:rsidRDefault="001F439F" w:rsidP="001F439F">
      <w:pPr>
        <w:pStyle w:val="StandardRisoluzionedelConsigliodiStato"/>
        <w:ind w:right="-1"/>
      </w:pPr>
      <w:r w:rsidRPr="00BD392E">
        <w:rPr>
          <w:vertAlign w:val="superscript"/>
        </w:rPr>
        <w:t>2</w:t>
      </w:r>
      <w:r>
        <w:t>Il Consiglio di Stato ne stabilisce l'entrata in vigore.</w:t>
      </w:r>
    </w:p>
    <w:p w:rsidR="001F439F" w:rsidRDefault="001F439F" w:rsidP="001F439F">
      <w:pPr>
        <w:pStyle w:val="StandardRisoluzionedelConsigliodiStato"/>
        <w:ind w:right="-1"/>
      </w:pPr>
      <w:r>
        <w:t xml:space="preserve"> </w:t>
      </w:r>
    </w:p>
    <w:p w:rsidR="00BD392E" w:rsidRDefault="00BD392E" w:rsidP="001F439F">
      <w:pPr>
        <w:pStyle w:val="StandardRisoluzionedelConsigliodiStato"/>
        <w:ind w:right="-1"/>
      </w:pPr>
      <w:r>
        <w:br w:type="page"/>
      </w:r>
    </w:p>
    <w:p w:rsidR="001F439F" w:rsidRDefault="001F439F" w:rsidP="001F439F">
      <w:pPr>
        <w:pStyle w:val="StandardRisoluzionedelConsigliodiStato"/>
        <w:ind w:right="-1"/>
      </w:pPr>
      <w:r>
        <w:lastRenderedPageBreak/>
        <w:t>Disegno di</w:t>
      </w:r>
    </w:p>
    <w:p w:rsidR="00BD392E" w:rsidRDefault="00BD392E"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Legge</w:t>
      </w:r>
    </w:p>
    <w:p w:rsidR="001F439F" w:rsidRPr="00BD392E" w:rsidRDefault="001F439F" w:rsidP="001F439F">
      <w:pPr>
        <w:pStyle w:val="StandardRisoluzionedelConsigliodiStato"/>
        <w:ind w:right="-1"/>
        <w:rPr>
          <w:b/>
        </w:rPr>
      </w:pPr>
      <w:r w:rsidRPr="00BD392E">
        <w:rPr>
          <w:b/>
        </w:rPr>
        <w:t>sull'EOC (Ente ospedaliero cantonale)</w:t>
      </w:r>
    </w:p>
    <w:p w:rsidR="001F439F" w:rsidRDefault="001F439F" w:rsidP="001F439F">
      <w:pPr>
        <w:pStyle w:val="StandardRisoluzionedelConsigliodiStato"/>
        <w:ind w:right="-1"/>
      </w:pPr>
      <w:r>
        <w:t>modifica del ....................</w:t>
      </w:r>
    </w:p>
    <w:p w:rsidR="001F439F" w:rsidRDefault="001F439F" w:rsidP="001F439F">
      <w:pPr>
        <w:pStyle w:val="StandardRisoluzionedelConsigliodiStato"/>
        <w:ind w:right="-1"/>
      </w:pPr>
    </w:p>
    <w:p w:rsidR="001F439F" w:rsidRDefault="001F439F" w:rsidP="001F439F">
      <w:pPr>
        <w:pStyle w:val="StandardRisoluzionedelConsigliodiStato"/>
        <w:ind w:right="-1"/>
      </w:pPr>
      <w:r>
        <w:t>IL GRAN CONSIGLIO</w:t>
      </w:r>
    </w:p>
    <w:p w:rsidR="001F439F" w:rsidRDefault="001F439F" w:rsidP="001F439F">
      <w:pPr>
        <w:pStyle w:val="StandardRisoluzionedelConsigliodiStato"/>
        <w:ind w:right="-1"/>
      </w:pPr>
      <w:r>
        <w:t>DELLA REPUBBLICA E CANTONE TICINO</w:t>
      </w:r>
    </w:p>
    <w:p w:rsidR="001F439F" w:rsidRDefault="001F439F" w:rsidP="001F439F">
      <w:pPr>
        <w:pStyle w:val="StandardRisoluzionedelConsigliodiStato"/>
        <w:ind w:right="-1"/>
      </w:pPr>
    </w:p>
    <w:p w:rsidR="001F439F" w:rsidRDefault="001F439F" w:rsidP="001F439F">
      <w:pPr>
        <w:pStyle w:val="StandardRisoluzionedelConsigliodiStato"/>
        <w:ind w:right="-1"/>
      </w:pPr>
      <w:r>
        <w:t>visto il messaggio del Consiglio di Stato n. 8250 del 22 marzo 2023, decreta:</w:t>
      </w:r>
    </w:p>
    <w:p w:rsidR="00BD392E" w:rsidRDefault="00BD392E" w:rsidP="001F439F">
      <w:pPr>
        <w:pStyle w:val="StandardRisoluzionedelConsigliodiStato"/>
        <w:ind w:right="-1"/>
      </w:pPr>
    </w:p>
    <w:p w:rsidR="001F439F" w:rsidRDefault="001F439F" w:rsidP="001F439F">
      <w:pPr>
        <w:pStyle w:val="StandardRisoluzionedelConsigliodiStato"/>
        <w:ind w:right="-1"/>
      </w:pPr>
      <w:r>
        <w:t>I</w:t>
      </w:r>
    </w:p>
    <w:p w:rsidR="001F439F" w:rsidRDefault="001F439F" w:rsidP="001F439F">
      <w:pPr>
        <w:pStyle w:val="StandardRisoluzionedelConsigliodiStato"/>
        <w:ind w:right="-1"/>
      </w:pPr>
      <w:r>
        <w:t>La legge sull'EOC (Ente ospedaliero cantonale) del 19 dicembre 2000 è modificata come segue:</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Titolo</w:t>
      </w:r>
    </w:p>
    <w:p w:rsidR="001F439F" w:rsidRDefault="001F439F" w:rsidP="001F439F">
      <w:pPr>
        <w:pStyle w:val="StandardRisoluzionedelConsigliodiStato"/>
        <w:ind w:right="-1"/>
      </w:pPr>
      <w:r>
        <w:t>Legge sull'Ente Ospedaliero Cantonale (LEOC)</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Ragione sociale, personalità giuridica, sede Art. 1</w:t>
      </w:r>
    </w:p>
    <w:p w:rsidR="001F439F" w:rsidRDefault="001F439F" w:rsidP="001F439F">
      <w:pPr>
        <w:pStyle w:val="StandardRisoluzionedelConsigliodiStato"/>
        <w:ind w:right="-1"/>
      </w:pPr>
      <w:r>
        <w:t>Sotto la denominazione Ente Ospedaliero Cantonale (EOC) è istituita una azienda cantonale, indipendente dall'Amministrazione dello Stato, avente personalità giuridica propria di diritto pubblico e sede a Bellinzona.</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rPr>
      </w:pPr>
      <w:r w:rsidRPr="00BD392E">
        <w:rPr>
          <w:b/>
        </w:rPr>
        <w:t>Art. 2 cpv. 3</w:t>
      </w:r>
    </w:p>
    <w:p w:rsidR="001F439F" w:rsidRDefault="001F439F" w:rsidP="001F439F">
      <w:pPr>
        <w:pStyle w:val="StandardRisoluzionedelConsigliodiStato"/>
        <w:ind w:right="-1"/>
      </w:pPr>
      <w:r w:rsidRPr="00BD392E">
        <w:rPr>
          <w:vertAlign w:val="superscript"/>
        </w:rPr>
        <w:t>3</w:t>
      </w:r>
      <w:r>
        <w:t>L'EOC provvede all'organizzazione e alla gestione delle case di cura – RAMI ai sensi dell'art. 63a cpv. 1</w:t>
      </w:r>
      <w:r w:rsidRPr="00BD392E">
        <w:rPr>
          <w:vertAlign w:val="superscript"/>
        </w:rPr>
        <w:t>bis</w:t>
      </w:r>
      <w:r>
        <w:t xml:space="preserve"> LCAMal, previste dalla pianificazione ospedaliera cantonale ai sensi dell'art. 39 cpv. 3 LAMal in prossimità degli istituti acuti dell'EOC.</w:t>
      </w:r>
    </w:p>
    <w:p w:rsidR="001F439F" w:rsidRDefault="001F439F" w:rsidP="001F439F">
      <w:pPr>
        <w:pStyle w:val="StandardRisoluzionedelConsigliodiStato"/>
        <w:ind w:right="-1"/>
      </w:pPr>
    </w:p>
    <w:p w:rsidR="001F439F" w:rsidRPr="00BD392E" w:rsidRDefault="001F439F" w:rsidP="001F439F">
      <w:pPr>
        <w:pStyle w:val="StandardRisoluzionedelConsigliodiStato"/>
        <w:ind w:right="-1"/>
        <w:rPr>
          <w:b/>
          <w:vertAlign w:val="superscript"/>
        </w:rPr>
      </w:pPr>
      <w:r w:rsidRPr="00BD392E">
        <w:rPr>
          <w:b/>
        </w:rPr>
        <w:t>II</w:t>
      </w:r>
    </w:p>
    <w:p w:rsidR="001F439F" w:rsidRDefault="001F439F" w:rsidP="001F439F">
      <w:pPr>
        <w:pStyle w:val="StandardRisoluzionedelConsigliodiStato"/>
        <w:ind w:right="-1"/>
      </w:pPr>
      <w:r w:rsidRPr="00BD392E">
        <w:rPr>
          <w:vertAlign w:val="superscript"/>
        </w:rPr>
        <w:t>1</w:t>
      </w:r>
      <w:r>
        <w:t>La presente legge sottostà a referendum facoltativo.</w:t>
      </w:r>
    </w:p>
    <w:p w:rsidR="008F52AF" w:rsidRPr="001F439F" w:rsidRDefault="001F439F" w:rsidP="001F439F">
      <w:pPr>
        <w:pStyle w:val="StandardRisoluzionedelConsigliodiStato"/>
        <w:ind w:right="-1"/>
      </w:pPr>
      <w:r w:rsidRPr="00BD392E">
        <w:rPr>
          <w:vertAlign w:val="superscript"/>
        </w:rPr>
        <w:t>2</w:t>
      </w:r>
      <w:r>
        <w:t>Il Consiglio di Stato ne stabilisce l'entrata in vigore.</w:t>
      </w:r>
    </w:p>
    <w:p w:rsidR="00D649A8" w:rsidRPr="001F439F" w:rsidRDefault="00D649A8" w:rsidP="00D33940">
      <w:pPr>
        <w:pStyle w:val="StandardRisoluzionedelConsigliodiStato"/>
        <w:ind w:right="-1"/>
      </w:pPr>
    </w:p>
    <w:p w:rsidR="00D649A8" w:rsidRPr="001F439F" w:rsidRDefault="00D649A8" w:rsidP="00D33940">
      <w:pPr>
        <w:pStyle w:val="StandardRisoluzionedelConsigliodiStato"/>
        <w:ind w:right="-1"/>
      </w:pPr>
    </w:p>
    <w:sectPr w:rsidR="00D649A8" w:rsidRPr="001F439F" w:rsidSect="00BE751F">
      <w:headerReference w:type="even" r:id="rId17"/>
      <w:headerReference w:type="default" r:id="rId18"/>
      <w:footerReference w:type="even" r:id="rId19"/>
      <w:footerReference w:type="default" r:id="rId20"/>
      <w:headerReference w:type="first" r:id="rId21"/>
      <w:footerReference w:type="first" r:id="rId2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45" w:rsidRDefault="001F3F45" w:rsidP="00F657BF">
      <w:r>
        <w:separator/>
      </w:r>
    </w:p>
  </w:endnote>
  <w:endnote w:type="continuationSeparator" w:id="0">
    <w:p w:rsidR="001F3F45" w:rsidRDefault="001F3F4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C0" w:rsidRDefault="003446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1F3F45" w:rsidRPr="003D1008" w:rsidTr="00BE751F">
      <w:trPr>
        <w:trHeight w:hRule="exact" w:val="737"/>
      </w:trPr>
      <w:tc>
        <w:tcPr>
          <w:tcW w:w="4695" w:type="dxa"/>
        </w:tcPr>
        <w:p w:rsidR="001F3F45" w:rsidRPr="003D1008" w:rsidRDefault="001F3F45" w:rsidP="00BE751F">
          <w:pPr>
            <w:tabs>
              <w:tab w:val="center" w:pos="2382"/>
            </w:tabs>
          </w:pPr>
        </w:p>
      </w:tc>
      <w:tc>
        <w:tcPr>
          <w:tcW w:w="721" w:type="dxa"/>
        </w:tcPr>
        <w:p w:rsidR="001F3F45" w:rsidRPr="003D1008" w:rsidRDefault="001F3F45" w:rsidP="00BE751F">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1F3F45" w:rsidRPr="003D1008" w:rsidRDefault="001F3F45" w:rsidP="00BE751F">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1F3F45" w:rsidRPr="003D1008" w:rsidRDefault="001F3F45" w:rsidP="00BE751F"/>
      </w:tc>
    </w:tr>
  </w:tbl>
  <w:p w:rsidR="001F3F45" w:rsidRDefault="001F3F45" w:rsidP="00BE751F">
    <w:pPr>
      <w:pStyle w:val="InvisibleLine"/>
    </w:pPr>
  </w:p>
  <w:p w:rsidR="001F3F45" w:rsidRDefault="001F3F45"/>
  <w:p w:rsidR="001F3F45" w:rsidRDefault="001F3F4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45" w:rsidRDefault="001F3F45">
    <w:pPr>
      <w:pStyle w:val="Pidipagina"/>
      <w:jc w:val="center"/>
    </w:pPr>
  </w:p>
  <w:p w:rsidR="001F3F45" w:rsidRPr="008C6C46" w:rsidRDefault="001F3F45" w:rsidP="00BE751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45" w:rsidRDefault="001F3F45" w:rsidP="00F657BF">
      <w:r>
        <w:separator/>
      </w:r>
    </w:p>
  </w:footnote>
  <w:footnote w:type="continuationSeparator" w:id="0">
    <w:p w:rsidR="001F3F45" w:rsidRDefault="001F3F45" w:rsidP="00F657BF">
      <w:r>
        <w:continuationSeparator/>
      </w:r>
    </w:p>
  </w:footnote>
  <w:footnote w:id="1">
    <w:p w:rsidR="001F3F45" w:rsidRPr="00AA1185" w:rsidRDefault="001F3F45" w:rsidP="00AA1185">
      <w:pPr>
        <w:spacing w:before="93"/>
        <w:ind w:left="180"/>
        <w:rPr>
          <w:rFonts w:eastAsia="Arial" w:cs="Arial"/>
          <w:sz w:val="20"/>
          <w:lang w:val="it-IT"/>
        </w:rPr>
      </w:pPr>
      <w:r>
        <w:rPr>
          <w:rStyle w:val="Rimandonotaapidipagina"/>
        </w:rPr>
        <w:footnoteRef/>
      </w:r>
      <w:r>
        <w:t xml:space="preserve"> </w:t>
      </w:r>
      <w:hyperlink r:id="rId1">
        <w:r w:rsidRPr="00AA1185">
          <w:rPr>
            <w:rFonts w:eastAsia="Arial" w:cs="Arial"/>
            <w:color w:val="0000FF"/>
            <w:spacing w:val="-2"/>
            <w:sz w:val="20"/>
            <w:u w:val="single" w:color="0000FF"/>
            <w:lang w:val="it-IT"/>
          </w:rPr>
          <w:t>https://www.siwf.ch/files/pdf7/wbo_i.pdf</w:t>
        </w:r>
      </w:hyperlink>
    </w:p>
    <w:p w:rsidR="001F3F45" w:rsidRPr="00AA1185" w:rsidRDefault="001F3F45">
      <w:pPr>
        <w:pStyle w:val="Testonotaapidipagina"/>
        <w:rPr>
          <w:lang w:val="it-CH"/>
        </w:rPr>
      </w:pPr>
    </w:p>
  </w:footnote>
  <w:footnote w:id="2">
    <w:p w:rsidR="001F3F45" w:rsidRPr="00C77ACE" w:rsidRDefault="001F3F45" w:rsidP="00C77ACE">
      <w:pPr>
        <w:ind w:left="142" w:right="2070" w:hanging="142"/>
      </w:pPr>
      <w:r>
        <w:rPr>
          <w:rStyle w:val="Rimandonotaapidipagina"/>
        </w:rPr>
        <w:footnoteRef/>
      </w:r>
      <w:r>
        <w:t xml:space="preserve"> </w:t>
      </w:r>
      <w:hyperlink r:id="rId2">
        <w:r w:rsidRPr="00C77ACE">
          <w:rPr>
            <w:rFonts w:eastAsia="Arial" w:cs="Arial"/>
            <w:color w:val="0000FF"/>
            <w:sz w:val="20"/>
            <w:u w:val="single" w:color="0000FF"/>
            <w:lang w:val="it-IT"/>
          </w:rPr>
          <w:t>Raccomandazioni</w:t>
        </w:r>
        <w:r w:rsidRPr="00C77ACE">
          <w:rPr>
            <w:rFonts w:eastAsia="Arial" w:cs="Arial"/>
            <w:color w:val="0000FF"/>
            <w:spacing w:val="-7"/>
            <w:sz w:val="20"/>
            <w:u w:val="single" w:color="0000FF"/>
            <w:lang w:val="it-IT"/>
          </w:rPr>
          <w:t xml:space="preserve"> </w:t>
        </w:r>
        <w:r w:rsidRPr="00C77ACE">
          <w:rPr>
            <w:rFonts w:eastAsia="Arial" w:cs="Arial"/>
            <w:color w:val="0000FF"/>
            <w:sz w:val="20"/>
            <w:u w:val="single" w:color="0000FF"/>
            <w:lang w:val="it-IT"/>
          </w:rPr>
          <w:t>sulla</w:t>
        </w:r>
        <w:r w:rsidRPr="00C77ACE">
          <w:rPr>
            <w:rFonts w:eastAsia="Arial" w:cs="Arial"/>
            <w:color w:val="0000FF"/>
            <w:spacing w:val="-4"/>
            <w:sz w:val="20"/>
            <w:u w:val="single" w:color="0000FF"/>
            <w:lang w:val="it-IT"/>
          </w:rPr>
          <w:t xml:space="preserve"> </w:t>
        </w:r>
        <w:r w:rsidRPr="00C77ACE">
          <w:rPr>
            <w:rFonts w:eastAsia="Arial" w:cs="Arial"/>
            <w:color w:val="0000FF"/>
            <w:sz w:val="20"/>
            <w:u w:val="single" w:color="0000FF"/>
            <w:lang w:val="it-IT"/>
          </w:rPr>
          <w:t>pianificazione</w:t>
        </w:r>
        <w:r w:rsidRPr="00C77ACE">
          <w:rPr>
            <w:rFonts w:eastAsia="Arial" w:cs="Arial"/>
            <w:color w:val="0000FF"/>
            <w:spacing w:val="-6"/>
            <w:sz w:val="20"/>
            <w:u w:val="single" w:color="0000FF"/>
            <w:lang w:val="it-IT"/>
          </w:rPr>
          <w:t xml:space="preserve"> </w:t>
        </w:r>
        <w:r w:rsidRPr="00C77ACE">
          <w:rPr>
            <w:rFonts w:eastAsia="Arial" w:cs="Arial"/>
            <w:color w:val="0000FF"/>
            <w:sz w:val="20"/>
            <w:u w:val="single" w:color="0000FF"/>
            <w:lang w:val="it-IT"/>
          </w:rPr>
          <w:t>ospedaliera</w:t>
        </w:r>
        <w:r w:rsidRPr="00C77ACE">
          <w:rPr>
            <w:rFonts w:eastAsia="Arial" w:cs="Arial"/>
            <w:color w:val="0000FF"/>
            <w:spacing w:val="-4"/>
            <w:sz w:val="20"/>
            <w:u w:val="single" w:color="0000FF"/>
            <w:lang w:val="it-IT"/>
          </w:rPr>
          <w:t xml:space="preserve"> </w:t>
        </w:r>
        <w:r w:rsidRPr="00C77ACE">
          <w:rPr>
            <w:rFonts w:eastAsia="Arial" w:cs="Arial"/>
            <w:color w:val="0000FF"/>
            <w:sz w:val="20"/>
            <w:u w:val="single" w:color="0000FF"/>
            <w:lang w:val="it-IT"/>
          </w:rPr>
          <w:t>versione</w:t>
        </w:r>
        <w:r w:rsidRPr="00C77ACE">
          <w:rPr>
            <w:rFonts w:eastAsia="Arial" w:cs="Arial"/>
            <w:color w:val="0000FF"/>
            <w:spacing w:val="-6"/>
            <w:sz w:val="20"/>
            <w:u w:val="single" w:color="0000FF"/>
            <w:lang w:val="it-IT"/>
          </w:rPr>
          <w:t xml:space="preserve"> </w:t>
        </w:r>
        <w:r w:rsidRPr="00C77ACE">
          <w:rPr>
            <w:rFonts w:eastAsia="Arial" w:cs="Arial"/>
            <w:color w:val="0000FF"/>
            <w:sz w:val="20"/>
            <w:u w:val="single" w:color="0000FF"/>
            <w:lang w:val="it-IT"/>
          </w:rPr>
          <w:t>francese</w:t>
        </w:r>
      </w:hyperlink>
      <w:r w:rsidRPr="00C77ACE">
        <w:rPr>
          <w:rFonts w:eastAsia="Arial" w:cs="Arial"/>
          <w:color w:val="0000FF"/>
          <w:sz w:val="20"/>
          <w:lang w:val="it-IT"/>
        </w:rPr>
        <w:t xml:space="preserve"> </w:t>
      </w:r>
      <w:hyperlink r:id="rId3">
        <w:r w:rsidRPr="00C77ACE">
          <w:rPr>
            <w:rFonts w:eastAsia="Arial" w:cs="Arial"/>
            <w:color w:val="0000FF"/>
            <w:sz w:val="20"/>
            <w:u w:val="single" w:color="0000FF"/>
            <w:lang w:val="it-IT"/>
          </w:rPr>
          <w:t>Raccomandazioni sulla pianificazione ospedaliera versione tedesca</w:t>
        </w:r>
      </w:hyperlink>
    </w:p>
  </w:footnote>
  <w:footnote w:id="3">
    <w:p w:rsidR="001F3F45" w:rsidRDefault="001F3F45">
      <w:pPr>
        <w:pStyle w:val="Testonotaapidipagina"/>
        <w:rPr>
          <w:rFonts w:ascii="Arial" w:eastAsia="Arial" w:hAnsi="Arial" w:cs="Arial"/>
          <w:color w:val="0000FF"/>
          <w:sz w:val="20"/>
          <w:szCs w:val="22"/>
          <w:lang w:val="it-IT"/>
        </w:rPr>
      </w:pPr>
      <w:r>
        <w:rPr>
          <w:rStyle w:val="Rimandonotaapidipagina"/>
        </w:rPr>
        <w:footnoteRef/>
      </w:r>
      <w:r w:rsidRPr="00FC5C9F">
        <w:rPr>
          <w:lang w:val="it-CH"/>
        </w:rPr>
        <w:t xml:space="preserve"> </w:t>
      </w:r>
      <w:hyperlink r:id="rId4">
        <w:r w:rsidRPr="00C64DEF">
          <w:rPr>
            <w:rFonts w:ascii="Arial" w:eastAsia="Arial" w:hAnsi="Arial" w:cs="Arial"/>
            <w:color w:val="0000FF"/>
            <w:sz w:val="20"/>
            <w:szCs w:val="22"/>
            <w:u w:val="single" w:color="0000FF"/>
            <w:lang w:val="it-IT"/>
          </w:rPr>
          <w:t>Raccomandazioni</w:t>
        </w:r>
        <w:r w:rsidRPr="00C64DEF">
          <w:rPr>
            <w:rFonts w:ascii="Arial" w:eastAsia="Arial" w:hAnsi="Arial" w:cs="Arial"/>
            <w:color w:val="0000FF"/>
            <w:spacing w:val="-4"/>
            <w:sz w:val="20"/>
            <w:szCs w:val="22"/>
            <w:u w:val="single" w:color="0000FF"/>
            <w:lang w:val="it-IT"/>
          </w:rPr>
          <w:t xml:space="preserve"> </w:t>
        </w:r>
        <w:r w:rsidRPr="00C64DEF">
          <w:rPr>
            <w:rFonts w:ascii="Arial" w:eastAsia="Arial" w:hAnsi="Arial" w:cs="Arial"/>
            <w:color w:val="0000FF"/>
            <w:sz w:val="20"/>
            <w:szCs w:val="22"/>
            <w:u w:val="single" w:color="0000FF"/>
            <w:lang w:val="it-IT"/>
          </w:rPr>
          <w:t>CDS</w:t>
        </w:r>
        <w:r w:rsidRPr="00C64DEF">
          <w:rPr>
            <w:rFonts w:ascii="Arial" w:eastAsia="Arial" w:hAnsi="Arial" w:cs="Arial"/>
            <w:color w:val="0000FF"/>
            <w:spacing w:val="-4"/>
            <w:sz w:val="20"/>
            <w:szCs w:val="22"/>
            <w:u w:val="single" w:color="0000FF"/>
            <w:lang w:val="it-IT"/>
          </w:rPr>
          <w:t xml:space="preserve"> </w:t>
        </w:r>
        <w:r w:rsidRPr="00C64DEF">
          <w:rPr>
            <w:rFonts w:ascii="Arial" w:eastAsia="Arial" w:hAnsi="Arial" w:cs="Arial"/>
            <w:color w:val="0000FF"/>
            <w:sz w:val="20"/>
            <w:szCs w:val="22"/>
            <w:u w:val="single" w:color="0000FF"/>
            <w:lang w:val="it-IT"/>
          </w:rPr>
          <w:t>­</w:t>
        </w:r>
        <w:r w:rsidRPr="00C64DEF">
          <w:rPr>
            <w:rFonts w:ascii="Arial" w:eastAsia="Arial" w:hAnsi="Arial" w:cs="Arial"/>
            <w:color w:val="0000FF"/>
            <w:spacing w:val="-3"/>
            <w:sz w:val="20"/>
            <w:szCs w:val="22"/>
            <w:u w:val="single" w:color="0000FF"/>
            <w:lang w:val="it-IT"/>
          </w:rPr>
          <w:t xml:space="preserve"> </w:t>
        </w:r>
        <w:r w:rsidRPr="00C64DEF">
          <w:rPr>
            <w:rFonts w:ascii="Arial" w:eastAsia="Arial" w:hAnsi="Arial" w:cs="Arial"/>
            <w:color w:val="0000FF"/>
            <w:sz w:val="20"/>
            <w:szCs w:val="22"/>
            <w:u w:val="single" w:color="0000FF"/>
            <w:lang w:val="it-IT"/>
          </w:rPr>
          <w:t>standard</w:t>
        </w:r>
        <w:r w:rsidRPr="00C64DEF">
          <w:rPr>
            <w:rFonts w:ascii="Arial" w:eastAsia="Arial" w:hAnsi="Arial" w:cs="Arial"/>
            <w:color w:val="0000FF"/>
            <w:spacing w:val="-4"/>
            <w:sz w:val="20"/>
            <w:szCs w:val="22"/>
            <w:u w:val="single" w:color="0000FF"/>
            <w:lang w:val="it-IT"/>
          </w:rPr>
          <w:t xml:space="preserve"> </w:t>
        </w:r>
        <w:r w:rsidRPr="00C64DEF">
          <w:rPr>
            <w:rFonts w:ascii="Arial" w:eastAsia="Arial" w:hAnsi="Arial" w:cs="Arial"/>
            <w:color w:val="0000FF"/>
            <w:sz w:val="20"/>
            <w:szCs w:val="22"/>
            <w:u w:val="single" w:color="0000FF"/>
            <w:lang w:val="it-IT"/>
          </w:rPr>
          <w:t>minimi</w:t>
        </w:r>
        <w:r w:rsidRPr="00C64DEF">
          <w:rPr>
            <w:rFonts w:ascii="Arial" w:eastAsia="Arial" w:hAnsi="Arial" w:cs="Arial"/>
            <w:color w:val="0000FF"/>
            <w:spacing w:val="-4"/>
            <w:sz w:val="20"/>
            <w:szCs w:val="22"/>
            <w:u w:val="single" w:color="0000FF"/>
            <w:lang w:val="it-IT"/>
          </w:rPr>
          <w:t xml:space="preserve"> </w:t>
        </w:r>
        <w:r w:rsidRPr="00C64DEF">
          <w:rPr>
            <w:rFonts w:ascii="Arial" w:eastAsia="Arial" w:hAnsi="Arial" w:cs="Arial"/>
            <w:color w:val="0000FF"/>
            <w:sz w:val="20"/>
            <w:szCs w:val="22"/>
            <w:u w:val="single" w:color="0000FF"/>
            <w:lang w:val="it-IT"/>
          </w:rPr>
          <w:t>di</w:t>
        </w:r>
        <w:r w:rsidRPr="00C64DEF">
          <w:rPr>
            <w:rFonts w:ascii="Arial" w:eastAsia="Arial" w:hAnsi="Arial" w:cs="Arial"/>
            <w:color w:val="0000FF"/>
            <w:spacing w:val="-4"/>
            <w:sz w:val="20"/>
            <w:szCs w:val="22"/>
            <w:u w:val="single" w:color="0000FF"/>
            <w:lang w:val="it-IT"/>
          </w:rPr>
          <w:t xml:space="preserve"> </w:t>
        </w:r>
        <w:r w:rsidRPr="00C64DEF">
          <w:rPr>
            <w:rFonts w:ascii="Arial" w:eastAsia="Arial" w:hAnsi="Arial" w:cs="Arial"/>
            <w:color w:val="0000FF"/>
            <w:sz w:val="20"/>
            <w:szCs w:val="22"/>
            <w:u w:val="single" w:color="0000FF"/>
            <w:lang w:val="it-IT"/>
          </w:rPr>
          <w:t>qualità</w:t>
        </w:r>
        <w:r w:rsidRPr="00C64DEF">
          <w:rPr>
            <w:rFonts w:ascii="Arial" w:eastAsia="Arial" w:hAnsi="Arial" w:cs="Arial"/>
            <w:color w:val="0000FF"/>
            <w:spacing w:val="-2"/>
            <w:sz w:val="20"/>
            <w:szCs w:val="22"/>
            <w:u w:val="single" w:color="0000FF"/>
            <w:lang w:val="it-IT"/>
          </w:rPr>
          <w:t xml:space="preserve"> </w:t>
        </w:r>
        <w:r w:rsidRPr="00C64DEF">
          <w:rPr>
            <w:rFonts w:ascii="Arial" w:eastAsia="Arial" w:hAnsi="Arial" w:cs="Arial"/>
            <w:color w:val="0000FF"/>
            <w:sz w:val="20"/>
            <w:szCs w:val="22"/>
            <w:u w:val="single" w:color="0000FF"/>
            <w:lang w:val="it-IT"/>
          </w:rPr>
          <w:t>REHA</w:t>
        </w:r>
        <w:r w:rsidRPr="00C64DEF">
          <w:rPr>
            <w:rFonts w:ascii="Arial" w:eastAsia="Arial" w:hAnsi="Arial" w:cs="Arial"/>
            <w:color w:val="0000FF"/>
            <w:spacing w:val="-2"/>
            <w:sz w:val="20"/>
            <w:szCs w:val="22"/>
            <w:u w:val="single" w:color="0000FF"/>
            <w:lang w:val="it-IT"/>
          </w:rPr>
          <w:t xml:space="preserve"> </w:t>
        </w:r>
        <w:r w:rsidRPr="00C64DEF">
          <w:rPr>
            <w:rFonts w:ascii="Arial" w:eastAsia="Arial" w:hAnsi="Arial" w:cs="Arial"/>
            <w:color w:val="0000FF"/>
            <w:sz w:val="20"/>
            <w:szCs w:val="22"/>
            <w:u w:val="single" w:color="0000FF"/>
            <w:lang w:val="it-IT"/>
          </w:rPr>
          <w:t>­</w:t>
        </w:r>
        <w:r w:rsidRPr="00C64DEF">
          <w:rPr>
            <w:rFonts w:ascii="Arial" w:eastAsia="Arial" w:hAnsi="Arial" w:cs="Arial"/>
            <w:color w:val="0000FF"/>
            <w:spacing w:val="-3"/>
            <w:sz w:val="20"/>
            <w:szCs w:val="22"/>
            <w:u w:val="single" w:color="0000FF"/>
            <w:lang w:val="it-IT"/>
          </w:rPr>
          <w:t xml:space="preserve"> </w:t>
        </w:r>
        <w:r w:rsidRPr="00C64DEF">
          <w:rPr>
            <w:rFonts w:ascii="Arial" w:eastAsia="Arial" w:hAnsi="Arial" w:cs="Arial"/>
            <w:color w:val="0000FF"/>
            <w:sz w:val="20"/>
            <w:szCs w:val="22"/>
            <w:u w:val="single" w:color="0000FF"/>
            <w:lang w:val="it-IT"/>
          </w:rPr>
          <w:t>versione</w:t>
        </w:r>
        <w:r w:rsidRPr="00C64DEF">
          <w:rPr>
            <w:rFonts w:ascii="Arial" w:eastAsia="Arial" w:hAnsi="Arial" w:cs="Arial"/>
            <w:color w:val="0000FF"/>
            <w:spacing w:val="-2"/>
            <w:sz w:val="20"/>
            <w:szCs w:val="22"/>
            <w:u w:val="single" w:color="0000FF"/>
            <w:lang w:val="it-IT"/>
          </w:rPr>
          <w:t xml:space="preserve"> </w:t>
        </w:r>
        <w:r w:rsidRPr="00C64DEF">
          <w:rPr>
            <w:rFonts w:ascii="Arial" w:eastAsia="Arial" w:hAnsi="Arial" w:cs="Arial"/>
            <w:color w:val="0000FF"/>
            <w:sz w:val="20"/>
            <w:szCs w:val="22"/>
            <w:u w:val="single" w:color="0000FF"/>
            <w:lang w:val="it-IT"/>
          </w:rPr>
          <w:t>francese</w:t>
        </w:r>
      </w:hyperlink>
      <w:r w:rsidRPr="00C64DEF">
        <w:rPr>
          <w:rFonts w:ascii="Arial" w:eastAsia="Arial" w:hAnsi="Arial" w:cs="Arial"/>
          <w:color w:val="0000FF"/>
          <w:sz w:val="20"/>
          <w:szCs w:val="22"/>
          <w:lang w:val="it-IT"/>
        </w:rPr>
        <w:t xml:space="preserve"> </w:t>
      </w:r>
    </w:p>
    <w:p w:rsidR="001F3F45" w:rsidRPr="00C64DEF" w:rsidRDefault="00343EFB">
      <w:pPr>
        <w:pStyle w:val="Testonotaapidipagina"/>
        <w:rPr>
          <w:lang w:val="it-CH"/>
        </w:rPr>
      </w:pPr>
      <w:hyperlink r:id="rId5">
        <w:r w:rsidR="001F3F45" w:rsidRPr="00C64DEF">
          <w:rPr>
            <w:rFonts w:ascii="Arial" w:eastAsia="Arial" w:hAnsi="Arial" w:cs="Arial"/>
            <w:color w:val="0000FF"/>
            <w:sz w:val="20"/>
            <w:szCs w:val="22"/>
            <w:u w:val="single" w:color="0000FF"/>
            <w:lang w:val="it-IT"/>
          </w:rPr>
          <w:t>Raccomandazioni CDS ­ standard minimi di qualità REHA ­ versione tedesca</w:t>
        </w:r>
      </w:hyperlink>
    </w:p>
  </w:footnote>
  <w:footnote w:id="4">
    <w:p w:rsidR="001F3F45" w:rsidRPr="00DC243B" w:rsidRDefault="001F3F45" w:rsidP="00FE72E6">
      <w:pPr>
        <w:spacing w:before="91"/>
      </w:pPr>
      <w:r>
        <w:rPr>
          <w:rStyle w:val="Rimandonotaapidipagina"/>
        </w:rPr>
        <w:footnoteRef/>
      </w:r>
      <w:r>
        <w:t xml:space="preserve"> </w:t>
      </w:r>
      <w:r w:rsidRPr="00DC243B">
        <w:rPr>
          <w:rFonts w:eastAsia="Arial" w:cs="Arial"/>
          <w:lang w:val="it-IT"/>
        </w:rPr>
        <w:t>Cfr.</w:t>
      </w:r>
      <w:r w:rsidRPr="00DC243B">
        <w:rPr>
          <w:rFonts w:eastAsia="Arial" w:cs="Arial"/>
          <w:spacing w:val="-2"/>
          <w:lang w:val="it-IT"/>
        </w:rPr>
        <w:t xml:space="preserve"> </w:t>
      </w:r>
      <w:r w:rsidRPr="00DC243B">
        <w:rPr>
          <w:rFonts w:eastAsia="Arial" w:cs="Arial"/>
          <w:lang w:val="it-IT"/>
        </w:rPr>
        <w:t>ad</w:t>
      </w:r>
      <w:r w:rsidRPr="00DC243B">
        <w:rPr>
          <w:rFonts w:eastAsia="Arial" w:cs="Arial"/>
          <w:spacing w:val="-6"/>
          <w:lang w:val="it-IT"/>
        </w:rPr>
        <w:t xml:space="preserve"> </w:t>
      </w:r>
      <w:r w:rsidRPr="00DC243B">
        <w:rPr>
          <w:rFonts w:eastAsia="Arial" w:cs="Arial"/>
          <w:lang w:val="it-IT"/>
        </w:rPr>
        <w:t>es.</w:t>
      </w:r>
      <w:r w:rsidRPr="00DC243B">
        <w:rPr>
          <w:rFonts w:eastAsia="Arial" w:cs="Arial"/>
          <w:spacing w:val="-5"/>
          <w:lang w:val="it-IT"/>
        </w:rPr>
        <w:t xml:space="preserve"> </w:t>
      </w:r>
      <w:r>
        <w:rPr>
          <w:rFonts w:eastAsia="Arial" w:cs="Arial"/>
          <w:lang w:val="it-IT"/>
        </w:rPr>
        <w:t>"</w:t>
      </w:r>
      <w:hyperlink r:id="rId6" w:history="1">
        <w:r w:rsidRPr="00DC243B">
          <w:rPr>
            <w:rStyle w:val="Collegamentoipertestuale"/>
            <w:rFonts w:eastAsia="Arial" w:cs="Arial"/>
            <w:lang w:val="it-IT"/>
          </w:rPr>
          <w:t>Eoc:</w:t>
        </w:r>
        <w:r w:rsidRPr="00DC243B">
          <w:rPr>
            <w:rStyle w:val="Collegamentoipertestuale"/>
            <w:rFonts w:eastAsia="Arial" w:cs="Arial"/>
            <w:spacing w:val="-4"/>
            <w:lang w:val="it-IT"/>
          </w:rPr>
          <w:t xml:space="preserve"> </w:t>
        </w:r>
        <w:r w:rsidRPr="00DC243B">
          <w:rPr>
            <w:rStyle w:val="Collegamentoipertestuale"/>
            <w:rFonts w:eastAsia="Arial" w:cs="Arial"/>
            <w:lang w:val="it-IT"/>
          </w:rPr>
          <w:t>'Solo</w:t>
        </w:r>
        <w:r w:rsidRPr="00DC243B">
          <w:rPr>
            <w:rStyle w:val="Collegamentoipertestuale"/>
            <w:rFonts w:eastAsia="Arial" w:cs="Arial"/>
            <w:spacing w:val="-3"/>
            <w:lang w:val="it-IT"/>
          </w:rPr>
          <w:t xml:space="preserve"> </w:t>
        </w:r>
        <w:r w:rsidRPr="00DC243B">
          <w:rPr>
            <w:rStyle w:val="Collegamentoipertestuale"/>
            <w:rFonts w:eastAsia="Arial" w:cs="Arial"/>
            <w:lang w:val="it-IT"/>
          </w:rPr>
          <w:t>il</w:t>
        </w:r>
        <w:r w:rsidRPr="00DC243B">
          <w:rPr>
            <w:rStyle w:val="Collegamentoipertestuale"/>
            <w:rFonts w:eastAsia="Arial" w:cs="Arial"/>
            <w:spacing w:val="-4"/>
            <w:lang w:val="it-IT"/>
          </w:rPr>
          <w:t xml:space="preserve"> </w:t>
        </w:r>
        <w:r w:rsidRPr="00DC243B">
          <w:rPr>
            <w:rStyle w:val="Collegamentoipertestuale"/>
            <w:rFonts w:eastAsia="Arial" w:cs="Arial"/>
            <w:lang w:val="it-IT"/>
          </w:rPr>
          <w:t>Ticino</w:t>
        </w:r>
        <w:r w:rsidRPr="00DC243B">
          <w:rPr>
            <w:rStyle w:val="Collegamentoipertestuale"/>
            <w:rFonts w:eastAsia="Arial" w:cs="Arial"/>
            <w:spacing w:val="-4"/>
            <w:lang w:val="it-IT"/>
          </w:rPr>
          <w:t xml:space="preserve"> </w:t>
        </w:r>
        <w:r w:rsidRPr="00DC243B">
          <w:rPr>
            <w:rStyle w:val="Collegamentoipertestuale"/>
            <w:rFonts w:eastAsia="Arial" w:cs="Arial"/>
            <w:lang w:val="it-IT"/>
          </w:rPr>
          <w:t>non</w:t>
        </w:r>
        <w:r w:rsidRPr="00DC243B">
          <w:rPr>
            <w:rStyle w:val="Collegamentoipertestuale"/>
            <w:rFonts w:eastAsia="Arial" w:cs="Arial"/>
            <w:spacing w:val="-6"/>
            <w:lang w:val="it-IT"/>
          </w:rPr>
          <w:t xml:space="preserve"> </w:t>
        </w:r>
        <w:r w:rsidRPr="00DC243B">
          <w:rPr>
            <w:rStyle w:val="Collegamentoipertestuale"/>
            <w:rFonts w:eastAsia="Arial" w:cs="Arial"/>
            <w:lang w:val="it-IT"/>
          </w:rPr>
          <w:t>investe</w:t>
        </w:r>
        <w:r w:rsidRPr="00DC243B">
          <w:rPr>
            <w:rStyle w:val="Collegamentoipertestuale"/>
            <w:rFonts w:eastAsia="Arial" w:cs="Arial"/>
            <w:spacing w:val="-4"/>
            <w:lang w:val="it-IT"/>
          </w:rPr>
          <w:t xml:space="preserve"> </w:t>
        </w:r>
        <w:r w:rsidRPr="00DC243B">
          <w:rPr>
            <w:rStyle w:val="Collegamentoipertestuale"/>
            <w:rFonts w:eastAsia="Arial" w:cs="Arial"/>
            <w:lang w:val="it-IT"/>
          </w:rPr>
          <w:t>nella</w:t>
        </w:r>
        <w:r w:rsidRPr="00DC243B">
          <w:rPr>
            <w:rStyle w:val="Collegamentoipertestuale"/>
            <w:rFonts w:eastAsia="Arial" w:cs="Arial"/>
            <w:spacing w:val="-4"/>
            <w:lang w:val="it-IT"/>
          </w:rPr>
          <w:t xml:space="preserve"> </w:t>
        </w:r>
        <w:r w:rsidRPr="00DC243B">
          <w:rPr>
            <w:rStyle w:val="Collegamentoipertestuale"/>
            <w:rFonts w:eastAsia="Arial" w:cs="Arial"/>
            <w:lang w:val="it-IT"/>
          </w:rPr>
          <w:t>ricerca'</w:t>
        </w:r>
      </w:hyperlink>
      <w:r>
        <w:rPr>
          <w:rFonts w:eastAsia="Arial" w:cs="Arial"/>
          <w:lang w:val="it-IT"/>
        </w:rPr>
        <w:t>"</w:t>
      </w:r>
      <w:r w:rsidRPr="00DC243B">
        <w:rPr>
          <w:rFonts w:eastAsia="Arial" w:cs="Arial"/>
          <w:lang w:val="it-IT"/>
        </w:rPr>
        <w:t>,</w:t>
      </w:r>
      <w:r w:rsidRPr="00DC243B">
        <w:rPr>
          <w:rFonts w:eastAsia="Arial" w:cs="Arial"/>
          <w:spacing w:val="-3"/>
          <w:lang w:val="it-IT"/>
        </w:rPr>
        <w:t xml:space="preserve"> </w:t>
      </w:r>
      <w:r w:rsidRPr="00DC243B">
        <w:rPr>
          <w:rFonts w:eastAsia="Arial" w:cs="Arial"/>
          <w:lang w:val="it-IT"/>
        </w:rPr>
        <w:t>La</w:t>
      </w:r>
      <w:r w:rsidRPr="00DC243B">
        <w:rPr>
          <w:rFonts w:eastAsia="Arial" w:cs="Arial"/>
          <w:spacing w:val="-4"/>
          <w:lang w:val="it-IT"/>
        </w:rPr>
        <w:t xml:space="preserve"> </w:t>
      </w:r>
      <w:r w:rsidRPr="00DC243B">
        <w:rPr>
          <w:rFonts w:eastAsia="Arial" w:cs="Arial"/>
          <w:lang w:val="it-IT"/>
        </w:rPr>
        <w:t>Regione,</w:t>
      </w:r>
      <w:r w:rsidRPr="00DC243B">
        <w:rPr>
          <w:rFonts w:eastAsia="Arial" w:cs="Arial"/>
          <w:spacing w:val="-4"/>
          <w:lang w:val="it-IT"/>
        </w:rPr>
        <w:t xml:space="preserve"> </w:t>
      </w:r>
      <w:r w:rsidRPr="00DC243B">
        <w:rPr>
          <w:rFonts w:eastAsia="Arial" w:cs="Arial"/>
          <w:spacing w:val="-2"/>
          <w:lang w:val="it-IT"/>
        </w:rPr>
        <w:t>20.06.2024.</w:t>
      </w:r>
    </w:p>
  </w:footnote>
  <w:footnote w:id="5">
    <w:p w:rsidR="001F3F45" w:rsidRPr="001D5B09" w:rsidRDefault="001F3F45" w:rsidP="001D5B09">
      <w:pPr>
        <w:spacing w:before="91"/>
        <w:ind w:left="180"/>
      </w:pPr>
      <w:r>
        <w:rPr>
          <w:rStyle w:val="Rimandonotaapidipagina"/>
        </w:rPr>
        <w:footnoteRef/>
      </w:r>
      <w:r>
        <w:t xml:space="preserve"> </w:t>
      </w:r>
      <w:r w:rsidRPr="001D5B09">
        <w:rPr>
          <w:rFonts w:eastAsia="Arial" w:cs="Arial"/>
          <w:lang w:val="it-IT"/>
        </w:rPr>
        <w:t>Applicabile</w:t>
      </w:r>
      <w:r w:rsidRPr="001D5B09">
        <w:rPr>
          <w:rFonts w:eastAsia="Arial" w:cs="Arial"/>
          <w:spacing w:val="-5"/>
          <w:lang w:val="it-IT"/>
        </w:rPr>
        <w:t xml:space="preserve"> </w:t>
      </w:r>
      <w:r w:rsidRPr="001D5B09">
        <w:rPr>
          <w:rFonts w:eastAsia="Arial" w:cs="Arial"/>
          <w:lang w:val="it-IT"/>
        </w:rPr>
        <w:t>solo</w:t>
      </w:r>
      <w:r w:rsidRPr="001D5B09">
        <w:rPr>
          <w:rFonts w:eastAsia="Arial" w:cs="Arial"/>
          <w:spacing w:val="-5"/>
          <w:lang w:val="it-IT"/>
        </w:rPr>
        <w:t xml:space="preserve"> </w:t>
      </w:r>
      <w:r w:rsidRPr="001D5B09">
        <w:rPr>
          <w:rFonts w:eastAsia="Arial" w:cs="Arial"/>
          <w:lang w:val="it-IT"/>
        </w:rPr>
        <w:t>se</w:t>
      </w:r>
      <w:r w:rsidRPr="001D5B09">
        <w:rPr>
          <w:rFonts w:eastAsia="Arial" w:cs="Arial"/>
          <w:spacing w:val="-4"/>
          <w:lang w:val="it-IT"/>
        </w:rPr>
        <w:t xml:space="preserve"> </w:t>
      </w:r>
      <w:r>
        <w:rPr>
          <w:rFonts w:eastAsia="Arial" w:cs="Arial"/>
          <w:lang w:val="it-IT"/>
        </w:rPr>
        <w:t>l'</w:t>
      </w:r>
      <w:r w:rsidRPr="001D5B09">
        <w:rPr>
          <w:rFonts w:eastAsia="Arial" w:cs="Arial"/>
          <w:lang w:val="it-IT"/>
        </w:rPr>
        <w:t>istituto</w:t>
      </w:r>
      <w:r w:rsidRPr="001D5B09">
        <w:rPr>
          <w:rFonts w:eastAsia="Arial" w:cs="Arial"/>
          <w:spacing w:val="-5"/>
          <w:lang w:val="it-IT"/>
        </w:rPr>
        <w:t xml:space="preserve"> </w:t>
      </w:r>
      <w:r w:rsidRPr="001D5B09">
        <w:rPr>
          <w:rFonts w:eastAsia="Arial" w:cs="Arial"/>
          <w:lang w:val="it-IT"/>
        </w:rPr>
        <w:t>aveva</w:t>
      </w:r>
      <w:r w:rsidRPr="001D5B09">
        <w:rPr>
          <w:rFonts w:eastAsia="Arial" w:cs="Arial"/>
          <w:spacing w:val="-5"/>
          <w:lang w:val="it-IT"/>
        </w:rPr>
        <w:t xml:space="preserve"> </w:t>
      </w:r>
      <w:r w:rsidRPr="001D5B09">
        <w:rPr>
          <w:rFonts w:eastAsia="Arial" w:cs="Arial"/>
          <w:lang w:val="it-IT"/>
        </w:rPr>
        <w:t>già</w:t>
      </w:r>
      <w:r w:rsidRPr="001D5B09">
        <w:rPr>
          <w:rFonts w:eastAsia="Arial" w:cs="Arial"/>
          <w:spacing w:val="-4"/>
          <w:lang w:val="it-IT"/>
        </w:rPr>
        <w:t xml:space="preserve"> </w:t>
      </w:r>
      <w:r w:rsidRPr="001D5B09">
        <w:rPr>
          <w:rFonts w:eastAsia="Arial" w:cs="Arial"/>
          <w:lang w:val="it-IT"/>
        </w:rPr>
        <w:t>il</w:t>
      </w:r>
      <w:r w:rsidRPr="001D5B09">
        <w:rPr>
          <w:rFonts w:eastAsia="Arial" w:cs="Arial"/>
          <w:spacing w:val="-8"/>
          <w:lang w:val="it-IT"/>
        </w:rPr>
        <w:t xml:space="preserve"> </w:t>
      </w:r>
      <w:r w:rsidRPr="001D5B09">
        <w:rPr>
          <w:rFonts w:eastAsia="Arial" w:cs="Arial"/>
          <w:lang w:val="it-IT"/>
        </w:rPr>
        <w:t>mandato</w:t>
      </w:r>
      <w:r w:rsidRPr="001D5B09">
        <w:rPr>
          <w:rFonts w:eastAsia="Arial" w:cs="Arial"/>
          <w:spacing w:val="-8"/>
          <w:lang w:val="it-IT"/>
        </w:rPr>
        <w:t xml:space="preserve"> </w:t>
      </w:r>
      <w:r w:rsidRPr="001D5B09">
        <w:rPr>
          <w:rFonts w:eastAsia="Arial" w:cs="Arial"/>
          <w:lang w:val="it-IT"/>
        </w:rPr>
        <w:t>con</w:t>
      </w:r>
      <w:r w:rsidRPr="001D5B09">
        <w:rPr>
          <w:rFonts w:eastAsia="Arial" w:cs="Arial"/>
          <w:spacing w:val="-5"/>
          <w:lang w:val="it-IT"/>
        </w:rPr>
        <w:t xml:space="preserve"> </w:t>
      </w:r>
      <w:r w:rsidRPr="001D5B09">
        <w:rPr>
          <w:rFonts w:eastAsia="Arial" w:cs="Arial"/>
          <w:lang w:val="it-IT"/>
        </w:rPr>
        <w:t>la</w:t>
      </w:r>
      <w:r w:rsidRPr="001D5B09">
        <w:rPr>
          <w:rFonts w:eastAsia="Arial" w:cs="Arial"/>
          <w:spacing w:val="-4"/>
          <w:lang w:val="it-IT"/>
        </w:rPr>
        <w:t xml:space="preserve"> </w:t>
      </w:r>
      <w:r>
        <w:rPr>
          <w:rFonts w:eastAsia="Arial" w:cs="Arial"/>
          <w:lang w:val="it-IT"/>
        </w:rPr>
        <w:t>P</w:t>
      </w:r>
      <w:r w:rsidRPr="001D5B09">
        <w:rPr>
          <w:rFonts w:eastAsia="Arial" w:cs="Arial"/>
          <w:lang w:val="it-IT"/>
        </w:rPr>
        <w:t>ianificazione</w:t>
      </w:r>
      <w:r w:rsidRPr="001D5B09">
        <w:rPr>
          <w:rFonts w:eastAsia="Arial" w:cs="Arial"/>
          <w:spacing w:val="-4"/>
          <w:lang w:val="it-IT"/>
        </w:rPr>
        <w:t xml:space="preserve"> </w:t>
      </w:r>
      <w:r w:rsidRPr="001D5B09">
        <w:rPr>
          <w:rFonts w:eastAsia="Arial" w:cs="Arial"/>
          <w:lang w:val="it-IT"/>
        </w:rPr>
        <w:t>in</w:t>
      </w:r>
      <w:r w:rsidRPr="001D5B09">
        <w:rPr>
          <w:rFonts w:eastAsia="Arial" w:cs="Arial"/>
          <w:spacing w:val="-5"/>
          <w:lang w:val="it-IT"/>
        </w:rPr>
        <w:t xml:space="preserve"> </w:t>
      </w:r>
      <w:r w:rsidRPr="001D5B09">
        <w:rPr>
          <w:rFonts w:eastAsia="Arial" w:cs="Arial"/>
          <w:spacing w:val="-2"/>
          <w:lang w:val="it-IT"/>
        </w:rPr>
        <w:t>essere.</w:t>
      </w:r>
    </w:p>
  </w:footnote>
  <w:footnote w:id="6">
    <w:p w:rsidR="001F3F45" w:rsidRPr="003E5EE0" w:rsidRDefault="001F3F45">
      <w:pPr>
        <w:pStyle w:val="Testonotaapidipagina"/>
        <w:rPr>
          <w:lang w:val="it-CH"/>
        </w:rPr>
      </w:pPr>
      <w:r>
        <w:rPr>
          <w:rStyle w:val="Rimandonotaapidipagina"/>
        </w:rPr>
        <w:footnoteRef/>
      </w:r>
      <w:r w:rsidRPr="00FC5C9F">
        <w:rPr>
          <w:lang w:val="it-CH"/>
        </w:rPr>
        <w:t xml:space="preserve"> </w:t>
      </w:r>
      <w:r>
        <w:rPr>
          <w:lang w:val="it-CH"/>
        </w:rPr>
        <w:t xml:space="preserve">Cfr comunicato stampa 11.09.2024 reperibile su </w:t>
      </w:r>
      <w:hyperlink r:id="rId7" w:history="1">
        <w:r w:rsidRPr="00FC5C9F">
          <w:rPr>
            <w:rStyle w:val="Collegamentoipertestuale"/>
            <w:lang w:val="it-CH"/>
          </w:rPr>
          <w:t>www.eoc.ch</w:t>
        </w:r>
      </w:hyperlink>
      <w:r>
        <w:rPr>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C0" w:rsidRDefault="003446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1F3F45" w:rsidRPr="002747E7" w:rsidTr="00BE751F">
      <w:trPr>
        <w:trHeight w:val="562"/>
      </w:trPr>
      <w:tc>
        <w:tcPr>
          <w:tcW w:w="8383" w:type="dxa"/>
          <w:tcBorders>
            <w:left w:val="single" w:sz="4" w:space="0" w:color="auto"/>
            <w:bottom w:val="single" w:sz="4" w:space="0" w:color="auto"/>
          </w:tcBorders>
          <w:tcMar>
            <w:left w:w="142" w:type="dxa"/>
          </w:tcMar>
          <w:vAlign w:val="bottom"/>
        </w:tcPr>
        <w:p w:rsidR="001F3F45" w:rsidRDefault="00343EFB" w:rsidP="00BE751F">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F7BEA0F-9A8A-40BE-BB1E-B932A0638E22}"/>
              <w:text w:multiLine="1"/>
            </w:sdtPr>
            <w:sdtEndPr/>
            <w:sdtContent>
              <w:r w:rsidR="001F3F45">
                <w:rPr>
                  <w:rFonts w:ascii="Gill Alt One MT Light" w:hAnsi="Gill Alt One MT Light"/>
                  <w:sz w:val="16"/>
                  <w:szCs w:val="16"/>
                </w:rPr>
                <w:t>Repubblica e Cantone Ticino</w:t>
              </w:r>
            </w:sdtContent>
          </w:sdt>
        </w:p>
        <w:p w:rsidR="001F3F45" w:rsidRPr="00E8185F" w:rsidRDefault="00343EFB" w:rsidP="00BE751F">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F7BEA0F-9A8A-40BE-BB1E-B932A0638E22}"/>
              <w:text w:multiLine="1"/>
            </w:sdtPr>
            <w:sdtEndPr/>
            <w:sdtContent>
              <w:r w:rsidR="001F3F45">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1F3F45" w:rsidRPr="004204CB" w:rsidRDefault="001F3F45" w:rsidP="00BE751F">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43EFB">
            <w:rPr>
              <w:noProof/>
              <w:sz w:val="24"/>
            </w:rPr>
            <w:t>58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43EFB">
            <w:rPr>
              <w:noProof/>
              <w:sz w:val="24"/>
            </w:rPr>
            <w:t>60</w:t>
          </w:r>
          <w:r w:rsidRPr="004204CB">
            <w:rPr>
              <w:noProof/>
              <w:sz w:val="24"/>
            </w:rPr>
            <w:fldChar w:fldCharType="end"/>
          </w:r>
        </w:p>
      </w:tc>
    </w:tr>
    <w:tr w:rsidR="001F3F45" w:rsidRPr="009E444B" w:rsidTr="00BE751F">
      <w:trPr>
        <w:trHeight w:val="334"/>
      </w:trPr>
      <w:sdt>
        <w:sdtPr>
          <w:rPr>
            <w:rFonts w:ascii="Gill Sans Display MT Pro BdCn" w:hAnsi="Gill Sans Display MT Pro BdCn"/>
            <w:sz w:val="18"/>
            <w:szCs w:val="18"/>
          </w:rPr>
          <w:alias w:val="CustomElements.Fields.Titolo2"/>
          <w:id w:val="48588533"/>
          <w:dataBinding w:xpath="//Text[@id='CustomElements.Fields.Titolo2']" w:storeItemID="{7F7BEA0F-9A8A-40BE-BB1E-B932A0638E22}"/>
          <w:text w:multiLine="1"/>
        </w:sdtPr>
        <w:sdtEndPr/>
        <w:sdtContent>
          <w:tc>
            <w:tcPr>
              <w:tcW w:w="8383" w:type="dxa"/>
              <w:tcBorders>
                <w:left w:val="single" w:sz="4" w:space="0" w:color="auto"/>
              </w:tcBorders>
              <w:tcMar>
                <w:top w:w="0" w:type="dxa"/>
                <w:left w:w="142" w:type="dxa"/>
              </w:tcMar>
            </w:tcPr>
            <w:p w:rsidR="001F3F45" w:rsidRPr="003446C0" w:rsidRDefault="003446C0" w:rsidP="00BE751F">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8250 R del 10 ottobre 2024</w:t>
              </w:r>
            </w:p>
          </w:tc>
        </w:sdtContent>
      </w:sdt>
      <w:tc>
        <w:tcPr>
          <w:tcW w:w="1710" w:type="dxa"/>
          <w:tcBorders>
            <w:top w:val="single" w:sz="4" w:space="0" w:color="auto"/>
          </w:tcBorders>
        </w:tcPr>
        <w:p w:rsidR="001F3F45" w:rsidRPr="003446C0" w:rsidRDefault="001F3F45" w:rsidP="00BE751F">
          <w:pPr>
            <w:pStyle w:val="InvisibleLine"/>
            <w:rPr>
              <w:lang w:val="it-CH"/>
            </w:rPr>
          </w:pPr>
        </w:p>
      </w:tc>
    </w:tr>
  </w:tbl>
  <w:p w:rsidR="001F3F45" w:rsidRDefault="001F3F45" w:rsidP="00312AA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F7BEA0F-9A8A-40BE-BB1E-B932A0638E22}"/>
                            <w:text w:multiLine="1"/>
                          </w:sdtPr>
                          <w:sdtEndPr/>
                          <w:sdtContent>
                            <w:p w:rsidR="001F3F45" w:rsidRPr="00411371" w:rsidRDefault="001F3F45" w:rsidP="00BE751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7"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14AA14D-FC90-463A-803A-35CBBFB95402}"/>
                      <w:text w:multiLine="1"/>
                    </w:sdtPr>
                    <w:sdtEndPr/>
                    <w:sdtContent>
                      <w:p w:rsidR="001F3F45" w:rsidRPr="00411371" w:rsidRDefault="001F3F45" w:rsidP="00BE751F">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1F3F45" w:rsidRPr="0004624C" w:rsidTr="00BE751F">
      <w:trPr>
        <w:trHeight w:hRule="exact" w:val="584"/>
      </w:trPr>
      <w:tc>
        <w:tcPr>
          <w:tcW w:w="2440" w:type="pct"/>
          <w:gridSpan w:val="3"/>
          <w:tcBorders>
            <w:top w:val="nil"/>
            <w:left w:val="nil"/>
            <w:bottom w:val="single" w:sz="4" w:space="0" w:color="auto"/>
          </w:tcBorders>
        </w:tcPr>
        <w:p w:rsidR="001F3F45" w:rsidRDefault="001F3F45" w:rsidP="00BE751F">
          <w:pPr>
            <w:pStyle w:val="InvisibleLine"/>
            <w:spacing w:line="240" w:lineRule="auto"/>
            <w:ind w:left="15"/>
            <w:rPr>
              <w:rFonts w:ascii="Gill Alt One MT Light" w:hAnsi="Gill Alt One MT Light"/>
              <w:sz w:val="16"/>
              <w:lang w:val="it-CH"/>
            </w:rPr>
          </w:pPr>
        </w:p>
        <w:p w:rsidR="001F3F45" w:rsidRDefault="001F3F45" w:rsidP="00BE751F">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1F3F45" w:rsidRPr="008966E7" w:rsidRDefault="001F3F45" w:rsidP="00BE751F">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1F3F45" w:rsidRPr="003108C0" w:rsidRDefault="001F3F45" w:rsidP="00BE751F">
          <w:pPr>
            <w:pStyle w:val="Level"/>
            <w:ind w:left="150"/>
            <w:rPr>
              <w:sz w:val="16"/>
            </w:rPr>
          </w:pPr>
        </w:p>
      </w:tc>
      <w:tc>
        <w:tcPr>
          <w:tcW w:w="209" w:type="pct"/>
          <w:tcBorders>
            <w:top w:val="nil"/>
            <w:bottom w:val="single" w:sz="4" w:space="0" w:color="auto"/>
          </w:tcBorders>
        </w:tcPr>
        <w:p w:rsidR="001F3F45" w:rsidRDefault="001F3F45" w:rsidP="00BE751F">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0682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1F3F45" w:rsidRPr="0038453D" w:rsidRDefault="001F3F45" w:rsidP="00BE751F">
          <w:pPr>
            <w:pStyle w:val="HeaderDecisione"/>
            <w:spacing w:after="60"/>
            <w:ind w:left="150"/>
            <w:jc w:val="right"/>
            <w:rPr>
              <w:rFonts w:ascii="Calibri" w:hAnsi="Calibri" w:cs="Calibri"/>
              <w:sz w:val="24"/>
            </w:rPr>
          </w:pPr>
          <w:r w:rsidRPr="0038453D">
            <w:rPr>
              <w:rFonts w:ascii="Calibri" w:hAnsi="Calibri" w:cs="Calibri"/>
              <w:sz w:val="24"/>
            </w:rPr>
            <w:fldChar w:fldCharType="begin"/>
          </w:r>
          <w:r w:rsidRPr="0038453D">
            <w:rPr>
              <w:rFonts w:ascii="Calibri" w:hAnsi="Calibri" w:cs="Calibri"/>
              <w:sz w:val="24"/>
            </w:rPr>
            <w:instrText xml:space="preserve"> PAGE   \* MERGEFORMAT </w:instrText>
          </w:r>
          <w:r w:rsidRPr="0038453D">
            <w:rPr>
              <w:rFonts w:ascii="Calibri" w:hAnsi="Calibri" w:cs="Calibri"/>
              <w:sz w:val="24"/>
            </w:rPr>
            <w:fldChar w:fldCharType="separate"/>
          </w:r>
          <w:r w:rsidR="00343EFB">
            <w:rPr>
              <w:rFonts w:ascii="Calibri" w:hAnsi="Calibri" w:cs="Calibri"/>
              <w:noProof/>
              <w:sz w:val="24"/>
            </w:rPr>
            <w:t>1</w:t>
          </w:r>
          <w:r w:rsidRPr="0038453D">
            <w:rPr>
              <w:rFonts w:ascii="Calibri" w:hAnsi="Calibri" w:cs="Calibri"/>
              <w:sz w:val="24"/>
            </w:rPr>
            <w:fldChar w:fldCharType="end"/>
          </w:r>
          <w:r w:rsidRPr="0038453D">
            <w:rPr>
              <w:rFonts w:ascii="Calibri" w:hAnsi="Calibri" w:cs="Calibri"/>
              <w:sz w:val="24"/>
            </w:rPr>
            <w:t xml:space="preserve"> di </w:t>
          </w:r>
          <w:r w:rsidRPr="0038453D">
            <w:rPr>
              <w:rFonts w:ascii="Calibri" w:hAnsi="Calibri" w:cs="Calibri"/>
              <w:sz w:val="24"/>
            </w:rPr>
            <w:fldChar w:fldCharType="begin"/>
          </w:r>
          <w:r w:rsidRPr="0038453D">
            <w:rPr>
              <w:rFonts w:ascii="Calibri" w:hAnsi="Calibri" w:cs="Calibri"/>
              <w:sz w:val="24"/>
            </w:rPr>
            <w:instrText xml:space="preserve"> NUMPAGES   \* MERGEFORMAT </w:instrText>
          </w:r>
          <w:r w:rsidRPr="0038453D">
            <w:rPr>
              <w:rFonts w:ascii="Calibri" w:hAnsi="Calibri" w:cs="Calibri"/>
              <w:sz w:val="24"/>
            </w:rPr>
            <w:fldChar w:fldCharType="separate"/>
          </w:r>
          <w:r w:rsidR="00343EFB">
            <w:rPr>
              <w:rFonts w:ascii="Calibri" w:hAnsi="Calibri" w:cs="Calibri"/>
              <w:noProof/>
              <w:sz w:val="24"/>
            </w:rPr>
            <w:t>60</w:t>
          </w:r>
          <w:r w:rsidRPr="0038453D">
            <w:rPr>
              <w:rFonts w:ascii="Calibri" w:hAnsi="Calibri" w:cs="Calibri"/>
              <w:noProof/>
              <w:sz w:val="24"/>
            </w:rPr>
            <w:fldChar w:fldCharType="end"/>
          </w:r>
        </w:p>
      </w:tc>
    </w:tr>
    <w:tr w:rsidR="001F3F45" w:rsidRPr="0004624C" w:rsidTr="00BE751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F7BEA0F-9A8A-40BE-BB1E-B932A0638E22}"/>
          <w:text w:multiLine="1"/>
        </w:sdtPr>
        <w:sdtEndPr/>
        <w:sdtContent>
          <w:tc>
            <w:tcPr>
              <w:tcW w:w="5000" w:type="pct"/>
              <w:gridSpan w:val="6"/>
              <w:tcBorders>
                <w:left w:val="nil"/>
                <w:right w:val="nil"/>
              </w:tcBorders>
              <w:noWrap/>
              <w:tcMar>
                <w:top w:w="0" w:type="dxa"/>
              </w:tcMar>
              <w:vAlign w:val="bottom"/>
            </w:tcPr>
            <w:p w:rsidR="001F3F45" w:rsidRPr="008C03B5" w:rsidRDefault="001F3F45" w:rsidP="00BE751F">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1F3F45" w:rsidRPr="0004624C" w:rsidTr="00BE751F">
      <w:trPr>
        <w:trHeight w:hRule="exact" w:val="306"/>
      </w:trPr>
      <w:tc>
        <w:tcPr>
          <w:tcW w:w="670" w:type="pct"/>
          <w:tcBorders>
            <w:left w:val="nil"/>
            <w:bottom w:val="nil"/>
          </w:tcBorders>
          <w:noWrap/>
          <w:tcMar>
            <w:top w:w="57" w:type="dxa"/>
            <w:left w:w="142" w:type="dxa"/>
          </w:tcMar>
        </w:tcPr>
        <w:p w:rsidR="001F3F45" w:rsidRPr="00C7320A" w:rsidRDefault="001F3F45" w:rsidP="00BE751F">
          <w:pPr>
            <w:pStyle w:val="Level"/>
            <w:spacing w:before="60"/>
            <w:rPr>
              <w:rFonts w:ascii="Gill Alt One MT Light" w:hAnsi="Gill Alt One MT Light"/>
              <w:sz w:val="16"/>
            </w:rPr>
          </w:pPr>
          <w:r w:rsidRPr="00C7320A">
            <w:rPr>
              <w:rFonts w:ascii="Gill Alt One MT Light" w:hAnsi="Gill Alt One MT Light"/>
              <w:sz w:val="16"/>
            </w:rPr>
            <w:t>numero</w:t>
          </w:r>
        </w:p>
        <w:p w:rsidR="001F3F45" w:rsidRPr="00C7320A" w:rsidRDefault="001F3F45" w:rsidP="00BE751F">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1F3F45" w:rsidRPr="00C7320A" w:rsidRDefault="001F3F45" w:rsidP="00BE751F">
          <w:pPr>
            <w:pStyle w:val="Level"/>
            <w:spacing w:before="60"/>
            <w:rPr>
              <w:rFonts w:ascii="Gill Alt One MT Light" w:hAnsi="Gill Alt One MT Light"/>
              <w:sz w:val="16"/>
            </w:rPr>
          </w:pPr>
          <w:r w:rsidRPr="00C7320A">
            <w:rPr>
              <w:rFonts w:ascii="Gill Alt One MT Light" w:hAnsi="Gill Alt One MT Light"/>
              <w:sz w:val="16"/>
            </w:rPr>
            <w:t>data</w:t>
          </w:r>
        </w:p>
        <w:p w:rsidR="001F3F45" w:rsidRPr="00C7320A" w:rsidRDefault="001F3F45" w:rsidP="00BE751F">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1F3F45" w:rsidRPr="00C7320A" w:rsidRDefault="001F3F45" w:rsidP="00BE751F">
          <w:pPr>
            <w:pStyle w:val="Level"/>
            <w:spacing w:before="60"/>
            <w:rPr>
              <w:rFonts w:ascii="Gill Alt One MT Light" w:hAnsi="Gill Alt One MT Light"/>
              <w:sz w:val="16"/>
            </w:rPr>
          </w:pPr>
          <w:r>
            <w:rPr>
              <w:rFonts w:ascii="Gill Alt One MT Light" w:hAnsi="Gill Alt One MT Light"/>
              <w:sz w:val="16"/>
            </w:rPr>
            <w:t>competenza</w:t>
          </w:r>
        </w:p>
        <w:p w:rsidR="001F3F45" w:rsidRPr="008C03B5" w:rsidRDefault="001F3F45" w:rsidP="00BE751F">
          <w:pPr>
            <w:pStyle w:val="Level"/>
            <w:spacing w:before="60" w:line="240" w:lineRule="auto"/>
            <w:rPr>
              <w:rFonts w:ascii="Gill Alt One MT Light" w:hAnsi="Gill Alt One MT Light"/>
              <w:sz w:val="16"/>
            </w:rPr>
          </w:pPr>
        </w:p>
      </w:tc>
    </w:tr>
    <w:tr w:rsidR="001F3F45" w:rsidRPr="0004624C" w:rsidTr="00BE751F">
      <w:trPr>
        <w:trHeight w:hRule="exact" w:val="699"/>
      </w:trPr>
      <w:tc>
        <w:tcPr>
          <w:tcW w:w="670" w:type="pct"/>
          <w:tcBorders>
            <w:top w:val="nil"/>
            <w:left w:val="nil"/>
            <w:bottom w:val="single" w:sz="4" w:space="0" w:color="auto"/>
            <w:right w:val="nil"/>
          </w:tcBorders>
          <w:noWrap/>
          <w:tcMar>
            <w:top w:w="0" w:type="dxa"/>
          </w:tcMar>
        </w:tcPr>
        <w:p w:rsidR="001F3F45" w:rsidRPr="0038453D" w:rsidRDefault="00343EFB" w:rsidP="00EC4066">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7F7BEA0F-9A8A-40BE-BB1E-B932A0638E22}"/>
              <w:text w:multiLine="1"/>
            </w:sdtPr>
            <w:sdtEndPr>
              <w:rPr>
                <w:rFonts w:cstheme="minorBidi"/>
              </w:rPr>
            </w:sdtEndPr>
            <w:sdtContent>
              <w:r w:rsidR="003446C0">
                <w:rPr>
                  <w:rFonts w:cs="Calibri"/>
                  <w:b/>
                  <w:sz w:val="24"/>
                  <w:szCs w:val="24"/>
                </w:rPr>
                <w:t>8250 R</w:t>
              </w:r>
            </w:sdtContent>
          </w:sdt>
        </w:p>
      </w:tc>
      <w:sdt>
        <w:sdtPr>
          <w:rPr>
            <w:sz w:val="24"/>
          </w:rPr>
          <w:alias w:val="DocParam.Date"/>
          <w:id w:val="-464426178"/>
          <w:dataBinding w:xpath="//DateTime[@id='DocParam.Date']" w:storeItemID="{7F7BEA0F-9A8A-40BE-BB1E-B932A0638E22}"/>
          <w:date w:fullDate="2024-10-1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1F3F45" w:rsidRPr="002A0371" w:rsidRDefault="003446C0" w:rsidP="00BE751F">
              <w:pPr>
                <w:pStyle w:val="Data"/>
              </w:pPr>
              <w:r>
                <w:rPr>
                  <w:sz w:val="24"/>
                </w:rPr>
                <w:t>10 ottobre 2024</w:t>
              </w:r>
            </w:p>
          </w:tc>
        </w:sdtContent>
      </w:sdt>
      <w:tc>
        <w:tcPr>
          <w:tcW w:w="3218" w:type="pct"/>
          <w:gridSpan w:val="4"/>
          <w:tcBorders>
            <w:top w:val="nil"/>
            <w:left w:val="nil"/>
            <w:bottom w:val="nil"/>
            <w:right w:val="nil"/>
          </w:tcBorders>
        </w:tcPr>
        <w:p w:rsidR="001F3F45" w:rsidRPr="0038453D" w:rsidRDefault="00343EFB" w:rsidP="00BE751F">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7F7BEA0F-9A8A-40BE-BB1E-B932A0638E22}"/>
              <w:text w:multiLine="1"/>
            </w:sdtPr>
            <w:sdtEndPr/>
            <w:sdtContent>
              <w:r w:rsidR="001F3F45">
                <w:rPr>
                  <w:smallCaps/>
                  <w:sz w:val="23"/>
                  <w:szCs w:val="23"/>
                </w:rPr>
                <w:t>Dipartimento della sanità e della socialità</w:t>
              </w:r>
            </w:sdtContent>
          </w:sdt>
        </w:p>
      </w:tc>
    </w:tr>
    <w:tr w:rsidR="001F3F45" w:rsidRPr="00C63927" w:rsidTr="00BE751F">
      <w:trPr>
        <w:trHeight w:hRule="exact" w:val="198"/>
      </w:trPr>
      <w:tc>
        <w:tcPr>
          <w:tcW w:w="5000" w:type="pct"/>
          <w:gridSpan w:val="6"/>
          <w:tcBorders>
            <w:left w:val="nil"/>
            <w:bottom w:val="nil"/>
            <w:right w:val="nil"/>
          </w:tcBorders>
          <w:noWrap/>
          <w:tcMar>
            <w:top w:w="57" w:type="dxa"/>
            <w:left w:w="85" w:type="dxa"/>
            <w:bottom w:w="170" w:type="dxa"/>
          </w:tcMar>
        </w:tcPr>
        <w:p w:rsidR="001F3F45" w:rsidRPr="00C7320A" w:rsidRDefault="001F3F45" w:rsidP="00BE751F">
          <w:pPr>
            <w:pStyle w:val="Level"/>
            <w:ind w:left="150"/>
            <w:rPr>
              <w:rFonts w:ascii="Gill Alt One MT Light" w:hAnsi="Gill Alt One MT Light"/>
              <w:sz w:val="16"/>
              <w:szCs w:val="16"/>
            </w:rPr>
          </w:pPr>
        </w:p>
      </w:tc>
    </w:tr>
  </w:tbl>
  <w:p w:rsidR="001F3F45" w:rsidRPr="00DA2879" w:rsidRDefault="001F3F45" w:rsidP="00BE751F">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4396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F7BEA0F-9A8A-40BE-BB1E-B932A0638E22}"/>
                            <w:text w:multiLine="1"/>
                          </w:sdtPr>
                          <w:sdtEndPr/>
                          <w:sdtContent>
                            <w:p w:rsidR="001F3F45" w:rsidRPr="00411371" w:rsidRDefault="001F3F45" w:rsidP="00BE751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8"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14AA14D-FC90-463A-803A-35CBBFB95402}"/>
                      <w:text w:multiLine="1"/>
                    </w:sdtPr>
                    <w:sdtEndPr/>
                    <w:sdtContent>
                      <w:p w:rsidR="001F3F45" w:rsidRPr="00411371" w:rsidRDefault="001F3F45" w:rsidP="00BE751F">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127"/>
    <w:multiLevelType w:val="hybridMultilevel"/>
    <w:tmpl w:val="4ECAEE6A"/>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04A84C42"/>
    <w:multiLevelType w:val="hybridMultilevel"/>
    <w:tmpl w:val="9EFA7EC6"/>
    <w:lvl w:ilvl="0"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216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2" w15:restartNumberingAfterBreak="0">
    <w:nsid w:val="04B54A44"/>
    <w:multiLevelType w:val="hybridMultilevel"/>
    <w:tmpl w:val="A2DAEF46"/>
    <w:lvl w:ilvl="0" w:tplc="6A2C8F4E">
      <w:numFmt w:val="bullet"/>
      <w:lvlText w:val="●"/>
      <w:lvlJc w:val="left"/>
      <w:pPr>
        <w:ind w:left="1004"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724"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3" w15:restartNumberingAfterBreak="0">
    <w:nsid w:val="052D4C94"/>
    <w:multiLevelType w:val="hybridMultilevel"/>
    <w:tmpl w:val="3206674E"/>
    <w:lvl w:ilvl="0" w:tplc="B024DE14">
      <w:numFmt w:val="bullet"/>
      <w:lvlText w:val="●"/>
      <w:lvlJc w:val="left"/>
      <w:pPr>
        <w:ind w:left="1440" w:hanging="360"/>
      </w:pPr>
      <w:rPr>
        <w:rFonts w:ascii="Arial" w:eastAsia="Arial" w:hAnsi="Arial" w:cs="Arial" w:hint="default"/>
        <w:spacing w:val="0"/>
        <w:w w:val="100"/>
        <w:lang w:val="it-IT" w:eastAsia="en-US" w:bidi="ar-SA"/>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4" w15:restartNumberingAfterBreak="0">
    <w:nsid w:val="05A37D9E"/>
    <w:multiLevelType w:val="hybridMultilevel"/>
    <w:tmpl w:val="B6AA097E"/>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05D600C3"/>
    <w:multiLevelType w:val="hybridMultilevel"/>
    <w:tmpl w:val="4F04E204"/>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06687A9B"/>
    <w:multiLevelType w:val="hybridMultilevel"/>
    <w:tmpl w:val="2772B316"/>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07AB5BB5"/>
    <w:multiLevelType w:val="hybridMultilevel"/>
    <w:tmpl w:val="36BC17C8"/>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0CB70AB4"/>
    <w:multiLevelType w:val="hybridMultilevel"/>
    <w:tmpl w:val="BD587A38"/>
    <w:lvl w:ilvl="0" w:tplc="FBAECC70">
      <w:start w:val="1"/>
      <w:numFmt w:val="bullet"/>
      <w:lvlText w:val="˗"/>
      <w:lvlJc w:val="left"/>
      <w:pPr>
        <w:ind w:left="861" w:hanging="360"/>
      </w:pPr>
      <w:rPr>
        <w:rFonts w:ascii="Arial" w:hAnsi="Arial" w:hint="default"/>
      </w:rPr>
    </w:lvl>
    <w:lvl w:ilvl="1" w:tplc="08100003" w:tentative="1">
      <w:start w:val="1"/>
      <w:numFmt w:val="bullet"/>
      <w:lvlText w:val="o"/>
      <w:lvlJc w:val="left"/>
      <w:pPr>
        <w:ind w:left="1581" w:hanging="360"/>
      </w:pPr>
      <w:rPr>
        <w:rFonts w:ascii="Courier New" w:hAnsi="Courier New" w:cs="Courier New" w:hint="default"/>
      </w:rPr>
    </w:lvl>
    <w:lvl w:ilvl="2" w:tplc="08100005" w:tentative="1">
      <w:start w:val="1"/>
      <w:numFmt w:val="bullet"/>
      <w:lvlText w:val=""/>
      <w:lvlJc w:val="left"/>
      <w:pPr>
        <w:ind w:left="2301" w:hanging="360"/>
      </w:pPr>
      <w:rPr>
        <w:rFonts w:ascii="Wingdings" w:hAnsi="Wingdings" w:hint="default"/>
      </w:rPr>
    </w:lvl>
    <w:lvl w:ilvl="3" w:tplc="08100001" w:tentative="1">
      <w:start w:val="1"/>
      <w:numFmt w:val="bullet"/>
      <w:lvlText w:val=""/>
      <w:lvlJc w:val="left"/>
      <w:pPr>
        <w:ind w:left="3021" w:hanging="360"/>
      </w:pPr>
      <w:rPr>
        <w:rFonts w:ascii="Symbol" w:hAnsi="Symbol" w:hint="default"/>
      </w:rPr>
    </w:lvl>
    <w:lvl w:ilvl="4" w:tplc="08100003" w:tentative="1">
      <w:start w:val="1"/>
      <w:numFmt w:val="bullet"/>
      <w:lvlText w:val="o"/>
      <w:lvlJc w:val="left"/>
      <w:pPr>
        <w:ind w:left="3741" w:hanging="360"/>
      </w:pPr>
      <w:rPr>
        <w:rFonts w:ascii="Courier New" w:hAnsi="Courier New" w:cs="Courier New" w:hint="default"/>
      </w:rPr>
    </w:lvl>
    <w:lvl w:ilvl="5" w:tplc="08100005" w:tentative="1">
      <w:start w:val="1"/>
      <w:numFmt w:val="bullet"/>
      <w:lvlText w:val=""/>
      <w:lvlJc w:val="left"/>
      <w:pPr>
        <w:ind w:left="4461" w:hanging="360"/>
      </w:pPr>
      <w:rPr>
        <w:rFonts w:ascii="Wingdings" w:hAnsi="Wingdings" w:hint="default"/>
      </w:rPr>
    </w:lvl>
    <w:lvl w:ilvl="6" w:tplc="08100001" w:tentative="1">
      <w:start w:val="1"/>
      <w:numFmt w:val="bullet"/>
      <w:lvlText w:val=""/>
      <w:lvlJc w:val="left"/>
      <w:pPr>
        <w:ind w:left="5181" w:hanging="360"/>
      </w:pPr>
      <w:rPr>
        <w:rFonts w:ascii="Symbol" w:hAnsi="Symbol" w:hint="default"/>
      </w:rPr>
    </w:lvl>
    <w:lvl w:ilvl="7" w:tplc="08100003" w:tentative="1">
      <w:start w:val="1"/>
      <w:numFmt w:val="bullet"/>
      <w:lvlText w:val="o"/>
      <w:lvlJc w:val="left"/>
      <w:pPr>
        <w:ind w:left="5901" w:hanging="360"/>
      </w:pPr>
      <w:rPr>
        <w:rFonts w:ascii="Courier New" w:hAnsi="Courier New" w:cs="Courier New" w:hint="default"/>
      </w:rPr>
    </w:lvl>
    <w:lvl w:ilvl="8" w:tplc="08100005" w:tentative="1">
      <w:start w:val="1"/>
      <w:numFmt w:val="bullet"/>
      <w:lvlText w:val=""/>
      <w:lvlJc w:val="left"/>
      <w:pPr>
        <w:ind w:left="6621" w:hanging="360"/>
      </w:pPr>
      <w:rPr>
        <w:rFonts w:ascii="Wingdings" w:hAnsi="Wingdings" w:hint="default"/>
      </w:rPr>
    </w:lvl>
  </w:abstractNum>
  <w:abstractNum w:abstractNumId="9" w15:restartNumberingAfterBreak="0">
    <w:nsid w:val="0D645896"/>
    <w:multiLevelType w:val="hybridMultilevel"/>
    <w:tmpl w:val="55EA5ACC"/>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0DC85837"/>
    <w:multiLevelType w:val="hybridMultilevel"/>
    <w:tmpl w:val="86FAC910"/>
    <w:lvl w:ilvl="0" w:tplc="0810000D">
      <w:start w:val="1"/>
      <w:numFmt w:val="bullet"/>
      <w:lvlText w:val=""/>
      <w:lvlJc w:val="left"/>
      <w:pPr>
        <w:ind w:left="720" w:hanging="360"/>
      </w:pPr>
      <w:rPr>
        <w:rFonts w:ascii="Wingdings" w:hAnsi="Wingdings" w:hint="default"/>
      </w:rPr>
    </w:lvl>
    <w:lvl w:ilvl="1" w:tplc="0F72CB82">
      <w:numFmt w:val="bullet"/>
      <w:lvlText w:val="•"/>
      <w:lvlJc w:val="left"/>
      <w:pPr>
        <w:ind w:left="1512" w:hanging="432"/>
      </w:pPr>
      <w:rPr>
        <w:rFonts w:ascii="Arial" w:eastAsiaTheme="minorHAns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0F8B68D2"/>
    <w:multiLevelType w:val="hybridMultilevel"/>
    <w:tmpl w:val="0F023362"/>
    <w:lvl w:ilvl="0"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216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31D046C"/>
    <w:multiLevelType w:val="hybridMultilevel"/>
    <w:tmpl w:val="96746C38"/>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1696366F"/>
    <w:multiLevelType w:val="hybridMultilevel"/>
    <w:tmpl w:val="0C849128"/>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1840735A"/>
    <w:multiLevelType w:val="hybridMultilevel"/>
    <w:tmpl w:val="0BC4D398"/>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18A764A4"/>
    <w:multiLevelType w:val="hybridMultilevel"/>
    <w:tmpl w:val="542A61CA"/>
    <w:lvl w:ilvl="0" w:tplc="08100001">
      <w:start w:val="1"/>
      <w:numFmt w:val="bullet"/>
      <w:lvlText w:val=""/>
      <w:lvlJc w:val="left"/>
      <w:pPr>
        <w:ind w:left="720" w:hanging="360"/>
      </w:pPr>
      <w:rPr>
        <w:rFonts w:ascii="Symbol" w:hAnsi="Symbol" w:hint="default"/>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19627B73"/>
    <w:multiLevelType w:val="hybridMultilevel"/>
    <w:tmpl w:val="709A5DEA"/>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928"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1A223183"/>
    <w:multiLevelType w:val="hybridMultilevel"/>
    <w:tmpl w:val="34C6EE38"/>
    <w:lvl w:ilvl="0" w:tplc="6FB61816">
      <w:numFmt w:val="bullet"/>
      <w:lvlText w:val=""/>
      <w:lvlJc w:val="left"/>
      <w:pPr>
        <w:ind w:left="463" w:hanging="284"/>
      </w:pPr>
      <w:rPr>
        <w:rFonts w:ascii="Symbol" w:eastAsia="Symbol" w:hAnsi="Symbol" w:cs="Symbol" w:hint="default"/>
        <w:b w:val="0"/>
        <w:bCs w:val="0"/>
        <w:i w:val="0"/>
        <w:iCs w:val="0"/>
        <w:spacing w:val="0"/>
        <w:w w:val="100"/>
        <w:sz w:val="28"/>
        <w:szCs w:val="28"/>
        <w:lang w:val="it-IT" w:eastAsia="en-US" w:bidi="ar-SA"/>
      </w:rPr>
    </w:lvl>
    <w:lvl w:ilvl="1" w:tplc="7868CBA8">
      <w:numFmt w:val="bullet"/>
      <w:lvlText w:val="•"/>
      <w:lvlJc w:val="left"/>
      <w:pPr>
        <w:ind w:left="1406" w:hanging="284"/>
      </w:pPr>
      <w:rPr>
        <w:rFonts w:hint="default"/>
        <w:lang w:val="it-IT" w:eastAsia="en-US" w:bidi="ar-SA"/>
      </w:rPr>
    </w:lvl>
    <w:lvl w:ilvl="2" w:tplc="6478D078">
      <w:numFmt w:val="bullet"/>
      <w:lvlText w:val="•"/>
      <w:lvlJc w:val="left"/>
      <w:pPr>
        <w:ind w:left="2353" w:hanging="284"/>
      </w:pPr>
      <w:rPr>
        <w:rFonts w:hint="default"/>
        <w:lang w:val="it-IT" w:eastAsia="en-US" w:bidi="ar-SA"/>
      </w:rPr>
    </w:lvl>
    <w:lvl w:ilvl="3" w:tplc="2B8621DC">
      <w:numFmt w:val="bullet"/>
      <w:lvlText w:val="•"/>
      <w:lvlJc w:val="left"/>
      <w:pPr>
        <w:ind w:left="3299" w:hanging="284"/>
      </w:pPr>
      <w:rPr>
        <w:rFonts w:hint="default"/>
        <w:lang w:val="it-IT" w:eastAsia="en-US" w:bidi="ar-SA"/>
      </w:rPr>
    </w:lvl>
    <w:lvl w:ilvl="4" w:tplc="5C688902">
      <w:numFmt w:val="bullet"/>
      <w:lvlText w:val="•"/>
      <w:lvlJc w:val="left"/>
      <w:pPr>
        <w:ind w:left="4246" w:hanging="284"/>
      </w:pPr>
      <w:rPr>
        <w:rFonts w:hint="default"/>
        <w:lang w:val="it-IT" w:eastAsia="en-US" w:bidi="ar-SA"/>
      </w:rPr>
    </w:lvl>
    <w:lvl w:ilvl="5" w:tplc="9FC6105C">
      <w:numFmt w:val="bullet"/>
      <w:lvlText w:val="•"/>
      <w:lvlJc w:val="left"/>
      <w:pPr>
        <w:ind w:left="5193" w:hanging="284"/>
      </w:pPr>
      <w:rPr>
        <w:rFonts w:hint="default"/>
        <w:lang w:val="it-IT" w:eastAsia="en-US" w:bidi="ar-SA"/>
      </w:rPr>
    </w:lvl>
    <w:lvl w:ilvl="6" w:tplc="0C72E27A">
      <w:numFmt w:val="bullet"/>
      <w:lvlText w:val="•"/>
      <w:lvlJc w:val="left"/>
      <w:pPr>
        <w:ind w:left="6139" w:hanging="284"/>
      </w:pPr>
      <w:rPr>
        <w:rFonts w:hint="default"/>
        <w:lang w:val="it-IT" w:eastAsia="en-US" w:bidi="ar-SA"/>
      </w:rPr>
    </w:lvl>
    <w:lvl w:ilvl="7" w:tplc="26584DA8">
      <w:numFmt w:val="bullet"/>
      <w:lvlText w:val="•"/>
      <w:lvlJc w:val="left"/>
      <w:pPr>
        <w:ind w:left="7086" w:hanging="284"/>
      </w:pPr>
      <w:rPr>
        <w:rFonts w:hint="default"/>
        <w:lang w:val="it-IT" w:eastAsia="en-US" w:bidi="ar-SA"/>
      </w:rPr>
    </w:lvl>
    <w:lvl w:ilvl="8" w:tplc="BAA276B2">
      <w:numFmt w:val="bullet"/>
      <w:lvlText w:val="•"/>
      <w:lvlJc w:val="left"/>
      <w:pPr>
        <w:ind w:left="8033" w:hanging="284"/>
      </w:pPr>
      <w:rPr>
        <w:rFonts w:hint="default"/>
        <w:lang w:val="it-IT" w:eastAsia="en-US" w:bidi="ar-SA"/>
      </w:rPr>
    </w:lvl>
  </w:abstractNum>
  <w:abstractNum w:abstractNumId="19" w15:restartNumberingAfterBreak="0">
    <w:nsid w:val="1CCD1528"/>
    <w:multiLevelType w:val="hybridMultilevel"/>
    <w:tmpl w:val="A462DEF4"/>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1294"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1E834CE1"/>
    <w:multiLevelType w:val="hybridMultilevel"/>
    <w:tmpl w:val="1C0E8650"/>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204949A6"/>
    <w:multiLevelType w:val="hybridMultilevel"/>
    <w:tmpl w:val="4FAA9678"/>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22B07A95"/>
    <w:multiLevelType w:val="hybridMultilevel"/>
    <w:tmpl w:val="EE58387E"/>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26A70CA8"/>
    <w:multiLevelType w:val="hybridMultilevel"/>
    <w:tmpl w:val="E0243E84"/>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6" w15:restartNumberingAfterBreak="0">
    <w:nsid w:val="26BF3975"/>
    <w:multiLevelType w:val="hybridMultilevel"/>
    <w:tmpl w:val="D568B582"/>
    <w:lvl w:ilvl="0" w:tplc="0810000B">
      <w:start w:val="1"/>
      <w:numFmt w:val="bullet"/>
      <w:lvlText w:val=""/>
      <w:lvlJc w:val="left"/>
      <w:pPr>
        <w:ind w:left="1004" w:hanging="360"/>
      </w:pPr>
      <w:rPr>
        <w:rFonts w:ascii="Wingdings" w:hAnsi="Wingdings"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8" w15:restartNumberingAfterBreak="0">
    <w:nsid w:val="2C046360"/>
    <w:multiLevelType w:val="hybridMultilevel"/>
    <w:tmpl w:val="7B305A5A"/>
    <w:lvl w:ilvl="0" w:tplc="6A2C8F4E">
      <w:numFmt w:val="bullet"/>
      <w:lvlText w:val="●"/>
      <w:lvlJc w:val="left"/>
      <w:pPr>
        <w:ind w:left="1287"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2007"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727" w:hanging="360"/>
      </w:pPr>
      <w:rPr>
        <w:rFonts w:ascii="Wingdings" w:hAnsi="Wingdings" w:hint="default"/>
      </w:rPr>
    </w:lvl>
    <w:lvl w:ilvl="3" w:tplc="08100001" w:tentative="1">
      <w:start w:val="1"/>
      <w:numFmt w:val="bullet"/>
      <w:lvlText w:val=""/>
      <w:lvlJc w:val="left"/>
      <w:pPr>
        <w:ind w:left="3447" w:hanging="360"/>
      </w:pPr>
      <w:rPr>
        <w:rFonts w:ascii="Symbol" w:hAnsi="Symbol" w:hint="default"/>
      </w:rPr>
    </w:lvl>
    <w:lvl w:ilvl="4" w:tplc="08100003" w:tentative="1">
      <w:start w:val="1"/>
      <w:numFmt w:val="bullet"/>
      <w:lvlText w:val="o"/>
      <w:lvlJc w:val="left"/>
      <w:pPr>
        <w:ind w:left="4167" w:hanging="360"/>
      </w:pPr>
      <w:rPr>
        <w:rFonts w:ascii="Courier New" w:hAnsi="Courier New" w:cs="Courier New" w:hint="default"/>
      </w:rPr>
    </w:lvl>
    <w:lvl w:ilvl="5" w:tplc="08100005" w:tentative="1">
      <w:start w:val="1"/>
      <w:numFmt w:val="bullet"/>
      <w:lvlText w:val=""/>
      <w:lvlJc w:val="left"/>
      <w:pPr>
        <w:ind w:left="4887" w:hanging="360"/>
      </w:pPr>
      <w:rPr>
        <w:rFonts w:ascii="Wingdings" w:hAnsi="Wingdings" w:hint="default"/>
      </w:rPr>
    </w:lvl>
    <w:lvl w:ilvl="6" w:tplc="08100001" w:tentative="1">
      <w:start w:val="1"/>
      <w:numFmt w:val="bullet"/>
      <w:lvlText w:val=""/>
      <w:lvlJc w:val="left"/>
      <w:pPr>
        <w:ind w:left="5607" w:hanging="360"/>
      </w:pPr>
      <w:rPr>
        <w:rFonts w:ascii="Symbol" w:hAnsi="Symbol" w:hint="default"/>
      </w:rPr>
    </w:lvl>
    <w:lvl w:ilvl="7" w:tplc="08100003" w:tentative="1">
      <w:start w:val="1"/>
      <w:numFmt w:val="bullet"/>
      <w:lvlText w:val="o"/>
      <w:lvlJc w:val="left"/>
      <w:pPr>
        <w:ind w:left="6327" w:hanging="360"/>
      </w:pPr>
      <w:rPr>
        <w:rFonts w:ascii="Courier New" w:hAnsi="Courier New" w:cs="Courier New" w:hint="default"/>
      </w:rPr>
    </w:lvl>
    <w:lvl w:ilvl="8" w:tplc="08100005" w:tentative="1">
      <w:start w:val="1"/>
      <w:numFmt w:val="bullet"/>
      <w:lvlText w:val=""/>
      <w:lvlJc w:val="left"/>
      <w:pPr>
        <w:ind w:left="7047" w:hanging="360"/>
      </w:pPr>
      <w:rPr>
        <w:rFonts w:ascii="Wingdings" w:hAnsi="Wingdings" w:hint="default"/>
      </w:rPr>
    </w:lvl>
  </w:abstractNum>
  <w:abstractNum w:abstractNumId="29" w15:restartNumberingAfterBreak="0">
    <w:nsid w:val="305746A0"/>
    <w:multiLevelType w:val="hybridMultilevel"/>
    <w:tmpl w:val="A2447DBC"/>
    <w:lvl w:ilvl="0" w:tplc="B024DE14">
      <w:numFmt w:val="bullet"/>
      <w:lvlText w:val="●"/>
      <w:lvlJc w:val="left"/>
      <w:pPr>
        <w:ind w:left="1440" w:hanging="360"/>
      </w:pPr>
      <w:rPr>
        <w:rFonts w:ascii="Arial" w:eastAsia="Arial" w:hAnsi="Arial" w:cs="Arial" w:hint="default"/>
        <w:spacing w:val="0"/>
        <w:w w:val="100"/>
        <w:lang w:val="it-IT" w:eastAsia="en-US" w:bidi="ar-SA"/>
      </w:rPr>
    </w:lvl>
    <w:lvl w:ilvl="1" w:tplc="6A2C8F4E">
      <w:numFmt w:val="bullet"/>
      <w:lvlText w:val="●"/>
      <w:lvlJc w:val="left"/>
      <w:pPr>
        <w:ind w:left="2345"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30" w15:restartNumberingAfterBreak="0">
    <w:nsid w:val="314D0888"/>
    <w:multiLevelType w:val="hybridMultilevel"/>
    <w:tmpl w:val="1242E852"/>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1" w15:restartNumberingAfterBreak="0">
    <w:nsid w:val="35DA3B87"/>
    <w:multiLevelType w:val="hybridMultilevel"/>
    <w:tmpl w:val="BAE6B63C"/>
    <w:lvl w:ilvl="0" w:tplc="B024DE14">
      <w:numFmt w:val="bullet"/>
      <w:lvlText w:val="●"/>
      <w:lvlJc w:val="left"/>
      <w:pPr>
        <w:ind w:left="720" w:hanging="360"/>
      </w:pPr>
      <w:rPr>
        <w:rFonts w:ascii="Arial" w:eastAsia="Arial" w:hAnsi="Arial" w:cs="Arial" w:hint="default"/>
        <w:spacing w:val="0"/>
        <w:w w:val="100"/>
        <w:lang w:val="it-IT" w:eastAsia="en-US" w:bidi="ar-SA"/>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2"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3" w15:restartNumberingAfterBreak="0">
    <w:nsid w:val="3AB97DB2"/>
    <w:multiLevelType w:val="hybridMultilevel"/>
    <w:tmpl w:val="6C42B866"/>
    <w:lvl w:ilvl="0" w:tplc="67F8328C">
      <w:numFmt w:val="bullet"/>
      <w:lvlText w:val=""/>
      <w:lvlJc w:val="left"/>
      <w:pPr>
        <w:ind w:left="823" w:hanging="360"/>
      </w:pPr>
      <w:rPr>
        <w:rFonts w:ascii="Symbol" w:eastAsiaTheme="minorHAnsi" w:hAnsi="Symbol" w:cstheme="minorBidi" w:hint="default"/>
        <w:b w:val="0"/>
      </w:rPr>
    </w:lvl>
    <w:lvl w:ilvl="1" w:tplc="08100003" w:tentative="1">
      <w:start w:val="1"/>
      <w:numFmt w:val="bullet"/>
      <w:lvlText w:val="o"/>
      <w:lvlJc w:val="left"/>
      <w:pPr>
        <w:ind w:left="1543" w:hanging="360"/>
      </w:pPr>
      <w:rPr>
        <w:rFonts w:ascii="Courier New" w:hAnsi="Courier New" w:cs="Courier New" w:hint="default"/>
      </w:rPr>
    </w:lvl>
    <w:lvl w:ilvl="2" w:tplc="08100005" w:tentative="1">
      <w:start w:val="1"/>
      <w:numFmt w:val="bullet"/>
      <w:lvlText w:val=""/>
      <w:lvlJc w:val="left"/>
      <w:pPr>
        <w:ind w:left="2263" w:hanging="360"/>
      </w:pPr>
      <w:rPr>
        <w:rFonts w:ascii="Wingdings" w:hAnsi="Wingdings" w:hint="default"/>
      </w:rPr>
    </w:lvl>
    <w:lvl w:ilvl="3" w:tplc="08100001" w:tentative="1">
      <w:start w:val="1"/>
      <w:numFmt w:val="bullet"/>
      <w:lvlText w:val=""/>
      <w:lvlJc w:val="left"/>
      <w:pPr>
        <w:ind w:left="2983" w:hanging="360"/>
      </w:pPr>
      <w:rPr>
        <w:rFonts w:ascii="Symbol" w:hAnsi="Symbol" w:hint="default"/>
      </w:rPr>
    </w:lvl>
    <w:lvl w:ilvl="4" w:tplc="08100003" w:tentative="1">
      <w:start w:val="1"/>
      <w:numFmt w:val="bullet"/>
      <w:lvlText w:val="o"/>
      <w:lvlJc w:val="left"/>
      <w:pPr>
        <w:ind w:left="3703" w:hanging="360"/>
      </w:pPr>
      <w:rPr>
        <w:rFonts w:ascii="Courier New" w:hAnsi="Courier New" w:cs="Courier New" w:hint="default"/>
      </w:rPr>
    </w:lvl>
    <w:lvl w:ilvl="5" w:tplc="08100005" w:tentative="1">
      <w:start w:val="1"/>
      <w:numFmt w:val="bullet"/>
      <w:lvlText w:val=""/>
      <w:lvlJc w:val="left"/>
      <w:pPr>
        <w:ind w:left="4423" w:hanging="360"/>
      </w:pPr>
      <w:rPr>
        <w:rFonts w:ascii="Wingdings" w:hAnsi="Wingdings" w:hint="default"/>
      </w:rPr>
    </w:lvl>
    <w:lvl w:ilvl="6" w:tplc="08100001" w:tentative="1">
      <w:start w:val="1"/>
      <w:numFmt w:val="bullet"/>
      <w:lvlText w:val=""/>
      <w:lvlJc w:val="left"/>
      <w:pPr>
        <w:ind w:left="5143" w:hanging="360"/>
      </w:pPr>
      <w:rPr>
        <w:rFonts w:ascii="Symbol" w:hAnsi="Symbol" w:hint="default"/>
      </w:rPr>
    </w:lvl>
    <w:lvl w:ilvl="7" w:tplc="08100003" w:tentative="1">
      <w:start w:val="1"/>
      <w:numFmt w:val="bullet"/>
      <w:lvlText w:val="o"/>
      <w:lvlJc w:val="left"/>
      <w:pPr>
        <w:ind w:left="5863" w:hanging="360"/>
      </w:pPr>
      <w:rPr>
        <w:rFonts w:ascii="Courier New" w:hAnsi="Courier New" w:cs="Courier New" w:hint="default"/>
      </w:rPr>
    </w:lvl>
    <w:lvl w:ilvl="8" w:tplc="08100005" w:tentative="1">
      <w:start w:val="1"/>
      <w:numFmt w:val="bullet"/>
      <w:lvlText w:val=""/>
      <w:lvlJc w:val="left"/>
      <w:pPr>
        <w:ind w:left="6583" w:hanging="360"/>
      </w:pPr>
      <w:rPr>
        <w:rFonts w:ascii="Wingdings" w:hAnsi="Wingdings" w:hint="default"/>
      </w:rPr>
    </w:lvl>
  </w:abstractNum>
  <w:abstractNum w:abstractNumId="34" w15:restartNumberingAfterBreak="0">
    <w:nsid w:val="3C4F65A5"/>
    <w:multiLevelType w:val="hybridMultilevel"/>
    <w:tmpl w:val="E57671F0"/>
    <w:lvl w:ilvl="0" w:tplc="08100001">
      <w:start w:val="1"/>
      <w:numFmt w:val="bullet"/>
      <w:lvlText w:val=""/>
      <w:lvlJc w:val="left"/>
      <w:pPr>
        <w:ind w:left="720" w:hanging="360"/>
      </w:pPr>
      <w:rPr>
        <w:rFonts w:ascii="Symbol" w:hAnsi="Symbol" w:hint="default"/>
      </w:rPr>
    </w:lvl>
    <w:lvl w:ilvl="1" w:tplc="B024DE14">
      <w:numFmt w:val="bullet"/>
      <w:lvlText w:val="●"/>
      <w:lvlJc w:val="left"/>
      <w:pPr>
        <w:ind w:left="1637"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5" w15:restartNumberingAfterBreak="0">
    <w:nsid w:val="41080E8F"/>
    <w:multiLevelType w:val="hybridMultilevel"/>
    <w:tmpl w:val="0F8A8D32"/>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6" w15:restartNumberingAfterBreak="0">
    <w:nsid w:val="41B16B0F"/>
    <w:multiLevelType w:val="hybridMultilevel"/>
    <w:tmpl w:val="CC00CC68"/>
    <w:lvl w:ilvl="0" w:tplc="B024DE14">
      <w:numFmt w:val="bullet"/>
      <w:lvlText w:val="●"/>
      <w:lvlJc w:val="left"/>
      <w:pPr>
        <w:ind w:left="720" w:hanging="360"/>
      </w:pPr>
      <w:rPr>
        <w:rFonts w:ascii="Arial" w:eastAsia="Arial" w:hAnsi="Arial" w:cs="Arial" w:hint="default"/>
        <w:spacing w:val="0"/>
        <w:w w:val="100"/>
        <w:lang w:val="it-IT" w:eastAsia="en-US" w:bidi="ar-SA"/>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7" w15:restartNumberingAfterBreak="0">
    <w:nsid w:val="436D7E9B"/>
    <w:multiLevelType w:val="hybridMultilevel"/>
    <w:tmpl w:val="8494A160"/>
    <w:lvl w:ilvl="0" w:tplc="FBAECC70">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8" w15:restartNumberingAfterBreak="0">
    <w:nsid w:val="4402444A"/>
    <w:multiLevelType w:val="hybridMultilevel"/>
    <w:tmpl w:val="608E7B84"/>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9" w15:restartNumberingAfterBreak="0">
    <w:nsid w:val="494762D9"/>
    <w:multiLevelType w:val="hybridMultilevel"/>
    <w:tmpl w:val="E8BAC7AE"/>
    <w:lvl w:ilvl="0" w:tplc="B024DE14">
      <w:numFmt w:val="bullet"/>
      <w:lvlText w:val="●"/>
      <w:lvlJc w:val="left"/>
      <w:pPr>
        <w:ind w:left="720" w:hanging="360"/>
      </w:pPr>
      <w:rPr>
        <w:rFonts w:ascii="Arial" w:eastAsia="Arial" w:hAnsi="Arial" w:cs="Arial" w:hint="default"/>
        <w:spacing w:val="0"/>
        <w:w w:val="100"/>
        <w:lang w:val="it-IT" w:eastAsia="en-US" w:bidi="ar-SA"/>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1" w15:restartNumberingAfterBreak="0">
    <w:nsid w:val="49D524CC"/>
    <w:multiLevelType w:val="multilevel"/>
    <w:tmpl w:val="953CA1B2"/>
    <w:numStyleLink w:val="HeadingList"/>
  </w:abstractNum>
  <w:abstractNum w:abstractNumId="42" w15:restartNumberingAfterBreak="0">
    <w:nsid w:val="4A1C4A33"/>
    <w:multiLevelType w:val="hybridMultilevel"/>
    <w:tmpl w:val="D3D8BB06"/>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502"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3" w15:restartNumberingAfterBreak="0">
    <w:nsid w:val="4A3A6661"/>
    <w:multiLevelType w:val="hybridMultilevel"/>
    <w:tmpl w:val="73E6D460"/>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4" w15:restartNumberingAfterBreak="0">
    <w:nsid w:val="4A9D30B9"/>
    <w:multiLevelType w:val="hybridMultilevel"/>
    <w:tmpl w:val="4BAC571A"/>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5" w15:restartNumberingAfterBreak="0">
    <w:nsid w:val="4DCE2133"/>
    <w:multiLevelType w:val="hybridMultilevel"/>
    <w:tmpl w:val="DE34EFC8"/>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6" w15:restartNumberingAfterBreak="0">
    <w:nsid w:val="4F430153"/>
    <w:multiLevelType w:val="hybridMultilevel"/>
    <w:tmpl w:val="F0DE14B2"/>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7" w15:restartNumberingAfterBreak="0">
    <w:nsid w:val="4FB5120B"/>
    <w:multiLevelType w:val="hybridMultilevel"/>
    <w:tmpl w:val="C692889C"/>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8" w15:restartNumberingAfterBreak="0">
    <w:nsid w:val="509E7CE2"/>
    <w:multiLevelType w:val="hybridMultilevel"/>
    <w:tmpl w:val="6A9AED14"/>
    <w:lvl w:ilvl="0" w:tplc="6A2C8F4E">
      <w:numFmt w:val="bullet"/>
      <w:lvlText w:val="●"/>
      <w:lvlJc w:val="left"/>
      <w:pPr>
        <w:ind w:left="2345"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3196"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3785" w:hanging="360"/>
      </w:pPr>
      <w:rPr>
        <w:rFonts w:ascii="Wingdings" w:hAnsi="Wingdings" w:hint="default"/>
      </w:rPr>
    </w:lvl>
    <w:lvl w:ilvl="3" w:tplc="08100001" w:tentative="1">
      <w:start w:val="1"/>
      <w:numFmt w:val="bullet"/>
      <w:lvlText w:val=""/>
      <w:lvlJc w:val="left"/>
      <w:pPr>
        <w:ind w:left="4505" w:hanging="360"/>
      </w:pPr>
      <w:rPr>
        <w:rFonts w:ascii="Symbol" w:hAnsi="Symbol" w:hint="default"/>
      </w:rPr>
    </w:lvl>
    <w:lvl w:ilvl="4" w:tplc="08100003" w:tentative="1">
      <w:start w:val="1"/>
      <w:numFmt w:val="bullet"/>
      <w:lvlText w:val="o"/>
      <w:lvlJc w:val="left"/>
      <w:pPr>
        <w:ind w:left="5225" w:hanging="360"/>
      </w:pPr>
      <w:rPr>
        <w:rFonts w:ascii="Courier New" w:hAnsi="Courier New" w:cs="Courier New" w:hint="default"/>
      </w:rPr>
    </w:lvl>
    <w:lvl w:ilvl="5" w:tplc="08100005" w:tentative="1">
      <w:start w:val="1"/>
      <w:numFmt w:val="bullet"/>
      <w:lvlText w:val=""/>
      <w:lvlJc w:val="left"/>
      <w:pPr>
        <w:ind w:left="5945" w:hanging="360"/>
      </w:pPr>
      <w:rPr>
        <w:rFonts w:ascii="Wingdings" w:hAnsi="Wingdings" w:hint="default"/>
      </w:rPr>
    </w:lvl>
    <w:lvl w:ilvl="6" w:tplc="08100001" w:tentative="1">
      <w:start w:val="1"/>
      <w:numFmt w:val="bullet"/>
      <w:lvlText w:val=""/>
      <w:lvlJc w:val="left"/>
      <w:pPr>
        <w:ind w:left="6665" w:hanging="360"/>
      </w:pPr>
      <w:rPr>
        <w:rFonts w:ascii="Symbol" w:hAnsi="Symbol" w:hint="default"/>
      </w:rPr>
    </w:lvl>
    <w:lvl w:ilvl="7" w:tplc="08100003" w:tentative="1">
      <w:start w:val="1"/>
      <w:numFmt w:val="bullet"/>
      <w:lvlText w:val="o"/>
      <w:lvlJc w:val="left"/>
      <w:pPr>
        <w:ind w:left="7385" w:hanging="360"/>
      </w:pPr>
      <w:rPr>
        <w:rFonts w:ascii="Courier New" w:hAnsi="Courier New" w:cs="Courier New" w:hint="default"/>
      </w:rPr>
    </w:lvl>
    <w:lvl w:ilvl="8" w:tplc="08100005" w:tentative="1">
      <w:start w:val="1"/>
      <w:numFmt w:val="bullet"/>
      <w:lvlText w:val=""/>
      <w:lvlJc w:val="left"/>
      <w:pPr>
        <w:ind w:left="8105" w:hanging="360"/>
      </w:pPr>
      <w:rPr>
        <w:rFonts w:ascii="Wingdings" w:hAnsi="Wingdings" w:hint="default"/>
      </w:rPr>
    </w:lvl>
  </w:abstractNum>
  <w:abstractNum w:abstractNumId="49" w15:restartNumberingAfterBreak="0">
    <w:nsid w:val="53C02BD0"/>
    <w:multiLevelType w:val="hybridMultilevel"/>
    <w:tmpl w:val="ACA4A456"/>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0" w15:restartNumberingAfterBreak="0">
    <w:nsid w:val="54336CAC"/>
    <w:multiLevelType w:val="hybridMultilevel"/>
    <w:tmpl w:val="813E9C08"/>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1" w15:restartNumberingAfterBreak="0">
    <w:nsid w:val="563A46BE"/>
    <w:multiLevelType w:val="hybridMultilevel"/>
    <w:tmpl w:val="5896DE2E"/>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2" w15:restartNumberingAfterBreak="0">
    <w:nsid w:val="56757C03"/>
    <w:multiLevelType w:val="hybridMultilevel"/>
    <w:tmpl w:val="94C84B08"/>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3" w15:restartNumberingAfterBreak="0">
    <w:nsid w:val="579E20A0"/>
    <w:multiLevelType w:val="hybridMultilevel"/>
    <w:tmpl w:val="C5FAC354"/>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4" w15:restartNumberingAfterBreak="0">
    <w:nsid w:val="58115102"/>
    <w:multiLevelType w:val="hybridMultilevel"/>
    <w:tmpl w:val="EDB257B0"/>
    <w:lvl w:ilvl="0" w:tplc="08100005">
      <w:start w:val="1"/>
      <w:numFmt w:val="bullet"/>
      <w:lvlText w:val=""/>
      <w:lvlJc w:val="left"/>
      <w:pPr>
        <w:ind w:left="899" w:hanging="360"/>
      </w:pPr>
      <w:rPr>
        <w:rFonts w:ascii="Wingdings" w:hAnsi="Wingdings" w:hint="default"/>
      </w:rPr>
    </w:lvl>
    <w:lvl w:ilvl="1" w:tplc="66A2F240">
      <w:numFmt w:val="bullet"/>
      <w:lvlText w:val=""/>
      <w:lvlJc w:val="left"/>
      <w:pPr>
        <w:ind w:left="1619" w:hanging="360"/>
      </w:pPr>
      <w:rPr>
        <w:rFonts w:ascii="Symbol" w:eastAsiaTheme="minorHAnsi" w:hAnsi="Symbol" w:cstheme="minorBidi" w:hint="default"/>
        <w:b w:val="0"/>
      </w:rPr>
    </w:lvl>
    <w:lvl w:ilvl="2" w:tplc="08100005" w:tentative="1">
      <w:start w:val="1"/>
      <w:numFmt w:val="bullet"/>
      <w:lvlText w:val=""/>
      <w:lvlJc w:val="left"/>
      <w:pPr>
        <w:ind w:left="2339" w:hanging="360"/>
      </w:pPr>
      <w:rPr>
        <w:rFonts w:ascii="Wingdings" w:hAnsi="Wingdings" w:hint="default"/>
      </w:rPr>
    </w:lvl>
    <w:lvl w:ilvl="3" w:tplc="08100001" w:tentative="1">
      <w:start w:val="1"/>
      <w:numFmt w:val="bullet"/>
      <w:lvlText w:val=""/>
      <w:lvlJc w:val="left"/>
      <w:pPr>
        <w:ind w:left="3059" w:hanging="360"/>
      </w:pPr>
      <w:rPr>
        <w:rFonts w:ascii="Symbol" w:hAnsi="Symbol" w:hint="default"/>
      </w:rPr>
    </w:lvl>
    <w:lvl w:ilvl="4" w:tplc="08100003" w:tentative="1">
      <w:start w:val="1"/>
      <w:numFmt w:val="bullet"/>
      <w:lvlText w:val="o"/>
      <w:lvlJc w:val="left"/>
      <w:pPr>
        <w:ind w:left="3779" w:hanging="360"/>
      </w:pPr>
      <w:rPr>
        <w:rFonts w:ascii="Courier New" w:hAnsi="Courier New" w:cs="Courier New" w:hint="default"/>
      </w:rPr>
    </w:lvl>
    <w:lvl w:ilvl="5" w:tplc="08100005" w:tentative="1">
      <w:start w:val="1"/>
      <w:numFmt w:val="bullet"/>
      <w:lvlText w:val=""/>
      <w:lvlJc w:val="left"/>
      <w:pPr>
        <w:ind w:left="4499" w:hanging="360"/>
      </w:pPr>
      <w:rPr>
        <w:rFonts w:ascii="Wingdings" w:hAnsi="Wingdings" w:hint="default"/>
      </w:rPr>
    </w:lvl>
    <w:lvl w:ilvl="6" w:tplc="08100001" w:tentative="1">
      <w:start w:val="1"/>
      <w:numFmt w:val="bullet"/>
      <w:lvlText w:val=""/>
      <w:lvlJc w:val="left"/>
      <w:pPr>
        <w:ind w:left="5219" w:hanging="360"/>
      </w:pPr>
      <w:rPr>
        <w:rFonts w:ascii="Symbol" w:hAnsi="Symbol" w:hint="default"/>
      </w:rPr>
    </w:lvl>
    <w:lvl w:ilvl="7" w:tplc="08100003" w:tentative="1">
      <w:start w:val="1"/>
      <w:numFmt w:val="bullet"/>
      <w:lvlText w:val="o"/>
      <w:lvlJc w:val="left"/>
      <w:pPr>
        <w:ind w:left="5939" w:hanging="360"/>
      </w:pPr>
      <w:rPr>
        <w:rFonts w:ascii="Courier New" w:hAnsi="Courier New" w:cs="Courier New" w:hint="default"/>
      </w:rPr>
    </w:lvl>
    <w:lvl w:ilvl="8" w:tplc="08100005" w:tentative="1">
      <w:start w:val="1"/>
      <w:numFmt w:val="bullet"/>
      <w:lvlText w:val=""/>
      <w:lvlJc w:val="left"/>
      <w:pPr>
        <w:ind w:left="6659" w:hanging="360"/>
      </w:pPr>
      <w:rPr>
        <w:rFonts w:ascii="Wingdings" w:hAnsi="Wingdings" w:hint="default"/>
      </w:rPr>
    </w:lvl>
  </w:abstractNum>
  <w:abstractNum w:abstractNumId="55" w15:restartNumberingAfterBreak="0">
    <w:nsid w:val="59B416F7"/>
    <w:multiLevelType w:val="hybridMultilevel"/>
    <w:tmpl w:val="73065232"/>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6" w15:restartNumberingAfterBreak="0">
    <w:nsid w:val="5FCE380C"/>
    <w:multiLevelType w:val="hybridMultilevel"/>
    <w:tmpl w:val="DCCE4B4C"/>
    <w:lvl w:ilvl="0" w:tplc="FBAECC70">
      <w:start w:val="1"/>
      <w:numFmt w:val="bullet"/>
      <w:lvlText w:val="˗"/>
      <w:lvlJc w:val="left"/>
      <w:pPr>
        <w:ind w:left="1287" w:hanging="360"/>
      </w:pPr>
      <w:rPr>
        <w:rFonts w:ascii="Arial" w:hAnsi="Arial" w:hint="default"/>
      </w:rPr>
    </w:lvl>
    <w:lvl w:ilvl="1" w:tplc="08100003" w:tentative="1">
      <w:start w:val="1"/>
      <w:numFmt w:val="bullet"/>
      <w:lvlText w:val="o"/>
      <w:lvlJc w:val="left"/>
      <w:pPr>
        <w:ind w:left="2007" w:hanging="360"/>
      </w:pPr>
      <w:rPr>
        <w:rFonts w:ascii="Courier New" w:hAnsi="Courier New" w:cs="Courier New" w:hint="default"/>
      </w:rPr>
    </w:lvl>
    <w:lvl w:ilvl="2" w:tplc="08100005" w:tentative="1">
      <w:start w:val="1"/>
      <w:numFmt w:val="bullet"/>
      <w:lvlText w:val=""/>
      <w:lvlJc w:val="left"/>
      <w:pPr>
        <w:ind w:left="2727" w:hanging="360"/>
      </w:pPr>
      <w:rPr>
        <w:rFonts w:ascii="Wingdings" w:hAnsi="Wingdings" w:hint="default"/>
      </w:rPr>
    </w:lvl>
    <w:lvl w:ilvl="3" w:tplc="08100001" w:tentative="1">
      <w:start w:val="1"/>
      <w:numFmt w:val="bullet"/>
      <w:lvlText w:val=""/>
      <w:lvlJc w:val="left"/>
      <w:pPr>
        <w:ind w:left="3447" w:hanging="360"/>
      </w:pPr>
      <w:rPr>
        <w:rFonts w:ascii="Symbol" w:hAnsi="Symbol" w:hint="default"/>
      </w:rPr>
    </w:lvl>
    <w:lvl w:ilvl="4" w:tplc="08100003" w:tentative="1">
      <w:start w:val="1"/>
      <w:numFmt w:val="bullet"/>
      <w:lvlText w:val="o"/>
      <w:lvlJc w:val="left"/>
      <w:pPr>
        <w:ind w:left="4167" w:hanging="360"/>
      </w:pPr>
      <w:rPr>
        <w:rFonts w:ascii="Courier New" w:hAnsi="Courier New" w:cs="Courier New" w:hint="default"/>
      </w:rPr>
    </w:lvl>
    <w:lvl w:ilvl="5" w:tplc="08100005" w:tentative="1">
      <w:start w:val="1"/>
      <w:numFmt w:val="bullet"/>
      <w:lvlText w:val=""/>
      <w:lvlJc w:val="left"/>
      <w:pPr>
        <w:ind w:left="4887" w:hanging="360"/>
      </w:pPr>
      <w:rPr>
        <w:rFonts w:ascii="Wingdings" w:hAnsi="Wingdings" w:hint="default"/>
      </w:rPr>
    </w:lvl>
    <w:lvl w:ilvl="6" w:tplc="08100001" w:tentative="1">
      <w:start w:val="1"/>
      <w:numFmt w:val="bullet"/>
      <w:lvlText w:val=""/>
      <w:lvlJc w:val="left"/>
      <w:pPr>
        <w:ind w:left="5607" w:hanging="360"/>
      </w:pPr>
      <w:rPr>
        <w:rFonts w:ascii="Symbol" w:hAnsi="Symbol" w:hint="default"/>
      </w:rPr>
    </w:lvl>
    <w:lvl w:ilvl="7" w:tplc="08100003" w:tentative="1">
      <w:start w:val="1"/>
      <w:numFmt w:val="bullet"/>
      <w:lvlText w:val="o"/>
      <w:lvlJc w:val="left"/>
      <w:pPr>
        <w:ind w:left="6327" w:hanging="360"/>
      </w:pPr>
      <w:rPr>
        <w:rFonts w:ascii="Courier New" w:hAnsi="Courier New" w:cs="Courier New" w:hint="default"/>
      </w:rPr>
    </w:lvl>
    <w:lvl w:ilvl="8" w:tplc="08100005" w:tentative="1">
      <w:start w:val="1"/>
      <w:numFmt w:val="bullet"/>
      <w:lvlText w:val=""/>
      <w:lvlJc w:val="left"/>
      <w:pPr>
        <w:ind w:left="7047" w:hanging="360"/>
      </w:pPr>
      <w:rPr>
        <w:rFonts w:ascii="Wingdings" w:hAnsi="Wingdings" w:hint="default"/>
      </w:rPr>
    </w:lvl>
  </w:abstractNum>
  <w:abstractNum w:abstractNumId="57" w15:restartNumberingAfterBreak="0">
    <w:nsid w:val="63700EF3"/>
    <w:multiLevelType w:val="hybridMultilevel"/>
    <w:tmpl w:val="4DF8A0EC"/>
    <w:lvl w:ilvl="0" w:tplc="2D0C8EFA">
      <w:start w:val="1"/>
      <w:numFmt w:val="bullet"/>
      <w:lvlText w:val="-"/>
      <w:lvlJc w:val="left"/>
      <w:pPr>
        <w:ind w:left="1004" w:hanging="360"/>
      </w:pPr>
      <w:rPr>
        <w:rFonts w:ascii="Arial" w:hAnsi="Arial" w:hint="default"/>
      </w:rPr>
    </w:lvl>
    <w:lvl w:ilvl="1" w:tplc="08100003">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58" w15:restartNumberingAfterBreak="0">
    <w:nsid w:val="640B57F2"/>
    <w:multiLevelType w:val="hybridMultilevel"/>
    <w:tmpl w:val="4D1A5E46"/>
    <w:lvl w:ilvl="0" w:tplc="B024DE14">
      <w:numFmt w:val="bullet"/>
      <w:lvlText w:val="●"/>
      <w:lvlJc w:val="left"/>
      <w:pPr>
        <w:ind w:left="1440" w:hanging="360"/>
      </w:pPr>
      <w:rPr>
        <w:rFonts w:ascii="Arial" w:eastAsia="Arial" w:hAnsi="Arial" w:cs="Arial" w:hint="default"/>
        <w:spacing w:val="0"/>
        <w:w w:val="100"/>
        <w:lang w:val="it-IT" w:eastAsia="en-US" w:bidi="ar-SA"/>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59" w15:restartNumberingAfterBreak="0">
    <w:nsid w:val="64346923"/>
    <w:multiLevelType w:val="hybridMultilevel"/>
    <w:tmpl w:val="52DE8566"/>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0" w15:restartNumberingAfterBreak="0">
    <w:nsid w:val="65C32F51"/>
    <w:multiLevelType w:val="hybridMultilevel"/>
    <w:tmpl w:val="FBFED168"/>
    <w:lvl w:ilvl="0" w:tplc="0810000D">
      <w:start w:val="1"/>
      <w:numFmt w:val="bullet"/>
      <w:lvlText w:val=""/>
      <w:lvlJc w:val="left"/>
      <w:pPr>
        <w:ind w:left="720" w:hanging="360"/>
      </w:pPr>
      <w:rPr>
        <w:rFonts w:ascii="Wingdings" w:hAnsi="Wingdings" w:hint="default"/>
      </w:rPr>
    </w:lvl>
    <w:lvl w:ilvl="1" w:tplc="0810000D">
      <w:start w:val="1"/>
      <w:numFmt w:val="bullet"/>
      <w:lvlText w:val=""/>
      <w:lvlJc w:val="left"/>
      <w:pPr>
        <w:ind w:left="1440" w:hanging="360"/>
      </w:pPr>
      <w:rPr>
        <w:rFonts w:ascii="Wingdings" w:hAnsi="Wingdings"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1" w15:restartNumberingAfterBreak="0">
    <w:nsid w:val="66603C64"/>
    <w:multiLevelType w:val="hybridMultilevel"/>
    <w:tmpl w:val="2D240830"/>
    <w:lvl w:ilvl="0" w:tplc="2D0C8EFA">
      <w:start w:val="1"/>
      <w:numFmt w:val="bullet"/>
      <w:lvlText w:val="-"/>
      <w:lvlJc w:val="left"/>
      <w:pPr>
        <w:ind w:left="1183" w:hanging="360"/>
      </w:pPr>
      <w:rPr>
        <w:rFonts w:ascii="Arial" w:hAnsi="Arial" w:hint="default"/>
      </w:rPr>
    </w:lvl>
    <w:lvl w:ilvl="1" w:tplc="08100003" w:tentative="1">
      <w:start w:val="1"/>
      <w:numFmt w:val="bullet"/>
      <w:lvlText w:val="o"/>
      <w:lvlJc w:val="left"/>
      <w:pPr>
        <w:ind w:left="1903" w:hanging="360"/>
      </w:pPr>
      <w:rPr>
        <w:rFonts w:ascii="Courier New" w:hAnsi="Courier New" w:cs="Courier New" w:hint="default"/>
      </w:rPr>
    </w:lvl>
    <w:lvl w:ilvl="2" w:tplc="08100005" w:tentative="1">
      <w:start w:val="1"/>
      <w:numFmt w:val="bullet"/>
      <w:lvlText w:val=""/>
      <w:lvlJc w:val="left"/>
      <w:pPr>
        <w:ind w:left="2623" w:hanging="360"/>
      </w:pPr>
      <w:rPr>
        <w:rFonts w:ascii="Wingdings" w:hAnsi="Wingdings" w:hint="default"/>
      </w:rPr>
    </w:lvl>
    <w:lvl w:ilvl="3" w:tplc="08100001" w:tentative="1">
      <w:start w:val="1"/>
      <w:numFmt w:val="bullet"/>
      <w:lvlText w:val=""/>
      <w:lvlJc w:val="left"/>
      <w:pPr>
        <w:ind w:left="3343" w:hanging="360"/>
      </w:pPr>
      <w:rPr>
        <w:rFonts w:ascii="Symbol" w:hAnsi="Symbol" w:hint="default"/>
      </w:rPr>
    </w:lvl>
    <w:lvl w:ilvl="4" w:tplc="08100003" w:tentative="1">
      <w:start w:val="1"/>
      <w:numFmt w:val="bullet"/>
      <w:lvlText w:val="o"/>
      <w:lvlJc w:val="left"/>
      <w:pPr>
        <w:ind w:left="4063" w:hanging="360"/>
      </w:pPr>
      <w:rPr>
        <w:rFonts w:ascii="Courier New" w:hAnsi="Courier New" w:cs="Courier New" w:hint="default"/>
      </w:rPr>
    </w:lvl>
    <w:lvl w:ilvl="5" w:tplc="08100005" w:tentative="1">
      <w:start w:val="1"/>
      <w:numFmt w:val="bullet"/>
      <w:lvlText w:val=""/>
      <w:lvlJc w:val="left"/>
      <w:pPr>
        <w:ind w:left="4783" w:hanging="360"/>
      </w:pPr>
      <w:rPr>
        <w:rFonts w:ascii="Wingdings" w:hAnsi="Wingdings" w:hint="default"/>
      </w:rPr>
    </w:lvl>
    <w:lvl w:ilvl="6" w:tplc="08100001" w:tentative="1">
      <w:start w:val="1"/>
      <w:numFmt w:val="bullet"/>
      <w:lvlText w:val=""/>
      <w:lvlJc w:val="left"/>
      <w:pPr>
        <w:ind w:left="5503" w:hanging="360"/>
      </w:pPr>
      <w:rPr>
        <w:rFonts w:ascii="Symbol" w:hAnsi="Symbol" w:hint="default"/>
      </w:rPr>
    </w:lvl>
    <w:lvl w:ilvl="7" w:tplc="08100003" w:tentative="1">
      <w:start w:val="1"/>
      <w:numFmt w:val="bullet"/>
      <w:lvlText w:val="o"/>
      <w:lvlJc w:val="left"/>
      <w:pPr>
        <w:ind w:left="6223" w:hanging="360"/>
      </w:pPr>
      <w:rPr>
        <w:rFonts w:ascii="Courier New" w:hAnsi="Courier New" w:cs="Courier New" w:hint="default"/>
      </w:rPr>
    </w:lvl>
    <w:lvl w:ilvl="8" w:tplc="08100005" w:tentative="1">
      <w:start w:val="1"/>
      <w:numFmt w:val="bullet"/>
      <w:lvlText w:val=""/>
      <w:lvlJc w:val="left"/>
      <w:pPr>
        <w:ind w:left="6943" w:hanging="360"/>
      </w:pPr>
      <w:rPr>
        <w:rFonts w:ascii="Wingdings" w:hAnsi="Wingdings" w:hint="default"/>
      </w:rPr>
    </w:lvl>
  </w:abstractNum>
  <w:abstractNum w:abstractNumId="62" w15:restartNumberingAfterBreak="0">
    <w:nsid w:val="678D5837"/>
    <w:multiLevelType w:val="hybridMultilevel"/>
    <w:tmpl w:val="F1C0EE7C"/>
    <w:lvl w:ilvl="0" w:tplc="2D0C8EFA">
      <w:start w:val="1"/>
      <w:numFmt w:val="bullet"/>
      <w:lvlText w:val="-"/>
      <w:lvlJc w:val="left"/>
      <w:pPr>
        <w:ind w:left="1004" w:hanging="360"/>
      </w:pPr>
      <w:rPr>
        <w:rFonts w:ascii="Arial" w:hAnsi="Arial" w:hint="default"/>
      </w:rPr>
    </w:lvl>
    <w:lvl w:ilvl="1" w:tplc="2D0C8EFA">
      <w:start w:val="1"/>
      <w:numFmt w:val="bullet"/>
      <w:lvlText w:val="-"/>
      <w:lvlJc w:val="left"/>
      <w:pPr>
        <w:ind w:left="1724" w:hanging="360"/>
      </w:pPr>
      <w:rPr>
        <w:rFonts w:ascii="Arial" w:hAnsi="Arial"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63" w15:restartNumberingAfterBreak="0">
    <w:nsid w:val="6A7A2B0F"/>
    <w:multiLevelType w:val="hybridMultilevel"/>
    <w:tmpl w:val="4CB8AED4"/>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4" w15:restartNumberingAfterBreak="0">
    <w:nsid w:val="6A7C5E18"/>
    <w:multiLevelType w:val="hybridMultilevel"/>
    <w:tmpl w:val="4FD03AAC"/>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5" w15:restartNumberingAfterBreak="0">
    <w:nsid w:val="6CF30117"/>
    <w:multiLevelType w:val="hybridMultilevel"/>
    <w:tmpl w:val="3866188E"/>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6" w15:restartNumberingAfterBreak="0">
    <w:nsid w:val="6DA47AAD"/>
    <w:multiLevelType w:val="hybridMultilevel"/>
    <w:tmpl w:val="7792BCE0"/>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7" w15:restartNumberingAfterBreak="0">
    <w:nsid w:val="6DEA0ABB"/>
    <w:multiLevelType w:val="hybridMultilevel"/>
    <w:tmpl w:val="C0A2BEAC"/>
    <w:lvl w:ilvl="0" w:tplc="0810000D">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8" w15:restartNumberingAfterBreak="0">
    <w:nsid w:val="6E9A5EA8"/>
    <w:multiLevelType w:val="hybridMultilevel"/>
    <w:tmpl w:val="4A04F2C8"/>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9" w15:restartNumberingAfterBreak="0">
    <w:nsid w:val="726E2F6C"/>
    <w:multiLevelType w:val="hybridMultilevel"/>
    <w:tmpl w:val="FA2870AE"/>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0" w15:restartNumberingAfterBreak="0">
    <w:nsid w:val="74693288"/>
    <w:multiLevelType w:val="hybridMultilevel"/>
    <w:tmpl w:val="FA22B116"/>
    <w:lvl w:ilvl="0" w:tplc="08100001">
      <w:start w:val="1"/>
      <w:numFmt w:val="bullet"/>
      <w:lvlText w:val=""/>
      <w:lvlJc w:val="left"/>
      <w:pPr>
        <w:ind w:left="720" w:hanging="360"/>
      </w:pPr>
      <w:rPr>
        <w:rFonts w:ascii="Symbol" w:hAnsi="Symbol" w:hint="default"/>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1" w15:restartNumberingAfterBreak="0">
    <w:nsid w:val="760B61BC"/>
    <w:multiLevelType w:val="hybridMultilevel"/>
    <w:tmpl w:val="79145220"/>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2" w15:restartNumberingAfterBreak="0">
    <w:nsid w:val="792C6165"/>
    <w:multiLevelType w:val="hybridMultilevel"/>
    <w:tmpl w:val="4DC296E4"/>
    <w:lvl w:ilvl="0" w:tplc="B024DE14">
      <w:numFmt w:val="bullet"/>
      <w:lvlText w:val="●"/>
      <w:lvlJc w:val="left"/>
      <w:pPr>
        <w:ind w:left="720" w:hanging="360"/>
      </w:pPr>
      <w:rPr>
        <w:rFonts w:ascii="Arial" w:eastAsia="Arial" w:hAnsi="Arial" w:cs="Arial" w:hint="default"/>
        <w:spacing w:val="0"/>
        <w:w w:val="100"/>
        <w:lang w:val="it-IT" w:eastAsia="en-US" w:bidi="ar-SA"/>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3" w15:restartNumberingAfterBreak="0">
    <w:nsid w:val="79772A2C"/>
    <w:multiLevelType w:val="hybridMultilevel"/>
    <w:tmpl w:val="34FAE916"/>
    <w:lvl w:ilvl="0" w:tplc="08100005">
      <w:start w:val="1"/>
      <w:numFmt w:val="bullet"/>
      <w:lvlText w:val=""/>
      <w:lvlJc w:val="left"/>
      <w:pPr>
        <w:ind w:left="463" w:hanging="284"/>
      </w:pPr>
      <w:rPr>
        <w:rFonts w:ascii="Wingdings" w:hAnsi="Wingdings" w:hint="default"/>
        <w:b w:val="0"/>
        <w:bCs w:val="0"/>
        <w:i w:val="0"/>
        <w:iCs w:val="0"/>
        <w:spacing w:val="0"/>
        <w:w w:val="100"/>
        <w:sz w:val="28"/>
        <w:szCs w:val="28"/>
        <w:lang w:val="it-IT" w:eastAsia="en-US" w:bidi="ar-SA"/>
      </w:rPr>
    </w:lvl>
    <w:lvl w:ilvl="1" w:tplc="7868CBA8">
      <w:numFmt w:val="bullet"/>
      <w:lvlText w:val="•"/>
      <w:lvlJc w:val="left"/>
      <w:pPr>
        <w:ind w:left="1406" w:hanging="284"/>
      </w:pPr>
      <w:rPr>
        <w:rFonts w:hint="default"/>
        <w:lang w:val="it-IT" w:eastAsia="en-US" w:bidi="ar-SA"/>
      </w:rPr>
    </w:lvl>
    <w:lvl w:ilvl="2" w:tplc="6478D078">
      <w:numFmt w:val="bullet"/>
      <w:lvlText w:val="•"/>
      <w:lvlJc w:val="left"/>
      <w:pPr>
        <w:ind w:left="2353" w:hanging="284"/>
      </w:pPr>
      <w:rPr>
        <w:rFonts w:hint="default"/>
        <w:lang w:val="it-IT" w:eastAsia="en-US" w:bidi="ar-SA"/>
      </w:rPr>
    </w:lvl>
    <w:lvl w:ilvl="3" w:tplc="2B8621DC">
      <w:numFmt w:val="bullet"/>
      <w:lvlText w:val="•"/>
      <w:lvlJc w:val="left"/>
      <w:pPr>
        <w:ind w:left="3299" w:hanging="284"/>
      </w:pPr>
      <w:rPr>
        <w:rFonts w:hint="default"/>
        <w:lang w:val="it-IT" w:eastAsia="en-US" w:bidi="ar-SA"/>
      </w:rPr>
    </w:lvl>
    <w:lvl w:ilvl="4" w:tplc="5C688902">
      <w:numFmt w:val="bullet"/>
      <w:lvlText w:val="•"/>
      <w:lvlJc w:val="left"/>
      <w:pPr>
        <w:ind w:left="4246" w:hanging="284"/>
      </w:pPr>
      <w:rPr>
        <w:rFonts w:hint="default"/>
        <w:lang w:val="it-IT" w:eastAsia="en-US" w:bidi="ar-SA"/>
      </w:rPr>
    </w:lvl>
    <w:lvl w:ilvl="5" w:tplc="9FC6105C">
      <w:numFmt w:val="bullet"/>
      <w:lvlText w:val="•"/>
      <w:lvlJc w:val="left"/>
      <w:pPr>
        <w:ind w:left="5193" w:hanging="284"/>
      </w:pPr>
      <w:rPr>
        <w:rFonts w:hint="default"/>
        <w:lang w:val="it-IT" w:eastAsia="en-US" w:bidi="ar-SA"/>
      </w:rPr>
    </w:lvl>
    <w:lvl w:ilvl="6" w:tplc="0C72E27A">
      <w:numFmt w:val="bullet"/>
      <w:lvlText w:val="•"/>
      <w:lvlJc w:val="left"/>
      <w:pPr>
        <w:ind w:left="6139" w:hanging="284"/>
      </w:pPr>
      <w:rPr>
        <w:rFonts w:hint="default"/>
        <w:lang w:val="it-IT" w:eastAsia="en-US" w:bidi="ar-SA"/>
      </w:rPr>
    </w:lvl>
    <w:lvl w:ilvl="7" w:tplc="26584DA8">
      <w:numFmt w:val="bullet"/>
      <w:lvlText w:val="•"/>
      <w:lvlJc w:val="left"/>
      <w:pPr>
        <w:ind w:left="7086" w:hanging="284"/>
      </w:pPr>
      <w:rPr>
        <w:rFonts w:hint="default"/>
        <w:lang w:val="it-IT" w:eastAsia="en-US" w:bidi="ar-SA"/>
      </w:rPr>
    </w:lvl>
    <w:lvl w:ilvl="8" w:tplc="BAA276B2">
      <w:numFmt w:val="bullet"/>
      <w:lvlText w:val="•"/>
      <w:lvlJc w:val="left"/>
      <w:pPr>
        <w:ind w:left="8033" w:hanging="284"/>
      </w:pPr>
      <w:rPr>
        <w:rFonts w:hint="default"/>
        <w:lang w:val="it-IT" w:eastAsia="en-US" w:bidi="ar-SA"/>
      </w:rPr>
    </w:lvl>
  </w:abstractNum>
  <w:abstractNum w:abstractNumId="74" w15:restartNumberingAfterBreak="0">
    <w:nsid w:val="7A9B57DC"/>
    <w:multiLevelType w:val="hybridMultilevel"/>
    <w:tmpl w:val="F95CDCF0"/>
    <w:lvl w:ilvl="0" w:tplc="6A2C8F4E">
      <w:numFmt w:val="bullet"/>
      <w:lvlText w:val="●"/>
      <w:lvlJc w:val="left"/>
      <w:pPr>
        <w:ind w:left="720" w:hanging="360"/>
      </w:pPr>
      <w:rPr>
        <w:rFonts w:ascii="Arial" w:eastAsia="Arial" w:hAnsi="Arial" w:cs="Arial" w:hint="default"/>
        <w:b w:val="0"/>
        <w:bCs w:val="0"/>
        <w:i w:val="0"/>
        <w:iCs w:val="0"/>
        <w:color w:val="auto"/>
        <w:spacing w:val="0"/>
        <w:w w:val="100"/>
        <w:sz w:val="24"/>
        <w:szCs w:val="24"/>
        <w:lang w:val="it-IT" w:eastAsia="en-US" w:bidi="ar-SA"/>
      </w:rPr>
    </w:lvl>
    <w:lvl w:ilvl="1" w:tplc="6A2C8F4E">
      <w:numFmt w:val="bullet"/>
      <w:lvlText w:val="●"/>
      <w:lvlJc w:val="left"/>
      <w:pPr>
        <w:ind w:left="1440" w:hanging="360"/>
      </w:pPr>
      <w:rPr>
        <w:rFonts w:ascii="Arial" w:eastAsia="Arial" w:hAnsi="Arial" w:cs="Arial" w:hint="default"/>
        <w:b w:val="0"/>
        <w:bCs w:val="0"/>
        <w:i w:val="0"/>
        <w:iCs w:val="0"/>
        <w:color w:val="auto"/>
        <w:spacing w:val="0"/>
        <w:w w:val="100"/>
        <w:sz w:val="24"/>
        <w:szCs w:val="24"/>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5" w15:restartNumberingAfterBreak="0">
    <w:nsid w:val="7C5B0C35"/>
    <w:multiLevelType w:val="hybridMultilevel"/>
    <w:tmpl w:val="F894D3E0"/>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6" w15:restartNumberingAfterBreak="0">
    <w:nsid w:val="7E5C54BD"/>
    <w:multiLevelType w:val="hybridMultilevel"/>
    <w:tmpl w:val="4D309132"/>
    <w:lvl w:ilvl="0" w:tplc="B024DE14">
      <w:numFmt w:val="bullet"/>
      <w:lvlText w:val="●"/>
      <w:lvlJc w:val="left"/>
      <w:pPr>
        <w:ind w:left="720" w:hanging="360"/>
      </w:pPr>
      <w:rPr>
        <w:rFonts w:ascii="Arial" w:eastAsia="Arial" w:hAnsi="Arial" w:cs="Arial" w:hint="default"/>
        <w:spacing w:val="0"/>
        <w:w w:val="100"/>
        <w:lang w:val="it-IT" w:eastAsia="en-US" w:bidi="ar-SA"/>
      </w:rPr>
    </w:lvl>
    <w:lvl w:ilvl="1" w:tplc="B024DE14">
      <w:numFmt w:val="bullet"/>
      <w:lvlText w:val="●"/>
      <w:lvlJc w:val="left"/>
      <w:pPr>
        <w:ind w:left="1440" w:hanging="360"/>
      </w:pPr>
      <w:rPr>
        <w:rFonts w:ascii="Arial" w:eastAsia="Arial" w:hAnsi="Arial" w:cs="Arial" w:hint="default"/>
        <w:spacing w:val="0"/>
        <w:w w:val="100"/>
        <w:lang w:val="it-IT" w:eastAsia="en-US" w:bidi="ar-SA"/>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7" w15:restartNumberingAfterBreak="0">
    <w:nsid w:val="7F7F0B5A"/>
    <w:multiLevelType w:val="hybridMultilevel"/>
    <w:tmpl w:val="72ACB9BA"/>
    <w:lvl w:ilvl="0" w:tplc="0810000D">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20"/>
  </w:num>
  <w:num w:numId="2">
    <w:abstractNumId w:val="41"/>
    <w:lvlOverride w:ilvl="0">
      <w:lvl w:ilvl="0">
        <w:start w:val="1"/>
        <w:numFmt w:val="decimal"/>
        <w:pStyle w:val="Titolo1"/>
        <w:lvlText w:val="%1"/>
        <w:lvlJc w:val="left"/>
        <w:pPr>
          <w:ind w:left="505" w:hanging="363"/>
        </w:pPr>
        <w:rPr>
          <w:rFonts w:ascii="Arial" w:hAnsi="Arial" w:cs="Arial" w:hint="default"/>
        </w:rPr>
      </w:lvl>
    </w:lvlOverride>
  </w:num>
  <w:num w:numId="3">
    <w:abstractNumId w:val="12"/>
  </w:num>
  <w:num w:numId="4">
    <w:abstractNumId w:val="40"/>
  </w:num>
  <w:num w:numId="5">
    <w:abstractNumId w:val="32"/>
  </w:num>
  <w:num w:numId="6">
    <w:abstractNumId w:val="22"/>
  </w:num>
  <w:num w:numId="7">
    <w:abstractNumId w:val="27"/>
  </w:num>
  <w:num w:numId="8">
    <w:abstractNumId w:val="77"/>
  </w:num>
  <w:num w:numId="9">
    <w:abstractNumId w:val="10"/>
  </w:num>
  <w:num w:numId="10">
    <w:abstractNumId w:val="67"/>
  </w:num>
  <w:num w:numId="11">
    <w:abstractNumId w:val="60"/>
  </w:num>
  <w:num w:numId="12">
    <w:abstractNumId w:val="34"/>
  </w:num>
  <w:num w:numId="13">
    <w:abstractNumId w:val="3"/>
  </w:num>
  <w:num w:numId="14">
    <w:abstractNumId w:val="42"/>
  </w:num>
  <w:num w:numId="15">
    <w:abstractNumId w:val="76"/>
  </w:num>
  <w:num w:numId="16">
    <w:abstractNumId w:val="35"/>
  </w:num>
  <w:num w:numId="17">
    <w:abstractNumId w:val="17"/>
  </w:num>
  <w:num w:numId="18">
    <w:abstractNumId w:val="50"/>
  </w:num>
  <w:num w:numId="19">
    <w:abstractNumId w:val="15"/>
  </w:num>
  <w:num w:numId="20">
    <w:abstractNumId w:val="6"/>
  </w:num>
  <w:num w:numId="21">
    <w:abstractNumId w:val="69"/>
  </w:num>
  <w:num w:numId="22">
    <w:abstractNumId w:val="70"/>
  </w:num>
  <w:num w:numId="23">
    <w:abstractNumId w:val="16"/>
  </w:num>
  <w:num w:numId="24">
    <w:abstractNumId w:val="9"/>
  </w:num>
  <w:num w:numId="25">
    <w:abstractNumId w:val="68"/>
  </w:num>
  <w:num w:numId="26">
    <w:abstractNumId w:val="51"/>
  </w:num>
  <w:num w:numId="27">
    <w:abstractNumId w:val="13"/>
  </w:num>
  <w:num w:numId="28">
    <w:abstractNumId w:val="0"/>
  </w:num>
  <w:num w:numId="29">
    <w:abstractNumId w:val="4"/>
  </w:num>
  <w:num w:numId="30">
    <w:abstractNumId w:val="75"/>
  </w:num>
  <w:num w:numId="31">
    <w:abstractNumId w:val="30"/>
  </w:num>
  <w:num w:numId="32">
    <w:abstractNumId w:val="59"/>
  </w:num>
  <w:num w:numId="33">
    <w:abstractNumId w:val="7"/>
  </w:num>
  <w:num w:numId="34">
    <w:abstractNumId w:val="47"/>
  </w:num>
  <w:num w:numId="35">
    <w:abstractNumId w:val="24"/>
  </w:num>
  <w:num w:numId="36">
    <w:abstractNumId w:val="39"/>
  </w:num>
  <w:num w:numId="37">
    <w:abstractNumId w:val="31"/>
  </w:num>
  <w:num w:numId="38">
    <w:abstractNumId w:val="36"/>
  </w:num>
  <w:num w:numId="39">
    <w:abstractNumId w:val="72"/>
  </w:num>
  <w:num w:numId="40">
    <w:abstractNumId w:val="58"/>
  </w:num>
  <w:num w:numId="41">
    <w:abstractNumId w:val="29"/>
  </w:num>
  <w:num w:numId="42">
    <w:abstractNumId w:val="49"/>
  </w:num>
  <w:num w:numId="43">
    <w:abstractNumId w:val="48"/>
  </w:num>
  <w:num w:numId="44">
    <w:abstractNumId w:val="14"/>
  </w:num>
  <w:num w:numId="45">
    <w:abstractNumId w:val="19"/>
  </w:num>
  <w:num w:numId="46">
    <w:abstractNumId w:val="21"/>
  </w:num>
  <w:num w:numId="47">
    <w:abstractNumId w:val="2"/>
  </w:num>
  <w:num w:numId="48">
    <w:abstractNumId w:val="64"/>
  </w:num>
  <w:num w:numId="49">
    <w:abstractNumId w:val="65"/>
  </w:num>
  <w:num w:numId="50">
    <w:abstractNumId w:val="46"/>
  </w:num>
  <w:num w:numId="51">
    <w:abstractNumId w:val="71"/>
  </w:num>
  <w:num w:numId="52">
    <w:abstractNumId w:val="52"/>
  </w:num>
  <w:num w:numId="53">
    <w:abstractNumId w:val="44"/>
  </w:num>
  <w:num w:numId="54">
    <w:abstractNumId w:val="66"/>
  </w:num>
  <w:num w:numId="55">
    <w:abstractNumId w:val="28"/>
  </w:num>
  <w:num w:numId="56">
    <w:abstractNumId w:val="38"/>
  </w:num>
  <w:num w:numId="57">
    <w:abstractNumId w:val="74"/>
  </w:num>
  <w:num w:numId="58">
    <w:abstractNumId w:val="45"/>
  </w:num>
  <w:num w:numId="59">
    <w:abstractNumId w:val="53"/>
  </w:num>
  <w:num w:numId="60">
    <w:abstractNumId w:val="43"/>
  </w:num>
  <w:num w:numId="61">
    <w:abstractNumId w:val="63"/>
  </w:num>
  <w:num w:numId="62">
    <w:abstractNumId w:val="37"/>
  </w:num>
  <w:num w:numId="63">
    <w:abstractNumId w:val="8"/>
  </w:num>
  <w:num w:numId="64">
    <w:abstractNumId w:val="25"/>
  </w:num>
  <w:num w:numId="65">
    <w:abstractNumId w:val="55"/>
  </w:num>
  <w:num w:numId="66">
    <w:abstractNumId w:val="5"/>
  </w:num>
  <w:num w:numId="67">
    <w:abstractNumId w:val="23"/>
  </w:num>
  <w:num w:numId="68">
    <w:abstractNumId w:val="1"/>
  </w:num>
  <w:num w:numId="69">
    <w:abstractNumId w:val="11"/>
  </w:num>
  <w:num w:numId="70">
    <w:abstractNumId w:val="56"/>
  </w:num>
  <w:num w:numId="71">
    <w:abstractNumId w:val="26"/>
  </w:num>
  <w:num w:numId="72">
    <w:abstractNumId w:val="18"/>
  </w:num>
  <w:num w:numId="73">
    <w:abstractNumId w:val="73"/>
  </w:num>
  <w:num w:numId="74">
    <w:abstractNumId w:val="54"/>
  </w:num>
  <w:num w:numId="75">
    <w:abstractNumId w:val="61"/>
  </w:num>
  <w:num w:numId="76">
    <w:abstractNumId w:val="33"/>
  </w:num>
  <w:num w:numId="77">
    <w:abstractNumId w:val="57"/>
  </w:num>
  <w:num w:numId="78">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9F"/>
    <w:rsid w:val="000010C3"/>
    <w:rsid w:val="00020A2A"/>
    <w:rsid w:val="00030441"/>
    <w:rsid w:val="0003335A"/>
    <w:rsid w:val="00057365"/>
    <w:rsid w:val="000625B6"/>
    <w:rsid w:val="00074C2B"/>
    <w:rsid w:val="000946F8"/>
    <w:rsid w:val="000C64E0"/>
    <w:rsid w:val="000D662C"/>
    <w:rsid w:val="000E50D8"/>
    <w:rsid w:val="000F0477"/>
    <w:rsid w:val="000F4504"/>
    <w:rsid w:val="000F45E2"/>
    <w:rsid w:val="00122632"/>
    <w:rsid w:val="0012548E"/>
    <w:rsid w:val="001320C9"/>
    <w:rsid w:val="001409C8"/>
    <w:rsid w:val="00182675"/>
    <w:rsid w:val="0019016E"/>
    <w:rsid w:val="001A21B5"/>
    <w:rsid w:val="001B0F11"/>
    <w:rsid w:val="001B6CD3"/>
    <w:rsid w:val="001C5574"/>
    <w:rsid w:val="001D5B09"/>
    <w:rsid w:val="001E5EF7"/>
    <w:rsid w:val="001F2EEF"/>
    <w:rsid w:val="001F360C"/>
    <w:rsid w:val="001F3F45"/>
    <w:rsid w:val="001F439F"/>
    <w:rsid w:val="001F4E4F"/>
    <w:rsid w:val="0020241B"/>
    <w:rsid w:val="00203B18"/>
    <w:rsid w:val="00205776"/>
    <w:rsid w:val="00222585"/>
    <w:rsid w:val="00232777"/>
    <w:rsid w:val="00232F5A"/>
    <w:rsid w:val="0024471B"/>
    <w:rsid w:val="00245A54"/>
    <w:rsid w:val="00260FD2"/>
    <w:rsid w:val="0027268E"/>
    <w:rsid w:val="00292470"/>
    <w:rsid w:val="002A07A3"/>
    <w:rsid w:val="002B5D9F"/>
    <w:rsid w:val="002C30AE"/>
    <w:rsid w:val="002E0D26"/>
    <w:rsid w:val="0030370F"/>
    <w:rsid w:val="00304AF2"/>
    <w:rsid w:val="00311DAF"/>
    <w:rsid w:val="00312AA2"/>
    <w:rsid w:val="0033188C"/>
    <w:rsid w:val="00334BAE"/>
    <w:rsid w:val="0034048A"/>
    <w:rsid w:val="00343A1A"/>
    <w:rsid w:val="00343EFB"/>
    <w:rsid w:val="003446C0"/>
    <w:rsid w:val="00360F36"/>
    <w:rsid w:val="00367061"/>
    <w:rsid w:val="0037541E"/>
    <w:rsid w:val="0038453D"/>
    <w:rsid w:val="003936CD"/>
    <w:rsid w:val="0039509D"/>
    <w:rsid w:val="0039757D"/>
    <w:rsid w:val="003A365D"/>
    <w:rsid w:val="003A4095"/>
    <w:rsid w:val="003B756D"/>
    <w:rsid w:val="003E5EE0"/>
    <w:rsid w:val="003F750C"/>
    <w:rsid w:val="00403ADB"/>
    <w:rsid w:val="00426206"/>
    <w:rsid w:val="00441167"/>
    <w:rsid w:val="00464C96"/>
    <w:rsid w:val="004A3606"/>
    <w:rsid w:val="004C7B42"/>
    <w:rsid w:val="005067E3"/>
    <w:rsid w:val="00514E36"/>
    <w:rsid w:val="00560168"/>
    <w:rsid w:val="00572409"/>
    <w:rsid w:val="00572FD3"/>
    <w:rsid w:val="00583B8B"/>
    <w:rsid w:val="005947AE"/>
    <w:rsid w:val="00596A9E"/>
    <w:rsid w:val="005B47AC"/>
    <w:rsid w:val="005D092B"/>
    <w:rsid w:val="005E7E36"/>
    <w:rsid w:val="006101FD"/>
    <w:rsid w:val="00610883"/>
    <w:rsid w:val="00616EE1"/>
    <w:rsid w:val="0062075B"/>
    <w:rsid w:val="00624E26"/>
    <w:rsid w:val="00642757"/>
    <w:rsid w:val="00645D37"/>
    <w:rsid w:val="0067087D"/>
    <w:rsid w:val="0067245E"/>
    <w:rsid w:val="00690933"/>
    <w:rsid w:val="006978F0"/>
    <w:rsid w:val="00697C4C"/>
    <w:rsid w:val="006A391A"/>
    <w:rsid w:val="006C4715"/>
    <w:rsid w:val="006D2906"/>
    <w:rsid w:val="006E1023"/>
    <w:rsid w:val="006F2366"/>
    <w:rsid w:val="006F36C1"/>
    <w:rsid w:val="006F78DC"/>
    <w:rsid w:val="0071101E"/>
    <w:rsid w:val="00723B7E"/>
    <w:rsid w:val="0072473B"/>
    <w:rsid w:val="00781E0F"/>
    <w:rsid w:val="00783E4B"/>
    <w:rsid w:val="007C4943"/>
    <w:rsid w:val="007E6BFD"/>
    <w:rsid w:val="00810CB9"/>
    <w:rsid w:val="00824B60"/>
    <w:rsid w:val="008404C9"/>
    <w:rsid w:val="00843462"/>
    <w:rsid w:val="00854120"/>
    <w:rsid w:val="00856C32"/>
    <w:rsid w:val="00865778"/>
    <w:rsid w:val="008720C4"/>
    <w:rsid w:val="00872F03"/>
    <w:rsid w:val="00896A17"/>
    <w:rsid w:val="008B2CD1"/>
    <w:rsid w:val="008D16F4"/>
    <w:rsid w:val="008F52AF"/>
    <w:rsid w:val="00910B00"/>
    <w:rsid w:val="00920F14"/>
    <w:rsid w:val="0096259A"/>
    <w:rsid w:val="009656BB"/>
    <w:rsid w:val="0097399F"/>
    <w:rsid w:val="009745D8"/>
    <w:rsid w:val="00982DF0"/>
    <w:rsid w:val="009A0ED2"/>
    <w:rsid w:val="009B056C"/>
    <w:rsid w:val="009B527D"/>
    <w:rsid w:val="009B7E8B"/>
    <w:rsid w:val="009C5E5A"/>
    <w:rsid w:val="009D796B"/>
    <w:rsid w:val="009D79A5"/>
    <w:rsid w:val="009E42B5"/>
    <w:rsid w:val="00AA1185"/>
    <w:rsid w:val="00AA6A84"/>
    <w:rsid w:val="00AB4752"/>
    <w:rsid w:val="00AC4C96"/>
    <w:rsid w:val="00AD6C4D"/>
    <w:rsid w:val="00AF0268"/>
    <w:rsid w:val="00AF5BF8"/>
    <w:rsid w:val="00B0026D"/>
    <w:rsid w:val="00B034E9"/>
    <w:rsid w:val="00B0378C"/>
    <w:rsid w:val="00B17C1D"/>
    <w:rsid w:val="00B2474C"/>
    <w:rsid w:val="00B27CB9"/>
    <w:rsid w:val="00B32F1A"/>
    <w:rsid w:val="00B3609D"/>
    <w:rsid w:val="00B40A00"/>
    <w:rsid w:val="00B56AA3"/>
    <w:rsid w:val="00B737A5"/>
    <w:rsid w:val="00B851C6"/>
    <w:rsid w:val="00B94A8B"/>
    <w:rsid w:val="00B97A2D"/>
    <w:rsid w:val="00BA7EC8"/>
    <w:rsid w:val="00BC2252"/>
    <w:rsid w:val="00BD392E"/>
    <w:rsid w:val="00BE0BBB"/>
    <w:rsid w:val="00BE265C"/>
    <w:rsid w:val="00BE751F"/>
    <w:rsid w:val="00BF0A1F"/>
    <w:rsid w:val="00C06D71"/>
    <w:rsid w:val="00C210A6"/>
    <w:rsid w:val="00C24ECD"/>
    <w:rsid w:val="00C56AFE"/>
    <w:rsid w:val="00C64DEF"/>
    <w:rsid w:val="00C77ACE"/>
    <w:rsid w:val="00C84AD3"/>
    <w:rsid w:val="00C905A6"/>
    <w:rsid w:val="00C93718"/>
    <w:rsid w:val="00CA4940"/>
    <w:rsid w:val="00CA72C7"/>
    <w:rsid w:val="00CC4786"/>
    <w:rsid w:val="00CD09F6"/>
    <w:rsid w:val="00CD19B4"/>
    <w:rsid w:val="00CD3967"/>
    <w:rsid w:val="00CE6FA9"/>
    <w:rsid w:val="00CF19D8"/>
    <w:rsid w:val="00D3012F"/>
    <w:rsid w:val="00D33940"/>
    <w:rsid w:val="00D418A5"/>
    <w:rsid w:val="00D5662F"/>
    <w:rsid w:val="00D57EB5"/>
    <w:rsid w:val="00D600FD"/>
    <w:rsid w:val="00D60E10"/>
    <w:rsid w:val="00D62DB3"/>
    <w:rsid w:val="00D63790"/>
    <w:rsid w:val="00D649A8"/>
    <w:rsid w:val="00D84C49"/>
    <w:rsid w:val="00D90D8A"/>
    <w:rsid w:val="00D92F98"/>
    <w:rsid w:val="00DA440B"/>
    <w:rsid w:val="00DB400E"/>
    <w:rsid w:val="00DC243B"/>
    <w:rsid w:val="00DF1D55"/>
    <w:rsid w:val="00DF7DAE"/>
    <w:rsid w:val="00E30925"/>
    <w:rsid w:val="00E34757"/>
    <w:rsid w:val="00E35691"/>
    <w:rsid w:val="00E816E8"/>
    <w:rsid w:val="00E916DE"/>
    <w:rsid w:val="00E93FD7"/>
    <w:rsid w:val="00EA3B16"/>
    <w:rsid w:val="00EB088A"/>
    <w:rsid w:val="00EC00A6"/>
    <w:rsid w:val="00EC0293"/>
    <w:rsid w:val="00EC1028"/>
    <w:rsid w:val="00EC4066"/>
    <w:rsid w:val="00EE11FD"/>
    <w:rsid w:val="00F43A30"/>
    <w:rsid w:val="00F657BF"/>
    <w:rsid w:val="00F67F38"/>
    <w:rsid w:val="00FC28AD"/>
    <w:rsid w:val="00FC5C9F"/>
    <w:rsid w:val="00FD268C"/>
    <w:rsid w:val="00FE72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8ABA41"/>
  <w15:docId w15:val="{0B441CD5-B885-4A81-940E-31CA0A8E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ind w:left="726"/>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1"/>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1D5B09"/>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Sommario5">
    <w:name w:val="toc 5"/>
    <w:basedOn w:val="Normale"/>
    <w:next w:val="Normale"/>
    <w:autoRedefine/>
    <w:uiPriority w:val="39"/>
    <w:semiHidden/>
    <w:unhideWhenUsed/>
    <w:rsid w:val="001F439F"/>
    <w:pPr>
      <w:spacing w:after="100"/>
      <w:ind w:left="880"/>
    </w:pPr>
  </w:style>
  <w:style w:type="paragraph" w:styleId="Sommario6">
    <w:name w:val="toc 6"/>
    <w:basedOn w:val="Normale"/>
    <w:next w:val="Normale"/>
    <w:autoRedefine/>
    <w:uiPriority w:val="39"/>
    <w:semiHidden/>
    <w:unhideWhenUsed/>
    <w:rsid w:val="001F439F"/>
    <w:pPr>
      <w:spacing w:after="100"/>
      <w:ind w:left="1100"/>
    </w:pPr>
  </w:style>
  <w:style w:type="paragraph" w:styleId="Sommario7">
    <w:name w:val="toc 7"/>
    <w:basedOn w:val="Normale"/>
    <w:next w:val="Normale"/>
    <w:autoRedefine/>
    <w:uiPriority w:val="39"/>
    <w:semiHidden/>
    <w:unhideWhenUsed/>
    <w:rsid w:val="001F439F"/>
    <w:pPr>
      <w:spacing w:after="100"/>
      <w:ind w:left="1320"/>
    </w:pPr>
  </w:style>
  <w:style w:type="character" w:styleId="Collegamentoipertestuale">
    <w:name w:val="Hyperlink"/>
    <w:basedOn w:val="Carpredefinitoparagrafo"/>
    <w:uiPriority w:val="99"/>
    <w:unhideWhenUsed/>
    <w:rsid w:val="00312AA2"/>
    <w:rPr>
      <w:color w:val="0000FF" w:themeColor="hyperlink"/>
      <w:u w:val="single"/>
    </w:rPr>
  </w:style>
  <w:style w:type="table" w:customStyle="1" w:styleId="TableNormal">
    <w:name w:val="Table Normal"/>
    <w:uiPriority w:val="2"/>
    <w:semiHidden/>
    <w:unhideWhenUsed/>
    <w:qFormat/>
    <w:rsid w:val="00292470"/>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7A2D"/>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67F38"/>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23B7E"/>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23B7E"/>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23B7E"/>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32F1A"/>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320C9"/>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320C9"/>
    <w:pPr>
      <w:widowControl w:val="0"/>
      <w:autoSpaceDE w:val="0"/>
      <w:autoSpaceDN w:val="0"/>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D5B09"/>
    <w:pPr>
      <w:widowControl w:val="0"/>
      <w:autoSpaceDE w:val="0"/>
      <w:autoSpaceDN w:val="0"/>
      <w:jc w:val="left"/>
    </w:pPr>
    <w:rPr>
      <w:rFonts w:eastAsia="Arial" w:cs="Arial"/>
      <w:sz w:val="24"/>
      <w:szCs w:val="24"/>
      <w:lang w:val="it-IT"/>
    </w:rPr>
  </w:style>
  <w:style w:type="character" w:customStyle="1" w:styleId="CorpotestoCarattere">
    <w:name w:val="Corpo testo Carattere"/>
    <w:basedOn w:val="Carpredefinitoparagrafo"/>
    <w:link w:val="Corpotesto"/>
    <w:uiPriority w:val="1"/>
    <w:rsid w:val="001D5B09"/>
    <w:rPr>
      <w:rFonts w:ascii="Arial" w:eastAsia="Arial" w:hAnsi="Arial" w:cs="Arial"/>
      <w:sz w:val="24"/>
      <w:szCs w:val="24"/>
      <w:lang w:val="it-IT"/>
    </w:rPr>
  </w:style>
  <w:style w:type="paragraph" w:styleId="Testofumetto">
    <w:name w:val="Balloon Text"/>
    <w:basedOn w:val="Normale"/>
    <w:link w:val="TestofumettoCarattere"/>
    <w:uiPriority w:val="99"/>
    <w:semiHidden/>
    <w:unhideWhenUsed/>
    <w:rsid w:val="003037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70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bfs.admin.ch/bfs/fr/home/statistiques/sante/systeme-sante/projet-spiges.html%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4.ti.ch/user_librerie/php/GC/allegato.php?allid=12576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ti.ch/POTERI/legislativo/attivita/vgc/2021/1529-Seduta04p.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3.ti.ch/CAN/RLeggi/public/index.php/raccolta-leggi/pdfatto/atto/902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dk-cds.ch/fileadmin/docs/public/gdk/themen/spitalplanung/EM_Spitalplanung_totalrevidiert_20180525_def_d.pdf" TargetMode="External"/><Relationship Id="rId7" Type="http://schemas.openxmlformats.org/officeDocument/2006/relationships/hyperlink" Target="http://www.eoc.ch" TargetMode="External"/><Relationship Id="rId2" Type="http://schemas.openxmlformats.org/officeDocument/2006/relationships/hyperlink" Target="https://www.gdk-cds.ch/fileadmin/docs/public/gdk/themen/spitalplanung/EM_Spitalplanung_totalrevidiert_20180525_def_f.pdf" TargetMode="External"/><Relationship Id="rId1" Type="http://schemas.openxmlformats.org/officeDocument/2006/relationships/hyperlink" Target="https://www.siwf.ch/files/pdf7/wbo_i.pdf" TargetMode="External"/><Relationship Id="rId6" Type="http://schemas.openxmlformats.org/officeDocument/2006/relationships/hyperlink" Target="https://www4.ti.ch/user_librerie/php/CAN/rassegnastampa/articolo.php?id=743146" TargetMode="External"/><Relationship Id="rId5" Type="http://schemas.openxmlformats.org/officeDocument/2006/relationships/hyperlink" Target="https://www.gdk-cds.ch/fileadmin/docs/public/gdk/themen/Rehabilitation/Empfehlungen/EM_Qualitaetsanforderungen_20221124_def_d.pdf" TargetMode="External"/><Relationship Id="rId4" Type="http://schemas.openxmlformats.org/officeDocument/2006/relationships/hyperlink" Target="https://www.gdk-cds.ch/fileadmin/docs/public/gdk/themen/Rehabilitation/Empfehlungen/EM_Qualitaetsanforderungen_20221124_def_f.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8b758be8-4111-4149-83f1-3ce02bbb514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1606829296</Id>
      <Width>0</Width>
      <Height>0</Height>
      <XPath>//Image[@id='Profile.Org.WappenSW']</XPath>
      <ImageHash>02f1c0cdac6aeac316213b2e7cb733a0</ImageHash>
    </ImageSizeDefinition>
    <ImageSizeDefinition>
      <Id>1043969641</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9 f 6 2 2 8 a 6 - f 4 9 c - 4 6 4 8 - 8 7 1 1 - 7 0 9 b d f c a a 3 d 0 "   t I d = " a 3 6 2 a 5 d 4 - 9 5 8 9 - 4 1 b f - a 4 e 6 - 4 f 8 7 c 4 e 4 1 2 3 9 "   i n t e r n a l T I d = " 9 0 6 4 c c 7 f - 3 1 6 d - 4 6 b 1 - a 4 a c - 7 4 8 6 0 c 3 f 8 a 5 b "   m t I d = " 2 7 5 a f 3 2 e - b c 4 0 - 4 5 c 2 - 8 5 b 7 - a f b 1 c 0 3 8 2 6 5 3 "   r e v i s i o n = " 0 "   c r e a t e d m a j o r v e r s i o n = " 0 "   c r e a t e d m i n o r v e r s i o n = " 0 "   c r e a t e d = " 2 0 2 4 - 1 0 - 0 3 T 1 4 : 4 0 : 5 2 . 6 8 0 4 1 8 9 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2 5 0   R   d e l   1 0   o t t o b r e 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2 5 0   R   d e l   1 0   o t t o b r e   2 0 2 4 ] ] > < / 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 2 0 2 4 - 1 0 - 1 0 T 0 0 : 0 0 : 0 0 Z < / D a t e T i m e >  
                 < T e x t   i d = " D o c P a r a m . N u m b e r " > < ! [ C D A T A [ 8 2 5 0 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DFFDC82-1E90-4347-87AD-133F43FA4E93}">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F7BEA0F-9A8A-40BE-BB1E-B932A0638E22}">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3CE83861-4DCB-4CFE-AA3F-308A49CF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8b758be8-4111-4149-83f1-3ce02bbb5149.dotx</Template>
  <TotalTime>979</TotalTime>
  <Pages>60</Pages>
  <Words>24119</Words>
  <Characters>137483</Characters>
  <Application>Microsoft Office Word</Application>
  <DocSecurity>0</DocSecurity>
  <Lines>1145</Lines>
  <Paragraphs>322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Demarta Deborah / kxgc024</dc:creator>
  <cp:lastModifiedBy>Venturi Luca</cp:lastModifiedBy>
  <cp:revision>187</cp:revision>
  <cp:lastPrinted>2024-11-25T13:07:00Z</cp:lastPrinted>
  <dcterms:created xsi:type="dcterms:W3CDTF">2024-10-03T14:41:00Z</dcterms:created>
  <dcterms:modified xsi:type="dcterms:W3CDTF">2024-11-26T09:52:00Z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