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1DF6" w14:textId="2A06E3DC" w:rsidR="007024A9" w:rsidRPr="009A37FE" w:rsidRDefault="007024A9" w:rsidP="005E3026">
      <w:pPr>
        <w:rPr>
          <w:b/>
          <w:sz w:val="28"/>
          <w:szCs w:val="28"/>
        </w:rPr>
      </w:pPr>
      <w:bookmarkStart w:id="0" w:name="_GoBack"/>
      <w:bookmarkEnd w:id="0"/>
      <w:r w:rsidRPr="009A37FE">
        <w:rPr>
          <w:b/>
          <w:sz w:val="28"/>
          <w:szCs w:val="28"/>
        </w:rPr>
        <w:t xml:space="preserve">della Commissione </w:t>
      </w:r>
      <w:r w:rsidR="008238A0">
        <w:rPr>
          <w:b/>
          <w:sz w:val="28"/>
          <w:szCs w:val="28"/>
        </w:rPr>
        <w:t>a</w:t>
      </w:r>
      <w:r w:rsidRPr="009A37FE">
        <w:rPr>
          <w:b/>
          <w:sz w:val="28"/>
          <w:szCs w:val="28"/>
        </w:rPr>
        <w:t xml:space="preserve">mbiente, </w:t>
      </w:r>
      <w:r w:rsidR="008238A0">
        <w:rPr>
          <w:b/>
          <w:sz w:val="28"/>
          <w:szCs w:val="28"/>
        </w:rPr>
        <w:t>t</w:t>
      </w:r>
      <w:r w:rsidRPr="009A37FE">
        <w:rPr>
          <w:b/>
          <w:sz w:val="28"/>
          <w:szCs w:val="28"/>
        </w:rPr>
        <w:t xml:space="preserve">erritorio ed </w:t>
      </w:r>
      <w:r w:rsidR="008238A0">
        <w:rPr>
          <w:b/>
          <w:sz w:val="28"/>
          <w:szCs w:val="28"/>
        </w:rPr>
        <w:t>e</w:t>
      </w:r>
      <w:r w:rsidRPr="009A37FE">
        <w:rPr>
          <w:b/>
          <w:sz w:val="28"/>
          <w:szCs w:val="28"/>
        </w:rPr>
        <w:t>nergia</w:t>
      </w:r>
    </w:p>
    <w:p w14:paraId="17812CC9" w14:textId="1045D3B7" w:rsidR="00B160A8" w:rsidRPr="007024A9" w:rsidRDefault="008238A0" w:rsidP="005E3026">
      <w:pPr>
        <w:rPr>
          <w:rFonts w:cs="Arial"/>
          <w:b/>
          <w:bCs/>
          <w:sz w:val="28"/>
          <w:szCs w:val="28"/>
        </w:rPr>
      </w:pPr>
      <w:r>
        <w:rPr>
          <w:b/>
          <w:sz w:val="28"/>
          <w:szCs w:val="28"/>
        </w:rPr>
        <w:t>sul</w:t>
      </w:r>
      <w:r w:rsidR="007024A9" w:rsidRPr="009A37FE">
        <w:rPr>
          <w:b/>
          <w:sz w:val="28"/>
          <w:szCs w:val="28"/>
        </w:rPr>
        <w:t xml:space="preserve">la </w:t>
      </w:r>
      <w:r>
        <w:rPr>
          <w:b/>
          <w:sz w:val="28"/>
          <w:szCs w:val="28"/>
        </w:rPr>
        <w:t xml:space="preserve">mozione </w:t>
      </w:r>
      <w:r w:rsidR="007024A9" w:rsidRPr="007024A9">
        <w:rPr>
          <w:b/>
          <w:sz w:val="28"/>
          <w:szCs w:val="28"/>
        </w:rPr>
        <w:t>20 gennaio 2020 presentata da Simona Arigoni Zürcher e cofir</w:t>
      </w:r>
      <w:r>
        <w:rPr>
          <w:b/>
          <w:sz w:val="28"/>
          <w:szCs w:val="28"/>
        </w:rPr>
        <w:t xml:space="preserve">matari </w:t>
      </w:r>
      <w:r w:rsidR="000760C4">
        <w:rPr>
          <w:b/>
          <w:sz w:val="28"/>
          <w:szCs w:val="28"/>
        </w:rPr>
        <w:t xml:space="preserve">(ripresa da Matteo Pronzini) </w:t>
      </w:r>
      <w:r>
        <w:rPr>
          <w:b/>
          <w:sz w:val="28"/>
          <w:szCs w:val="28"/>
        </w:rPr>
        <w:t xml:space="preserve">per MPS-POP-Indipendenti, </w:t>
      </w:r>
      <w:r w:rsidR="007024A9" w:rsidRPr="007024A9">
        <w:rPr>
          <w:b/>
          <w:sz w:val="28"/>
          <w:szCs w:val="28"/>
        </w:rPr>
        <w:t>“Centrale a Carbone di Lünen: è ora di finirla con la partecipazione di AET! L’energia fossile deve essere abbandonata al più presto e gli investimenti devono essere pensati e considerati solamente in ottica eco-sostenibile!”</w:t>
      </w:r>
    </w:p>
    <w:p w14:paraId="5FDE4F62" w14:textId="25167F75" w:rsidR="00B45116" w:rsidRPr="008238A0" w:rsidRDefault="000760C4" w:rsidP="008238A0">
      <w:pPr>
        <w:spacing w:before="120"/>
        <w:rPr>
          <w:rFonts w:asciiTheme="minorHAnsi" w:eastAsiaTheme="minorEastAsia" w:hAnsiTheme="minorHAnsi"/>
          <w:sz w:val="26"/>
          <w:szCs w:val="26"/>
        </w:rPr>
      </w:pPr>
      <w:r>
        <w:rPr>
          <w:b/>
          <w:sz w:val="26"/>
          <w:szCs w:val="26"/>
        </w:rPr>
        <w:t>(</w:t>
      </w:r>
      <w:r w:rsidR="001659E5">
        <w:rPr>
          <w:b/>
          <w:sz w:val="26"/>
          <w:szCs w:val="26"/>
        </w:rPr>
        <w:t xml:space="preserve">v. </w:t>
      </w:r>
      <w:r>
        <w:rPr>
          <w:b/>
          <w:sz w:val="26"/>
          <w:szCs w:val="26"/>
        </w:rPr>
        <w:t>m</w:t>
      </w:r>
      <w:r w:rsidR="008238A0" w:rsidRPr="008238A0">
        <w:rPr>
          <w:b/>
          <w:sz w:val="26"/>
          <w:szCs w:val="26"/>
        </w:rPr>
        <w:t>essaggio 25 novembre 2020</w:t>
      </w:r>
      <w:r w:rsidR="001659E5">
        <w:rPr>
          <w:b/>
          <w:sz w:val="26"/>
          <w:szCs w:val="26"/>
        </w:rPr>
        <w:t xml:space="preserve"> n. 7934</w:t>
      </w:r>
      <w:r w:rsidR="008238A0" w:rsidRPr="008238A0">
        <w:rPr>
          <w:b/>
          <w:sz w:val="26"/>
          <w:szCs w:val="26"/>
        </w:rPr>
        <w:t>)</w:t>
      </w:r>
    </w:p>
    <w:p w14:paraId="0C17BE3D" w14:textId="77777777" w:rsidR="007024A9" w:rsidRPr="008238A0" w:rsidRDefault="007024A9" w:rsidP="005E3026">
      <w:pPr>
        <w:ind w:right="-1"/>
        <w:rPr>
          <w:rFonts w:asciiTheme="minorHAnsi" w:eastAsiaTheme="minorEastAsia" w:hAnsiTheme="minorHAnsi"/>
        </w:rPr>
      </w:pPr>
    </w:p>
    <w:p w14:paraId="65C69081" w14:textId="1F9A2A5B" w:rsidR="008238A0" w:rsidRPr="008238A0" w:rsidRDefault="008238A0" w:rsidP="005E3026">
      <w:pPr>
        <w:ind w:right="-1"/>
        <w:rPr>
          <w:rFonts w:asciiTheme="minorHAnsi" w:eastAsiaTheme="minorEastAsia" w:hAnsiTheme="minorHAnsi"/>
        </w:rPr>
      </w:pPr>
    </w:p>
    <w:p w14:paraId="5855D50A" w14:textId="478F44C1" w:rsidR="00B45116" w:rsidRPr="008238A0" w:rsidRDefault="00B45116" w:rsidP="005E3026">
      <w:pPr>
        <w:pStyle w:val="Paragrafoelenco"/>
        <w:numPr>
          <w:ilvl w:val="0"/>
          <w:numId w:val="29"/>
        </w:numPr>
        <w:ind w:left="567" w:right="-1" w:hanging="567"/>
        <w:rPr>
          <w:rFonts w:asciiTheme="minorHAnsi" w:eastAsiaTheme="minorEastAsia" w:hAnsiTheme="minorHAnsi"/>
          <w:b/>
        </w:rPr>
      </w:pPr>
      <w:r w:rsidRPr="008238A0">
        <w:rPr>
          <w:rFonts w:asciiTheme="minorHAnsi" w:eastAsiaTheme="minorEastAsia" w:hAnsiTheme="minorHAnsi"/>
          <w:b/>
        </w:rPr>
        <w:t>INTRODUZIONE</w:t>
      </w:r>
    </w:p>
    <w:p w14:paraId="45CABC02" w14:textId="425613A6" w:rsidR="007024A9" w:rsidRPr="00C05B0F" w:rsidRDefault="007024A9" w:rsidP="008238A0">
      <w:pPr>
        <w:spacing w:before="120"/>
        <w:rPr>
          <w:rFonts w:asciiTheme="minorHAnsi" w:eastAsia="Times New Roman" w:hAnsiTheme="minorHAnsi" w:cstheme="minorHAnsi"/>
          <w:sz w:val="24"/>
          <w:szCs w:val="24"/>
          <w:lang w:val="it-IT" w:eastAsia="it-IT"/>
        </w:rPr>
      </w:pPr>
      <w:r w:rsidRPr="00C05B0F">
        <w:rPr>
          <w:rFonts w:asciiTheme="minorHAnsi" w:eastAsia="Times New Roman" w:hAnsiTheme="minorHAnsi" w:cstheme="minorHAnsi"/>
          <w:sz w:val="24"/>
          <w:szCs w:val="24"/>
          <w:lang w:val="it-IT" w:eastAsia="it-IT"/>
        </w:rPr>
        <w:t xml:space="preserve">La mozione </w:t>
      </w:r>
      <w:r w:rsidR="00D13F9D" w:rsidRPr="00C05B0F">
        <w:rPr>
          <w:rFonts w:asciiTheme="minorHAnsi" w:eastAsia="Times New Roman" w:hAnsiTheme="minorHAnsi" w:cstheme="minorHAnsi"/>
          <w:sz w:val="24"/>
          <w:szCs w:val="24"/>
          <w:lang w:val="it-IT" w:eastAsia="it-IT"/>
        </w:rPr>
        <w:t>MO</w:t>
      </w:r>
      <w:r w:rsidRPr="00C05B0F">
        <w:rPr>
          <w:rFonts w:asciiTheme="minorHAnsi" w:eastAsia="Times New Roman" w:hAnsiTheme="minorHAnsi" w:cstheme="minorHAnsi"/>
          <w:sz w:val="24"/>
          <w:szCs w:val="24"/>
          <w:lang w:val="it-IT" w:eastAsia="it-IT"/>
        </w:rPr>
        <w:t xml:space="preserve">1456, presentata il 20 gennaio 2020 da Simona Arigoni Zürcher e cofirmatari (MPS-POP-Indipendenti), </w:t>
      </w:r>
      <w:r w:rsidR="00D13F9D" w:rsidRPr="00C05B0F">
        <w:rPr>
          <w:rFonts w:asciiTheme="minorHAnsi" w:eastAsia="Times New Roman" w:hAnsiTheme="minorHAnsi" w:cstheme="minorHAnsi"/>
          <w:sz w:val="24"/>
          <w:szCs w:val="24"/>
          <w:lang w:val="it-IT" w:eastAsia="it-IT"/>
        </w:rPr>
        <w:t>chiede</w:t>
      </w:r>
      <w:r w:rsidRPr="00C05B0F">
        <w:rPr>
          <w:rFonts w:asciiTheme="minorHAnsi" w:eastAsia="Times New Roman" w:hAnsiTheme="minorHAnsi" w:cstheme="minorHAnsi"/>
          <w:sz w:val="24"/>
          <w:szCs w:val="24"/>
          <w:lang w:val="it-IT" w:eastAsia="it-IT"/>
        </w:rPr>
        <w:t xml:space="preserve"> che l’Azienda Elettrica Ticinese (AET) ceda la propria partecipazione del 15,8% nella centrale a carbone di Lünen entro il 31 dicembre 2021. La mozione è motivata da considerazioni ambientali, in un contesto in cui l'attenzione ai cambiamenti climatici e la necessità di ridurre le emissioni di CO</w:t>
      </w:r>
      <w:r w:rsidRPr="00C05B0F">
        <w:rPr>
          <w:rFonts w:ascii="Cambria Math" w:eastAsia="Times New Roman" w:hAnsi="Cambria Math" w:cs="Cambria Math"/>
          <w:sz w:val="24"/>
          <w:szCs w:val="24"/>
          <w:lang w:val="it-IT" w:eastAsia="it-IT"/>
        </w:rPr>
        <w:t>₂</w:t>
      </w:r>
      <w:r w:rsidRPr="00C05B0F">
        <w:rPr>
          <w:rFonts w:asciiTheme="minorHAnsi" w:eastAsia="Times New Roman" w:hAnsiTheme="minorHAnsi" w:cstheme="minorHAnsi"/>
          <w:sz w:val="24"/>
          <w:szCs w:val="24"/>
          <w:lang w:val="it-IT" w:eastAsia="it-IT"/>
        </w:rPr>
        <w:t xml:space="preserve"> stanno guidando le politiche energetiche a livello globale. Secondo i mozionanti, la permanenza di AET in un impianto a carbone contraddice l'impegno verso un futuro più sostenibile.</w:t>
      </w:r>
    </w:p>
    <w:p w14:paraId="7B3C9E98" w14:textId="77777777" w:rsidR="008238A0" w:rsidRPr="00C05B0F" w:rsidRDefault="008238A0" w:rsidP="008238A0">
      <w:pPr>
        <w:rPr>
          <w:rFonts w:asciiTheme="minorHAnsi" w:eastAsia="Times New Roman" w:hAnsiTheme="minorHAnsi" w:cstheme="minorHAnsi"/>
          <w:sz w:val="24"/>
          <w:szCs w:val="24"/>
          <w:lang w:val="it-IT" w:eastAsia="it-IT"/>
        </w:rPr>
      </w:pPr>
    </w:p>
    <w:p w14:paraId="0DB19AD1" w14:textId="2F00F1A6" w:rsidR="00B45116" w:rsidRPr="00C05B0F" w:rsidRDefault="007024A9" w:rsidP="008238A0">
      <w:pPr>
        <w:rPr>
          <w:rFonts w:asciiTheme="minorHAnsi" w:eastAsia="Times New Roman" w:hAnsiTheme="minorHAnsi" w:cstheme="minorHAnsi"/>
          <w:sz w:val="24"/>
          <w:szCs w:val="24"/>
          <w:lang w:val="it-IT" w:eastAsia="it-IT"/>
        </w:rPr>
      </w:pPr>
      <w:r w:rsidRPr="00C05B0F">
        <w:rPr>
          <w:rFonts w:asciiTheme="minorHAnsi" w:eastAsia="Times New Roman" w:hAnsiTheme="minorHAnsi" w:cstheme="minorHAnsi"/>
          <w:sz w:val="24"/>
          <w:szCs w:val="24"/>
          <w:lang w:val="it-IT" w:eastAsia="it-IT"/>
        </w:rPr>
        <w:t xml:space="preserve">Il Consiglio di Stato ha risposto a questa richiesta con il </w:t>
      </w:r>
      <w:r w:rsidR="00634885" w:rsidRPr="00C05B0F">
        <w:rPr>
          <w:rFonts w:asciiTheme="minorHAnsi" w:eastAsia="Times New Roman" w:hAnsiTheme="minorHAnsi" w:cstheme="minorHAnsi"/>
          <w:sz w:val="24"/>
          <w:szCs w:val="24"/>
          <w:lang w:val="it-IT" w:eastAsia="it-IT"/>
        </w:rPr>
        <w:t>m</w:t>
      </w:r>
      <w:r w:rsidRPr="00C05B0F">
        <w:rPr>
          <w:rFonts w:asciiTheme="minorHAnsi" w:eastAsia="Times New Roman" w:hAnsiTheme="minorHAnsi" w:cstheme="minorHAnsi"/>
          <w:sz w:val="24"/>
          <w:szCs w:val="24"/>
          <w:lang w:val="it-IT" w:eastAsia="it-IT"/>
        </w:rPr>
        <w:t xml:space="preserve">essaggio </w:t>
      </w:r>
      <w:r w:rsidR="00634885" w:rsidRPr="00C05B0F">
        <w:rPr>
          <w:rFonts w:asciiTheme="minorHAnsi" w:eastAsia="Times New Roman" w:hAnsiTheme="minorHAnsi" w:cstheme="minorHAnsi"/>
          <w:sz w:val="24"/>
          <w:szCs w:val="24"/>
          <w:lang w:val="it-IT" w:eastAsia="it-IT"/>
        </w:rPr>
        <w:t xml:space="preserve">n. </w:t>
      </w:r>
      <w:r w:rsidRPr="00C05B0F">
        <w:rPr>
          <w:rFonts w:asciiTheme="minorHAnsi" w:eastAsia="Times New Roman" w:hAnsiTheme="minorHAnsi" w:cstheme="minorHAnsi"/>
          <w:sz w:val="24"/>
          <w:szCs w:val="24"/>
          <w:lang w:val="it-IT" w:eastAsia="it-IT"/>
        </w:rPr>
        <w:t>7934, in cui si spiegano le ragioni per cui la dismissione anticipata della partecipazione non è fattibile. Pur riconoscendo l'importanza di un abbandono progressivo dell'energia fossile, il Consiglio sottolinea le complessità legate ai vincoli contrattuali e alle conseguenze finanziarie di una cessione anticipata.</w:t>
      </w:r>
    </w:p>
    <w:p w14:paraId="26253258" w14:textId="467B2D55" w:rsidR="00B45116" w:rsidRDefault="00B45116" w:rsidP="008238A0">
      <w:pPr>
        <w:autoSpaceDE w:val="0"/>
        <w:autoSpaceDN w:val="0"/>
        <w:adjustRightInd w:val="0"/>
      </w:pPr>
    </w:p>
    <w:p w14:paraId="2FDFA60B" w14:textId="60F7C5F4" w:rsidR="000760C4" w:rsidRPr="008238A0" w:rsidRDefault="000760C4" w:rsidP="008238A0">
      <w:pPr>
        <w:autoSpaceDE w:val="0"/>
        <w:autoSpaceDN w:val="0"/>
        <w:adjustRightInd w:val="0"/>
      </w:pPr>
    </w:p>
    <w:p w14:paraId="1C3BBB07" w14:textId="6D02740D" w:rsidR="00B45116" w:rsidRPr="008238A0" w:rsidRDefault="00B45116" w:rsidP="005E3026">
      <w:pPr>
        <w:autoSpaceDE w:val="0"/>
        <w:autoSpaceDN w:val="0"/>
        <w:adjustRightInd w:val="0"/>
        <w:ind w:left="567" w:hanging="567"/>
        <w:rPr>
          <w:b/>
        </w:rPr>
      </w:pPr>
      <w:r w:rsidRPr="008238A0">
        <w:rPr>
          <w:b/>
        </w:rPr>
        <w:t>2.</w:t>
      </w:r>
      <w:r w:rsidRPr="008238A0">
        <w:rPr>
          <w:b/>
        </w:rPr>
        <w:tab/>
      </w:r>
      <w:r w:rsidR="00E74A90" w:rsidRPr="008238A0">
        <w:rPr>
          <w:b/>
        </w:rPr>
        <w:t xml:space="preserve">IL </w:t>
      </w:r>
      <w:r w:rsidR="007024A9" w:rsidRPr="008238A0">
        <w:rPr>
          <w:b/>
        </w:rPr>
        <w:t>QUADRO NORMATIVO</w:t>
      </w:r>
    </w:p>
    <w:p w14:paraId="0EC5F426" w14:textId="260B3ECF" w:rsidR="007024A9" w:rsidRPr="00C05B0F" w:rsidRDefault="007024A9" w:rsidP="008238A0">
      <w:pPr>
        <w:spacing w:before="120"/>
        <w:rPr>
          <w:rFonts w:cs="Arial"/>
          <w:sz w:val="24"/>
          <w:szCs w:val="24"/>
        </w:rPr>
      </w:pPr>
      <w:r w:rsidRPr="00C05B0F">
        <w:rPr>
          <w:rFonts w:cs="Arial"/>
          <w:sz w:val="24"/>
          <w:szCs w:val="24"/>
        </w:rPr>
        <w:t>Il 5 giugno 2011, in votazione popolare, il popolo ticinese approvò la modifica della Legge istituente l’Azienda Elettrica Ticinese, imponendo all'AET di non acquisire ulteriori partecipazioni in centrali a carbone o nucleari, e di cedere quelle già esistenti entro il 2035. Questa decisione riflette una chiara volontà di orientarsi verso energie più pulite e sostenibili. Tuttavia, l’articolo transitorio della legge stabilisce che la cessione deve avvenire "non appena possibile a condizione che non generi perdite finanziarie".</w:t>
      </w:r>
    </w:p>
    <w:p w14:paraId="1875450C" w14:textId="77777777" w:rsidR="008238A0" w:rsidRPr="00C05B0F" w:rsidRDefault="008238A0" w:rsidP="008238A0">
      <w:pPr>
        <w:rPr>
          <w:rFonts w:cs="Arial"/>
          <w:sz w:val="24"/>
          <w:szCs w:val="24"/>
        </w:rPr>
      </w:pPr>
    </w:p>
    <w:p w14:paraId="5B34042F" w14:textId="23F162FA" w:rsidR="007024A9" w:rsidRPr="00C05B0F" w:rsidRDefault="007024A9" w:rsidP="008238A0">
      <w:pPr>
        <w:rPr>
          <w:rFonts w:cs="Arial"/>
          <w:sz w:val="24"/>
          <w:szCs w:val="24"/>
        </w:rPr>
      </w:pPr>
      <w:r w:rsidRPr="00C05B0F">
        <w:rPr>
          <w:rFonts w:cs="Arial"/>
          <w:sz w:val="24"/>
          <w:szCs w:val="24"/>
        </w:rPr>
        <w:t>Il Consiglio di Stato ribadisce che la normativa richiede un approccio prudente e non consente ad AET di dismettere la propria partecipazione senza considerare le conseguenze economiche. AET si trova vincolata da una serie di contratti che rendono impossibile agire in modo autonomo e immediato.</w:t>
      </w:r>
    </w:p>
    <w:p w14:paraId="7E6ED8AC" w14:textId="77568E39" w:rsidR="008238A0" w:rsidRDefault="008238A0" w:rsidP="008238A0">
      <w:pPr>
        <w:rPr>
          <w:rFonts w:cs="Arial"/>
        </w:rPr>
      </w:pPr>
    </w:p>
    <w:p w14:paraId="1EEFA9D1" w14:textId="0AE5127D" w:rsidR="000760C4" w:rsidRPr="008238A0" w:rsidRDefault="000760C4" w:rsidP="008238A0">
      <w:pPr>
        <w:rPr>
          <w:rFonts w:cs="Arial"/>
        </w:rPr>
      </w:pPr>
    </w:p>
    <w:p w14:paraId="3771E1CD" w14:textId="68F007C3" w:rsidR="007024A9" w:rsidRPr="008238A0" w:rsidRDefault="007024A9" w:rsidP="005E3026">
      <w:pPr>
        <w:autoSpaceDE w:val="0"/>
        <w:autoSpaceDN w:val="0"/>
        <w:adjustRightInd w:val="0"/>
        <w:ind w:left="567" w:hanging="567"/>
        <w:rPr>
          <w:b/>
        </w:rPr>
      </w:pPr>
      <w:r w:rsidRPr="008238A0">
        <w:rPr>
          <w:b/>
        </w:rPr>
        <w:t>3.</w:t>
      </w:r>
      <w:r w:rsidRPr="008238A0">
        <w:rPr>
          <w:b/>
        </w:rPr>
        <w:tab/>
        <w:t>LA STRATEGIA AET</w:t>
      </w:r>
    </w:p>
    <w:p w14:paraId="214328E3" w14:textId="77777777" w:rsidR="000760C4" w:rsidRPr="00C05B0F" w:rsidRDefault="007024A9" w:rsidP="008238A0">
      <w:pPr>
        <w:spacing w:before="120"/>
        <w:rPr>
          <w:rFonts w:eastAsia="Times New Roman" w:cs="Times New Roman"/>
          <w:sz w:val="24"/>
          <w:szCs w:val="24"/>
          <w:lang w:val="it-IT" w:eastAsia="it-IT"/>
        </w:rPr>
      </w:pPr>
      <w:r w:rsidRPr="00C05B0F">
        <w:rPr>
          <w:rFonts w:eastAsia="Times New Roman" w:cs="Times New Roman"/>
          <w:sz w:val="24"/>
          <w:szCs w:val="24"/>
          <w:lang w:val="it-IT" w:eastAsia="it-IT"/>
        </w:rPr>
        <w:t xml:space="preserve">Nel periodo 2017-2020, AET ha adottato una strategia volta alla dismissione delle attività "non core", tra cui la partecipazione nella centrale di Lünen. Sebbene siano stati raggiunti </w:t>
      </w:r>
      <w:r w:rsidRPr="00C05B0F">
        <w:rPr>
          <w:rFonts w:eastAsia="Times New Roman" w:cs="Times New Roman"/>
          <w:sz w:val="24"/>
          <w:szCs w:val="24"/>
          <w:lang w:val="it-IT" w:eastAsia="it-IT"/>
        </w:rPr>
        <w:lastRenderedPageBreak/>
        <w:t>importanti obiettivi, come la dismissione delle attività legate all'olio di palma, l’uscita da Lünen si è rivelata molto più complessa. AET è infatti legata da contratti di consorzio e di fornitura energetica con gli altri partner della centrale e con le banche finanziatrici. Questi accordi limitano la possibilità di un’uscita anticipata senza pesanti penalità economiche.</w:t>
      </w:r>
    </w:p>
    <w:p w14:paraId="438C71E1" w14:textId="77777777" w:rsidR="000760C4" w:rsidRPr="00C05B0F" w:rsidRDefault="000760C4" w:rsidP="008238A0">
      <w:pPr>
        <w:rPr>
          <w:rFonts w:eastAsia="Times New Roman" w:cs="Times New Roman"/>
          <w:sz w:val="24"/>
          <w:szCs w:val="24"/>
          <w:lang w:val="it-IT" w:eastAsia="it-IT"/>
        </w:rPr>
      </w:pPr>
    </w:p>
    <w:p w14:paraId="225CA5B3" w14:textId="29808C20" w:rsidR="00190FDC" w:rsidRPr="00C05B0F" w:rsidRDefault="007024A9" w:rsidP="008238A0">
      <w:pPr>
        <w:rPr>
          <w:rFonts w:eastAsia="Times New Roman" w:cs="Times New Roman"/>
          <w:sz w:val="24"/>
          <w:szCs w:val="24"/>
          <w:lang w:val="it-IT" w:eastAsia="it-IT"/>
        </w:rPr>
      </w:pPr>
      <w:r w:rsidRPr="00C05B0F">
        <w:rPr>
          <w:rFonts w:eastAsia="Times New Roman" w:cs="Times New Roman"/>
          <w:sz w:val="24"/>
          <w:szCs w:val="24"/>
          <w:lang w:val="it-IT" w:eastAsia="it-IT"/>
        </w:rPr>
        <w:t>AET ha comunque espresso la volontà di cedere la partecipazione non appena le condizioni economiche e contrattuali lo permetteranno, ma il Consiglio di Stato avverte che la dismissione anticipata prima del 2035 non solo è improbabile, ma porterebbe a perdite significative.</w:t>
      </w:r>
    </w:p>
    <w:p w14:paraId="7186AF80" w14:textId="743B7C72" w:rsidR="00190FDC" w:rsidRPr="00C05B0F" w:rsidRDefault="00190FDC" w:rsidP="008238A0">
      <w:pPr>
        <w:rPr>
          <w:rFonts w:eastAsia="Times New Roman" w:cs="Times New Roman"/>
          <w:sz w:val="24"/>
          <w:szCs w:val="24"/>
          <w:lang w:val="it-IT" w:eastAsia="it-IT"/>
        </w:rPr>
      </w:pPr>
    </w:p>
    <w:p w14:paraId="4926CB5A" w14:textId="4A6AF50C" w:rsidR="000760C4" w:rsidRPr="008238A0" w:rsidRDefault="000760C4" w:rsidP="008238A0">
      <w:pPr>
        <w:rPr>
          <w:rFonts w:eastAsia="Times New Roman" w:cs="Times New Roman"/>
          <w:lang w:val="it-IT" w:eastAsia="it-IT"/>
        </w:rPr>
      </w:pPr>
    </w:p>
    <w:p w14:paraId="4A53DF01" w14:textId="72C2EC7C" w:rsidR="007024A9" w:rsidRPr="008238A0" w:rsidRDefault="007024A9" w:rsidP="005E3026">
      <w:pPr>
        <w:autoSpaceDE w:val="0"/>
        <w:autoSpaceDN w:val="0"/>
        <w:adjustRightInd w:val="0"/>
        <w:ind w:left="567" w:hanging="567"/>
        <w:rPr>
          <w:b/>
        </w:rPr>
      </w:pPr>
      <w:r w:rsidRPr="008238A0">
        <w:rPr>
          <w:b/>
        </w:rPr>
        <w:t>4.</w:t>
      </w:r>
      <w:r w:rsidRPr="008238A0">
        <w:rPr>
          <w:b/>
        </w:rPr>
        <w:tab/>
        <w:t>LA SITUAZIONE IN GERMANIA</w:t>
      </w:r>
    </w:p>
    <w:p w14:paraId="3D8D0FF5" w14:textId="77777777" w:rsidR="00190FDC" w:rsidRPr="00C05B0F" w:rsidRDefault="00190FDC" w:rsidP="008238A0">
      <w:pPr>
        <w:spacing w:before="120"/>
        <w:rPr>
          <w:rFonts w:eastAsia="Times New Roman" w:cs="Times New Roman"/>
          <w:sz w:val="24"/>
          <w:lang w:val="it-IT" w:eastAsia="it-IT"/>
        </w:rPr>
      </w:pPr>
      <w:r w:rsidRPr="00C05B0F">
        <w:rPr>
          <w:rFonts w:eastAsia="Times New Roman" w:cs="Times New Roman"/>
          <w:sz w:val="24"/>
          <w:lang w:val="it-IT" w:eastAsia="it-IT"/>
        </w:rPr>
        <w:t>Il governo tedesco ha adottato una legge nel 2020 che prevede la chiusura di tutte le centrali a carbone entro il 2038. Per quanto riguarda la centrale di Lünen, la chiusura dovrebbe avvenire entro il 2030-2031. Questa decisione fa parte di un piano graduale per ridurre le emissioni di CO</w:t>
      </w:r>
      <w:r w:rsidRPr="00C05B0F">
        <w:rPr>
          <w:rFonts w:ascii="Cambria Math" w:eastAsia="Times New Roman" w:hAnsi="Cambria Math" w:cs="Cambria Math"/>
          <w:sz w:val="24"/>
          <w:lang w:val="it-IT" w:eastAsia="it-IT"/>
        </w:rPr>
        <w:t>₂</w:t>
      </w:r>
      <w:r w:rsidRPr="00C05B0F">
        <w:rPr>
          <w:rFonts w:eastAsia="Times New Roman" w:cs="Times New Roman"/>
          <w:sz w:val="24"/>
          <w:lang w:val="it-IT" w:eastAsia="it-IT"/>
        </w:rPr>
        <w:t>, ma prevede anche compensazioni per i proprietari delle centrali, come incentivi per una chiusura anticipata attraverso aste competitive. Tuttavia, per la centrale di L</w:t>
      </w:r>
      <w:r w:rsidRPr="00C05B0F">
        <w:rPr>
          <w:rFonts w:eastAsia="Times New Roman" w:cs="Arial"/>
          <w:sz w:val="24"/>
          <w:lang w:val="it-IT" w:eastAsia="it-IT"/>
        </w:rPr>
        <w:t>ü</w:t>
      </w:r>
      <w:r w:rsidRPr="00C05B0F">
        <w:rPr>
          <w:rFonts w:eastAsia="Times New Roman" w:cs="Times New Roman"/>
          <w:sz w:val="24"/>
          <w:lang w:val="it-IT" w:eastAsia="it-IT"/>
        </w:rPr>
        <w:t>nen, l</w:t>
      </w:r>
      <w:r w:rsidRPr="00C05B0F">
        <w:rPr>
          <w:rFonts w:eastAsia="Times New Roman" w:cs="Arial"/>
          <w:sz w:val="24"/>
          <w:lang w:val="it-IT" w:eastAsia="it-IT"/>
        </w:rPr>
        <w:t>’</w:t>
      </w:r>
      <w:r w:rsidRPr="00C05B0F">
        <w:rPr>
          <w:rFonts w:eastAsia="Times New Roman" w:cs="Times New Roman"/>
          <w:sz w:val="24"/>
          <w:lang w:val="it-IT" w:eastAsia="it-IT"/>
        </w:rPr>
        <w:t>indennizzo massimo previsto dalle aste fino al 2027 non è sufficiente a coprire i costi, e i partner di Lünen non sono incentivati a cedere la loro partecipazione.</w:t>
      </w:r>
    </w:p>
    <w:p w14:paraId="5FDE254A" w14:textId="5D5EB2D0" w:rsidR="00190FDC" w:rsidRDefault="00190FDC" w:rsidP="008238A0">
      <w:pPr>
        <w:rPr>
          <w:rFonts w:cs="Arial"/>
        </w:rPr>
      </w:pPr>
    </w:p>
    <w:p w14:paraId="7C67C4CD" w14:textId="2E2773EB" w:rsidR="000760C4" w:rsidRPr="008238A0" w:rsidRDefault="000760C4" w:rsidP="008238A0">
      <w:pPr>
        <w:rPr>
          <w:rFonts w:cs="Arial"/>
        </w:rPr>
      </w:pPr>
    </w:p>
    <w:p w14:paraId="1146ED8D" w14:textId="6F67612D" w:rsidR="00190FDC" w:rsidRPr="008238A0" w:rsidRDefault="00190FDC" w:rsidP="005E3026">
      <w:pPr>
        <w:autoSpaceDE w:val="0"/>
        <w:autoSpaceDN w:val="0"/>
        <w:adjustRightInd w:val="0"/>
        <w:ind w:left="567" w:hanging="567"/>
        <w:rPr>
          <w:b/>
        </w:rPr>
      </w:pPr>
      <w:r w:rsidRPr="008238A0">
        <w:rPr>
          <w:b/>
        </w:rPr>
        <w:t>5.</w:t>
      </w:r>
      <w:r w:rsidRPr="008238A0">
        <w:rPr>
          <w:b/>
        </w:rPr>
        <w:tab/>
        <w:t>APPROFONDIMENTI COMMISSIONALI</w:t>
      </w:r>
    </w:p>
    <w:p w14:paraId="5AFA8D31" w14:textId="2007B564" w:rsidR="00190FDC" w:rsidRPr="00C05B0F" w:rsidRDefault="00190FDC" w:rsidP="008238A0">
      <w:pPr>
        <w:spacing w:before="120"/>
        <w:rPr>
          <w:rFonts w:asciiTheme="minorHAnsi" w:eastAsia="Times New Roman" w:hAnsiTheme="minorHAnsi" w:cstheme="minorHAnsi"/>
          <w:sz w:val="24"/>
          <w:szCs w:val="24"/>
          <w:lang w:val="it-IT" w:eastAsia="it-IT"/>
        </w:rPr>
      </w:pPr>
      <w:r w:rsidRPr="00C05B0F">
        <w:rPr>
          <w:rFonts w:asciiTheme="minorHAnsi" w:eastAsia="Times New Roman" w:hAnsiTheme="minorHAnsi" w:cstheme="minorHAnsi"/>
          <w:sz w:val="24"/>
          <w:szCs w:val="24"/>
          <w:lang w:val="it-IT" w:eastAsia="it-IT"/>
        </w:rPr>
        <w:t xml:space="preserve">La </w:t>
      </w:r>
      <w:r w:rsidR="00634885" w:rsidRPr="00C05B0F">
        <w:rPr>
          <w:rFonts w:asciiTheme="minorHAnsi" w:eastAsia="Times New Roman" w:hAnsiTheme="minorHAnsi" w:cstheme="minorHAnsi"/>
          <w:sz w:val="24"/>
          <w:szCs w:val="24"/>
          <w:lang w:val="it-IT" w:eastAsia="it-IT"/>
        </w:rPr>
        <w:t>mag</w:t>
      </w:r>
      <w:r w:rsidR="00E11916" w:rsidRPr="00C05B0F">
        <w:rPr>
          <w:rFonts w:asciiTheme="minorHAnsi" w:eastAsia="Times New Roman" w:hAnsiTheme="minorHAnsi" w:cstheme="minorHAnsi"/>
          <w:sz w:val="24"/>
          <w:szCs w:val="24"/>
          <w:lang w:val="it-IT" w:eastAsia="it-IT"/>
        </w:rPr>
        <w:t>gioranza</w:t>
      </w:r>
      <w:r w:rsidR="00634885" w:rsidRPr="00C05B0F">
        <w:rPr>
          <w:rFonts w:asciiTheme="minorHAnsi" w:eastAsia="Times New Roman" w:hAnsiTheme="minorHAnsi" w:cstheme="minorHAnsi"/>
          <w:sz w:val="24"/>
          <w:szCs w:val="24"/>
          <w:lang w:val="it-IT" w:eastAsia="it-IT"/>
        </w:rPr>
        <w:t xml:space="preserve"> della </w:t>
      </w:r>
      <w:r w:rsidRPr="00C05B0F">
        <w:rPr>
          <w:rFonts w:asciiTheme="minorHAnsi" w:eastAsia="Times New Roman" w:hAnsiTheme="minorHAnsi" w:cstheme="minorHAnsi"/>
          <w:sz w:val="24"/>
          <w:szCs w:val="24"/>
          <w:lang w:val="it-IT" w:eastAsia="it-IT"/>
        </w:rPr>
        <w:t xml:space="preserve">Commissione Ambiente, </w:t>
      </w:r>
      <w:r w:rsidR="008238A0" w:rsidRPr="00C05B0F">
        <w:rPr>
          <w:rFonts w:asciiTheme="minorHAnsi" w:eastAsia="Times New Roman" w:hAnsiTheme="minorHAnsi" w:cstheme="minorHAnsi"/>
          <w:sz w:val="24"/>
          <w:szCs w:val="24"/>
          <w:lang w:val="it-IT" w:eastAsia="it-IT"/>
        </w:rPr>
        <w:t>t</w:t>
      </w:r>
      <w:r w:rsidRPr="00C05B0F">
        <w:rPr>
          <w:rFonts w:asciiTheme="minorHAnsi" w:eastAsia="Times New Roman" w:hAnsiTheme="minorHAnsi" w:cstheme="minorHAnsi"/>
          <w:sz w:val="24"/>
          <w:szCs w:val="24"/>
          <w:lang w:val="it-IT" w:eastAsia="it-IT"/>
        </w:rPr>
        <w:t xml:space="preserve">erritorio ed </w:t>
      </w:r>
      <w:r w:rsidR="008238A0" w:rsidRPr="00C05B0F">
        <w:rPr>
          <w:rFonts w:asciiTheme="minorHAnsi" w:eastAsia="Times New Roman" w:hAnsiTheme="minorHAnsi" w:cstheme="minorHAnsi"/>
          <w:sz w:val="24"/>
          <w:szCs w:val="24"/>
          <w:lang w:val="it-IT" w:eastAsia="it-IT"/>
        </w:rPr>
        <w:t>e</w:t>
      </w:r>
      <w:r w:rsidRPr="00C05B0F">
        <w:rPr>
          <w:rFonts w:asciiTheme="minorHAnsi" w:eastAsia="Times New Roman" w:hAnsiTheme="minorHAnsi" w:cstheme="minorHAnsi"/>
          <w:sz w:val="24"/>
          <w:szCs w:val="24"/>
          <w:lang w:val="it-IT" w:eastAsia="it-IT"/>
        </w:rPr>
        <w:t xml:space="preserve">nergia ha attentamente valutato le implicazioni di una possibile cessione anticipata della partecipazione di AET nella centrale di Lünen, giungendo alla conclusione che i benefici sarebbero </w:t>
      </w:r>
      <w:r w:rsidR="00B20EA6" w:rsidRPr="00C05B0F">
        <w:rPr>
          <w:rFonts w:asciiTheme="minorHAnsi" w:eastAsia="Times New Roman" w:hAnsiTheme="minorHAnsi" w:cstheme="minorHAnsi"/>
          <w:sz w:val="24"/>
          <w:szCs w:val="24"/>
          <w:lang w:val="it-IT" w:eastAsia="it-IT"/>
        </w:rPr>
        <w:t>ridotti,</w:t>
      </w:r>
      <w:r w:rsidRPr="00C05B0F">
        <w:rPr>
          <w:rFonts w:asciiTheme="minorHAnsi" w:eastAsia="Times New Roman" w:hAnsiTheme="minorHAnsi" w:cstheme="minorHAnsi"/>
          <w:sz w:val="24"/>
          <w:szCs w:val="24"/>
          <w:lang w:val="it-IT" w:eastAsia="it-IT"/>
        </w:rPr>
        <w:t xml:space="preserve"> mentre i rischi e le perdite sarebbero considerevoli.</w:t>
      </w:r>
    </w:p>
    <w:p w14:paraId="4EFEE327" w14:textId="77777777" w:rsidR="008238A0" w:rsidRPr="00C05B0F" w:rsidRDefault="008238A0" w:rsidP="008238A0">
      <w:pPr>
        <w:rPr>
          <w:rFonts w:asciiTheme="minorHAnsi" w:eastAsia="Times New Roman" w:hAnsiTheme="minorHAnsi" w:cstheme="minorHAnsi"/>
          <w:sz w:val="24"/>
          <w:szCs w:val="24"/>
          <w:lang w:val="it-IT" w:eastAsia="it-IT"/>
        </w:rPr>
      </w:pPr>
    </w:p>
    <w:p w14:paraId="00ED3167" w14:textId="01AA1430" w:rsidR="008F1901" w:rsidRPr="00C05B0F" w:rsidRDefault="00B20EA6" w:rsidP="008238A0">
      <w:pPr>
        <w:rPr>
          <w:rFonts w:asciiTheme="minorHAnsi" w:hAnsiTheme="minorHAnsi" w:cstheme="minorHAnsi"/>
          <w:sz w:val="24"/>
          <w:szCs w:val="24"/>
          <w:lang w:eastAsia="it-IT"/>
        </w:rPr>
      </w:pPr>
      <w:r w:rsidRPr="00C05B0F">
        <w:rPr>
          <w:rFonts w:asciiTheme="minorHAnsi" w:eastAsia="Times New Roman" w:hAnsiTheme="minorHAnsi" w:cstheme="minorHAnsi"/>
          <w:sz w:val="24"/>
          <w:szCs w:val="24"/>
          <w:lang w:eastAsia="it-IT"/>
        </w:rPr>
        <w:t>La mozione nasce da un profondo senso di responsabilità verso le future generazioni e dalla volontà di allinearsi con gli obiettivi internazionali di riduzione delle emissioni di CO</w:t>
      </w:r>
      <w:r w:rsidRPr="00C05B0F">
        <w:rPr>
          <w:rFonts w:ascii="Cambria Math" w:eastAsia="Times New Roman" w:hAnsi="Cambria Math" w:cs="Cambria Math"/>
          <w:sz w:val="24"/>
          <w:szCs w:val="24"/>
          <w:lang w:eastAsia="it-IT"/>
        </w:rPr>
        <w:t>₂</w:t>
      </w:r>
      <w:r w:rsidRPr="00C05B0F">
        <w:rPr>
          <w:rFonts w:asciiTheme="minorHAnsi" w:eastAsia="Times New Roman" w:hAnsiTheme="minorHAnsi" w:cstheme="minorHAnsi"/>
          <w:sz w:val="24"/>
          <w:szCs w:val="24"/>
          <w:lang w:eastAsia="it-IT"/>
        </w:rPr>
        <w:t xml:space="preserve">. La </w:t>
      </w:r>
      <w:r w:rsidR="00634885" w:rsidRPr="00C05B0F">
        <w:rPr>
          <w:rFonts w:asciiTheme="minorHAnsi" w:eastAsia="Times New Roman" w:hAnsiTheme="minorHAnsi" w:cstheme="minorHAnsi"/>
          <w:sz w:val="24"/>
          <w:szCs w:val="24"/>
          <w:lang w:eastAsia="it-IT"/>
        </w:rPr>
        <w:t>mag</w:t>
      </w:r>
      <w:r w:rsidR="00E11916" w:rsidRPr="00C05B0F">
        <w:rPr>
          <w:rFonts w:asciiTheme="minorHAnsi" w:eastAsia="Times New Roman" w:hAnsiTheme="minorHAnsi" w:cstheme="minorHAnsi"/>
          <w:sz w:val="24"/>
          <w:szCs w:val="24"/>
          <w:lang w:eastAsia="it-IT"/>
        </w:rPr>
        <w:t>gioranza</w:t>
      </w:r>
      <w:r w:rsidR="00634885" w:rsidRPr="00C05B0F">
        <w:rPr>
          <w:rFonts w:asciiTheme="minorHAnsi" w:eastAsia="Times New Roman" w:hAnsiTheme="minorHAnsi" w:cstheme="minorHAnsi"/>
          <w:sz w:val="24"/>
          <w:szCs w:val="24"/>
          <w:lang w:eastAsia="it-IT"/>
        </w:rPr>
        <w:t xml:space="preserve"> della </w:t>
      </w:r>
      <w:r w:rsidRPr="00C05B0F">
        <w:rPr>
          <w:rFonts w:asciiTheme="minorHAnsi" w:eastAsia="Times New Roman" w:hAnsiTheme="minorHAnsi" w:cstheme="minorHAnsi"/>
          <w:sz w:val="24"/>
          <w:szCs w:val="24"/>
          <w:lang w:eastAsia="it-IT"/>
        </w:rPr>
        <w:t>Commissione riconosce l'importanza di agire con determinazione per ridurre la dipendenza dai combustibili fossili e per promuovere soluzioni più eco-sostenibili</w:t>
      </w:r>
      <w:r w:rsidR="008F1901" w:rsidRPr="00C05B0F">
        <w:rPr>
          <w:rFonts w:asciiTheme="minorHAnsi" w:eastAsia="Times New Roman" w:hAnsiTheme="minorHAnsi" w:cstheme="minorHAnsi"/>
          <w:sz w:val="24"/>
          <w:szCs w:val="24"/>
          <w:lang w:eastAsia="it-IT"/>
        </w:rPr>
        <w:t xml:space="preserve">. </w:t>
      </w:r>
      <w:r w:rsidR="008F1901" w:rsidRPr="00C05B0F">
        <w:rPr>
          <w:rFonts w:asciiTheme="minorHAnsi" w:hAnsiTheme="minorHAnsi" w:cstheme="minorHAnsi"/>
          <w:sz w:val="24"/>
          <w:szCs w:val="24"/>
          <w:lang w:eastAsia="it-IT"/>
        </w:rPr>
        <w:t>In tal senso, una cessione anticipata della partecipazione di AET nella centrale di Lünen, come richiesto dalla mozione, potrebbe inviare un segnale forte e simbolico di rottura con il passato e rappresentare un passo concreto verso una maggiore responsabilità ambientale.</w:t>
      </w:r>
    </w:p>
    <w:p w14:paraId="1CD8E601" w14:textId="77777777" w:rsidR="008238A0" w:rsidRPr="00C05B0F" w:rsidRDefault="008238A0" w:rsidP="008238A0">
      <w:pPr>
        <w:rPr>
          <w:rFonts w:asciiTheme="minorHAnsi" w:hAnsiTheme="minorHAnsi" w:cstheme="minorHAnsi"/>
          <w:sz w:val="24"/>
          <w:szCs w:val="24"/>
          <w:lang w:eastAsia="it-IT"/>
        </w:rPr>
      </w:pPr>
    </w:p>
    <w:p w14:paraId="268CEBD9" w14:textId="43AE80B5" w:rsidR="008F1901" w:rsidRPr="00C05B0F" w:rsidRDefault="008F1901" w:rsidP="008238A0">
      <w:pPr>
        <w:rPr>
          <w:rFonts w:asciiTheme="minorHAnsi" w:eastAsia="Times New Roman" w:hAnsiTheme="minorHAnsi" w:cstheme="minorHAnsi"/>
          <w:sz w:val="24"/>
          <w:szCs w:val="24"/>
          <w:lang w:eastAsia="it-IT"/>
        </w:rPr>
      </w:pPr>
      <w:r w:rsidRPr="00C05B0F">
        <w:rPr>
          <w:rFonts w:asciiTheme="minorHAnsi" w:eastAsia="Times New Roman" w:hAnsiTheme="minorHAnsi" w:cstheme="minorHAnsi"/>
          <w:sz w:val="24"/>
          <w:szCs w:val="24"/>
          <w:lang w:eastAsia="it-IT"/>
        </w:rPr>
        <w:t>Tuttavia, pur riconoscendo la rilevanza simbolica di tale gesto, è fondamentale considerare anche le ripercussioni pratiche. Dal punto di vista finanziario, una cessione anticipata comporterebbe ingenti perdite. AET è vincolata da contratti con i partner della centrale e con le banche finanziatrici. La rottura di questi contratti implicherebbe il rimborso anticipato di debiti residui e il pagamento di penalità con un impatto devastante sui bilanci di AET. Inoltre, anche in caso di cessione, AET continuerebbe a farsi carico dei costi fissi dell’impianto per la propria quota di partecipazione, rendendo inefficace la vendita stessa dal punto di vista economico.</w:t>
      </w:r>
    </w:p>
    <w:p w14:paraId="188C6E82" w14:textId="77777777" w:rsidR="008238A0" w:rsidRPr="00C05B0F" w:rsidRDefault="008238A0" w:rsidP="008238A0">
      <w:pPr>
        <w:rPr>
          <w:rFonts w:asciiTheme="minorHAnsi" w:eastAsia="Times New Roman" w:hAnsiTheme="minorHAnsi" w:cstheme="minorHAnsi"/>
          <w:sz w:val="24"/>
          <w:szCs w:val="24"/>
          <w:lang w:eastAsia="it-IT"/>
        </w:rPr>
      </w:pPr>
    </w:p>
    <w:p w14:paraId="0740BCDA" w14:textId="629413A9" w:rsidR="008F1901" w:rsidRPr="00C05B0F" w:rsidRDefault="008F1901" w:rsidP="008238A0">
      <w:pPr>
        <w:rPr>
          <w:rFonts w:asciiTheme="minorHAnsi" w:eastAsia="Times New Roman" w:hAnsiTheme="minorHAnsi" w:cstheme="minorHAnsi"/>
          <w:sz w:val="24"/>
          <w:szCs w:val="24"/>
          <w:lang w:eastAsia="it-IT"/>
        </w:rPr>
      </w:pPr>
      <w:r w:rsidRPr="00C05B0F">
        <w:rPr>
          <w:rFonts w:asciiTheme="minorHAnsi" w:eastAsia="Times New Roman" w:hAnsiTheme="minorHAnsi" w:cstheme="minorHAnsi"/>
          <w:sz w:val="24"/>
          <w:szCs w:val="24"/>
          <w:lang w:eastAsia="it-IT"/>
        </w:rPr>
        <w:t xml:space="preserve">Dal punto di vista climatico, la </w:t>
      </w:r>
      <w:r w:rsidR="00634885" w:rsidRPr="00C05B0F">
        <w:rPr>
          <w:rFonts w:asciiTheme="minorHAnsi" w:eastAsia="Times New Roman" w:hAnsiTheme="minorHAnsi" w:cstheme="minorHAnsi"/>
          <w:sz w:val="24"/>
          <w:szCs w:val="24"/>
          <w:lang w:eastAsia="it-IT"/>
        </w:rPr>
        <w:t>mag</w:t>
      </w:r>
      <w:r w:rsidR="00E11916" w:rsidRPr="00C05B0F">
        <w:rPr>
          <w:rFonts w:asciiTheme="minorHAnsi" w:eastAsia="Times New Roman" w:hAnsiTheme="minorHAnsi" w:cstheme="minorHAnsi"/>
          <w:sz w:val="24"/>
          <w:szCs w:val="24"/>
          <w:lang w:eastAsia="it-IT"/>
        </w:rPr>
        <w:t>gioranza</w:t>
      </w:r>
      <w:r w:rsidR="00634885" w:rsidRPr="00C05B0F">
        <w:rPr>
          <w:rFonts w:asciiTheme="minorHAnsi" w:eastAsia="Times New Roman" w:hAnsiTheme="minorHAnsi" w:cstheme="minorHAnsi"/>
          <w:sz w:val="24"/>
          <w:szCs w:val="24"/>
          <w:lang w:eastAsia="it-IT"/>
        </w:rPr>
        <w:t xml:space="preserve"> della </w:t>
      </w:r>
      <w:r w:rsidRPr="00C05B0F">
        <w:rPr>
          <w:rFonts w:asciiTheme="minorHAnsi" w:eastAsia="Times New Roman" w:hAnsiTheme="minorHAnsi" w:cstheme="minorHAnsi"/>
          <w:sz w:val="24"/>
          <w:szCs w:val="24"/>
          <w:lang w:eastAsia="it-IT"/>
        </w:rPr>
        <w:t>Commissione sottolinea che la vendita della partecipazione non comporterebbe alcun reale vantaggio ambientale. La centrale di Lünen continuerebbe infatti a funzionare e a produrre CO</w:t>
      </w:r>
      <w:r w:rsidRPr="00C05B0F">
        <w:rPr>
          <w:rFonts w:ascii="Cambria Math" w:eastAsia="Times New Roman" w:hAnsi="Cambria Math" w:cs="Cambria Math"/>
          <w:sz w:val="24"/>
          <w:szCs w:val="24"/>
          <w:lang w:eastAsia="it-IT"/>
        </w:rPr>
        <w:t>₂</w:t>
      </w:r>
      <w:r w:rsidRPr="00C05B0F">
        <w:rPr>
          <w:rFonts w:asciiTheme="minorHAnsi" w:eastAsia="Times New Roman" w:hAnsiTheme="minorHAnsi" w:cstheme="minorHAnsi"/>
          <w:sz w:val="24"/>
          <w:szCs w:val="24"/>
          <w:lang w:eastAsia="it-IT"/>
        </w:rPr>
        <w:t xml:space="preserve"> anche senza la quota di AET. </w:t>
      </w:r>
      <w:r w:rsidRPr="00C05B0F">
        <w:rPr>
          <w:rFonts w:asciiTheme="minorHAnsi" w:eastAsia="Times New Roman" w:hAnsiTheme="minorHAnsi" w:cstheme="minorHAnsi"/>
          <w:sz w:val="24"/>
          <w:szCs w:val="24"/>
          <w:lang w:eastAsia="it-IT"/>
        </w:rPr>
        <w:lastRenderedPageBreak/>
        <w:t>Una vendita anticipata avrebbe quindi solo un valore simbolico senza impattare in modo concreto sulle emissioni globali. Tuttavia, è importante riconoscere che una cessione futura, nel momento in cui le condizioni economiche e contrattuali lo permetteranno, potrebbe allinearsi in modo più concreto agli obiettivi di sostenibilità a lungo termine, portando benefici tangibili e maggiori contributi alla lotta contro il cambiamento climatico.</w:t>
      </w:r>
    </w:p>
    <w:p w14:paraId="230AE716" w14:textId="1475BC21" w:rsidR="00190FDC" w:rsidRDefault="00190FDC" w:rsidP="008238A0">
      <w:pPr>
        <w:rPr>
          <w:rFonts w:eastAsia="Times New Roman" w:cs="Times New Roman"/>
          <w:lang w:eastAsia="it-IT"/>
        </w:rPr>
      </w:pPr>
    </w:p>
    <w:p w14:paraId="03BF0746" w14:textId="77777777" w:rsidR="00C05B0F" w:rsidRDefault="00C05B0F" w:rsidP="008238A0">
      <w:pPr>
        <w:rPr>
          <w:rFonts w:eastAsia="Times New Roman" w:cs="Times New Roman"/>
          <w:lang w:eastAsia="it-IT"/>
        </w:rPr>
      </w:pPr>
    </w:p>
    <w:p w14:paraId="09BD2857" w14:textId="211BA812" w:rsidR="00190FDC" w:rsidRPr="008238A0" w:rsidRDefault="00190FDC" w:rsidP="005E3026">
      <w:pPr>
        <w:autoSpaceDE w:val="0"/>
        <w:autoSpaceDN w:val="0"/>
        <w:adjustRightInd w:val="0"/>
        <w:ind w:left="567" w:hanging="567"/>
        <w:rPr>
          <w:b/>
        </w:rPr>
      </w:pPr>
      <w:r w:rsidRPr="008238A0">
        <w:rPr>
          <w:b/>
        </w:rPr>
        <w:t>5.</w:t>
      </w:r>
      <w:r w:rsidRPr="008238A0">
        <w:rPr>
          <w:b/>
        </w:rPr>
        <w:tab/>
        <w:t>CONCLUSIONI</w:t>
      </w:r>
    </w:p>
    <w:p w14:paraId="709B4B18" w14:textId="77777777" w:rsidR="00067695" w:rsidRPr="00C05B0F" w:rsidRDefault="00B20EA6" w:rsidP="008238A0">
      <w:pPr>
        <w:spacing w:before="120"/>
        <w:rPr>
          <w:sz w:val="24"/>
          <w:szCs w:val="24"/>
        </w:rPr>
      </w:pPr>
      <w:r w:rsidRPr="00C05B0F">
        <w:rPr>
          <w:sz w:val="24"/>
          <w:szCs w:val="24"/>
        </w:rPr>
        <w:t xml:space="preserve">Il Consiglio di Stato, nel </w:t>
      </w:r>
      <w:r w:rsidR="00634885" w:rsidRPr="00C05B0F">
        <w:rPr>
          <w:sz w:val="24"/>
          <w:szCs w:val="24"/>
        </w:rPr>
        <w:t>m</w:t>
      </w:r>
      <w:r w:rsidRPr="00C05B0F">
        <w:rPr>
          <w:sz w:val="24"/>
          <w:szCs w:val="24"/>
        </w:rPr>
        <w:t xml:space="preserve">essaggio </w:t>
      </w:r>
      <w:r w:rsidR="00634885" w:rsidRPr="00C05B0F">
        <w:rPr>
          <w:sz w:val="24"/>
          <w:szCs w:val="24"/>
        </w:rPr>
        <w:t xml:space="preserve">n. </w:t>
      </w:r>
      <w:r w:rsidRPr="00C05B0F">
        <w:rPr>
          <w:sz w:val="24"/>
          <w:szCs w:val="24"/>
        </w:rPr>
        <w:t>7934, ha chiaramente esposto le difficoltà legate alla richiesta della mozione di dismettere anticipatamente la partecipazione di AET nella centrale di Lünen. La normativa vigente fissa il termine del 2035 per la dismissione delle partecipazioni in impianti a carbone, e le attuali condizioni economiche e contrattuali non permettono un’uscita anticipata senza pesanti ripercussioni finanziarie.</w:t>
      </w:r>
    </w:p>
    <w:p w14:paraId="5C14B6B0" w14:textId="77777777" w:rsidR="00067695" w:rsidRPr="00C05B0F" w:rsidRDefault="00067695" w:rsidP="008238A0">
      <w:pPr>
        <w:rPr>
          <w:sz w:val="24"/>
          <w:szCs w:val="24"/>
        </w:rPr>
      </w:pPr>
    </w:p>
    <w:p w14:paraId="67FF9AC8" w14:textId="60C76258" w:rsidR="008F1901" w:rsidRPr="00C05B0F" w:rsidRDefault="008F1901" w:rsidP="008238A0">
      <w:pPr>
        <w:rPr>
          <w:rFonts w:eastAsia="Times New Roman" w:cs="Times New Roman"/>
          <w:sz w:val="24"/>
          <w:szCs w:val="24"/>
          <w:lang w:eastAsia="it-IT"/>
        </w:rPr>
      </w:pPr>
      <w:r w:rsidRPr="00C05B0F">
        <w:rPr>
          <w:rFonts w:eastAsia="Times New Roman" w:cs="Times New Roman"/>
          <w:sz w:val="24"/>
          <w:szCs w:val="24"/>
          <w:lang w:eastAsia="it-IT"/>
        </w:rPr>
        <w:t xml:space="preserve">Pur apprezzando le intenzioni positive della mozione e riconoscendo il valore simbolico e il segnale che una cessione anticipata invierebbe, la </w:t>
      </w:r>
      <w:r w:rsidR="000430B8" w:rsidRPr="00C05B0F">
        <w:rPr>
          <w:rFonts w:eastAsia="Times New Roman" w:cs="Times New Roman"/>
          <w:sz w:val="24"/>
          <w:szCs w:val="24"/>
          <w:lang w:eastAsia="it-IT"/>
        </w:rPr>
        <w:t>mag</w:t>
      </w:r>
      <w:r w:rsidR="00E11916" w:rsidRPr="00C05B0F">
        <w:rPr>
          <w:rFonts w:eastAsia="Times New Roman" w:cs="Times New Roman"/>
          <w:sz w:val="24"/>
          <w:szCs w:val="24"/>
          <w:lang w:eastAsia="it-IT"/>
        </w:rPr>
        <w:t>gioranza</w:t>
      </w:r>
      <w:r w:rsidR="000430B8" w:rsidRPr="00C05B0F">
        <w:rPr>
          <w:rFonts w:eastAsia="Times New Roman" w:cs="Times New Roman"/>
          <w:sz w:val="24"/>
          <w:szCs w:val="24"/>
          <w:lang w:eastAsia="it-IT"/>
        </w:rPr>
        <w:t xml:space="preserve"> della </w:t>
      </w:r>
      <w:r w:rsidRPr="00C05B0F">
        <w:rPr>
          <w:rFonts w:eastAsia="Times New Roman" w:cs="Times New Roman"/>
          <w:sz w:val="24"/>
          <w:szCs w:val="24"/>
          <w:lang w:eastAsia="it-IT"/>
        </w:rPr>
        <w:t>Commissione ritiene che i rischi finanziari e contrattuali, unitamente alla mancanza di un reale impatto climatico immediato, rendano la cessione anticipata della partecipazione non la scelta più vantaggiosa al momento. Tuttavia, si riconosce che, nel lungo termine, una cessione effettuata in condizioni più favorevoli potrebbe avere effetti positivi sia dal punto di vista finanziario che ambientale.</w:t>
      </w:r>
    </w:p>
    <w:p w14:paraId="752CC9D4" w14:textId="77777777" w:rsidR="008238A0" w:rsidRPr="00C05B0F" w:rsidRDefault="008238A0" w:rsidP="008238A0">
      <w:pPr>
        <w:rPr>
          <w:rFonts w:eastAsia="Times New Roman" w:cs="Times New Roman"/>
          <w:sz w:val="24"/>
          <w:szCs w:val="24"/>
          <w:lang w:eastAsia="it-IT"/>
        </w:rPr>
      </w:pPr>
    </w:p>
    <w:p w14:paraId="53E1D893" w14:textId="72E169B6" w:rsidR="008F1901" w:rsidRPr="00C05B0F" w:rsidRDefault="008F1901" w:rsidP="008238A0">
      <w:pPr>
        <w:rPr>
          <w:rFonts w:eastAsia="Times New Roman" w:cs="Times New Roman"/>
          <w:sz w:val="24"/>
          <w:szCs w:val="24"/>
          <w:lang w:eastAsia="it-IT"/>
        </w:rPr>
      </w:pPr>
      <w:r w:rsidRPr="00C05B0F">
        <w:rPr>
          <w:rFonts w:eastAsia="Times New Roman" w:cs="Times New Roman"/>
          <w:sz w:val="24"/>
          <w:szCs w:val="24"/>
          <w:lang w:eastAsia="it-IT"/>
        </w:rPr>
        <w:t xml:space="preserve">Per questi motivi, la </w:t>
      </w:r>
      <w:r w:rsidR="00E11916" w:rsidRPr="00C05B0F">
        <w:rPr>
          <w:rFonts w:eastAsia="Times New Roman" w:cs="Times New Roman"/>
          <w:sz w:val="24"/>
          <w:szCs w:val="24"/>
          <w:lang w:eastAsia="it-IT"/>
        </w:rPr>
        <w:t xml:space="preserve">maggioranza </w:t>
      </w:r>
      <w:r w:rsidR="000430B8" w:rsidRPr="00C05B0F">
        <w:rPr>
          <w:rFonts w:eastAsia="Times New Roman" w:cs="Times New Roman"/>
          <w:sz w:val="24"/>
          <w:szCs w:val="24"/>
          <w:lang w:eastAsia="it-IT"/>
        </w:rPr>
        <w:t xml:space="preserve">della </w:t>
      </w:r>
      <w:r w:rsidRPr="00C05B0F">
        <w:rPr>
          <w:rFonts w:eastAsia="Times New Roman" w:cs="Times New Roman"/>
          <w:sz w:val="24"/>
          <w:szCs w:val="24"/>
          <w:lang w:eastAsia="it-IT"/>
        </w:rPr>
        <w:t>Commissione invita il Gran Consiglio a non dare seguito alla mozione e a sostenere le raccomandazioni del Consiglio di Stato, che privilegia un approccio cauto e coordinato per raggiungere l’obiettivo finale della dismissione entro il termine del 2035.</w:t>
      </w:r>
    </w:p>
    <w:p w14:paraId="3BCDA278" w14:textId="7292D1F6" w:rsidR="00AF1FF6" w:rsidRPr="00C05B0F" w:rsidRDefault="00AF1FF6" w:rsidP="008238A0">
      <w:pPr>
        <w:rPr>
          <w:sz w:val="24"/>
          <w:szCs w:val="24"/>
        </w:rPr>
      </w:pPr>
    </w:p>
    <w:p w14:paraId="058DAC9A" w14:textId="77777777" w:rsidR="008238A0" w:rsidRPr="00C05B0F" w:rsidRDefault="008238A0" w:rsidP="008238A0">
      <w:pPr>
        <w:rPr>
          <w:sz w:val="24"/>
          <w:szCs w:val="24"/>
        </w:rPr>
      </w:pPr>
    </w:p>
    <w:p w14:paraId="64A2C4DD" w14:textId="72BE584B" w:rsidR="00AF1FF6" w:rsidRPr="00C05B0F" w:rsidRDefault="00AF1FF6" w:rsidP="00303B93">
      <w:pPr>
        <w:spacing w:after="120"/>
        <w:rPr>
          <w:sz w:val="24"/>
          <w:szCs w:val="24"/>
        </w:rPr>
      </w:pPr>
      <w:r w:rsidRPr="00C05B0F">
        <w:rPr>
          <w:sz w:val="24"/>
          <w:szCs w:val="24"/>
        </w:rPr>
        <w:t xml:space="preserve">Per la </w:t>
      </w:r>
      <w:r w:rsidR="00E11916" w:rsidRPr="00C05B0F">
        <w:rPr>
          <w:sz w:val="24"/>
          <w:szCs w:val="24"/>
        </w:rPr>
        <w:t xml:space="preserve">maggioranza della </w:t>
      </w:r>
      <w:r w:rsidRPr="00C05B0F">
        <w:rPr>
          <w:sz w:val="24"/>
          <w:szCs w:val="24"/>
        </w:rPr>
        <w:t>Commissione ambiente, territorio ed energia</w:t>
      </w:r>
      <w:r w:rsidR="00303B93" w:rsidRPr="00C05B0F">
        <w:rPr>
          <w:sz w:val="24"/>
          <w:szCs w:val="24"/>
        </w:rPr>
        <w:t>:</w:t>
      </w:r>
    </w:p>
    <w:p w14:paraId="3B7012A1" w14:textId="77777777" w:rsidR="00AF1FF6" w:rsidRPr="00C05B0F" w:rsidRDefault="00AF1FF6" w:rsidP="00303B93">
      <w:pPr>
        <w:rPr>
          <w:sz w:val="24"/>
          <w:szCs w:val="24"/>
        </w:rPr>
      </w:pPr>
      <w:r w:rsidRPr="00C05B0F">
        <w:rPr>
          <w:rFonts w:cs="Arial"/>
          <w:sz w:val="24"/>
          <w:szCs w:val="24"/>
        </w:rPr>
        <w:t>Luca Renzetti</w:t>
      </w:r>
      <w:r w:rsidRPr="00C05B0F">
        <w:rPr>
          <w:sz w:val="24"/>
          <w:szCs w:val="24"/>
        </w:rPr>
        <w:t>, relatore</w:t>
      </w:r>
    </w:p>
    <w:p w14:paraId="47CFD6C2" w14:textId="3609DE51" w:rsidR="005E5F58" w:rsidRDefault="00067695" w:rsidP="005E5F58">
      <w:pPr>
        <w:autoSpaceDE w:val="0"/>
        <w:autoSpaceDN w:val="0"/>
        <w:adjustRightInd w:val="0"/>
        <w:ind w:right="129"/>
        <w:rPr>
          <w:rFonts w:eastAsia="Times New Roman" w:cs="Times New Roman"/>
          <w:sz w:val="24"/>
          <w:szCs w:val="24"/>
          <w:lang w:eastAsia="it-IT"/>
        </w:rPr>
      </w:pPr>
      <w:r w:rsidRPr="00C05B0F">
        <w:rPr>
          <w:rFonts w:eastAsia="Times New Roman" w:cs="Times New Roman"/>
          <w:sz w:val="24"/>
          <w:szCs w:val="24"/>
          <w:lang w:eastAsia="it-IT"/>
        </w:rPr>
        <w:t xml:space="preserve">Berardi - </w:t>
      </w:r>
      <w:r w:rsidR="00E26AC1" w:rsidRPr="00C05B0F">
        <w:rPr>
          <w:rFonts w:eastAsia="Times New Roman" w:cs="Times New Roman"/>
          <w:sz w:val="24"/>
          <w:szCs w:val="24"/>
          <w:lang w:eastAsia="it-IT"/>
        </w:rPr>
        <w:t>Bühler - Cedras</w:t>
      </w:r>
      <w:r w:rsidRPr="00C05B0F">
        <w:rPr>
          <w:rFonts w:eastAsia="Times New Roman" w:cs="Times New Roman"/>
          <w:sz w:val="24"/>
          <w:szCs w:val="24"/>
          <w:lang w:eastAsia="it-IT"/>
        </w:rPr>
        <w:t xml:space="preserve">chi - Ermotti-Lepori </w:t>
      </w:r>
      <w:r w:rsidR="005E5F58">
        <w:rPr>
          <w:rFonts w:eastAsia="Times New Roman" w:cs="Times New Roman"/>
          <w:sz w:val="24"/>
          <w:szCs w:val="24"/>
          <w:lang w:eastAsia="it-IT"/>
        </w:rPr>
        <w:t xml:space="preserve">- </w:t>
      </w:r>
    </w:p>
    <w:p w14:paraId="16531E0A" w14:textId="6183FC41" w:rsidR="005E5F58" w:rsidRDefault="00067695" w:rsidP="005E5F58">
      <w:pPr>
        <w:autoSpaceDE w:val="0"/>
        <w:autoSpaceDN w:val="0"/>
        <w:adjustRightInd w:val="0"/>
        <w:ind w:right="129"/>
        <w:rPr>
          <w:rFonts w:eastAsia="Times New Roman" w:cs="Times New Roman"/>
          <w:sz w:val="24"/>
          <w:szCs w:val="24"/>
          <w:lang w:eastAsia="it-IT"/>
        </w:rPr>
      </w:pPr>
      <w:r w:rsidRPr="00C05B0F">
        <w:rPr>
          <w:rFonts w:eastAsia="Times New Roman" w:cs="Times New Roman"/>
          <w:sz w:val="24"/>
          <w:szCs w:val="24"/>
          <w:lang w:eastAsia="it-IT"/>
        </w:rPr>
        <w:t xml:space="preserve">Genini Sem - </w:t>
      </w:r>
      <w:r w:rsidR="00E26AC1" w:rsidRPr="00C05B0F">
        <w:rPr>
          <w:rFonts w:eastAsia="Times New Roman" w:cs="Times New Roman"/>
          <w:sz w:val="24"/>
          <w:szCs w:val="24"/>
          <w:lang w:eastAsia="it-IT"/>
        </w:rPr>
        <w:t>Padlina - Pic</w:t>
      </w:r>
      <w:r w:rsidRPr="00C05B0F">
        <w:rPr>
          <w:rFonts w:eastAsia="Times New Roman" w:cs="Times New Roman"/>
          <w:sz w:val="24"/>
          <w:szCs w:val="24"/>
          <w:lang w:eastAsia="it-IT"/>
        </w:rPr>
        <w:t xml:space="preserve">caluga </w:t>
      </w:r>
      <w:r w:rsidR="005E5F58">
        <w:rPr>
          <w:rFonts w:eastAsia="Times New Roman" w:cs="Times New Roman"/>
          <w:sz w:val="24"/>
          <w:szCs w:val="24"/>
          <w:lang w:eastAsia="it-IT"/>
        </w:rPr>
        <w:t>-</w:t>
      </w:r>
      <w:r w:rsidRPr="00C05B0F">
        <w:rPr>
          <w:rFonts w:eastAsia="Times New Roman" w:cs="Times New Roman"/>
          <w:sz w:val="24"/>
          <w:szCs w:val="24"/>
          <w:lang w:eastAsia="it-IT"/>
        </w:rPr>
        <w:t xml:space="preserve"> </w:t>
      </w:r>
    </w:p>
    <w:p w14:paraId="580090C9" w14:textId="18A53436" w:rsidR="005E5F58" w:rsidRDefault="00067695" w:rsidP="005E5F58">
      <w:pPr>
        <w:autoSpaceDE w:val="0"/>
        <w:autoSpaceDN w:val="0"/>
        <w:adjustRightInd w:val="0"/>
        <w:ind w:right="129"/>
        <w:rPr>
          <w:rFonts w:eastAsia="Times New Roman" w:cs="Times New Roman"/>
          <w:sz w:val="24"/>
          <w:szCs w:val="24"/>
          <w:lang w:eastAsia="it-IT"/>
        </w:rPr>
      </w:pPr>
      <w:r w:rsidRPr="00C05B0F">
        <w:rPr>
          <w:rFonts w:eastAsia="Times New Roman" w:cs="Times New Roman"/>
          <w:sz w:val="24"/>
          <w:szCs w:val="24"/>
          <w:lang w:eastAsia="it-IT"/>
        </w:rPr>
        <w:t xml:space="preserve">Prada </w:t>
      </w:r>
      <w:r w:rsidR="005E5F58">
        <w:rPr>
          <w:rFonts w:eastAsia="Times New Roman" w:cs="Times New Roman"/>
          <w:sz w:val="24"/>
          <w:szCs w:val="24"/>
          <w:lang w:eastAsia="it-IT"/>
        </w:rPr>
        <w:t>-Rigamonti - Schnellmann -</w:t>
      </w:r>
      <w:r w:rsidR="00E26AC1" w:rsidRPr="00C05B0F">
        <w:rPr>
          <w:rFonts w:eastAsia="Times New Roman" w:cs="Times New Roman"/>
          <w:sz w:val="24"/>
          <w:szCs w:val="24"/>
          <w:lang w:eastAsia="it-IT"/>
        </w:rPr>
        <w:t xml:space="preserve"> </w:t>
      </w:r>
    </w:p>
    <w:p w14:paraId="7A39442F" w14:textId="61320BEE" w:rsidR="00190FDC" w:rsidRPr="00C05B0F" w:rsidRDefault="00E26AC1" w:rsidP="005E5F58">
      <w:pPr>
        <w:autoSpaceDE w:val="0"/>
        <w:autoSpaceDN w:val="0"/>
        <w:adjustRightInd w:val="0"/>
        <w:ind w:right="129"/>
        <w:rPr>
          <w:rFonts w:eastAsia="Times New Roman" w:cs="Times New Roman"/>
          <w:sz w:val="24"/>
          <w:szCs w:val="24"/>
          <w:lang w:eastAsia="it-IT"/>
        </w:rPr>
      </w:pPr>
      <w:r w:rsidRPr="00C05B0F">
        <w:rPr>
          <w:rFonts w:eastAsia="Times New Roman" w:cs="Times New Roman"/>
          <w:sz w:val="24"/>
          <w:szCs w:val="24"/>
          <w:lang w:eastAsia="it-IT"/>
        </w:rPr>
        <w:t>Terraneo - Tonini - Tricarico</w:t>
      </w:r>
    </w:p>
    <w:p w14:paraId="174741F5" w14:textId="77777777" w:rsidR="00067695" w:rsidRPr="00067695" w:rsidRDefault="00067695">
      <w:pPr>
        <w:autoSpaceDE w:val="0"/>
        <w:autoSpaceDN w:val="0"/>
        <w:adjustRightInd w:val="0"/>
        <w:ind w:right="4950"/>
        <w:rPr>
          <w:rFonts w:eastAsia="Times New Roman" w:cs="Times New Roman"/>
          <w:lang w:eastAsia="it-IT"/>
        </w:rPr>
      </w:pPr>
    </w:p>
    <w:sectPr w:rsidR="00067695" w:rsidRPr="00067695" w:rsidSect="00B45116">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426" w:left="1560" w:header="533" w:footer="2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8545A" w14:textId="77777777" w:rsidR="00F24136" w:rsidRDefault="00F24136" w:rsidP="00F657BF">
      <w:r>
        <w:separator/>
      </w:r>
    </w:p>
  </w:endnote>
  <w:endnote w:type="continuationSeparator" w:id="0">
    <w:p w14:paraId="505E5579" w14:textId="77777777" w:rsidR="00F24136" w:rsidRDefault="00F2413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BA229" w14:textId="77777777" w:rsidR="0094665C" w:rsidRDefault="009466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2F20DCC9" w14:textId="77777777" w:rsidTr="007A3D11">
      <w:trPr>
        <w:trHeight w:hRule="exact" w:val="737"/>
      </w:trPr>
      <w:tc>
        <w:tcPr>
          <w:tcW w:w="4695" w:type="dxa"/>
        </w:tcPr>
        <w:p w14:paraId="77C7D457" w14:textId="77777777" w:rsidR="006C54A3" w:rsidRPr="003D1008" w:rsidRDefault="006C54A3" w:rsidP="00912E34">
          <w:pPr>
            <w:tabs>
              <w:tab w:val="center" w:pos="2382"/>
            </w:tabs>
          </w:pPr>
        </w:p>
      </w:tc>
      <w:tc>
        <w:tcPr>
          <w:tcW w:w="721" w:type="dxa"/>
        </w:tcPr>
        <w:p w14:paraId="4829F408" w14:textId="77777777" w:rsidR="006C54A3" w:rsidRPr="003D1008" w:rsidRDefault="00C05063" w:rsidP="00912E34">
          <w:pPr>
            <w:jc w:val="center"/>
          </w:pPr>
          <w:r w:rsidRPr="003D1008">
            <w:rPr>
              <w:noProof/>
              <w:lang w:eastAsia="it-CH"/>
            </w:rPr>
            <w:drawing>
              <wp:anchor distT="0" distB="0" distL="114300" distR="114300" simplePos="0" relativeHeight="251669504" behindDoc="0" locked="1" layoutInCell="1" allowOverlap="1" wp14:anchorId="6EFE5EF1" wp14:editId="67B37CFF">
                <wp:simplePos x="0" y="0"/>
                <wp:positionH relativeFrom="column">
                  <wp:posOffset>-46990</wp:posOffset>
                </wp:positionH>
                <wp:positionV relativeFrom="paragraph">
                  <wp:posOffset>4445</wp:posOffset>
                </wp:positionV>
                <wp:extent cx="423929" cy="431800"/>
                <wp:effectExtent l="0" t="0" r="0" b="6350"/>
                <wp:wrapNone/>
                <wp:docPr id="682320224"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0C83BC70" w14:textId="77777777" w:rsidR="006C54A3" w:rsidRPr="003D1008" w:rsidRDefault="00C05063" w:rsidP="00912E34">
          <w:pPr>
            <w:jc w:val="center"/>
          </w:pPr>
          <w:r w:rsidRPr="003D1008">
            <w:rPr>
              <w:noProof/>
              <w:lang w:eastAsia="it-CH"/>
            </w:rPr>
            <w:drawing>
              <wp:anchor distT="0" distB="0" distL="114300" distR="114300" simplePos="0" relativeHeight="251670528" behindDoc="0" locked="1" layoutInCell="1" allowOverlap="1" wp14:anchorId="2F8D3239" wp14:editId="0647662F">
                <wp:simplePos x="0" y="0"/>
                <wp:positionH relativeFrom="column">
                  <wp:posOffset>-57785</wp:posOffset>
                </wp:positionH>
                <wp:positionV relativeFrom="paragraph">
                  <wp:posOffset>4445</wp:posOffset>
                </wp:positionV>
                <wp:extent cx="253247" cy="428400"/>
                <wp:effectExtent l="0" t="0" r="0" b="0"/>
                <wp:wrapNone/>
                <wp:docPr id="682320225"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34E0CCE2" w14:textId="77777777" w:rsidR="006C54A3" w:rsidRPr="003D1008" w:rsidRDefault="006C54A3" w:rsidP="00912E34"/>
      </w:tc>
    </w:tr>
  </w:tbl>
  <w:p w14:paraId="1AC2C6F7"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FBC7" w14:textId="77777777" w:rsidR="0094665C" w:rsidRDefault="009466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312D4" w14:textId="77777777" w:rsidR="00F24136" w:rsidRDefault="00F24136" w:rsidP="00F657BF">
      <w:r>
        <w:separator/>
      </w:r>
    </w:p>
  </w:footnote>
  <w:footnote w:type="continuationSeparator" w:id="0">
    <w:p w14:paraId="03A5D027" w14:textId="77777777" w:rsidR="00F24136" w:rsidRDefault="00F2413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ABED" w14:textId="77777777" w:rsidR="0094665C" w:rsidRDefault="009466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208F14C7" w14:textId="7777777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BA60CEE4-838B-41CB-9D0F-41E63FC7DC63}"/>
          <w:text w:multiLine="1"/>
        </w:sdtPr>
        <w:sdtEndPr/>
        <w:sdtContent>
          <w:tc>
            <w:tcPr>
              <w:tcW w:w="8383" w:type="dxa"/>
              <w:tcBorders>
                <w:left w:val="single" w:sz="4" w:space="0" w:color="auto"/>
                <w:bottom w:val="single" w:sz="4" w:space="0" w:color="auto"/>
              </w:tcBorders>
              <w:tcMar>
                <w:left w:w="142" w:type="dxa"/>
              </w:tcMar>
              <w:vAlign w:val="bottom"/>
            </w:tcPr>
            <w:p w14:paraId="496996D5" w14:textId="1CA0EED1" w:rsidR="006C54A3" w:rsidRPr="00E8185F" w:rsidRDefault="0094665C"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14:paraId="72CC3EB8" w14:textId="6BA2EA25" w:rsidR="006C54A3" w:rsidRPr="004204CB" w:rsidRDefault="00C05063"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E95BDF">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E95BDF">
            <w:rPr>
              <w:noProof/>
              <w:sz w:val="24"/>
            </w:rPr>
            <w:t>3</w:t>
          </w:r>
          <w:r w:rsidRPr="004204CB">
            <w:rPr>
              <w:noProof/>
              <w:sz w:val="24"/>
            </w:rPr>
            <w:fldChar w:fldCharType="end"/>
          </w:r>
        </w:p>
      </w:tc>
    </w:tr>
    <w:tr w:rsidR="005012EC" w:rsidRPr="009E444B" w14:paraId="19FD1110"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BA60CEE4-838B-41CB-9D0F-41E63FC7DC63}"/>
          <w:text w:multiLine="1"/>
        </w:sdtPr>
        <w:sdtEndPr/>
        <w:sdtContent>
          <w:tc>
            <w:tcPr>
              <w:tcW w:w="8383" w:type="dxa"/>
              <w:tcBorders>
                <w:left w:val="single" w:sz="4" w:space="0" w:color="auto"/>
              </w:tcBorders>
              <w:tcMar>
                <w:top w:w="0" w:type="dxa"/>
                <w:left w:w="142" w:type="dxa"/>
              </w:tcMar>
            </w:tcPr>
            <w:p w14:paraId="2C1CDA8E" w14:textId="1AB3ACBB" w:rsidR="006C54A3" w:rsidRPr="007024A9" w:rsidRDefault="00193B5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7934 R1 del 21 novembre 2024</w:t>
              </w:r>
            </w:p>
          </w:tc>
        </w:sdtContent>
      </w:sdt>
      <w:tc>
        <w:tcPr>
          <w:tcW w:w="1710" w:type="dxa"/>
          <w:tcBorders>
            <w:top w:val="single" w:sz="4" w:space="0" w:color="auto"/>
          </w:tcBorders>
        </w:tcPr>
        <w:p w14:paraId="69F93F44" w14:textId="77777777" w:rsidR="006C54A3" w:rsidRPr="007024A9" w:rsidRDefault="006C54A3" w:rsidP="00662409">
          <w:pPr>
            <w:pStyle w:val="InvisibleLine"/>
            <w:rPr>
              <w:lang w:val="it-CH"/>
            </w:rPr>
          </w:pPr>
        </w:p>
      </w:tc>
    </w:tr>
  </w:tbl>
  <w:p w14:paraId="1C8441DF" w14:textId="77777777" w:rsidR="00F657BF" w:rsidRPr="00980362" w:rsidRDefault="00C05063"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684D0D26"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A60CEE4-838B-41CB-9D0F-41E63FC7DC63}"/>
                            <w:text w:multiLine="1"/>
                          </w:sdtPr>
                          <w:sdtEndPr/>
                          <w:sdtContent>
                            <w:p w14:paraId="58BC7AD1" w14:textId="77777777" w:rsidR="006C54A3" w:rsidRPr="00411371" w:rsidRDefault="00C05063"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4D0D26"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" filled="f" stroked="f" strokeweight=".5pt">
              <v:textbox inset="0,0,0,0">
                <w:txbxContent>
                  <w:sdt>
                    <w:sdtPr>
                      <w:rPr>
                        <w:lang w:val="it-CH"/>
                      </w:rPr>
                      <w:alias w:val="CustomElements.Texts.Draft"/>
                      <w:id w:val="1849289353"/>
                      <w:dataBinding w:xpath="//Text[@id='CustomElements.Texts.Draft']" w:storeItemID="{2A6F47D1-8513-40BC-9211-D0C4A3852C4B}"/>
                      <w:text w:multiLine="1"/>
                    </w:sdtPr>
                    <w:sdtContent>
                      <w:p w14:paraId="58BC7AD1" w14:textId="77777777" w:rsidR="006C54A3" w:rsidRPr="00411371" w:rsidRDefault="00C05063"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03C2A41B" w14:textId="77777777" w:rsidTr="0098208F">
      <w:trPr>
        <w:trHeight w:val="586"/>
      </w:trPr>
      <w:tc>
        <w:tcPr>
          <w:tcW w:w="2440" w:type="pct"/>
          <w:gridSpan w:val="3"/>
          <w:tcBorders>
            <w:top w:val="nil"/>
            <w:left w:val="nil"/>
            <w:bottom w:val="single" w:sz="4" w:space="0" w:color="auto"/>
          </w:tcBorders>
          <w:vAlign w:val="bottom"/>
        </w:tcPr>
        <w:p w14:paraId="68359F3B" w14:textId="77777777" w:rsidR="006C54A3" w:rsidRPr="003108C0" w:rsidRDefault="006C54A3" w:rsidP="00D07D6E">
          <w:pPr>
            <w:pStyle w:val="InvisibleLine"/>
            <w:ind w:left="150"/>
            <w:rPr>
              <w:sz w:val="16"/>
            </w:rPr>
          </w:pPr>
        </w:p>
      </w:tc>
      <w:tc>
        <w:tcPr>
          <w:tcW w:w="373" w:type="pct"/>
          <w:tcBorders>
            <w:top w:val="nil"/>
            <w:bottom w:val="single" w:sz="4" w:space="0" w:color="auto"/>
          </w:tcBorders>
          <w:vAlign w:val="bottom"/>
        </w:tcPr>
        <w:p w14:paraId="6C2A92FE" w14:textId="77777777" w:rsidR="006C54A3" w:rsidRPr="003108C0" w:rsidRDefault="006C54A3" w:rsidP="00D07D6E">
          <w:pPr>
            <w:pStyle w:val="Level"/>
            <w:ind w:left="150"/>
            <w:rPr>
              <w:sz w:val="16"/>
            </w:rPr>
          </w:pPr>
        </w:p>
      </w:tc>
      <w:tc>
        <w:tcPr>
          <w:tcW w:w="209" w:type="pct"/>
          <w:tcBorders>
            <w:top w:val="nil"/>
            <w:bottom w:val="single" w:sz="4" w:space="0" w:color="auto"/>
          </w:tcBorders>
        </w:tcPr>
        <w:p w14:paraId="3855FE14" w14:textId="77777777" w:rsidR="006C54A3" w:rsidRDefault="00C05063" w:rsidP="00D07D6E">
          <w:pPr>
            <w:pStyle w:val="InvisibleLine"/>
            <w:ind w:left="150"/>
          </w:pPr>
          <w:r>
            <w:rPr>
              <w:noProof/>
              <w:lang w:val="it-CH" w:eastAsia="it-CH"/>
            </w:rPr>
            <w:drawing>
              <wp:anchor distT="0" distB="0" distL="114300" distR="114300" simplePos="0" relativeHeight="251667456" behindDoc="1" locked="1" layoutInCell="1" allowOverlap="1" wp14:anchorId="56CC731F" wp14:editId="226CACA6">
                <wp:simplePos x="0" y="0"/>
                <wp:positionH relativeFrom="column">
                  <wp:posOffset>-92710</wp:posOffset>
                </wp:positionH>
                <wp:positionV relativeFrom="page">
                  <wp:posOffset>-119380</wp:posOffset>
                </wp:positionV>
                <wp:extent cx="276653" cy="467995"/>
                <wp:effectExtent l="0" t="0" r="0" b="8255"/>
                <wp:wrapNone/>
                <wp:docPr id="682320226" name="ooImg_9626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56011D01" w14:textId="638BD3C9" w:rsidR="006C54A3" w:rsidRPr="004204CB" w:rsidRDefault="00C05063"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E95BD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E95BDF">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14:paraId="6F682973"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A60CEE4-838B-41CB-9D0F-41E63FC7DC63}"/>
          <w:text w:multiLine="1"/>
        </w:sdtPr>
        <w:sdtEndPr/>
        <w:sdtContent>
          <w:tc>
            <w:tcPr>
              <w:tcW w:w="5000" w:type="pct"/>
              <w:gridSpan w:val="6"/>
              <w:tcBorders>
                <w:left w:val="nil"/>
                <w:right w:val="nil"/>
              </w:tcBorders>
              <w:noWrap/>
              <w:tcMar>
                <w:top w:w="0" w:type="dxa"/>
              </w:tcMar>
              <w:vAlign w:val="bottom"/>
            </w:tcPr>
            <w:p w14:paraId="5D1E5322" w14:textId="0A79F2AB" w:rsidR="006C54A3" w:rsidRPr="008C03B5" w:rsidRDefault="00E11916" w:rsidP="00DB7CD8">
              <w:pPr>
                <w:pStyle w:val="HeaderDecisione"/>
                <w:tabs>
                  <w:tab w:val="left" w:pos="1459"/>
                </w:tabs>
                <w:spacing w:after="160" w:line="640" w:lineRule="exact"/>
                <w:rPr>
                  <w:rFonts w:ascii="Gill Sans Display MT Pro BdCn" w:hAnsi="Gill Sans Display MT Pro BdCn"/>
                  <w:sz w:val="44"/>
                  <w:szCs w:val="44"/>
                </w:rPr>
              </w:pPr>
              <w:r w:rsidRPr="00726EF4">
                <w:rPr>
                  <w:rFonts w:ascii="Gill Sans Display MT Pro BdCn" w:hAnsi="Gill Sans Display MT Pro BdCn"/>
                  <w:sz w:val="44"/>
                  <w:szCs w:val="44"/>
                </w:rPr>
                <w:t>Rapporto di maggioranza</w:t>
              </w:r>
            </w:p>
          </w:tc>
        </w:sdtContent>
      </w:sdt>
    </w:tr>
    <w:tr w:rsidR="008C03B5" w:rsidRPr="0004624C" w14:paraId="777034A4" w14:textId="77777777" w:rsidTr="00B76ABD">
      <w:trPr>
        <w:trHeight w:hRule="exact" w:val="306"/>
      </w:trPr>
      <w:tc>
        <w:tcPr>
          <w:tcW w:w="670" w:type="pct"/>
          <w:tcBorders>
            <w:left w:val="nil"/>
            <w:bottom w:val="nil"/>
          </w:tcBorders>
          <w:noWrap/>
          <w:tcMar>
            <w:top w:w="57" w:type="dxa"/>
            <w:left w:w="142" w:type="dxa"/>
          </w:tcMar>
        </w:tcPr>
        <w:p w14:paraId="0A0B026A" w14:textId="77777777" w:rsidR="006C54A3" w:rsidRPr="00C7320A" w:rsidRDefault="00C05063"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636843B2" w14:textId="77777777" w:rsidR="006C54A3" w:rsidRPr="00C7320A" w:rsidRDefault="006C54A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31F9DD6E" w14:textId="77777777" w:rsidR="006C54A3" w:rsidRPr="00C7320A" w:rsidRDefault="00C05063"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59B08FAA" w14:textId="77777777" w:rsidR="006C54A3" w:rsidRPr="00C7320A" w:rsidRDefault="006C54A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65844A44" w14:textId="77777777" w:rsidR="006C54A3" w:rsidRPr="00C7320A" w:rsidRDefault="00C05063" w:rsidP="002B0F22">
          <w:pPr>
            <w:pStyle w:val="Level"/>
            <w:spacing w:before="60"/>
            <w:rPr>
              <w:rFonts w:ascii="Gill Alt One MT Light" w:hAnsi="Gill Alt One MT Light"/>
              <w:sz w:val="16"/>
            </w:rPr>
          </w:pPr>
          <w:r>
            <w:rPr>
              <w:rFonts w:ascii="Gill Alt One MT Light" w:hAnsi="Gill Alt One MT Light"/>
              <w:sz w:val="16"/>
            </w:rPr>
            <w:t>competenza</w:t>
          </w:r>
        </w:p>
        <w:p w14:paraId="1F2206EB" w14:textId="77777777" w:rsidR="006C54A3" w:rsidRPr="008C03B5" w:rsidRDefault="006C54A3" w:rsidP="002B0F22">
          <w:pPr>
            <w:pStyle w:val="Level"/>
            <w:spacing w:before="60" w:line="240" w:lineRule="auto"/>
            <w:rPr>
              <w:rFonts w:ascii="Gill Alt One MT Light" w:hAnsi="Gill Alt One MT Light"/>
              <w:sz w:val="16"/>
            </w:rPr>
          </w:pPr>
        </w:p>
      </w:tc>
    </w:tr>
    <w:tr w:rsidR="008C03B5" w:rsidRPr="0004624C" w14:paraId="25D66EA6" w14:textId="77777777" w:rsidTr="008C03B5">
      <w:trPr>
        <w:trHeight w:hRule="exact" w:val="699"/>
      </w:trPr>
      <w:tc>
        <w:tcPr>
          <w:tcW w:w="670" w:type="pct"/>
          <w:tcBorders>
            <w:top w:val="nil"/>
            <w:left w:val="nil"/>
            <w:bottom w:val="single" w:sz="4" w:space="0" w:color="auto"/>
            <w:right w:val="nil"/>
          </w:tcBorders>
          <w:noWrap/>
          <w:tcMar>
            <w:top w:w="0" w:type="dxa"/>
          </w:tcMar>
        </w:tcPr>
        <w:p w14:paraId="26A07E87" w14:textId="048385BD" w:rsidR="006C54A3" w:rsidRPr="00BE22A2" w:rsidRDefault="00E95BDF"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BA60CEE4-838B-41CB-9D0F-41E63FC7DC63}"/>
              <w:text w:multiLine="1"/>
            </w:sdtPr>
            <w:sdtEndPr/>
            <w:sdtContent>
              <w:r w:rsidR="00E11916">
                <w:rPr>
                  <w:rFonts w:cstheme="minorHAnsi"/>
                  <w:b/>
                  <w:sz w:val="24"/>
                  <w:szCs w:val="24"/>
                </w:rPr>
                <w:t>7934 R1</w:t>
              </w:r>
            </w:sdtContent>
          </w:sdt>
        </w:p>
      </w:tc>
      <w:sdt>
        <w:sdtPr>
          <w:rPr>
            <w:sz w:val="24"/>
          </w:rPr>
          <w:alias w:val="DocParam.Date"/>
          <w:id w:val="-464426178"/>
          <w:dataBinding w:xpath="//DateTime[@id='DocParam.Date']" w:storeItemID="{BA60CEE4-838B-41CB-9D0F-41E63FC7DC63}"/>
          <w:date w:fullDate="2024-11-2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7622B9C3" w14:textId="29BF708F" w:rsidR="006C54A3" w:rsidRPr="002A0371" w:rsidRDefault="0094665C" w:rsidP="00A532F6">
              <w:pPr>
                <w:pStyle w:val="Data"/>
              </w:pPr>
              <w:r>
                <w:rPr>
                  <w:sz w:val="24"/>
                </w:rPr>
                <w:t>21 novembre 2024</w:t>
              </w:r>
            </w:p>
          </w:tc>
        </w:sdtContent>
      </w:sdt>
      <w:tc>
        <w:tcPr>
          <w:tcW w:w="3218" w:type="pct"/>
          <w:gridSpan w:val="4"/>
          <w:tcBorders>
            <w:top w:val="nil"/>
            <w:left w:val="nil"/>
            <w:bottom w:val="nil"/>
            <w:right w:val="nil"/>
          </w:tcBorders>
        </w:tcPr>
        <w:p w14:paraId="2D3D5AF0" w14:textId="28349BD3" w:rsidR="006C54A3" w:rsidRPr="00BE22A2" w:rsidRDefault="00E95BDF"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BA60CEE4-838B-41CB-9D0F-41E63FC7DC63}"/>
              <w:text w:multiLine="1"/>
            </w:sdtPr>
            <w:sdtEndPr/>
            <w:sdtContent>
              <w:r w:rsidR="0094665C">
                <w:rPr>
                  <w:smallCaps/>
                  <w:sz w:val="23"/>
                  <w:szCs w:val="23"/>
                </w:rPr>
                <w:t>Dipartimento delle finanze e dell’economia</w:t>
              </w:r>
            </w:sdtContent>
          </w:sdt>
        </w:p>
      </w:tc>
    </w:tr>
    <w:tr w:rsidR="00912E34" w:rsidRPr="00C63927" w14:paraId="2466161D"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2E5F9865" w14:textId="77777777" w:rsidR="006C54A3" w:rsidRPr="00C7320A" w:rsidRDefault="006C54A3" w:rsidP="00D07D6E">
          <w:pPr>
            <w:pStyle w:val="Level"/>
            <w:ind w:left="150"/>
            <w:rPr>
              <w:rFonts w:ascii="Gill Alt One MT Light" w:hAnsi="Gill Alt One MT Light"/>
              <w:sz w:val="16"/>
              <w:szCs w:val="16"/>
            </w:rPr>
          </w:pPr>
        </w:p>
      </w:tc>
    </w:tr>
  </w:tbl>
  <w:p w14:paraId="7B6B0B95" w14:textId="77777777" w:rsidR="00F657BF" w:rsidRPr="00DA2879" w:rsidRDefault="00C05063"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7C6951DC" wp14:editId="2D72E6B9">
          <wp:simplePos x="0" y="0"/>
          <wp:positionH relativeFrom="column">
            <wp:posOffset>3042920</wp:posOffset>
          </wp:positionH>
          <wp:positionV relativeFrom="page">
            <wp:posOffset>215265</wp:posOffset>
          </wp:positionV>
          <wp:extent cx="459464" cy="467995"/>
          <wp:effectExtent l="0" t="0" r="0" b="8255"/>
          <wp:wrapNone/>
          <wp:docPr id="682320227" name="ooImg_69214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6F7670CF"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A60CEE4-838B-41CB-9D0F-41E63FC7DC63}"/>
                            <w:text w:multiLine="1"/>
                          </w:sdtPr>
                          <w:sdtEndPr/>
                          <w:sdtContent>
                            <w:p w14:paraId="6351BB18" w14:textId="77777777" w:rsidR="006C54A3" w:rsidRPr="00411371" w:rsidRDefault="00C05063"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7670CF"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" filled="f" stroked="f" strokeweight=".5pt">
              <v:textbox inset="0,0,0,0">
                <w:txbxContent>
                  <w:sdt>
                    <w:sdtPr>
                      <w:rPr>
                        <w:lang w:val="it-CH"/>
                      </w:rPr>
                      <w:alias w:val="CustomElements.Texts.Draft"/>
                      <w:id w:val="1582408335"/>
                      <w:dataBinding w:xpath="//Text[@id='CustomElements.Texts.Draft']" w:storeItemID="{2A6F47D1-8513-40BC-9211-D0C4A3852C4B}"/>
                      <w:text w:multiLine="1"/>
                    </w:sdtPr>
                    <w:sdtContent>
                      <w:p w14:paraId="6351BB18" w14:textId="77777777" w:rsidR="006C54A3" w:rsidRPr="00411371" w:rsidRDefault="00C05063"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E58F5"/>
    <w:multiLevelType w:val="hybridMultilevel"/>
    <w:tmpl w:val="CBA04E6E"/>
    <w:lvl w:ilvl="0" w:tplc="0810000B">
      <w:start w:val="1"/>
      <w:numFmt w:val="bullet"/>
      <w:lvlText w:val=""/>
      <w:lvlJc w:val="left"/>
      <w:pPr>
        <w:ind w:left="360" w:hanging="360"/>
      </w:pPr>
      <w:rPr>
        <w:rFonts w:ascii="Wingdings" w:hAnsi="Wingdings"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1" w15:restartNumberingAfterBreak="0">
    <w:nsid w:val="08DD3D1C"/>
    <w:multiLevelType w:val="hybridMultilevel"/>
    <w:tmpl w:val="AB1CDB50"/>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0C293A94"/>
    <w:multiLevelType w:val="hybridMultilevel"/>
    <w:tmpl w:val="064C0956"/>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8A33085"/>
    <w:multiLevelType w:val="multilevel"/>
    <w:tmpl w:val="16DA22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2BBC7FA6"/>
    <w:multiLevelType w:val="hybridMultilevel"/>
    <w:tmpl w:val="89A60A3C"/>
    <w:lvl w:ilvl="0" w:tplc="4C6E8240">
      <w:start w:val="3"/>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30306C0B"/>
    <w:multiLevelType w:val="hybridMultilevel"/>
    <w:tmpl w:val="80BAFBE0"/>
    <w:lvl w:ilvl="0" w:tplc="0810000F">
      <w:start w:val="1"/>
      <w:numFmt w:val="decimal"/>
      <w:lvlText w:val="%1."/>
      <w:lvlJc w:val="left"/>
      <w:pPr>
        <w:ind w:left="786" w:hanging="360"/>
      </w:pPr>
    </w:lvl>
    <w:lvl w:ilvl="1" w:tplc="08100019" w:tentative="1">
      <w:start w:val="1"/>
      <w:numFmt w:val="lowerLetter"/>
      <w:lvlText w:val="%2."/>
      <w:lvlJc w:val="left"/>
      <w:pPr>
        <w:ind w:left="1506" w:hanging="360"/>
      </w:pPr>
    </w:lvl>
    <w:lvl w:ilvl="2" w:tplc="0810001B" w:tentative="1">
      <w:start w:val="1"/>
      <w:numFmt w:val="lowerRoman"/>
      <w:lvlText w:val="%3."/>
      <w:lvlJc w:val="right"/>
      <w:pPr>
        <w:ind w:left="2226" w:hanging="180"/>
      </w:pPr>
    </w:lvl>
    <w:lvl w:ilvl="3" w:tplc="0810000F" w:tentative="1">
      <w:start w:val="1"/>
      <w:numFmt w:val="decimal"/>
      <w:lvlText w:val="%4."/>
      <w:lvlJc w:val="left"/>
      <w:pPr>
        <w:ind w:left="2946" w:hanging="360"/>
      </w:pPr>
    </w:lvl>
    <w:lvl w:ilvl="4" w:tplc="08100019" w:tentative="1">
      <w:start w:val="1"/>
      <w:numFmt w:val="lowerLetter"/>
      <w:lvlText w:val="%5."/>
      <w:lvlJc w:val="left"/>
      <w:pPr>
        <w:ind w:left="3666" w:hanging="360"/>
      </w:pPr>
    </w:lvl>
    <w:lvl w:ilvl="5" w:tplc="0810001B" w:tentative="1">
      <w:start w:val="1"/>
      <w:numFmt w:val="lowerRoman"/>
      <w:lvlText w:val="%6."/>
      <w:lvlJc w:val="right"/>
      <w:pPr>
        <w:ind w:left="4386" w:hanging="180"/>
      </w:pPr>
    </w:lvl>
    <w:lvl w:ilvl="6" w:tplc="0810000F" w:tentative="1">
      <w:start w:val="1"/>
      <w:numFmt w:val="decimal"/>
      <w:lvlText w:val="%7."/>
      <w:lvlJc w:val="left"/>
      <w:pPr>
        <w:ind w:left="5106" w:hanging="360"/>
      </w:pPr>
    </w:lvl>
    <w:lvl w:ilvl="7" w:tplc="08100019" w:tentative="1">
      <w:start w:val="1"/>
      <w:numFmt w:val="lowerLetter"/>
      <w:lvlText w:val="%8."/>
      <w:lvlJc w:val="left"/>
      <w:pPr>
        <w:ind w:left="5826" w:hanging="360"/>
      </w:pPr>
    </w:lvl>
    <w:lvl w:ilvl="8" w:tplc="0810001B" w:tentative="1">
      <w:start w:val="1"/>
      <w:numFmt w:val="lowerRoman"/>
      <w:lvlText w:val="%9."/>
      <w:lvlJc w:val="right"/>
      <w:pPr>
        <w:ind w:left="6546" w:hanging="180"/>
      </w:pPr>
    </w:lvl>
  </w:abstractNum>
  <w:abstractNum w:abstractNumId="20" w15:restartNumberingAfterBreak="0">
    <w:nsid w:val="31960316"/>
    <w:multiLevelType w:val="hybridMultilevel"/>
    <w:tmpl w:val="317E1E3C"/>
    <w:lvl w:ilvl="0" w:tplc="51A82802">
      <w:start w:val="1"/>
      <w:numFmt w:val="lowerLetter"/>
      <w:lvlText w:val="%1)"/>
      <w:lvlJc w:val="left"/>
      <w:pPr>
        <w:ind w:left="502" w:hanging="360"/>
      </w:pPr>
      <w:rPr>
        <w:rFonts w:cstheme="minorBidi" w:hint="default"/>
      </w:rPr>
    </w:lvl>
    <w:lvl w:ilvl="1" w:tplc="08100019" w:tentative="1">
      <w:start w:val="1"/>
      <w:numFmt w:val="lowerLetter"/>
      <w:lvlText w:val="%2."/>
      <w:lvlJc w:val="left"/>
      <w:pPr>
        <w:ind w:left="1222" w:hanging="360"/>
      </w:pPr>
    </w:lvl>
    <w:lvl w:ilvl="2" w:tplc="0810001B" w:tentative="1">
      <w:start w:val="1"/>
      <w:numFmt w:val="lowerRoman"/>
      <w:lvlText w:val="%3."/>
      <w:lvlJc w:val="right"/>
      <w:pPr>
        <w:ind w:left="1942" w:hanging="180"/>
      </w:pPr>
    </w:lvl>
    <w:lvl w:ilvl="3" w:tplc="0810000F" w:tentative="1">
      <w:start w:val="1"/>
      <w:numFmt w:val="decimal"/>
      <w:lvlText w:val="%4."/>
      <w:lvlJc w:val="left"/>
      <w:pPr>
        <w:ind w:left="2662" w:hanging="360"/>
      </w:pPr>
    </w:lvl>
    <w:lvl w:ilvl="4" w:tplc="08100019" w:tentative="1">
      <w:start w:val="1"/>
      <w:numFmt w:val="lowerLetter"/>
      <w:lvlText w:val="%5."/>
      <w:lvlJc w:val="left"/>
      <w:pPr>
        <w:ind w:left="3382" w:hanging="360"/>
      </w:pPr>
    </w:lvl>
    <w:lvl w:ilvl="5" w:tplc="0810001B" w:tentative="1">
      <w:start w:val="1"/>
      <w:numFmt w:val="lowerRoman"/>
      <w:lvlText w:val="%6."/>
      <w:lvlJc w:val="right"/>
      <w:pPr>
        <w:ind w:left="4102" w:hanging="180"/>
      </w:pPr>
    </w:lvl>
    <w:lvl w:ilvl="6" w:tplc="0810000F" w:tentative="1">
      <w:start w:val="1"/>
      <w:numFmt w:val="decimal"/>
      <w:lvlText w:val="%7."/>
      <w:lvlJc w:val="left"/>
      <w:pPr>
        <w:ind w:left="4822" w:hanging="360"/>
      </w:pPr>
    </w:lvl>
    <w:lvl w:ilvl="7" w:tplc="08100019" w:tentative="1">
      <w:start w:val="1"/>
      <w:numFmt w:val="lowerLetter"/>
      <w:lvlText w:val="%8."/>
      <w:lvlJc w:val="left"/>
      <w:pPr>
        <w:ind w:left="5542" w:hanging="360"/>
      </w:pPr>
    </w:lvl>
    <w:lvl w:ilvl="8" w:tplc="0810001B" w:tentative="1">
      <w:start w:val="1"/>
      <w:numFmt w:val="lowerRoman"/>
      <w:lvlText w:val="%9."/>
      <w:lvlJc w:val="right"/>
      <w:pPr>
        <w:ind w:left="6262" w:hanging="180"/>
      </w:pPr>
    </w:lvl>
  </w:abstractNum>
  <w:abstractNum w:abstractNumId="21" w15:restartNumberingAfterBreak="0">
    <w:nsid w:val="31D32337"/>
    <w:multiLevelType w:val="hybridMultilevel"/>
    <w:tmpl w:val="626EA880"/>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22"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3CDD3D06"/>
    <w:multiLevelType w:val="hybridMultilevel"/>
    <w:tmpl w:val="F8FA5A8C"/>
    <w:lvl w:ilvl="0" w:tplc="7DA82E3C">
      <w:start w:val="4"/>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15:restartNumberingAfterBreak="0">
    <w:nsid w:val="40692DF8"/>
    <w:multiLevelType w:val="hybridMultilevel"/>
    <w:tmpl w:val="A1C6CC6A"/>
    <w:lvl w:ilvl="0" w:tplc="342E32B4">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5" w15:restartNumberingAfterBreak="0">
    <w:nsid w:val="42E91FF8"/>
    <w:multiLevelType w:val="hybridMultilevel"/>
    <w:tmpl w:val="00FE8BAE"/>
    <w:lvl w:ilvl="0" w:tplc="4C6E8240">
      <w:start w:val="3"/>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6" w15:restartNumberingAfterBreak="0">
    <w:nsid w:val="46BD1536"/>
    <w:multiLevelType w:val="hybridMultilevel"/>
    <w:tmpl w:val="EE4EA868"/>
    <w:lvl w:ilvl="0" w:tplc="0810000F">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8" w15:restartNumberingAfterBreak="0">
    <w:nsid w:val="49D524CC"/>
    <w:multiLevelType w:val="multilevel"/>
    <w:tmpl w:val="953CA1B2"/>
    <w:numStyleLink w:val="HeadingList"/>
  </w:abstractNum>
  <w:abstractNum w:abstractNumId="29" w15:restartNumberingAfterBreak="0">
    <w:nsid w:val="54FC10CA"/>
    <w:multiLevelType w:val="hybridMultilevel"/>
    <w:tmpl w:val="4EF0DB3A"/>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0" w15:restartNumberingAfterBreak="0">
    <w:nsid w:val="65181EBD"/>
    <w:multiLevelType w:val="hybridMultilevel"/>
    <w:tmpl w:val="063EDB72"/>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31" w15:restartNumberingAfterBreak="0">
    <w:nsid w:val="74953A9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0A2CC4"/>
    <w:multiLevelType w:val="hybridMultilevel"/>
    <w:tmpl w:val="F9E44F58"/>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3" w15:restartNumberingAfterBreak="0">
    <w:nsid w:val="7EEF6F8D"/>
    <w:multiLevelType w:val="hybridMultilevel"/>
    <w:tmpl w:val="766EE7FA"/>
    <w:lvl w:ilvl="0" w:tplc="4C6E8240">
      <w:start w:val="3"/>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4"/>
  </w:num>
  <w:num w:numId="2">
    <w:abstractNumId w:val="28"/>
    <w:lvlOverride w:ilvl="0">
      <w:lvl w:ilvl="0">
        <w:start w:val="1"/>
        <w:numFmt w:val="decimal"/>
        <w:lvlText w:val="%1"/>
        <w:lvlJc w:val="left"/>
        <w:pPr>
          <w:ind w:left="363" w:hanging="363"/>
        </w:pPr>
        <w:rPr>
          <w:rFonts w:ascii="Arial" w:hAnsi="Arial" w:cs="Arial" w:hint="default"/>
        </w:rPr>
      </w:lvl>
    </w:lvlOverride>
  </w:num>
  <w:num w:numId="3">
    <w:abstractNumId w:val="13"/>
  </w:num>
  <w:num w:numId="4">
    <w:abstractNumId w:val="27"/>
  </w:num>
  <w:num w:numId="5">
    <w:abstractNumId w:val="22"/>
  </w:num>
  <w:num w:numId="6">
    <w:abstractNumId w:val="15"/>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6"/>
  </w:num>
  <w:num w:numId="20">
    <w:abstractNumId w:val="21"/>
  </w:num>
  <w:num w:numId="21">
    <w:abstractNumId w:val="30"/>
  </w:num>
  <w:num w:numId="22">
    <w:abstractNumId w:val="20"/>
  </w:num>
  <w:num w:numId="23">
    <w:abstractNumId w:val="29"/>
  </w:num>
  <w:num w:numId="24">
    <w:abstractNumId w:val="31"/>
  </w:num>
  <w:num w:numId="25">
    <w:abstractNumId w:val="25"/>
  </w:num>
  <w:num w:numId="26">
    <w:abstractNumId w:val="24"/>
  </w:num>
  <w:num w:numId="27">
    <w:abstractNumId w:val="33"/>
  </w:num>
  <w:num w:numId="28">
    <w:abstractNumId w:val="18"/>
  </w:num>
  <w:num w:numId="29">
    <w:abstractNumId w:val="11"/>
  </w:num>
  <w:num w:numId="30">
    <w:abstractNumId w:val="26"/>
  </w:num>
  <w:num w:numId="31">
    <w:abstractNumId w:val="12"/>
  </w:num>
  <w:num w:numId="32">
    <w:abstractNumId w:val="32"/>
  </w:num>
  <w:num w:numId="33">
    <w:abstractNumId w:val="10"/>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A8"/>
    <w:rsid w:val="00006A99"/>
    <w:rsid w:val="000430B8"/>
    <w:rsid w:val="00067695"/>
    <w:rsid w:val="00070435"/>
    <w:rsid w:val="00073B6F"/>
    <w:rsid w:val="000760C4"/>
    <w:rsid w:val="00130666"/>
    <w:rsid w:val="001659E5"/>
    <w:rsid w:val="00165D05"/>
    <w:rsid w:val="00171CA2"/>
    <w:rsid w:val="001755ED"/>
    <w:rsid w:val="00190FDC"/>
    <w:rsid w:val="00193B5B"/>
    <w:rsid w:val="001A3308"/>
    <w:rsid w:val="001B7B52"/>
    <w:rsid w:val="001D110F"/>
    <w:rsid w:val="001D29F5"/>
    <w:rsid w:val="001D693C"/>
    <w:rsid w:val="001E7453"/>
    <w:rsid w:val="00206CD5"/>
    <w:rsid w:val="002170B7"/>
    <w:rsid w:val="00264C6D"/>
    <w:rsid w:val="002B5D9F"/>
    <w:rsid w:val="002E08ED"/>
    <w:rsid w:val="002F6D2C"/>
    <w:rsid w:val="00303B93"/>
    <w:rsid w:val="00386403"/>
    <w:rsid w:val="003B72AA"/>
    <w:rsid w:val="003B756D"/>
    <w:rsid w:val="003C07BF"/>
    <w:rsid w:val="003E2E48"/>
    <w:rsid w:val="00403ADB"/>
    <w:rsid w:val="00415F7D"/>
    <w:rsid w:val="004534DA"/>
    <w:rsid w:val="0046635A"/>
    <w:rsid w:val="00520A9C"/>
    <w:rsid w:val="00572FD3"/>
    <w:rsid w:val="00583A40"/>
    <w:rsid w:val="005949F8"/>
    <w:rsid w:val="005E3026"/>
    <w:rsid w:val="005E5F58"/>
    <w:rsid w:val="005F427A"/>
    <w:rsid w:val="006224C2"/>
    <w:rsid w:val="00625489"/>
    <w:rsid w:val="00634885"/>
    <w:rsid w:val="0067270B"/>
    <w:rsid w:val="00690D84"/>
    <w:rsid w:val="006B26D3"/>
    <w:rsid w:val="006C54A3"/>
    <w:rsid w:val="006D6010"/>
    <w:rsid w:val="007024A9"/>
    <w:rsid w:val="00710939"/>
    <w:rsid w:val="00726EF4"/>
    <w:rsid w:val="00774410"/>
    <w:rsid w:val="007E3721"/>
    <w:rsid w:val="00806ABC"/>
    <w:rsid w:val="00810781"/>
    <w:rsid w:val="008238A0"/>
    <w:rsid w:val="00844A0C"/>
    <w:rsid w:val="008720C4"/>
    <w:rsid w:val="008B169D"/>
    <w:rsid w:val="008D79AD"/>
    <w:rsid w:val="008F1901"/>
    <w:rsid w:val="008F52AF"/>
    <w:rsid w:val="008F5DBB"/>
    <w:rsid w:val="0090268B"/>
    <w:rsid w:val="00915097"/>
    <w:rsid w:val="00934C29"/>
    <w:rsid w:val="0094665C"/>
    <w:rsid w:val="00950E58"/>
    <w:rsid w:val="00983821"/>
    <w:rsid w:val="009856C7"/>
    <w:rsid w:val="00994195"/>
    <w:rsid w:val="009B13D0"/>
    <w:rsid w:val="009C13FD"/>
    <w:rsid w:val="009C5E5A"/>
    <w:rsid w:val="00A83638"/>
    <w:rsid w:val="00A84539"/>
    <w:rsid w:val="00A9101C"/>
    <w:rsid w:val="00AA04BA"/>
    <w:rsid w:val="00AF0268"/>
    <w:rsid w:val="00AF1FF6"/>
    <w:rsid w:val="00B015CE"/>
    <w:rsid w:val="00B160A8"/>
    <w:rsid w:val="00B16D35"/>
    <w:rsid w:val="00B20EA6"/>
    <w:rsid w:val="00B364E4"/>
    <w:rsid w:val="00B45116"/>
    <w:rsid w:val="00B70681"/>
    <w:rsid w:val="00B94748"/>
    <w:rsid w:val="00BB3121"/>
    <w:rsid w:val="00BE3592"/>
    <w:rsid w:val="00BE716F"/>
    <w:rsid w:val="00BF0A1F"/>
    <w:rsid w:val="00C02D7B"/>
    <w:rsid w:val="00C05063"/>
    <w:rsid w:val="00C05B0F"/>
    <w:rsid w:val="00C21062"/>
    <w:rsid w:val="00C750DB"/>
    <w:rsid w:val="00CA0D68"/>
    <w:rsid w:val="00CB754E"/>
    <w:rsid w:val="00D00CCD"/>
    <w:rsid w:val="00D060AD"/>
    <w:rsid w:val="00D13F9D"/>
    <w:rsid w:val="00D26F77"/>
    <w:rsid w:val="00D33940"/>
    <w:rsid w:val="00D438AB"/>
    <w:rsid w:val="00D5059A"/>
    <w:rsid w:val="00D509C4"/>
    <w:rsid w:val="00D556BC"/>
    <w:rsid w:val="00D600FD"/>
    <w:rsid w:val="00D649A8"/>
    <w:rsid w:val="00D64ED2"/>
    <w:rsid w:val="00D67FC9"/>
    <w:rsid w:val="00D7166F"/>
    <w:rsid w:val="00D72010"/>
    <w:rsid w:val="00D821E0"/>
    <w:rsid w:val="00D83EE3"/>
    <w:rsid w:val="00D934AC"/>
    <w:rsid w:val="00D9353B"/>
    <w:rsid w:val="00DA3636"/>
    <w:rsid w:val="00DD6BC7"/>
    <w:rsid w:val="00E11916"/>
    <w:rsid w:val="00E1361A"/>
    <w:rsid w:val="00E17CB6"/>
    <w:rsid w:val="00E26AC1"/>
    <w:rsid w:val="00E35037"/>
    <w:rsid w:val="00E422D0"/>
    <w:rsid w:val="00E60CE6"/>
    <w:rsid w:val="00E74A90"/>
    <w:rsid w:val="00E841C1"/>
    <w:rsid w:val="00E95BDF"/>
    <w:rsid w:val="00E97446"/>
    <w:rsid w:val="00EA19D8"/>
    <w:rsid w:val="00EB088A"/>
    <w:rsid w:val="00EE22CD"/>
    <w:rsid w:val="00EF5AD0"/>
    <w:rsid w:val="00F22729"/>
    <w:rsid w:val="00F24136"/>
    <w:rsid w:val="00F657BF"/>
    <w:rsid w:val="00FB489B"/>
    <w:rsid w:val="0B3F1E21"/>
    <w:rsid w:val="670E0086"/>
    <w:rsid w:val="6F99A036"/>
    <w:rsid w:val="728266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68730"/>
  <w15:docId w15:val="{3BE7AC19-DB58-4564-9B00-99BFD3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1E745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7453"/>
    <w:rPr>
      <w:rFonts w:ascii="Segoe UI" w:hAnsi="Segoe UI" w:cs="Segoe UI"/>
      <w:sz w:val="18"/>
      <w:szCs w:val="18"/>
      <w:lang w:val="it-CH"/>
    </w:rPr>
  </w:style>
  <w:style w:type="paragraph" w:customStyle="1" w:styleId="Default">
    <w:name w:val="Default"/>
    <w:rsid w:val="009B13D0"/>
    <w:pPr>
      <w:autoSpaceDE w:val="0"/>
      <w:autoSpaceDN w:val="0"/>
      <w:adjustRightInd w:val="0"/>
      <w:jc w:val="left"/>
    </w:pPr>
    <w:rPr>
      <w:rFonts w:ascii="Arial" w:hAnsi="Arial" w:cs="Arial"/>
      <w:color w:val="000000"/>
      <w:sz w:val="24"/>
      <w:szCs w:val="24"/>
      <w:lang w:val="it-CH"/>
    </w:rPr>
  </w:style>
  <w:style w:type="paragraph" w:styleId="NormaleWeb">
    <w:name w:val="Normal (Web)"/>
    <w:basedOn w:val="Normale"/>
    <w:uiPriority w:val="99"/>
    <w:unhideWhenUsed/>
    <w:rsid w:val="00E97446"/>
    <w:pPr>
      <w:spacing w:before="100" w:beforeAutospacing="1" w:after="100" w:afterAutospacing="1"/>
      <w:jc w:val="left"/>
    </w:pPr>
    <w:rPr>
      <w:rFonts w:ascii="Times New Roman" w:eastAsia="Times New Roman" w:hAnsi="Times New Roman" w:cs="Times New Roman"/>
      <w:sz w:val="24"/>
      <w:szCs w:val="24"/>
      <w:lang w:eastAsia="it-CH"/>
    </w:rPr>
  </w:style>
  <w:style w:type="character" w:styleId="Collegamentoipertestuale">
    <w:name w:val="Hyperlink"/>
    <w:basedOn w:val="Carpredefinitoparagrafo"/>
    <w:uiPriority w:val="99"/>
    <w:unhideWhenUsed/>
    <w:rsid w:val="00994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800">
      <w:bodyDiv w:val="1"/>
      <w:marLeft w:val="0"/>
      <w:marRight w:val="0"/>
      <w:marTop w:val="0"/>
      <w:marBottom w:val="0"/>
      <w:divBdr>
        <w:top w:val="none" w:sz="0" w:space="0" w:color="auto"/>
        <w:left w:val="none" w:sz="0" w:space="0" w:color="auto"/>
        <w:bottom w:val="none" w:sz="0" w:space="0" w:color="auto"/>
        <w:right w:val="none" w:sz="0" w:space="0" w:color="auto"/>
      </w:divBdr>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76119122">
      <w:bodyDiv w:val="1"/>
      <w:marLeft w:val="0"/>
      <w:marRight w:val="0"/>
      <w:marTop w:val="0"/>
      <w:marBottom w:val="0"/>
      <w:divBdr>
        <w:top w:val="none" w:sz="0" w:space="0" w:color="auto"/>
        <w:left w:val="none" w:sz="0" w:space="0" w:color="auto"/>
        <w:bottom w:val="none" w:sz="0" w:space="0" w:color="auto"/>
        <w:right w:val="none" w:sz="0" w:space="0" w:color="auto"/>
      </w:divBdr>
    </w:div>
    <w:div w:id="628898494">
      <w:bodyDiv w:val="1"/>
      <w:marLeft w:val="0"/>
      <w:marRight w:val="0"/>
      <w:marTop w:val="0"/>
      <w:marBottom w:val="0"/>
      <w:divBdr>
        <w:top w:val="none" w:sz="0" w:space="0" w:color="auto"/>
        <w:left w:val="none" w:sz="0" w:space="0" w:color="auto"/>
        <w:bottom w:val="none" w:sz="0" w:space="0" w:color="auto"/>
        <w:right w:val="none" w:sz="0" w:space="0" w:color="auto"/>
      </w:divBdr>
    </w:div>
    <w:div w:id="1489832379">
      <w:bodyDiv w:val="1"/>
      <w:marLeft w:val="0"/>
      <w:marRight w:val="0"/>
      <w:marTop w:val="0"/>
      <w:marBottom w:val="0"/>
      <w:divBdr>
        <w:top w:val="none" w:sz="0" w:space="0" w:color="auto"/>
        <w:left w:val="none" w:sz="0" w:space="0" w:color="auto"/>
        <w:bottom w:val="none" w:sz="0" w:space="0" w:color="auto"/>
        <w:right w:val="none" w:sz="0" w:space="0" w:color="auto"/>
      </w:divBdr>
    </w:div>
    <w:div w:id="21455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5529e2f-da46-4ce2-83d5-2144c319605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96264102</Id>
      <Width>0</Width>
      <Height>0</Height>
      <XPath>//Image[@id='Profile.Org.WappenSW']</XPath>
      <ImageHash>02f1c0cdac6aeac316213b2e7cb733a0</ImageHash>
    </ImageSizeDefinition>
    <ImageSizeDefinition>
      <Id>692145919</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5 a c d 9 a 2 8 - 1 9 5 1 - 4 b 9 a - a f e e - 0 7 0 9 1 1 a e f d 6 5 "   t I d = " a 3 6 2 a 5 d 4 - 9 5 8 9 - 4 1 b f - a 4 e 6 - 4 f 8 7 c 4 e 4 1 2 3 9 "   i n t e r n a l T I d = " 9 0 6 4 c c 7 f - 3 1 6 d - 4 6 b 1 - a 4 a c - 7 4 8 6 0 c 3 f 8 a 5 b "   m t I d = " 2 7 5 a f 3 2 e - b c 4 0 - 4 5 c 2 - 8 5 b 7 - a f b 1 c 0 3 8 2 6 5 3 "   r e v i s i o n = " 0 "   c r e a t e d m a j o r v e r s i o n = " 0 "   c r e a t e d m i n o r v e r s i o n = " 0 "   c r e a t e d = " 2 0 2 3 - 0 1 - 2 0 T 1 2 : 5 3 : 0 5 . 6 3 1 7 0 5 3 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f i n a n z e   e   d e l l  e c o n o m i a ] ] > < / T e x t >  
                 < T e x t   i d = " C u s t o m E l e m e n t s . S u b T e m p l a t e . L a n d s c a p e . H e a d e r . T i t o l o "   l a b e l = " C u s t o m E l e m e n t s . S u b T e m p l a t e . L a n d s c a p e . H e a d e r . T i t o l o " > < ! [ C D A T A [ R a p p o r t o   d i   m a g g i o r a n z a   n .   7 9 3 4   R 1   d e l   2 1   n o v e m b r e   2 0 2 4 ] ] > < / 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a g g i o r a n z a ] ] > < / T e x t >  
                 < T e x t   i d = " C u s t o m E l e m e n t s . F i e l d s . T i t o l o 2 "   l a b e l = " C u s t o m E l e m e n t s . F i e l d s . T i t o l o 2 " > < ! [ C D A T A [ R a p p o r t o   d i   m a g g i o r a n z a   n .   7 9 3 4   R 1   d e l   2 1   n o v e m b r e 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 2 0 2 4 - 1 1 - 2 1 T 0 0 : 0 0 : 0 0 Z < / D a t e T i m e >  
                 < T e x t   i d = " D o c P a r a m . N u m b e r " > < ! [ C D A T A [ 7 9 3 4   R 1 ] ] > < / T e x t >  
                 < T e x t   i d = " D o c P a r a m . D o c u m e n t o " > < ! [ C D A T A [ R a p p o r t o   d i   m a g g i o r a n z a ] ] > < / 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2415-2755-42C7-8930-B78010B1A5DE}">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BA60CEE4-838B-41CB-9D0F-41E63FC7DC63}">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A7F1C9B0-E1CB-4DB1-B6DF-413FDA95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35529e2f-da46-4ce2-83d5-2144c3196052.dotx</Template>
  <TotalTime>8</TotalTime>
  <Pages>3</Pages>
  <Words>1157</Words>
  <Characters>6596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27</cp:revision>
  <cp:lastPrinted>2025-01-07T11:32:00Z</cp:lastPrinted>
  <dcterms:created xsi:type="dcterms:W3CDTF">2024-11-22T10:10:00Z</dcterms:created>
  <dcterms:modified xsi:type="dcterms:W3CDTF">2025-01-07T11:32:00Z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