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5C3" w:rsidRPr="008A2314" w:rsidRDefault="005F35C3" w:rsidP="005F35C3">
      <w:pPr>
        <w:pStyle w:val="StandardRisoluzionedelConsigliodiStato"/>
        <w:tabs>
          <w:tab w:val="left" w:pos="9486"/>
        </w:tabs>
        <w:ind w:right="-1"/>
        <w:jc w:val="right"/>
        <w:rPr>
          <w:b/>
          <w:bCs/>
          <w:sz w:val="28"/>
          <w:szCs w:val="28"/>
        </w:rPr>
      </w:pPr>
      <w:r w:rsidRPr="008A2314">
        <w:rPr>
          <w:b/>
          <w:bCs/>
          <w:sz w:val="28"/>
          <w:szCs w:val="28"/>
        </w:rPr>
        <w:t>ALLEGATO</w:t>
      </w:r>
    </w:p>
    <w:p w:rsidR="005F35C3" w:rsidRDefault="005F35C3" w:rsidP="00F500DC">
      <w:pPr>
        <w:pStyle w:val="StandardRisoluzionedelConsigliodiStato"/>
        <w:tabs>
          <w:tab w:val="left" w:pos="9486"/>
        </w:tabs>
        <w:ind w:right="-1"/>
        <w:rPr>
          <w:b/>
          <w:bCs/>
          <w:sz w:val="28"/>
          <w:szCs w:val="28"/>
        </w:rPr>
      </w:pPr>
    </w:p>
    <w:p w:rsidR="005F35C3" w:rsidRDefault="005F35C3" w:rsidP="00F500DC">
      <w:pPr>
        <w:pStyle w:val="StandardRisoluzionedelConsigliodiStato"/>
        <w:tabs>
          <w:tab w:val="left" w:pos="9486"/>
        </w:tabs>
        <w:ind w:right="-1"/>
        <w:rPr>
          <w:b/>
          <w:bCs/>
          <w:sz w:val="28"/>
          <w:szCs w:val="28"/>
        </w:rPr>
      </w:pPr>
    </w:p>
    <w:p w:rsidR="002F3DA6" w:rsidRDefault="00F500DC" w:rsidP="00F500DC">
      <w:pPr>
        <w:pStyle w:val="StandardRisoluzionedelConsigliodiStato"/>
        <w:tabs>
          <w:tab w:val="left" w:pos="9486"/>
        </w:tabs>
        <w:ind w:right="-1"/>
        <w:rPr>
          <w:b/>
          <w:bCs/>
          <w:sz w:val="28"/>
          <w:szCs w:val="28"/>
        </w:rPr>
      </w:pPr>
      <w:r w:rsidRPr="002F3DA6">
        <w:rPr>
          <w:b/>
          <w:bCs/>
          <w:sz w:val="28"/>
          <w:szCs w:val="28"/>
        </w:rPr>
        <w:t xml:space="preserve">della Commissione di controllo </w:t>
      </w:r>
      <w:r w:rsidR="00A823B9">
        <w:rPr>
          <w:b/>
          <w:bCs/>
          <w:sz w:val="28"/>
          <w:szCs w:val="28"/>
        </w:rPr>
        <w:t xml:space="preserve">su </w:t>
      </w:r>
      <w:bookmarkStart w:id="0" w:name="_GoBack"/>
      <w:bookmarkEnd w:id="0"/>
      <w:r w:rsidRPr="002F3DA6">
        <w:rPr>
          <w:b/>
          <w:bCs/>
          <w:sz w:val="28"/>
          <w:szCs w:val="28"/>
        </w:rPr>
        <w:t xml:space="preserve">USI e SUPSI </w:t>
      </w:r>
    </w:p>
    <w:p w:rsidR="00F500DC" w:rsidRPr="002F3DA6" w:rsidRDefault="00F500DC" w:rsidP="00F500DC">
      <w:pPr>
        <w:pStyle w:val="StandardRisoluzionedelConsigliodiStato"/>
        <w:tabs>
          <w:tab w:val="left" w:pos="9486"/>
        </w:tabs>
        <w:ind w:right="-1"/>
        <w:rPr>
          <w:sz w:val="28"/>
          <w:szCs w:val="28"/>
        </w:rPr>
      </w:pPr>
      <w:r w:rsidRPr="002F3DA6">
        <w:rPr>
          <w:b/>
          <w:bCs/>
          <w:sz w:val="28"/>
          <w:szCs w:val="28"/>
        </w:rPr>
        <w:t>sul messaggio 4 settembre 2024 concernente il rapporto sui contratti di prestazione per l’anno 2023 tra il Cantone Ticino e l’Università della Svizzera italiana, la Scuola universitaria professionale della Svizzera italiana e il Dipartimento formazione e apprendimento / Alta scuola pedagogica della SUPSI</w:t>
      </w:r>
    </w:p>
    <w:p w:rsidR="00F500DC" w:rsidRDefault="00F500DC" w:rsidP="00C96F77">
      <w:pPr>
        <w:tabs>
          <w:tab w:val="left" w:pos="9486"/>
        </w:tabs>
        <w:suppressAutoHyphens w:val="0"/>
        <w:jc w:val="left"/>
        <w:rPr>
          <w:sz w:val="24"/>
          <w:szCs w:val="24"/>
        </w:rPr>
      </w:pPr>
    </w:p>
    <w:p w:rsidR="002F3DA6" w:rsidRDefault="002F3DA6" w:rsidP="00C96F77">
      <w:pPr>
        <w:tabs>
          <w:tab w:val="left" w:pos="9486"/>
        </w:tabs>
        <w:suppressAutoHyphens w:val="0"/>
        <w:jc w:val="left"/>
        <w:rPr>
          <w:sz w:val="24"/>
          <w:szCs w:val="24"/>
        </w:rPr>
      </w:pPr>
    </w:p>
    <w:p w:rsidR="00C96F77" w:rsidRPr="00FE4484" w:rsidRDefault="00C96F77" w:rsidP="00C96F77">
      <w:pPr>
        <w:tabs>
          <w:tab w:val="left" w:pos="9486"/>
        </w:tabs>
        <w:suppressAutoHyphens w:val="0"/>
        <w:jc w:val="left"/>
        <w:rPr>
          <w:sz w:val="24"/>
          <w:szCs w:val="24"/>
        </w:rPr>
      </w:pPr>
    </w:p>
    <w:p w:rsidR="00F500DC" w:rsidRPr="00C96F77" w:rsidRDefault="00F500DC" w:rsidP="00C96F77">
      <w:pPr>
        <w:pStyle w:val="Titolo1"/>
        <w:tabs>
          <w:tab w:val="left" w:pos="567"/>
        </w:tabs>
        <w:suppressAutoHyphens w:val="0"/>
        <w:spacing w:before="0"/>
        <w:ind w:left="567" w:hanging="567"/>
        <w:jc w:val="both"/>
        <w:rPr>
          <w:rFonts w:eastAsia="Calibri" w:cs="Times New Roman"/>
          <w:caps/>
          <w:sz w:val="24"/>
          <w:szCs w:val="24"/>
          <w:lang w:val="it-IT" w:eastAsia="it-IT"/>
        </w:rPr>
      </w:pPr>
      <w:r w:rsidRPr="00C96F77">
        <w:rPr>
          <w:rFonts w:eastAsia="Calibri" w:cs="Times New Roman"/>
          <w:caps/>
          <w:sz w:val="24"/>
          <w:szCs w:val="24"/>
          <w:lang w:val="it-IT" w:eastAsia="it-IT"/>
        </w:rPr>
        <w:t>INTRODUZIONE</w:t>
      </w:r>
    </w:p>
    <w:p w:rsidR="00F500DC" w:rsidRPr="00FE4484" w:rsidRDefault="00F500DC" w:rsidP="00F500DC">
      <w:pPr>
        <w:tabs>
          <w:tab w:val="left" w:pos="9486"/>
        </w:tabs>
        <w:suppressAutoHyphens w:val="0"/>
        <w:spacing w:after="240"/>
        <w:rPr>
          <w:sz w:val="24"/>
          <w:szCs w:val="24"/>
        </w:rPr>
      </w:pPr>
      <w:r w:rsidRPr="00FE4484">
        <w:rPr>
          <w:sz w:val="24"/>
          <w:szCs w:val="24"/>
        </w:rPr>
        <w:t>Il nostro Cantone</w:t>
      </w:r>
      <w:r>
        <w:rPr>
          <w:sz w:val="24"/>
          <w:szCs w:val="24"/>
        </w:rPr>
        <w:t>,</w:t>
      </w:r>
      <w:r w:rsidRPr="00FE4484">
        <w:rPr>
          <w:sz w:val="24"/>
          <w:szCs w:val="24"/>
        </w:rPr>
        <w:t xml:space="preserve"> situato a su</w:t>
      </w:r>
      <w:r>
        <w:rPr>
          <w:sz w:val="24"/>
          <w:szCs w:val="24"/>
        </w:rPr>
        <w:t>d</w:t>
      </w:r>
      <w:r w:rsidRPr="00FE4484">
        <w:rPr>
          <w:sz w:val="24"/>
          <w:szCs w:val="24"/>
        </w:rPr>
        <w:t xml:space="preserve"> della Svizzera</w:t>
      </w:r>
      <w:r>
        <w:rPr>
          <w:sz w:val="24"/>
          <w:szCs w:val="24"/>
        </w:rPr>
        <w:t>,</w:t>
      </w:r>
      <w:r w:rsidRPr="00FE4484">
        <w:rPr>
          <w:sz w:val="24"/>
          <w:szCs w:val="24"/>
        </w:rPr>
        <w:t xml:space="preserve"> è un luogo di straordinaria bellezza naturale e culturale, non solo rinomato per il nostro clima mite e per il paesaggio montano</w:t>
      </w:r>
      <w:r>
        <w:rPr>
          <w:sz w:val="24"/>
          <w:szCs w:val="24"/>
        </w:rPr>
        <w:t>,</w:t>
      </w:r>
      <w:r w:rsidRPr="00FE4484">
        <w:rPr>
          <w:sz w:val="24"/>
          <w:szCs w:val="24"/>
        </w:rPr>
        <w:t xml:space="preserve"> ma conosciuto anche per la vita universitaria. Ospitiamo istituzioni accademiche di prestigio che offrono un’ampia gamma di corsi di studio, favorendo la ricerca e la formazione di talenti in vari settori</w:t>
      </w:r>
      <w:r>
        <w:rPr>
          <w:sz w:val="24"/>
          <w:szCs w:val="24"/>
        </w:rPr>
        <w:t xml:space="preserve"> e</w:t>
      </w:r>
      <w:r w:rsidRPr="00FE4484">
        <w:rPr>
          <w:sz w:val="24"/>
          <w:szCs w:val="24"/>
        </w:rPr>
        <w:t xml:space="preserve"> creando un ambiente stimolante per studenti provenienti da tutto il mondo. In questo contesto, il </w:t>
      </w:r>
      <w:r>
        <w:rPr>
          <w:sz w:val="24"/>
          <w:szCs w:val="24"/>
        </w:rPr>
        <w:t>C</w:t>
      </w:r>
      <w:r w:rsidRPr="00FE4484">
        <w:rPr>
          <w:sz w:val="24"/>
          <w:szCs w:val="24"/>
        </w:rPr>
        <w:t>antone non solo promuove l’istruzione di alta qualità</w:t>
      </w:r>
      <w:r>
        <w:rPr>
          <w:sz w:val="24"/>
          <w:szCs w:val="24"/>
        </w:rPr>
        <w:t>,</w:t>
      </w:r>
      <w:r w:rsidRPr="00FE4484">
        <w:rPr>
          <w:sz w:val="24"/>
          <w:szCs w:val="24"/>
        </w:rPr>
        <w:t xml:space="preserve"> ma incoraggia anche la collaborazione internazionale e l’impegno civico, rendendolo un luogo ideale per intraprendere un percorso accademico.</w:t>
      </w:r>
    </w:p>
    <w:p w:rsidR="00F500DC" w:rsidRDefault="00F500DC" w:rsidP="00C96F77">
      <w:pPr>
        <w:tabs>
          <w:tab w:val="left" w:pos="9486"/>
        </w:tabs>
        <w:suppressAutoHyphens w:val="0"/>
        <w:rPr>
          <w:rFonts w:cs="Arial"/>
          <w:sz w:val="24"/>
          <w:szCs w:val="24"/>
        </w:rPr>
      </w:pPr>
      <w:r w:rsidRPr="00FE4484">
        <w:rPr>
          <w:rFonts w:cs="Arial"/>
          <w:sz w:val="24"/>
          <w:szCs w:val="24"/>
        </w:rPr>
        <w:t xml:space="preserve">Questo rapporto è stato redatto con riferimento all’analisi e </w:t>
      </w:r>
      <w:r>
        <w:rPr>
          <w:rFonts w:cs="Arial"/>
          <w:sz w:val="24"/>
          <w:szCs w:val="24"/>
        </w:rPr>
        <w:t>al</w:t>
      </w:r>
      <w:r w:rsidRPr="00FE4484">
        <w:rPr>
          <w:rFonts w:cs="Arial"/>
          <w:sz w:val="24"/>
          <w:szCs w:val="24"/>
        </w:rPr>
        <w:t xml:space="preserve">la valutazione delle attività espresse tramite gli indicatori qualitativi e quantitativi dei </w:t>
      </w:r>
      <w:r>
        <w:rPr>
          <w:rFonts w:cs="Arial"/>
          <w:sz w:val="24"/>
          <w:szCs w:val="24"/>
        </w:rPr>
        <w:t>contratti di prestazione (</w:t>
      </w:r>
      <w:r w:rsidRPr="00FE4484">
        <w:rPr>
          <w:rFonts w:cs="Arial"/>
          <w:sz w:val="24"/>
          <w:szCs w:val="24"/>
        </w:rPr>
        <w:t>cdp</w:t>
      </w:r>
      <w:r>
        <w:rPr>
          <w:rFonts w:cs="Arial"/>
          <w:sz w:val="24"/>
          <w:szCs w:val="24"/>
        </w:rPr>
        <w:t>)</w:t>
      </w:r>
      <w:r w:rsidRPr="00FE4484">
        <w:rPr>
          <w:rFonts w:cs="Arial"/>
          <w:sz w:val="24"/>
          <w:szCs w:val="24"/>
        </w:rPr>
        <w:t xml:space="preserve"> per il periodo quadro 2021-2024 (</w:t>
      </w:r>
      <w:r>
        <w:rPr>
          <w:rFonts w:cs="Arial"/>
          <w:sz w:val="24"/>
          <w:szCs w:val="24"/>
        </w:rPr>
        <w:t>M</w:t>
      </w:r>
      <w:r w:rsidRPr="00FE4484">
        <w:rPr>
          <w:rFonts w:cs="Arial"/>
          <w:sz w:val="24"/>
          <w:szCs w:val="24"/>
        </w:rPr>
        <w:t xml:space="preserve">essaggio n. 7830 del 17 giugno 2020, approvato dal Gran Consiglio </w:t>
      </w:r>
      <w:r>
        <w:rPr>
          <w:rFonts w:cs="Arial"/>
          <w:sz w:val="24"/>
          <w:szCs w:val="24"/>
        </w:rPr>
        <w:t>nel</w:t>
      </w:r>
      <w:r w:rsidRPr="00FE4484">
        <w:rPr>
          <w:rFonts w:cs="Arial"/>
          <w:sz w:val="24"/>
          <w:szCs w:val="24"/>
        </w:rPr>
        <w:t xml:space="preserve"> dicembre </w:t>
      </w:r>
      <w:r>
        <w:rPr>
          <w:rFonts w:cs="Arial"/>
          <w:sz w:val="24"/>
          <w:szCs w:val="24"/>
        </w:rPr>
        <w:t xml:space="preserve">del </w:t>
      </w:r>
      <w:r w:rsidRPr="00FE4484">
        <w:rPr>
          <w:rFonts w:cs="Arial"/>
          <w:sz w:val="24"/>
          <w:szCs w:val="24"/>
        </w:rPr>
        <w:t>2020), allo scopo di verificare il raggiungimento degli obiettivi specifici per entrambe le scuole universitarie nell’anno di riferimento.</w:t>
      </w:r>
    </w:p>
    <w:p w:rsidR="00F500DC" w:rsidRDefault="00F500DC" w:rsidP="00C96F77">
      <w:pPr>
        <w:tabs>
          <w:tab w:val="left" w:pos="9486"/>
        </w:tabs>
        <w:suppressAutoHyphens w:val="0"/>
        <w:rPr>
          <w:rFonts w:cs="Arial"/>
          <w:sz w:val="24"/>
          <w:szCs w:val="24"/>
        </w:rPr>
      </w:pPr>
    </w:p>
    <w:p w:rsidR="00C96F77" w:rsidRPr="00FE4484" w:rsidRDefault="00C96F77" w:rsidP="00C96F77">
      <w:pPr>
        <w:tabs>
          <w:tab w:val="left" w:pos="9486"/>
        </w:tabs>
        <w:suppressAutoHyphens w:val="0"/>
        <w:rPr>
          <w:rFonts w:cs="Arial"/>
          <w:sz w:val="24"/>
          <w:szCs w:val="24"/>
        </w:rPr>
      </w:pPr>
    </w:p>
    <w:p w:rsidR="00F500DC" w:rsidRPr="00C96F77" w:rsidRDefault="00F500DC" w:rsidP="00C96F77">
      <w:pPr>
        <w:pStyle w:val="Titolo1"/>
        <w:tabs>
          <w:tab w:val="left" w:pos="567"/>
        </w:tabs>
        <w:suppressAutoHyphens w:val="0"/>
        <w:spacing w:before="0"/>
        <w:ind w:left="567" w:hanging="567"/>
        <w:jc w:val="both"/>
        <w:rPr>
          <w:rFonts w:eastAsia="Calibri" w:cs="Times New Roman"/>
          <w:caps/>
          <w:sz w:val="24"/>
          <w:szCs w:val="24"/>
          <w:lang w:val="it-IT" w:eastAsia="it-IT"/>
        </w:rPr>
      </w:pPr>
      <w:r w:rsidRPr="00C96F77">
        <w:rPr>
          <w:rFonts w:eastAsia="Calibri" w:cs="Times New Roman"/>
          <w:caps/>
          <w:sz w:val="24"/>
          <w:szCs w:val="24"/>
          <w:lang w:val="it-IT" w:eastAsia="it-IT"/>
        </w:rPr>
        <w:t>FINANZIAMENTO FEDERALE E ACCORDI INTERCANTONALI</w:t>
      </w:r>
    </w:p>
    <w:p w:rsidR="00F500DC" w:rsidRPr="001B385D" w:rsidRDefault="00F500DC" w:rsidP="00F500DC">
      <w:pPr>
        <w:tabs>
          <w:tab w:val="left" w:pos="9486"/>
        </w:tabs>
        <w:suppressAutoHyphens w:val="0"/>
        <w:spacing w:after="240"/>
        <w:rPr>
          <w:rFonts w:cs="Arial"/>
          <w:sz w:val="24"/>
          <w:szCs w:val="24"/>
        </w:rPr>
      </w:pPr>
      <w:r w:rsidRPr="001B385D">
        <w:rPr>
          <w:rFonts w:cs="Arial"/>
          <w:sz w:val="24"/>
          <w:szCs w:val="24"/>
        </w:rPr>
        <w:t xml:space="preserve">La </w:t>
      </w:r>
      <w:r>
        <w:rPr>
          <w:rFonts w:cs="Arial"/>
          <w:sz w:val="24"/>
          <w:szCs w:val="24"/>
        </w:rPr>
        <w:t>L</w:t>
      </w:r>
      <w:r w:rsidRPr="001B385D">
        <w:rPr>
          <w:rFonts w:cs="Arial"/>
          <w:sz w:val="24"/>
          <w:szCs w:val="24"/>
        </w:rPr>
        <w:t>egge federale sulla promozione e sul coordinamento del settore universitario svizzero</w:t>
      </w:r>
      <w:r>
        <w:rPr>
          <w:rFonts w:cs="Arial"/>
          <w:sz w:val="24"/>
          <w:szCs w:val="24"/>
        </w:rPr>
        <w:t xml:space="preserve"> (LPSU</w:t>
      </w:r>
      <w:r w:rsidRPr="001B385D">
        <w:rPr>
          <w:rFonts w:cs="Arial"/>
          <w:sz w:val="24"/>
          <w:szCs w:val="24"/>
        </w:rPr>
        <w:t xml:space="preserve">) prevede tre modalità di contributi per le scuole universitarie: i contributi di base, i contributi per investimenti edilizi e spese locative e i contributi vincolati a progetti. </w:t>
      </w:r>
    </w:p>
    <w:p w:rsidR="00F500DC" w:rsidRPr="001B385D" w:rsidRDefault="00F500DC" w:rsidP="00F500DC">
      <w:pPr>
        <w:tabs>
          <w:tab w:val="left" w:pos="9486"/>
        </w:tabs>
        <w:suppressAutoHyphens w:val="0"/>
        <w:spacing w:after="240"/>
        <w:rPr>
          <w:rFonts w:cs="Arial"/>
          <w:sz w:val="24"/>
          <w:szCs w:val="24"/>
        </w:rPr>
      </w:pPr>
      <w:r w:rsidRPr="001B385D">
        <w:rPr>
          <w:rFonts w:cs="Arial"/>
          <w:sz w:val="24"/>
          <w:szCs w:val="24"/>
        </w:rPr>
        <w:t>Il Messaggio ERI sulla promozione dell’educazione</w:t>
      </w:r>
      <w:r>
        <w:rPr>
          <w:rFonts w:cs="Arial"/>
          <w:sz w:val="24"/>
          <w:szCs w:val="24"/>
        </w:rPr>
        <w:t>,</w:t>
      </w:r>
      <w:r w:rsidRPr="001B385D">
        <w:rPr>
          <w:rFonts w:cs="Arial"/>
          <w:sz w:val="24"/>
          <w:szCs w:val="24"/>
        </w:rPr>
        <w:t xml:space="preserve"> della ricerca e dell’innovazione per il periodo 2021-2024 indica gli obiettivi federali per istruzione e ricerca e include l’assegnazione di un credito quadro quadriennale di oltre 28 miliardi di </w:t>
      </w:r>
      <w:r>
        <w:rPr>
          <w:rFonts w:cs="Arial"/>
          <w:sz w:val="24"/>
          <w:szCs w:val="24"/>
        </w:rPr>
        <w:t>franchi</w:t>
      </w:r>
      <w:r w:rsidRPr="001B385D">
        <w:rPr>
          <w:rFonts w:cs="Arial"/>
          <w:sz w:val="24"/>
          <w:szCs w:val="24"/>
        </w:rPr>
        <w:t>.</w:t>
      </w:r>
    </w:p>
    <w:p w:rsidR="00F500DC" w:rsidRPr="001B385D" w:rsidRDefault="00F500DC" w:rsidP="00F500DC">
      <w:pPr>
        <w:tabs>
          <w:tab w:val="left" w:pos="9486"/>
        </w:tabs>
        <w:suppressAutoHyphens w:val="0"/>
        <w:spacing w:after="240"/>
        <w:rPr>
          <w:rFonts w:cs="Arial"/>
          <w:sz w:val="24"/>
          <w:szCs w:val="24"/>
        </w:rPr>
      </w:pPr>
      <w:r w:rsidRPr="001B385D">
        <w:rPr>
          <w:rFonts w:cs="Arial"/>
          <w:sz w:val="24"/>
          <w:szCs w:val="24"/>
        </w:rPr>
        <w:t>A norma della LPSU</w:t>
      </w:r>
      <w:r>
        <w:rPr>
          <w:rFonts w:cs="Arial"/>
          <w:sz w:val="24"/>
          <w:szCs w:val="24"/>
        </w:rPr>
        <w:t>,</w:t>
      </w:r>
      <w:r w:rsidRPr="001B385D">
        <w:rPr>
          <w:rFonts w:cs="Arial"/>
          <w:sz w:val="24"/>
          <w:szCs w:val="24"/>
        </w:rPr>
        <w:t xml:space="preserve"> tutte le scuole universitarie hanno dovuto ottenere l’accreditamento istituzionale presso l’</w:t>
      </w:r>
      <w:r>
        <w:rPr>
          <w:rFonts w:cs="Arial"/>
          <w:sz w:val="24"/>
          <w:szCs w:val="24"/>
        </w:rPr>
        <w:t>A</w:t>
      </w:r>
      <w:r w:rsidRPr="001B385D">
        <w:rPr>
          <w:rFonts w:cs="Arial"/>
          <w:sz w:val="24"/>
          <w:szCs w:val="24"/>
        </w:rPr>
        <w:t xml:space="preserve">genzia </w:t>
      </w:r>
      <w:r>
        <w:rPr>
          <w:rFonts w:cs="Arial"/>
          <w:sz w:val="24"/>
          <w:szCs w:val="24"/>
        </w:rPr>
        <w:t xml:space="preserve">svizzera </w:t>
      </w:r>
      <w:r w:rsidRPr="001B385D">
        <w:rPr>
          <w:rFonts w:cs="Arial"/>
          <w:sz w:val="24"/>
          <w:szCs w:val="24"/>
        </w:rPr>
        <w:t xml:space="preserve">di accreditamento e </w:t>
      </w:r>
      <w:r>
        <w:rPr>
          <w:rFonts w:cs="Arial"/>
          <w:sz w:val="24"/>
          <w:szCs w:val="24"/>
        </w:rPr>
        <w:t xml:space="preserve">di </w:t>
      </w:r>
      <w:r w:rsidRPr="001B385D">
        <w:rPr>
          <w:rFonts w:cs="Arial"/>
          <w:sz w:val="24"/>
          <w:szCs w:val="24"/>
        </w:rPr>
        <w:t xml:space="preserve">garanzia della qualità </w:t>
      </w:r>
      <w:r>
        <w:rPr>
          <w:rFonts w:cs="Arial"/>
          <w:sz w:val="24"/>
          <w:szCs w:val="24"/>
        </w:rPr>
        <w:t>(</w:t>
      </w:r>
      <w:r w:rsidRPr="001B385D">
        <w:rPr>
          <w:rFonts w:cs="Arial"/>
          <w:sz w:val="24"/>
          <w:szCs w:val="24"/>
        </w:rPr>
        <w:t>AAQ</w:t>
      </w:r>
      <w:r>
        <w:rPr>
          <w:rFonts w:cs="Arial"/>
          <w:sz w:val="24"/>
          <w:szCs w:val="24"/>
        </w:rPr>
        <w:t>)</w:t>
      </w:r>
      <w:r w:rsidRPr="001B385D">
        <w:rPr>
          <w:rFonts w:cs="Arial"/>
          <w:sz w:val="24"/>
          <w:szCs w:val="24"/>
        </w:rPr>
        <w:t xml:space="preserve"> entro la fine del 2022. L’accreditamento </w:t>
      </w:r>
      <w:r>
        <w:rPr>
          <w:rFonts w:cs="Arial"/>
          <w:sz w:val="24"/>
          <w:szCs w:val="24"/>
        </w:rPr>
        <w:t xml:space="preserve">è </w:t>
      </w:r>
      <w:r w:rsidRPr="001B385D">
        <w:rPr>
          <w:rFonts w:cs="Arial"/>
          <w:sz w:val="24"/>
          <w:szCs w:val="24"/>
        </w:rPr>
        <w:t xml:space="preserve">necessario per poter usare il titolo di università </w:t>
      </w:r>
      <w:r w:rsidRPr="001B385D">
        <w:rPr>
          <w:rFonts w:cs="Arial"/>
          <w:sz w:val="24"/>
          <w:szCs w:val="24"/>
        </w:rPr>
        <w:lastRenderedPageBreak/>
        <w:t>o titoli simili e per ottenere sia i sussidi federali legati alla formazione e alla ricerca, sia i contributi per studenti secondo gli accordi intercantonali sulle università e sulle scuole universitarie professionali</w:t>
      </w:r>
      <w:r>
        <w:rPr>
          <w:rFonts w:cs="Arial"/>
          <w:sz w:val="24"/>
          <w:szCs w:val="24"/>
        </w:rPr>
        <w:t xml:space="preserve"> (SUP)</w:t>
      </w:r>
      <w:r w:rsidRPr="001B385D">
        <w:rPr>
          <w:rFonts w:cs="Arial"/>
          <w:sz w:val="24"/>
          <w:szCs w:val="24"/>
        </w:rPr>
        <w:t xml:space="preserve">, accordi che regolano i contributi che ogni </w:t>
      </w:r>
      <w:r>
        <w:rPr>
          <w:rFonts w:cs="Arial"/>
          <w:sz w:val="24"/>
          <w:szCs w:val="24"/>
        </w:rPr>
        <w:t>C</w:t>
      </w:r>
      <w:r w:rsidRPr="001B385D">
        <w:rPr>
          <w:rFonts w:cs="Arial"/>
          <w:sz w:val="24"/>
          <w:szCs w:val="24"/>
        </w:rPr>
        <w:t xml:space="preserve">antone deve versare per i suoi studenti alle università fuori </w:t>
      </w:r>
      <w:r>
        <w:rPr>
          <w:rFonts w:cs="Arial"/>
          <w:sz w:val="24"/>
          <w:szCs w:val="24"/>
        </w:rPr>
        <w:t>C</w:t>
      </w:r>
      <w:r w:rsidRPr="001B385D">
        <w:rPr>
          <w:rFonts w:cs="Arial"/>
          <w:sz w:val="24"/>
          <w:szCs w:val="24"/>
        </w:rPr>
        <w:t>antone.</w:t>
      </w:r>
    </w:p>
    <w:p w:rsidR="00F500DC" w:rsidRPr="001B385D" w:rsidRDefault="00F500DC" w:rsidP="00F500DC">
      <w:pPr>
        <w:tabs>
          <w:tab w:val="left" w:pos="364"/>
          <w:tab w:val="left" w:pos="9486"/>
        </w:tabs>
        <w:spacing w:before="80" w:after="80"/>
        <w:rPr>
          <w:rFonts w:cs="Arial"/>
          <w:sz w:val="24"/>
          <w:szCs w:val="24"/>
        </w:rPr>
      </w:pPr>
      <w:r w:rsidRPr="001B385D">
        <w:rPr>
          <w:rFonts w:cs="Arial"/>
          <w:sz w:val="24"/>
          <w:szCs w:val="24"/>
        </w:rPr>
        <w:t>Per le università</w:t>
      </w:r>
      <w:r>
        <w:rPr>
          <w:rFonts w:cs="Arial"/>
          <w:sz w:val="24"/>
          <w:szCs w:val="24"/>
        </w:rPr>
        <w:t>,</w:t>
      </w:r>
      <w:r w:rsidRPr="001B385D">
        <w:rPr>
          <w:rFonts w:cs="Arial"/>
          <w:sz w:val="24"/>
          <w:szCs w:val="24"/>
        </w:rPr>
        <w:t xml:space="preserve"> la quota parte per la formazione di base è del 70% del budget a disposizione, </w:t>
      </w:r>
      <w:r>
        <w:rPr>
          <w:rFonts w:cs="Arial"/>
          <w:sz w:val="24"/>
          <w:szCs w:val="24"/>
        </w:rPr>
        <w:t xml:space="preserve">mentre </w:t>
      </w:r>
      <w:r w:rsidRPr="001B385D">
        <w:rPr>
          <w:rFonts w:cs="Arial"/>
          <w:sz w:val="24"/>
          <w:szCs w:val="24"/>
        </w:rPr>
        <w:t>il restante 30% è destinato al finanziamento della ricerca.</w:t>
      </w:r>
    </w:p>
    <w:p w:rsidR="00F500DC" w:rsidRPr="001B385D" w:rsidRDefault="00F500DC" w:rsidP="00F500DC">
      <w:pPr>
        <w:tabs>
          <w:tab w:val="left" w:pos="364"/>
          <w:tab w:val="left" w:pos="9486"/>
        </w:tabs>
        <w:spacing w:before="80" w:after="80"/>
        <w:rPr>
          <w:rFonts w:cs="Arial"/>
          <w:sz w:val="24"/>
          <w:szCs w:val="24"/>
        </w:rPr>
      </w:pPr>
      <w:r w:rsidRPr="001B385D">
        <w:rPr>
          <w:rFonts w:cs="Arial"/>
          <w:sz w:val="24"/>
          <w:szCs w:val="24"/>
        </w:rPr>
        <w:t>La parte destinata al contributo per l’insegnamento è influenzata da fattori quali il numero di studenti svizzeri, il numero di studenti stranieri e il numero di diplomi master e dottorato</w:t>
      </w:r>
      <w:r>
        <w:rPr>
          <w:rFonts w:cs="Arial"/>
          <w:sz w:val="24"/>
          <w:szCs w:val="24"/>
        </w:rPr>
        <w:t>;</w:t>
      </w:r>
      <w:r w:rsidRPr="001B385D">
        <w:rPr>
          <w:rFonts w:cs="Arial"/>
          <w:sz w:val="24"/>
          <w:szCs w:val="24"/>
        </w:rPr>
        <w:t xml:space="preserve"> la quota per la ricerca in parte dall’acquisizione di fondi per progetti del Fondo nazionale svizzero, dei programmi quadro europei, di Innosuisse e di altri fondi pubblici o privati. Per le SUP viene considerata anche l’attività svolta nella ricerca applicata e </w:t>
      </w:r>
      <w:r>
        <w:rPr>
          <w:rFonts w:cs="Arial"/>
          <w:sz w:val="24"/>
          <w:szCs w:val="24"/>
        </w:rPr>
        <w:t xml:space="preserve">nello </w:t>
      </w:r>
      <w:r w:rsidRPr="001B385D">
        <w:rPr>
          <w:rFonts w:cs="Arial"/>
          <w:sz w:val="24"/>
          <w:szCs w:val="24"/>
        </w:rPr>
        <w:t>sviluppo.</w:t>
      </w:r>
    </w:p>
    <w:p w:rsidR="00F500DC" w:rsidRPr="001B385D" w:rsidRDefault="00F500DC" w:rsidP="00F500DC">
      <w:pPr>
        <w:tabs>
          <w:tab w:val="left" w:pos="364"/>
          <w:tab w:val="left" w:pos="9486"/>
        </w:tabs>
        <w:spacing w:before="80" w:after="80"/>
        <w:rPr>
          <w:sz w:val="24"/>
          <w:szCs w:val="24"/>
        </w:rPr>
      </w:pPr>
      <w:r w:rsidRPr="001B385D">
        <w:rPr>
          <w:sz w:val="24"/>
          <w:szCs w:val="24"/>
        </w:rPr>
        <w:t>Le nuove modalità di calcolo introdotte dall’</w:t>
      </w:r>
      <w:r>
        <w:rPr>
          <w:sz w:val="24"/>
          <w:szCs w:val="24"/>
        </w:rPr>
        <w:t>Accordo intercantonale delle università (</w:t>
      </w:r>
      <w:r w:rsidRPr="001B385D">
        <w:rPr>
          <w:sz w:val="24"/>
          <w:szCs w:val="24"/>
        </w:rPr>
        <w:t>AIU</w:t>
      </w:r>
      <w:r>
        <w:rPr>
          <w:sz w:val="24"/>
          <w:szCs w:val="24"/>
        </w:rPr>
        <w:t>)</w:t>
      </w:r>
      <w:r w:rsidRPr="001B385D">
        <w:rPr>
          <w:sz w:val="24"/>
          <w:szCs w:val="24"/>
        </w:rPr>
        <w:t xml:space="preserve"> del 27 giugno 2019 stabiliscono i contributi per gruppo di facoltà con tariffe per studente fissate per il periodo </w:t>
      </w:r>
      <w:r w:rsidRPr="00830CC5">
        <w:rPr>
          <w:sz w:val="24"/>
          <w:szCs w:val="24"/>
        </w:rPr>
        <w:t>2022-24</w:t>
      </w:r>
      <w:r w:rsidRPr="001B385D">
        <w:rPr>
          <w:sz w:val="24"/>
          <w:szCs w:val="24"/>
        </w:rPr>
        <w:t xml:space="preserve"> basate sui costi medi per studente. L’importo derivante viene fatturato ai Cantoni ogni semestre, sulla base del numero di iscritti. </w:t>
      </w:r>
    </w:p>
    <w:p w:rsidR="00F500DC" w:rsidRPr="001B385D" w:rsidRDefault="00F500DC" w:rsidP="00C96F77">
      <w:pPr>
        <w:tabs>
          <w:tab w:val="left" w:pos="9486"/>
        </w:tabs>
        <w:suppressAutoHyphens w:val="0"/>
        <w:rPr>
          <w:rFonts w:cs="Arial"/>
          <w:sz w:val="24"/>
          <w:szCs w:val="24"/>
        </w:rPr>
      </w:pPr>
      <w:r w:rsidRPr="001B385D">
        <w:rPr>
          <w:rFonts w:cs="Arial"/>
          <w:sz w:val="24"/>
          <w:szCs w:val="24"/>
        </w:rPr>
        <w:t xml:space="preserve">Nel 2023 </w:t>
      </w:r>
      <w:r>
        <w:rPr>
          <w:rFonts w:cs="Arial"/>
          <w:sz w:val="24"/>
          <w:szCs w:val="24"/>
        </w:rPr>
        <w:t>l’</w:t>
      </w:r>
      <w:r w:rsidRPr="001B385D">
        <w:rPr>
          <w:rFonts w:cs="Arial"/>
          <w:sz w:val="24"/>
          <w:szCs w:val="24"/>
        </w:rPr>
        <w:t>USI ha percepito circa 22.8 mi</w:t>
      </w:r>
      <w:r>
        <w:rPr>
          <w:rFonts w:cs="Arial"/>
          <w:sz w:val="24"/>
          <w:szCs w:val="24"/>
        </w:rPr>
        <w:t>lioni</w:t>
      </w:r>
      <w:r w:rsidRPr="001B385D">
        <w:rPr>
          <w:rFonts w:cs="Arial"/>
          <w:sz w:val="24"/>
          <w:szCs w:val="24"/>
        </w:rPr>
        <w:t xml:space="preserve"> di </w:t>
      </w:r>
      <w:r>
        <w:rPr>
          <w:rFonts w:cs="Arial"/>
          <w:sz w:val="24"/>
          <w:szCs w:val="24"/>
        </w:rPr>
        <w:t>franchi</w:t>
      </w:r>
      <w:r w:rsidRPr="001B385D">
        <w:rPr>
          <w:rFonts w:cs="Arial"/>
          <w:sz w:val="24"/>
          <w:szCs w:val="24"/>
        </w:rPr>
        <w:t xml:space="preserve"> di contributi legati all’AIU. L’aumento dei contributi, sia per gli studenti ticinesi</w:t>
      </w:r>
      <w:r>
        <w:rPr>
          <w:rFonts w:cs="Arial"/>
          <w:sz w:val="24"/>
          <w:szCs w:val="24"/>
        </w:rPr>
        <w:t>,</w:t>
      </w:r>
      <w:r w:rsidRPr="001B385D">
        <w:rPr>
          <w:rFonts w:cs="Arial"/>
          <w:sz w:val="24"/>
          <w:szCs w:val="24"/>
        </w:rPr>
        <w:t xml:space="preserve"> sia per i confederati è dovuto alla crescita degli studenti in tutti i settori di studio, in particolare nei programmi della Facoltà di medicina.</w:t>
      </w:r>
    </w:p>
    <w:p w:rsidR="00F500DC" w:rsidRDefault="00F500DC" w:rsidP="00C96F77">
      <w:pPr>
        <w:tabs>
          <w:tab w:val="left" w:pos="9486"/>
        </w:tabs>
        <w:suppressAutoHyphens w:val="0"/>
        <w:jc w:val="left"/>
        <w:rPr>
          <w:rFonts w:cs="Arial"/>
        </w:rPr>
      </w:pPr>
    </w:p>
    <w:p w:rsidR="00C96F77" w:rsidRPr="00046942" w:rsidRDefault="00C96F77" w:rsidP="00C96F77">
      <w:pPr>
        <w:tabs>
          <w:tab w:val="left" w:pos="9486"/>
        </w:tabs>
        <w:suppressAutoHyphens w:val="0"/>
        <w:jc w:val="left"/>
        <w:rPr>
          <w:rFonts w:cs="Arial"/>
        </w:rPr>
      </w:pPr>
    </w:p>
    <w:p w:rsidR="00F500DC" w:rsidRPr="00C96F77" w:rsidRDefault="00F500DC" w:rsidP="00C96F77">
      <w:pPr>
        <w:pStyle w:val="Titolo1"/>
        <w:tabs>
          <w:tab w:val="left" w:pos="567"/>
        </w:tabs>
        <w:suppressAutoHyphens w:val="0"/>
        <w:spacing w:before="0"/>
        <w:ind w:left="567" w:hanging="567"/>
        <w:jc w:val="both"/>
        <w:rPr>
          <w:rFonts w:eastAsia="Calibri" w:cs="Times New Roman"/>
          <w:caps/>
          <w:sz w:val="24"/>
          <w:szCs w:val="24"/>
          <w:lang w:val="it-IT" w:eastAsia="it-IT"/>
        </w:rPr>
      </w:pPr>
      <w:r w:rsidRPr="00C96F77">
        <w:rPr>
          <w:rFonts w:eastAsia="Calibri" w:cs="Times New Roman"/>
          <w:caps/>
          <w:sz w:val="24"/>
          <w:szCs w:val="24"/>
          <w:lang w:val="it-IT" w:eastAsia="it-IT"/>
        </w:rPr>
        <w:t>POLITICA UNIVERSITARIA CANTONALE</w:t>
      </w:r>
    </w:p>
    <w:p w:rsidR="00F500DC" w:rsidRPr="00D040B9" w:rsidRDefault="00F500DC" w:rsidP="00F500DC">
      <w:pPr>
        <w:spacing w:before="120"/>
        <w:rPr>
          <w:sz w:val="24"/>
          <w:szCs w:val="24"/>
        </w:rPr>
      </w:pPr>
      <w:r w:rsidRPr="00D040B9">
        <w:rPr>
          <w:sz w:val="24"/>
          <w:szCs w:val="24"/>
        </w:rPr>
        <w:t xml:space="preserve">La </w:t>
      </w:r>
      <w:r>
        <w:rPr>
          <w:sz w:val="24"/>
          <w:szCs w:val="24"/>
        </w:rPr>
        <w:t>Legge sulle scuole universitarie (</w:t>
      </w:r>
      <w:r w:rsidRPr="00D040B9">
        <w:rPr>
          <w:sz w:val="24"/>
          <w:szCs w:val="24"/>
        </w:rPr>
        <w:t>LSU</w:t>
      </w:r>
      <w:r>
        <w:rPr>
          <w:sz w:val="24"/>
          <w:szCs w:val="24"/>
        </w:rPr>
        <w:t>)</w:t>
      </w:r>
      <w:r w:rsidRPr="00D040B9">
        <w:rPr>
          <w:sz w:val="24"/>
          <w:szCs w:val="24"/>
        </w:rPr>
        <w:t xml:space="preserve"> del 3 ottobre 1995 e il suo regolamento di applicazione del 18 febbraio 2014 (RLSU) regolano i rapporti con gli enti universitari, conformemente alla politica universitaria cantonale. L’USI e la SUPSI sono enti autonomi di diritto pubblico la cui strategia, avallata dai rispettivi Consigli, è la base per l’elaborazione del messaggio di politica universitaria cantonale, sottoposto al Parlamento ticinese ogni 4 anni, in concomitanza con il messaggio quadriennale ERI del Consiglio federale. Il periodo a cui si riferisce la politica universitaria cantonale e federale espressa nel presente rapporto è il quadriennio 2021-2024.</w:t>
      </w:r>
    </w:p>
    <w:p w:rsidR="00F500DC" w:rsidRPr="00D040B9" w:rsidRDefault="00F500DC" w:rsidP="00F500DC">
      <w:pPr>
        <w:spacing w:before="120"/>
        <w:rPr>
          <w:sz w:val="24"/>
          <w:szCs w:val="24"/>
        </w:rPr>
      </w:pPr>
      <w:r w:rsidRPr="00D040B9">
        <w:rPr>
          <w:sz w:val="24"/>
          <w:szCs w:val="24"/>
        </w:rPr>
        <w:t>In merito al finanziamento per il 2023 l’art. 22 dei cdp per USI e SUPSI e l’art. 17 del cdp per il DFA/ASP prevedono un limite massimo annuale dei contributi di gestione. Per quanto riguarda l’USI, il contributo di gestione per il 2023 considera il tetto massimo di 25.86 milioni di franchi (RG n. 6051 del 7 dicembre 2022), compresi gli istituti affiliati ma esclusa la Facoltà di Scienze biomediche (BMED)</w:t>
      </w:r>
      <w:r>
        <w:rPr>
          <w:sz w:val="24"/>
          <w:szCs w:val="24"/>
        </w:rPr>
        <w:t>,</w:t>
      </w:r>
      <w:r w:rsidRPr="00D040B9">
        <w:rPr>
          <w:sz w:val="24"/>
          <w:szCs w:val="24"/>
        </w:rPr>
        <w:t xml:space="preserve"> che riceve 6 milioni annui. Per la SUPSI il contributo di gestione, comprese le affiliate, è stato di 20.3 milioni di franchi (RG n. 6052 del 7</w:t>
      </w:r>
      <w:r w:rsidRPr="00D040B9" w:rsidDel="00A85F96">
        <w:rPr>
          <w:sz w:val="24"/>
          <w:szCs w:val="24"/>
        </w:rPr>
        <w:t xml:space="preserve"> dicembre </w:t>
      </w:r>
      <w:r w:rsidRPr="00D040B9">
        <w:rPr>
          <w:sz w:val="24"/>
          <w:szCs w:val="24"/>
        </w:rPr>
        <w:t>2022). Infine</w:t>
      </w:r>
      <w:r>
        <w:rPr>
          <w:sz w:val="24"/>
          <w:szCs w:val="24"/>
        </w:rPr>
        <w:t>,</w:t>
      </w:r>
      <w:r w:rsidRPr="00D040B9">
        <w:rPr>
          <w:sz w:val="24"/>
          <w:szCs w:val="24"/>
        </w:rPr>
        <w:t xml:space="preserve"> al DFA/ASP è stato concesso un contributo di gestione di 5.41 milioni di franchi (RG n. 6053 del 7 dicembre 2022).</w:t>
      </w:r>
    </w:p>
    <w:p w:rsidR="00F500DC" w:rsidRPr="00D040B9" w:rsidRDefault="00F500DC" w:rsidP="00F500DC">
      <w:pPr>
        <w:spacing w:before="120"/>
        <w:rPr>
          <w:sz w:val="24"/>
          <w:szCs w:val="24"/>
        </w:rPr>
      </w:pPr>
      <w:r w:rsidRPr="00D040B9">
        <w:rPr>
          <w:sz w:val="24"/>
          <w:szCs w:val="24"/>
        </w:rPr>
        <w:t>Dal punto di vista legislativo, il Gran Consiglio, in data 13 marzo 2023, ha adottato il messaggio di modifica della legge sull’Università della Svizzera italiana, sulla Scuola universitaria professionale della Svizzera italiana e sugli istituti di ricerca del 3 ottobre 1995: protezione dei titoli accademici conferiti dalle scuole universitarie cantonali accreditate (</w:t>
      </w:r>
      <w:r>
        <w:rPr>
          <w:rFonts w:eastAsia="Times New Roman" w:cs="Arial"/>
          <w:noProof/>
          <w:sz w:val="24"/>
          <w:szCs w:val="24"/>
          <w:lang w:eastAsia="it-IT"/>
        </w:rPr>
        <w:t>M</w:t>
      </w:r>
      <w:r w:rsidRPr="00D040B9">
        <w:rPr>
          <w:rFonts w:eastAsia="Times New Roman" w:cs="Arial"/>
          <w:noProof/>
          <w:sz w:val="24"/>
          <w:szCs w:val="24"/>
          <w:lang w:eastAsia="it-IT"/>
        </w:rPr>
        <w:t xml:space="preserve">essaggio </w:t>
      </w:r>
      <w:r>
        <w:rPr>
          <w:rFonts w:eastAsia="Times New Roman" w:cs="Arial"/>
          <w:noProof/>
          <w:sz w:val="24"/>
          <w:szCs w:val="24"/>
          <w:lang w:eastAsia="it-IT"/>
        </w:rPr>
        <w:t xml:space="preserve">n. </w:t>
      </w:r>
      <w:r w:rsidRPr="00D040B9">
        <w:rPr>
          <w:rFonts w:eastAsia="Times New Roman" w:cs="Arial"/>
          <w:noProof/>
          <w:sz w:val="24"/>
          <w:szCs w:val="24"/>
          <w:lang w:eastAsia="it-IT"/>
        </w:rPr>
        <w:t>8202 del 19 ottobre 2022</w:t>
      </w:r>
      <w:r w:rsidRPr="00D040B9">
        <w:rPr>
          <w:sz w:val="24"/>
          <w:szCs w:val="24"/>
        </w:rPr>
        <w:t>). Oltre agli aspetti legati alla protezione dei titoli accademici, la legge cambia anche nome, diventando Legge sulle scuole universitarie (LSU).</w:t>
      </w:r>
    </w:p>
    <w:p w:rsidR="00F500DC" w:rsidRPr="00D040B9" w:rsidRDefault="00F500DC" w:rsidP="00F500DC">
      <w:pPr>
        <w:spacing w:before="120"/>
        <w:rPr>
          <w:sz w:val="24"/>
          <w:szCs w:val="24"/>
        </w:rPr>
      </w:pPr>
      <w:r w:rsidRPr="00D040B9">
        <w:rPr>
          <w:sz w:val="24"/>
          <w:szCs w:val="24"/>
        </w:rPr>
        <w:lastRenderedPageBreak/>
        <w:t>Inoltre,</w:t>
      </w:r>
      <w:r w:rsidRPr="00D040B9" w:rsidDel="006B6E55">
        <w:rPr>
          <w:sz w:val="24"/>
          <w:szCs w:val="24"/>
        </w:rPr>
        <w:t xml:space="preserve"> </w:t>
      </w:r>
      <w:r w:rsidRPr="00D040B9">
        <w:rPr>
          <w:rFonts w:cs="Arial"/>
          <w:sz w:val="24"/>
          <w:szCs w:val="24"/>
        </w:rPr>
        <w:t xml:space="preserve">il Consiglio di Stato ha approvato l’associazione della Fondazione Alpina per le Scienze della Vita (FASV) di Olivone alla SUPSI (RG n. 3193 del 28 giugno 2023). Attualmente il finanziamento della FASV avviene tramite fondi della Divisione della formazione professionale nell’ambito del perfezionamento professionale. Dal 2025 tale contributo di 60'000 franchi annui verrà erogato nell’ambito del contratto di prestazione con SUPSI (si veda il </w:t>
      </w:r>
      <w:r>
        <w:rPr>
          <w:rFonts w:cs="Arial"/>
          <w:sz w:val="24"/>
          <w:szCs w:val="24"/>
        </w:rPr>
        <w:t>M</w:t>
      </w:r>
      <w:r w:rsidRPr="00D040B9">
        <w:rPr>
          <w:rFonts w:cs="Arial"/>
          <w:sz w:val="24"/>
          <w:szCs w:val="24"/>
        </w:rPr>
        <w:t xml:space="preserve">essaggio </w:t>
      </w:r>
      <w:r>
        <w:rPr>
          <w:rFonts w:cs="Arial"/>
          <w:sz w:val="24"/>
          <w:szCs w:val="24"/>
        </w:rPr>
        <w:t xml:space="preserve">n. </w:t>
      </w:r>
      <w:r w:rsidRPr="00D040B9">
        <w:rPr>
          <w:rFonts w:cs="Arial"/>
          <w:sz w:val="24"/>
          <w:szCs w:val="24"/>
        </w:rPr>
        <w:t>8438 del 5 giugno 2024).</w:t>
      </w:r>
    </w:p>
    <w:p w:rsidR="00F500DC" w:rsidRPr="00D040B9" w:rsidRDefault="00F500DC" w:rsidP="00C96F77">
      <w:pPr>
        <w:rPr>
          <w:sz w:val="24"/>
          <w:szCs w:val="24"/>
        </w:rPr>
      </w:pPr>
      <w:r w:rsidRPr="00D040B9">
        <w:rPr>
          <w:sz w:val="24"/>
          <w:szCs w:val="24"/>
        </w:rPr>
        <w:t>In parallelo ai lavori della Confederazione riguardo al messaggio ERI, nel 2023 sono iniziati i lavori preparatori per i nuovi contratti di prestazione e il messaggio di politica universitaria per il prossimo periodo quadro 2025-2028 (</w:t>
      </w:r>
      <w:r>
        <w:rPr>
          <w:sz w:val="24"/>
          <w:szCs w:val="24"/>
        </w:rPr>
        <w:t>M</w:t>
      </w:r>
      <w:r w:rsidRPr="00D040B9">
        <w:rPr>
          <w:sz w:val="24"/>
          <w:szCs w:val="24"/>
        </w:rPr>
        <w:t xml:space="preserve">essaggio </w:t>
      </w:r>
      <w:r>
        <w:rPr>
          <w:sz w:val="24"/>
          <w:szCs w:val="24"/>
        </w:rPr>
        <w:t xml:space="preserve">n. </w:t>
      </w:r>
      <w:r w:rsidRPr="00D040B9">
        <w:rPr>
          <w:sz w:val="24"/>
          <w:szCs w:val="24"/>
        </w:rPr>
        <w:t>8438 licenziato dal Consiglio di Stato il 5 giugno 2024</w:t>
      </w:r>
      <w:r>
        <w:rPr>
          <w:sz w:val="24"/>
          <w:szCs w:val="24"/>
        </w:rPr>
        <w:t xml:space="preserve"> </w:t>
      </w:r>
      <w:r w:rsidRPr="00ED4DC0">
        <w:rPr>
          <w:sz w:val="24"/>
          <w:szCs w:val="24"/>
        </w:rPr>
        <w:t>e approvato dal Gran Consiglio il 4 novembre 2024).</w:t>
      </w:r>
    </w:p>
    <w:p w:rsidR="00F500DC" w:rsidRDefault="00F500DC" w:rsidP="00C96F77">
      <w:pPr>
        <w:tabs>
          <w:tab w:val="left" w:pos="9486"/>
        </w:tabs>
        <w:suppressAutoHyphens w:val="0"/>
        <w:jc w:val="left"/>
        <w:rPr>
          <w:rFonts w:cs="Arial"/>
          <w:b/>
          <w:bCs/>
          <w:sz w:val="24"/>
          <w:szCs w:val="24"/>
        </w:rPr>
      </w:pPr>
    </w:p>
    <w:p w:rsidR="00C96F77" w:rsidRDefault="00C96F77" w:rsidP="00C96F77">
      <w:pPr>
        <w:tabs>
          <w:tab w:val="left" w:pos="9486"/>
        </w:tabs>
        <w:suppressAutoHyphens w:val="0"/>
        <w:jc w:val="left"/>
        <w:rPr>
          <w:rFonts w:cs="Arial"/>
          <w:b/>
          <w:bCs/>
          <w:sz w:val="24"/>
          <w:szCs w:val="24"/>
        </w:rPr>
      </w:pPr>
    </w:p>
    <w:p w:rsidR="00F500DC" w:rsidRPr="00C96F77" w:rsidRDefault="00F500DC" w:rsidP="00C96F77">
      <w:pPr>
        <w:pStyle w:val="Titolo1"/>
        <w:tabs>
          <w:tab w:val="left" w:pos="567"/>
        </w:tabs>
        <w:suppressAutoHyphens w:val="0"/>
        <w:spacing w:before="0"/>
        <w:ind w:left="567" w:hanging="567"/>
        <w:jc w:val="both"/>
        <w:rPr>
          <w:rFonts w:eastAsia="Calibri" w:cs="Times New Roman"/>
          <w:caps/>
          <w:sz w:val="24"/>
          <w:szCs w:val="24"/>
          <w:lang w:val="it-IT" w:eastAsia="it-IT"/>
        </w:rPr>
      </w:pPr>
      <w:r w:rsidRPr="00C96F77">
        <w:rPr>
          <w:rFonts w:eastAsia="Calibri" w:cs="Times New Roman"/>
          <w:caps/>
          <w:sz w:val="24"/>
          <w:szCs w:val="24"/>
          <w:lang w:val="it-IT" w:eastAsia="it-IT"/>
        </w:rPr>
        <w:t>USI - ASPETTI FINANZIARI</w:t>
      </w:r>
    </w:p>
    <w:p w:rsidR="00F500DC" w:rsidRPr="008A0CFF" w:rsidRDefault="00F500DC" w:rsidP="00F500DC">
      <w:pPr>
        <w:spacing w:before="120"/>
        <w:rPr>
          <w:sz w:val="24"/>
          <w:szCs w:val="24"/>
        </w:rPr>
      </w:pPr>
      <w:r w:rsidRPr="008A0CFF">
        <w:rPr>
          <w:sz w:val="24"/>
          <w:szCs w:val="24"/>
        </w:rPr>
        <w:t>Come riportato nella relazione sintetica del CCF (allegato 3</w:t>
      </w:r>
      <w:r>
        <w:rPr>
          <w:sz w:val="24"/>
          <w:szCs w:val="24"/>
        </w:rPr>
        <w:t xml:space="preserve"> del messaggio</w:t>
      </w:r>
      <w:r w:rsidRPr="008A0CFF">
        <w:rPr>
          <w:sz w:val="24"/>
          <w:szCs w:val="24"/>
        </w:rPr>
        <w:t xml:space="preserve">), nel 2023 il conto annuale dell’USI chiude con un utile d’esercizio di 3.8 milioni di franchi, in aumento rispetto all’utile di 0.9 milioni del 2022 e in netto miglioramento rispetto al preventivo 2023 che chiudeva con una perdita di 1.1 milioni di franchi. I ricavi totali (considerando anche quelli da attività finanziaria e straordinaria) ammontano a 135.4 milioni di franchi (2022: 126.9 milioni), mentre il totale dei costi è di 131.6 milioni di franchi (2022: 126.0 milioni). In confronto all’esercizio precedente i ricavi d’esercizio sono aumentati di 7.1 milioni di franchi, principalmente grazie alle maggiori entrate da contributi LPSU (+2.9 milioni) e dall’accordo intercantonale AIU (+2.5 milioni), da progetti di ricerca (+1.5 milioni), da prestazioni di servizio (+1.1 milioni) e da contributi cantonali (+0.8 milioni). Questi incrementi sono parzialmente compensati dai maggiori riversamenti di contributi agli istituti affiliati (+0.6 milioni) e dall’aumento delle spese per imputazioni interne (+1.0 milioni) che riducono i ricavi d’esercizio. </w:t>
      </w:r>
    </w:p>
    <w:p w:rsidR="00F500DC" w:rsidRPr="008A0CFF" w:rsidRDefault="00F500DC" w:rsidP="00F500DC">
      <w:pPr>
        <w:spacing w:before="120"/>
        <w:rPr>
          <w:sz w:val="24"/>
          <w:szCs w:val="24"/>
        </w:rPr>
      </w:pPr>
      <w:r w:rsidRPr="008A0CFF">
        <w:rPr>
          <w:sz w:val="24"/>
          <w:szCs w:val="24"/>
        </w:rPr>
        <w:t xml:space="preserve">I costi complessivi del personale sono cresciuti di 5.5 milioni di franchi, in particolare sono aumentate le spese per il corpo intermedio (+6.1 milioni) e il personale amministrativo (+1.4 milioni), mentre gli stipendi del corpo docenti sono diminuiti (-2.4 milioni). Gli altri costi d’esercizio sono inferiori di 1.1 milioni di franchi rispetto al 2022 grazie alle minori spese per l’acquisto di mobilio e macchine (-1.0 milioni) e per le manutenzioni di immobili e attrezzature (-0.2 milioni), mentre le maggiori spese per rimborsi dei costi di trasferta (+0.8 milioni) sono compensate da una riduzione equivalente delle prestazioni a terzi e onorari. Gli ammortamenti sono diminuiti di 0.2 milioni di franchi, mentre il risultato accessorio è sostanzialmente invariato. </w:t>
      </w:r>
    </w:p>
    <w:p w:rsidR="00F500DC" w:rsidRPr="008A0CFF" w:rsidRDefault="00F500DC" w:rsidP="00F500DC">
      <w:pPr>
        <w:spacing w:before="120"/>
        <w:rPr>
          <w:sz w:val="24"/>
          <w:szCs w:val="24"/>
        </w:rPr>
      </w:pPr>
      <w:r w:rsidRPr="008A0CFF">
        <w:rPr>
          <w:sz w:val="24"/>
          <w:szCs w:val="24"/>
        </w:rPr>
        <w:t xml:space="preserve">L’utile d’esercizio di 3'813'383.87 franchi viene ripartito nel modo seguente: 0.2 milioni sono attribuiti al Fondo manutenzioni straordinarie e upgrade tecnologico, 0.7 milioni al Fondo digitalizzazione e innovazione e 0.11 milioni al Fondo riacquisto cassa pensione professori. Il saldo rimanente di 2'803'383.87 franchi viene riportato a nuovo e si somma agli avanzi degli esercizi precedenti già a bilancio per 929'524.67 franchi. </w:t>
      </w:r>
    </w:p>
    <w:p w:rsidR="00F500DC" w:rsidRPr="008A0CFF" w:rsidRDefault="00F500DC" w:rsidP="00F500DC">
      <w:pPr>
        <w:spacing w:before="120"/>
        <w:rPr>
          <w:sz w:val="24"/>
          <w:szCs w:val="24"/>
        </w:rPr>
      </w:pPr>
      <w:r w:rsidRPr="008A0CFF">
        <w:rPr>
          <w:sz w:val="24"/>
          <w:szCs w:val="24"/>
        </w:rPr>
        <w:t xml:space="preserve">Rispetto al 2022 il patrimonio di USI è cresciuto di 13.8 milioni di franchi, a seguito dell’aumento dell’attivo circolante di 15.7 milioni e della diminuzione dell’attivo fisso di 1.9 milioni; per quanto concerne il passivo sono aumentati sia il capitale di terzi (+10.2 milioni) sia il capitale proprio (+3.6 milioni). L’incremento dell’attivo circolante è da attribuirsi alla crescita della liquidità (+14.5 milioni) e degli altri crediti (+1.1 milioni), mentre l’attivo fisso diminuisce a seguito degli ammortamenti sugli immobilizzi di Mendrisio, che ne riducono il valore a bilancio di 1.7 milioni, e dei minori finanziamenti alla Fondazione USI (-0.4 milioni). </w:t>
      </w:r>
      <w:r w:rsidRPr="008A0CFF">
        <w:rPr>
          <w:sz w:val="24"/>
          <w:szCs w:val="24"/>
        </w:rPr>
        <w:lastRenderedPageBreak/>
        <w:t xml:space="preserve">L’aumento del capitale di terzi a breve termine (+9.7 milioni) è dato dalla crescita di 5.0 milioni dei debiti per forniture e prestazioni (cosa che spiega in parte l’aumento della liquidità disponibile di USI), dei fondi vincolati per altri progetti (+2.2 milioni, di cui 0.6 milioni per la didattica, 1 milione per gli istituti e 0.6 milioni per i contributi LALIA imputabili ai campus) e accantonamenti a breve termine (+1.5 milioni per i contratti d’istituto). L’incremento del capitale di terzi a lungo termine è da imputare alla crescita degli accantonamenti a lungo termine (+0.5 milioni, di cui 0.3 milioni per ferie non godute e 0.2 milioni per manutenzioni). </w:t>
      </w:r>
    </w:p>
    <w:p w:rsidR="00F500DC" w:rsidRPr="008A0CFF" w:rsidRDefault="00F500DC" w:rsidP="00F500DC">
      <w:pPr>
        <w:spacing w:before="120"/>
        <w:rPr>
          <w:sz w:val="24"/>
          <w:szCs w:val="24"/>
        </w:rPr>
      </w:pPr>
      <w:r w:rsidRPr="008A0CFF">
        <w:rPr>
          <w:sz w:val="24"/>
          <w:szCs w:val="24"/>
        </w:rPr>
        <w:t xml:space="preserve">Nella sua relazione datata 27 maggio 2024 (allegato 3), il CCF certifica che il conto annuale dell’USI è privo di anomalie significative e ne raccomanda l’approvazione da parte del Consiglio dell’USI. </w:t>
      </w:r>
    </w:p>
    <w:p w:rsidR="00F500DC" w:rsidRPr="008A0CFF" w:rsidRDefault="00F500DC" w:rsidP="00F500DC">
      <w:pPr>
        <w:tabs>
          <w:tab w:val="left" w:pos="9486"/>
        </w:tabs>
        <w:suppressAutoHyphens w:val="0"/>
        <w:spacing w:after="240"/>
        <w:jc w:val="left"/>
        <w:rPr>
          <w:sz w:val="24"/>
          <w:szCs w:val="24"/>
        </w:rPr>
      </w:pPr>
      <w:r w:rsidRPr="008A0CFF">
        <w:rPr>
          <w:sz w:val="24"/>
          <w:szCs w:val="24"/>
        </w:rPr>
        <w:t xml:space="preserve">La </w:t>
      </w:r>
      <w:r w:rsidRPr="008A0CFF">
        <w:rPr>
          <w:sz w:val="24"/>
          <w:szCs w:val="24"/>
        </w:rPr>
        <w:fldChar w:fldCharType="begin"/>
      </w:r>
      <w:r w:rsidRPr="008A0CFF">
        <w:rPr>
          <w:sz w:val="24"/>
          <w:szCs w:val="24"/>
        </w:rPr>
        <w:instrText xml:space="preserve"> REF _Ref135641805 \h </w:instrText>
      </w:r>
      <w:r>
        <w:rPr>
          <w:sz w:val="24"/>
          <w:szCs w:val="24"/>
        </w:rPr>
        <w:instrText xml:space="preserve"> \* MERGEFORMAT </w:instrText>
      </w:r>
      <w:r w:rsidRPr="008A0CFF">
        <w:rPr>
          <w:sz w:val="24"/>
          <w:szCs w:val="24"/>
        </w:rPr>
      </w:r>
      <w:r w:rsidRPr="008A0CFF">
        <w:rPr>
          <w:sz w:val="24"/>
          <w:szCs w:val="24"/>
        </w:rPr>
        <w:fldChar w:fldCharType="separate"/>
      </w:r>
      <w:r w:rsidR="00B63873" w:rsidRPr="00B63873">
        <w:rPr>
          <w:sz w:val="24"/>
          <w:szCs w:val="24"/>
        </w:rPr>
        <w:t xml:space="preserve">Tabella </w:t>
      </w:r>
      <w:r w:rsidR="00B63873" w:rsidRPr="00B63873">
        <w:rPr>
          <w:noProof/>
          <w:sz w:val="24"/>
          <w:szCs w:val="24"/>
        </w:rPr>
        <w:t>1</w:t>
      </w:r>
      <w:r w:rsidRPr="008A0CFF">
        <w:rPr>
          <w:sz w:val="24"/>
          <w:szCs w:val="24"/>
        </w:rPr>
        <w:fldChar w:fldCharType="end"/>
      </w:r>
      <w:r w:rsidRPr="008A0CFF">
        <w:rPr>
          <w:sz w:val="24"/>
          <w:szCs w:val="24"/>
        </w:rPr>
        <w:t xml:space="preserve"> illustra l’evoluzione del contributo di gestione erogato dal Cantone all’USI dal 2014 al 2023, suddiviso nelle sue componenti.</w:t>
      </w:r>
    </w:p>
    <w:p w:rsidR="00F500DC" w:rsidRDefault="00F500DC" w:rsidP="00F500DC">
      <w:pPr>
        <w:pStyle w:val="Didascalia"/>
      </w:pPr>
      <w:bookmarkStart w:id="1" w:name="_Ref135641805"/>
      <w:bookmarkStart w:id="2" w:name="_Ref102664078"/>
      <w:r>
        <w:t xml:space="preserve">Tabella </w:t>
      </w:r>
      <w:r>
        <w:fldChar w:fldCharType="begin"/>
      </w:r>
      <w:r>
        <w:instrText xml:space="preserve"> SEQ Tabella \* ARABIC </w:instrText>
      </w:r>
      <w:r>
        <w:fldChar w:fldCharType="separate"/>
      </w:r>
      <w:r w:rsidR="00B63873">
        <w:t>1</w:t>
      </w:r>
      <w:r>
        <w:fldChar w:fldCharType="end"/>
      </w:r>
      <w:bookmarkEnd w:id="1"/>
      <w:bookmarkEnd w:id="2"/>
      <w:r>
        <w:t xml:space="preserve"> – Evoluzione del finanziamento del contratto di prestazione dell’USI nelle sue componenti, in migliaia di franchi, dal 2014 (fonte: DCSU)</w:t>
      </w:r>
    </w:p>
    <w:tbl>
      <w:tblPr>
        <w:tblW w:w="4993" w:type="pct"/>
        <w:jc w:val="center"/>
        <w:tblLayout w:type="fixed"/>
        <w:tblCellMar>
          <w:left w:w="0" w:type="dxa"/>
          <w:right w:w="0" w:type="dxa"/>
        </w:tblCellMar>
        <w:tblLook w:val="04A0" w:firstRow="1" w:lastRow="0" w:firstColumn="1" w:lastColumn="0" w:noHBand="0" w:noVBand="1"/>
      </w:tblPr>
      <w:tblGrid>
        <w:gridCol w:w="1810"/>
        <w:gridCol w:w="769"/>
        <w:gridCol w:w="769"/>
        <w:gridCol w:w="769"/>
        <w:gridCol w:w="769"/>
        <w:gridCol w:w="769"/>
        <w:gridCol w:w="769"/>
        <w:gridCol w:w="769"/>
        <w:gridCol w:w="769"/>
        <w:gridCol w:w="756"/>
        <w:gridCol w:w="754"/>
      </w:tblGrid>
      <w:tr w:rsidR="00F500DC" w:rsidRPr="00DE7B1C" w:rsidTr="00F500DC">
        <w:trPr>
          <w:trHeight w:val="129"/>
          <w:jc w:val="center"/>
        </w:trPr>
        <w:tc>
          <w:tcPr>
            <w:tcW w:w="955" w:type="pct"/>
            <w:noWrap/>
            <w:tcMar>
              <w:top w:w="0" w:type="dxa"/>
              <w:left w:w="70" w:type="dxa"/>
              <w:bottom w:w="0" w:type="dxa"/>
              <w:right w:w="70" w:type="dxa"/>
            </w:tcMar>
            <w:vAlign w:val="center"/>
            <w:hideMark/>
          </w:tcPr>
          <w:p w:rsidR="00F500DC" w:rsidRPr="00C52D32" w:rsidRDefault="00F500DC" w:rsidP="00F500DC">
            <w:pPr>
              <w:tabs>
                <w:tab w:val="left" w:pos="9486"/>
              </w:tabs>
              <w:rPr>
                <w:sz w:val="19"/>
                <w:szCs w:val="19"/>
              </w:rPr>
            </w:pPr>
            <w:r w:rsidRPr="00C52D32">
              <w:rPr>
                <w:b/>
                <w:bCs/>
                <w:sz w:val="19"/>
                <w:szCs w:val="19"/>
                <w:lang w:eastAsia="it-CH"/>
              </w:rPr>
              <w:t> </w:t>
            </w:r>
          </w:p>
        </w:tc>
        <w:tc>
          <w:tcPr>
            <w:tcW w:w="406" w:type="pct"/>
            <w:tcBorders>
              <w:left w:val="single" w:sz="4" w:space="0" w:color="FFFFFF" w:themeColor="background1"/>
              <w:right w:val="single" w:sz="4" w:space="0" w:color="FFFFFF" w:themeColor="background1"/>
            </w:tcBorders>
            <w:shd w:val="clear" w:color="auto" w:fill="D9D9D9" w:themeFill="background1" w:themeFillShade="D9"/>
            <w:tcMar>
              <w:top w:w="0" w:type="dxa"/>
              <w:left w:w="70" w:type="dxa"/>
              <w:bottom w:w="0" w:type="dxa"/>
              <w:right w:w="70" w:type="dxa"/>
            </w:tcMar>
            <w:vAlign w:val="center"/>
            <w:hideMark/>
          </w:tcPr>
          <w:p w:rsidR="00F500DC" w:rsidRPr="001057F8" w:rsidRDefault="00F500DC" w:rsidP="00F500DC">
            <w:pPr>
              <w:tabs>
                <w:tab w:val="left" w:pos="9486"/>
              </w:tabs>
              <w:jc w:val="center"/>
              <w:rPr>
                <w:sz w:val="18"/>
                <w:szCs w:val="18"/>
              </w:rPr>
            </w:pPr>
            <w:r w:rsidRPr="001057F8">
              <w:rPr>
                <w:b/>
                <w:bCs/>
                <w:sz w:val="18"/>
                <w:szCs w:val="18"/>
                <w:lang w:eastAsia="it-CH"/>
              </w:rPr>
              <w:t>2014</w:t>
            </w:r>
          </w:p>
        </w:tc>
        <w:tc>
          <w:tcPr>
            <w:tcW w:w="406" w:type="pct"/>
            <w:tcBorders>
              <w:left w:val="single" w:sz="4" w:space="0" w:color="FFFFFF" w:themeColor="background1"/>
              <w:right w:val="single" w:sz="4" w:space="0" w:color="FFFFFF" w:themeColor="background1"/>
            </w:tcBorders>
            <w:shd w:val="clear" w:color="auto" w:fill="D9D9D9" w:themeFill="background1" w:themeFillShade="D9"/>
            <w:tcMar>
              <w:top w:w="0" w:type="dxa"/>
              <w:left w:w="70" w:type="dxa"/>
              <w:bottom w:w="0" w:type="dxa"/>
              <w:right w:w="70" w:type="dxa"/>
            </w:tcMar>
            <w:vAlign w:val="center"/>
            <w:hideMark/>
          </w:tcPr>
          <w:p w:rsidR="00F500DC" w:rsidRPr="001057F8" w:rsidRDefault="00F500DC" w:rsidP="00F500DC">
            <w:pPr>
              <w:tabs>
                <w:tab w:val="left" w:pos="9486"/>
              </w:tabs>
              <w:jc w:val="center"/>
              <w:rPr>
                <w:sz w:val="18"/>
                <w:szCs w:val="18"/>
              </w:rPr>
            </w:pPr>
            <w:r w:rsidRPr="001057F8">
              <w:rPr>
                <w:b/>
                <w:bCs/>
                <w:sz w:val="18"/>
                <w:szCs w:val="18"/>
                <w:lang w:eastAsia="it-CH"/>
              </w:rPr>
              <w:t>2015</w:t>
            </w:r>
          </w:p>
        </w:tc>
        <w:tc>
          <w:tcPr>
            <w:tcW w:w="406" w:type="pct"/>
            <w:tcBorders>
              <w:left w:val="single" w:sz="4" w:space="0" w:color="FFFFFF" w:themeColor="background1"/>
              <w:right w:val="single" w:sz="4" w:space="0" w:color="FFFFFF" w:themeColor="background1"/>
            </w:tcBorders>
            <w:shd w:val="clear" w:color="auto" w:fill="D9D9D9" w:themeFill="background1" w:themeFillShade="D9"/>
            <w:noWrap/>
            <w:tcMar>
              <w:top w:w="0" w:type="dxa"/>
              <w:left w:w="70" w:type="dxa"/>
              <w:bottom w:w="0" w:type="dxa"/>
              <w:right w:w="70" w:type="dxa"/>
            </w:tcMar>
            <w:vAlign w:val="center"/>
            <w:hideMark/>
          </w:tcPr>
          <w:p w:rsidR="00F500DC" w:rsidRPr="001057F8" w:rsidRDefault="00F500DC" w:rsidP="00F500DC">
            <w:pPr>
              <w:tabs>
                <w:tab w:val="left" w:pos="9486"/>
              </w:tabs>
              <w:jc w:val="center"/>
              <w:rPr>
                <w:sz w:val="18"/>
                <w:szCs w:val="18"/>
              </w:rPr>
            </w:pPr>
            <w:r w:rsidRPr="001057F8">
              <w:rPr>
                <w:b/>
                <w:bCs/>
                <w:sz w:val="18"/>
                <w:szCs w:val="18"/>
                <w:lang w:eastAsia="it-CH"/>
              </w:rPr>
              <w:t>2016</w:t>
            </w:r>
          </w:p>
        </w:tc>
        <w:tc>
          <w:tcPr>
            <w:tcW w:w="406" w:type="pct"/>
            <w:tcBorders>
              <w:left w:val="single" w:sz="4" w:space="0" w:color="FFFFFF" w:themeColor="background1"/>
              <w:right w:val="single" w:sz="4" w:space="0" w:color="FFFFFF" w:themeColor="background1"/>
            </w:tcBorders>
            <w:shd w:val="clear" w:color="auto" w:fill="D9D9D9" w:themeFill="background1" w:themeFillShade="D9"/>
            <w:tcMar>
              <w:top w:w="0" w:type="dxa"/>
              <w:left w:w="70" w:type="dxa"/>
              <w:bottom w:w="0" w:type="dxa"/>
              <w:right w:w="70" w:type="dxa"/>
            </w:tcMar>
            <w:vAlign w:val="center"/>
            <w:hideMark/>
          </w:tcPr>
          <w:p w:rsidR="00F500DC" w:rsidRPr="001057F8" w:rsidRDefault="00F500DC" w:rsidP="00F500DC">
            <w:pPr>
              <w:tabs>
                <w:tab w:val="left" w:pos="9486"/>
              </w:tabs>
              <w:jc w:val="center"/>
              <w:rPr>
                <w:sz w:val="18"/>
                <w:szCs w:val="18"/>
              </w:rPr>
            </w:pPr>
            <w:r w:rsidRPr="001057F8">
              <w:rPr>
                <w:b/>
                <w:bCs/>
                <w:sz w:val="18"/>
                <w:szCs w:val="18"/>
                <w:lang w:eastAsia="it-CH"/>
              </w:rPr>
              <w:t>2017</w:t>
            </w:r>
          </w:p>
        </w:tc>
        <w:tc>
          <w:tcPr>
            <w:tcW w:w="406" w:type="pct"/>
            <w:tcBorders>
              <w:left w:val="single" w:sz="4" w:space="0" w:color="FFFFFF" w:themeColor="background1"/>
              <w:right w:val="single" w:sz="4" w:space="0" w:color="FFFFFF" w:themeColor="background1"/>
            </w:tcBorders>
            <w:shd w:val="clear" w:color="auto" w:fill="D9D9D9" w:themeFill="background1" w:themeFillShade="D9"/>
            <w:tcMar>
              <w:top w:w="0" w:type="dxa"/>
              <w:left w:w="70" w:type="dxa"/>
              <w:bottom w:w="0" w:type="dxa"/>
              <w:right w:w="70" w:type="dxa"/>
            </w:tcMar>
            <w:vAlign w:val="center"/>
            <w:hideMark/>
          </w:tcPr>
          <w:p w:rsidR="00F500DC" w:rsidRPr="001057F8" w:rsidRDefault="00F500DC" w:rsidP="00F500DC">
            <w:pPr>
              <w:tabs>
                <w:tab w:val="left" w:pos="9486"/>
              </w:tabs>
              <w:jc w:val="center"/>
              <w:rPr>
                <w:sz w:val="18"/>
                <w:szCs w:val="18"/>
              </w:rPr>
            </w:pPr>
            <w:r w:rsidRPr="001057F8">
              <w:rPr>
                <w:b/>
                <w:bCs/>
                <w:sz w:val="18"/>
                <w:szCs w:val="18"/>
                <w:lang w:eastAsia="it-CH"/>
              </w:rPr>
              <w:t>2018</w:t>
            </w:r>
          </w:p>
        </w:tc>
        <w:tc>
          <w:tcPr>
            <w:tcW w:w="406" w:type="pct"/>
            <w:tcBorders>
              <w:left w:val="single" w:sz="4" w:space="0" w:color="FFFFFF" w:themeColor="background1"/>
              <w:right w:val="single" w:sz="4" w:space="0" w:color="FFFFFF" w:themeColor="background1"/>
            </w:tcBorders>
            <w:shd w:val="clear" w:color="auto" w:fill="D9D9D9" w:themeFill="background1" w:themeFillShade="D9"/>
            <w:vAlign w:val="center"/>
          </w:tcPr>
          <w:p w:rsidR="00F500DC" w:rsidRPr="001057F8" w:rsidRDefault="00F500DC" w:rsidP="00F500DC">
            <w:pPr>
              <w:tabs>
                <w:tab w:val="left" w:pos="9486"/>
              </w:tabs>
              <w:jc w:val="center"/>
              <w:rPr>
                <w:b/>
                <w:bCs/>
                <w:sz w:val="18"/>
                <w:szCs w:val="18"/>
                <w:lang w:eastAsia="it-CH"/>
              </w:rPr>
            </w:pPr>
            <w:r w:rsidRPr="001057F8">
              <w:rPr>
                <w:b/>
                <w:bCs/>
                <w:sz w:val="18"/>
                <w:szCs w:val="18"/>
                <w:lang w:eastAsia="it-CH"/>
              </w:rPr>
              <w:t>2019</w:t>
            </w:r>
          </w:p>
        </w:tc>
        <w:tc>
          <w:tcPr>
            <w:tcW w:w="406" w:type="pct"/>
            <w:tcBorders>
              <w:left w:val="single" w:sz="4" w:space="0" w:color="FFFFFF" w:themeColor="background1"/>
              <w:right w:val="single" w:sz="4" w:space="0" w:color="FFFFFF" w:themeColor="background1"/>
            </w:tcBorders>
            <w:shd w:val="clear" w:color="auto" w:fill="D9D9D9" w:themeFill="background1" w:themeFillShade="D9"/>
            <w:vAlign w:val="center"/>
          </w:tcPr>
          <w:p w:rsidR="00F500DC" w:rsidRPr="001057F8" w:rsidRDefault="00F500DC" w:rsidP="00F500DC">
            <w:pPr>
              <w:tabs>
                <w:tab w:val="left" w:pos="9486"/>
              </w:tabs>
              <w:jc w:val="center"/>
              <w:rPr>
                <w:b/>
                <w:bCs/>
                <w:sz w:val="18"/>
                <w:szCs w:val="18"/>
                <w:lang w:eastAsia="it-CH"/>
              </w:rPr>
            </w:pPr>
            <w:r w:rsidRPr="001057F8">
              <w:rPr>
                <w:b/>
                <w:bCs/>
                <w:sz w:val="18"/>
                <w:szCs w:val="18"/>
                <w:lang w:eastAsia="it-CH"/>
              </w:rPr>
              <w:t>2020</w:t>
            </w:r>
          </w:p>
        </w:tc>
        <w:tc>
          <w:tcPr>
            <w:tcW w:w="406" w:type="pct"/>
            <w:tcBorders>
              <w:left w:val="single" w:sz="4" w:space="0" w:color="FFFFFF" w:themeColor="background1"/>
            </w:tcBorders>
            <w:shd w:val="clear" w:color="auto" w:fill="D9D9D9" w:themeFill="background1" w:themeFillShade="D9"/>
            <w:vAlign w:val="center"/>
          </w:tcPr>
          <w:p w:rsidR="00F500DC" w:rsidRPr="001057F8" w:rsidRDefault="00F500DC" w:rsidP="00F500DC">
            <w:pPr>
              <w:tabs>
                <w:tab w:val="left" w:pos="9486"/>
              </w:tabs>
              <w:jc w:val="center"/>
              <w:rPr>
                <w:b/>
                <w:bCs/>
                <w:sz w:val="18"/>
                <w:szCs w:val="18"/>
                <w:lang w:eastAsia="it-CH"/>
              </w:rPr>
            </w:pPr>
            <w:r w:rsidRPr="001057F8">
              <w:rPr>
                <w:b/>
                <w:bCs/>
                <w:sz w:val="18"/>
                <w:szCs w:val="18"/>
                <w:lang w:eastAsia="it-CH"/>
              </w:rPr>
              <w:t>2021</w:t>
            </w:r>
          </w:p>
        </w:tc>
        <w:tc>
          <w:tcPr>
            <w:tcW w:w="399" w:type="pct"/>
            <w:tcBorders>
              <w:left w:val="single" w:sz="4" w:space="0" w:color="FFFFFF" w:themeColor="background1"/>
            </w:tcBorders>
            <w:shd w:val="clear" w:color="auto" w:fill="D9D9D9" w:themeFill="background1" w:themeFillShade="D9"/>
            <w:vAlign w:val="center"/>
          </w:tcPr>
          <w:p w:rsidR="00F500DC" w:rsidRPr="001057F8" w:rsidRDefault="00F500DC" w:rsidP="00F500DC">
            <w:pPr>
              <w:tabs>
                <w:tab w:val="left" w:pos="9486"/>
              </w:tabs>
              <w:jc w:val="center"/>
              <w:rPr>
                <w:b/>
                <w:bCs/>
                <w:sz w:val="18"/>
                <w:szCs w:val="18"/>
                <w:lang w:eastAsia="it-CH"/>
              </w:rPr>
            </w:pPr>
            <w:r>
              <w:rPr>
                <w:b/>
                <w:bCs/>
                <w:sz w:val="18"/>
                <w:szCs w:val="18"/>
                <w:lang w:eastAsia="it-CH"/>
              </w:rPr>
              <w:t>2022</w:t>
            </w:r>
          </w:p>
        </w:tc>
        <w:tc>
          <w:tcPr>
            <w:tcW w:w="399" w:type="pct"/>
            <w:tcBorders>
              <w:left w:val="single" w:sz="4" w:space="0" w:color="FFFFFF" w:themeColor="background1"/>
            </w:tcBorders>
            <w:shd w:val="clear" w:color="auto" w:fill="D9D9D9" w:themeFill="background1" w:themeFillShade="D9"/>
            <w:vAlign w:val="center"/>
          </w:tcPr>
          <w:p w:rsidR="00F500DC" w:rsidRDefault="00F500DC" w:rsidP="00F500DC">
            <w:pPr>
              <w:tabs>
                <w:tab w:val="left" w:pos="9486"/>
              </w:tabs>
              <w:jc w:val="center"/>
              <w:rPr>
                <w:b/>
                <w:bCs/>
                <w:sz w:val="18"/>
                <w:szCs w:val="18"/>
                <w:lang w:eastAsia="it-CH"/>
              </w:rPr>
            </w:pPr>
            <w:r>
              <w:rPr>
                <w:b/>
                <w:bCs/>
                <w:sz w:val="18"/>
                <w:szCs w:val="18"/>
                <w:lang w:eastAsia="it-CH"/>
              </w:rPr>
              <w:t>2023</w:t>
            </w:r>
          </w:p>
        </w:tc>
      </w:tr>
      <w:tr w:rsidR="00F500DC" w:rsidRPr="00DE7B1C" w:rsidTr="00F500DC">
        <w:trPr>
          <w:trHeight w:val="285"/>
          <w:jc w:val="center"/>
        </w:trPr>
        <w:tc>
          <w:tcPr>
            <w:tcW w:w="955" w:type="pct"/>
            <w:tcBorders>
              <w:bottom w:val="single" w:sz="4" w:space="0" w:color="auto"/>
              <w:right w:val="single" w:sz="4" w:space="0" w:color="auto"/>
            </w:tcBorders>
            <w:noWrap/>
            <w:tcMar>
              <w:top w:w="0" w:type="dxa"/>
              <w:left w:w="70" w:type="dxa"/>
              <w:bottom w:w="0" w:type="dxa"/>
              <w:right w:w="70" w:type="dxa"/>
            </w:tcMar>
            <w:vAlign w:val="center"/>
            <w:hideMark/>
          </w:tcPr>
          <w:p w:rsidR="00F500DC" w:rsidRPr="004170B3" w:rsidRDefault="00F500DC" w:rsidP="00F500DC">
            <w:pPr>
              <w:tabs>
                <w:tab w:val="left" w:pos="9486"/>
              </w:tabs>
              <w:jc w:val="left"/>
              <w:rPr>
                <w:sz w:val="18"/>
                <w:szCs w:val="18"/>
              </w:rPr>
            </w:pPr>
            <w:r w:rsidRPr="004170B3">
              <w:rPr>
                <w:sz w:val="18"/>
                <w:szCs w:val="18"/>
                <w:lang w:eastAsia="it-CH"/>
              </w:rPr>
              <w:t>Insegnamento</w:t>
            </w:r>
          </w:p>
        </w:tc>
        <w:tc>
          <w:tcPr>
            <w:tcW w:w="406" w:type="pct"/>
            <w:tcBorders>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12'026</w:t>
            </w:r>
          </w:p>
        </w:tc>
        <w:tc>
          <w:tcPr>
            <w:tcW w:w="406" w:type="pct"/>
            <w:tcBorders>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12'503</w:t>
            </w:r>
          </w:p>
        </w:tc>
        <w:tc>
          <w:tcPr>
            <w:tcW w:w="406" w:type="pct"/>
            <w:tcBorders>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12'249</w:t>
            </w:r>
          </w:p>
        </w:tc>
        <w:tc>
          <w:tcPr>
            <w:tcW w:w="406" w:type="pct"/>
            <w:tcBorders>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11'639</w:t>
            </w:r>
          </w:p>
        </w:tc>
        <w:tc>
          <w:tcPr>
            <w:tcW w:w="406" w:type="pct"/>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11'480</w:t>
            </w:r>
          </w:p>
        </w:tc>
        <w:tc>
          <w:tcPr>
            <w:tcW w:w="406" w:type="pct"/>
            <w:tcBorders>
              <w:left w:val="single" w:sz="4" w:space="0" w:color="auto"/>
              <w:bottom w:val="single" w:sz="4" w:space="0" w:color="auto"/>
              <w:right w:val="single" w:sz="4" w:space="0" w:color="auto"/>
            </w:tcBorders>
            <w:vAlign w:val="center"/>
          </w:tcPr>
          <w:p w:rsidR="00F500DC" w:rsidRPr="001057F8" w:rsidRDefault="00F500DC" w:rsidP="00F500DC">
            <w:pPr>
              <w:tabs>
                <w:tab w:val="left" w:pos="9486"/>
              </w:tabs>
              <w:ind w:right="57"/>
              <w:jc w:val="right"/>
              <w:rPr>
                <w:sz w:val="18"/>
                <w:szCs w:val="18"/>
                <w:lang w:eastAsia="it-CH"/>
              </w:rPr>
            </w:pPr>
            <w:r w:rsidRPr="001057F8">
              <w:rPr>
                <w:sz w:val="18"/>
                <w:szCs w:val="18"/>
                <w:lang w:eastAsia="it-CH"/>
              </w:rPr>
              <w:t>11’723</w:t>
            </w:r>
          </w:p>
        </w:tc>
        <w:tc>
          <w:tcPr>
            <w:tcW w:w="406" w:type="pct"/>
            <w:tcBorders>
              <w:left w:val="single" w:sz="4" w:space="0" w:color="auto"/>
              <w:bottom w:val="single" w:sz="4" w:space="0" w:color="auto"/>
              <w:right w:val="single" w:sz="4" w:space="0" w:color="auto"/>
            </w:tcBorders>
            <w:vAlign w:val="center"/>
          </w:tcPr>
          <w:p w:rsidR="00F500DC" w:rsidRPr="001057F8" w:rsidRDefault="00F500DC" w:rsidP="00F500DC">
            <w:pPr>
              <w:tabs>
                <w:tab w:val="left" w:pos="9486"/>
              </w:tabs>
              <w:ind w:right="57"/>
              <w:jc w:val="right"/>
              <w:rPr>
                <w:sz w:val="18"/>
                <w:szCs w:val="18"/>
                <w:lang w:eastAsia="it-CH"/>
              </w:rPr>
            </w:pPr>
            <w:r w:rsidRPr="001057F8">
              <w:rPr>
                <w:sz w:val="18"/>
                <w:szCs w:val="18"/>
                <w:lang w:eastAsia="it-CH"/>
              </w:rPr>
              <w:t>11’106</w:t>
            </w:r>
          </w:p>
        </w:tc>
        <w:tc>
          <w:tcPr>
            <w:tcW w:w="406" w:type="pct"/>
            <w:tcBorders>
              <w:left w:val="single" w:sz="4" w:space="0" w:color="auto"/>
              <w:bottom w:val="single" w:sz="4" w:space="0" w:color="auto"/>
            </w:tcBorders>
            <w:vAlign w:val="center"/>
          </w:tcPr>
          <w:p w:rsidR="00F500DC" w:rsidRPr="001057F8" w:rsidRDefault="00F500DC" w:rsidP="00F500DC">
            <w:pPr>
              <w:tabs>
                <w:tab w:val="left" w:pos="9486"/>
              </w:tabs>
              <w:ind w:right="57"/>
              <w:jc w:val="right"/>
              <w:rPr>
                <w:sz w:val="18"/>
                <w:szCs w:val="18"/>
                <w:highlight w:val="yellow"/>
                <w:lang w:eastAsia="it-CH"/>
              </w:rPr>
            </w:pPr>
            <w:r w:rsidRPr="00786B5F">
              <w:rPr>
                <w:sz w:val="18"/>
                <w:szCs w:val="18"/>
                <w:lang w:eastAsia="it-CH"/>
              </w:rPr>
              <w:t>9’921</w:t>
            </w:r>
          </w:p>
        </w:tc>
        <w:tc>
          <w:tcPr>
            <w:tcW w:w="399" w:type="pct"/>
            <w:tcBorders>
              <w:left w:val="single" w:sz="4" w:space="0" w:color="auto"/>
              <w:bottom w:val="single" w:sz="4" w:space="0" w:color="auto"/>
            </w:tcBorders>
            <w:vAlign w:val="center"/>
          </w:tcPr>
          <w:p w:rsidR="00F500DC" w:rsidRPr="000E39AB" w:rsidRDefault="00F500DC" w:rsidP="00F500DC">
            <w:pPr>
              <w:tabs>
                <w:tab w:val="left" w:pos="9486"/>
              </w:tabs>
              <w:ind w:right="57"/>
              <w:jc w:val="right"/>
              <w:rPr>
                <w:sz w:val="18"/>
                <w:szCs w:val="18"/>
                <w:lang w:eastAsia="it-CH"/>
              </w:rPr>
            </w:pPr>
            <w:r w:rsidRPr="000E39AB">
              <w:rPr>
                <w:sz w:val="18"/>
                <w:szCs w:val="18"/>
                <w:lang w:eastAsia="it-CH"/>
              </w:rPr>
              <w:t>10</w:t>
            </w:r>
            <w:r>
              <w:rPr>
                <w:sz w:val="18"/>
                <w:szCs w:val="18"/>
                <w:lang w:eastAsia="it-CH"/>
              </w:rPr>
              <w:t>’384</w:t>
            </w:r>
          </w:p>
        </w:tc>
        <w:tc>
          <w:tcPr>
            <w:tcW w:w="399" w:type="pct"/>
            <w:tcBorders>
              <w:left w:val="single" w:sz="4" w:space="0" w:color="auto"/>
              <w:bottom w:val="single" w:sz="4" w:space="0" w:color="auto"/>
            </w:tcBorders>
            <w:vAlign w:val="center"/>
          </w:tcPr>
          <w:p w:rsidR="00F500DC" w:rsidRPr="00681CC4" w:rsidRDefault="00F500DC" w:rsidP="00F500DC">
            <w:pPr>
              <w:tabs>
                <w:tab w:val="left" w:pos="9486"/>
              </w:tabs>
              <w:jc w:val="right"/>
              <w:rPr>
                <w:bCs/>
                <w:sz w:val="18"/>
                <w:szCs w:val="18"/>
                <w:lang w:eastAsia="it-CH"/>
              </w:rPr>
            </w:pPr>
            <w:r>
              <w:rPr>
                <w:bCs/>
                <w:sz w:val="18"/>
                <w:szCs w:val="18"/>
                <w:lang w:eastAsia="it-CH"/>
              </w:rPr>
              <w:t>11’450</w:t>
            </w:r>
          </w:p>
        </w:tc>
      </w:tr>
      <w:tr w:rsidR="00F500DC" w:rsidRPr="00DE7B1C" w:rsidTr="00F500DC">
        <w:trPr>
          <w:trHeight w:val="285"/>
          <w:jc w:val="center"/>
        </w:trPr>
        <w:tc>
          <w:tcPr>
            <w:tcW w:w="955" w:type="pct"/>
            <w:tcBorders>
              <w:top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F500DC" w:rsidRPr="004170B3" w:rsidRDefault="00F500DC" w:rsidP="00F500DC">
            <w:pPr>
              <w:tabs>
                <w:tab w:val="left" w:pos="9486"/>
              </w:tabs>
              <w:jc w:val="left"/>
              <w:rPr>
                <w:sz w:val="18"/>
                <w:szCs w:val="18"/>
              </w:rPr>
            </w:pPr>
            <w:r w:rsidRPr="004170B3">
              <w:rPr>
                <w:sz w:val="18"/>
                <w:szCs w:val="18"/>
                <w:lang w:eastAsia="it-CH"/>
              </w:rPr>
              <w:t>Ricerca competitiva</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4'329</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4'256</w:t>
            </w:r>
          </w:p>
        </w:tc>
        <w:tc>
          <w:tcPr>
            <w:tcW w:w="406"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4'390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6'157</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6'080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1057F8" w:rsidRDefault="00F500DC" w:rsidP="00F500DC">
            <w:pPr>
              <w:tabs>
                <w:tab w:val="left" w:pos="9486"/>
              </w:tabs>
              <w:ind w:right="57"/>
              <w:jc w:val="right"/>
              <w:rPr>
                <w:sz w:val="18"/>
                <w:szCs w:val="18"/>
                <w:lang w:eastAsia="it-CH"/>
              </w:rPr>
            </w:pPr>
            <w:r w:rsidRPr="001057F8">
              <w:rPr>
                <w:sz w:val="18"/>
                <w:szCs w:val="18"/>
                <w:lang w:eastAsia="it-CH"/>
              </w:rPr>
              <w:t>6’303</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1057F8" w:rsidRDefault="00F500DC" w:rsidP="00F500DC">
            <w:pPr>
              <w:tabs>
                <w:tab w:val="left" w:pos="9486"/>
              </w:tabs>
              <w:ind w:right="57"/>
              <w:jc w:val="right"/>
              <w:rPr>
                <w:sz w:val="18"/>
                <w:szCs w:val="18"/>
                <w:lang w:eastAsia="it-CH"/>
              </w:rPr>
            </w:pPr>
            <w:r w:rsidRPr="001057F8">
              <w:rPr>
                <w:sz w:val="18"/>
                <w:szCs w:val="18"/>
                <w:lang w:eastAsia="it-CH"/>
              </w:rPr>
              <w:t>6’770</w:t>
            </w:r>
          </w:p>
        </w:tc>
        <w:tc>
          <w:tcPr>
            <w:tcW w:w="406" w:type="pct"/>
            <w:tcBorders>
              <w:top w:val="single" w:sz="4" w:space="0" w:color="auto"/>
              <w:left w:val="single" w:sz="4" w:space="0" w:color="auto"/>
              <w:bottom w:val="single" w:sz="4" w:space="0" w:color="auto"/>
            </w:tcBorders>
            <w:vAlign w:val="center"/>
          </w:tcPr>
          <w:p w:rsidR="00F500DC" w:rsidRPr="001057F8" w:rsidRDefault="00F500DC" w:rsidP="00F500DC">
            <w:pPr>
              <w:tabs>
                <w:tab w:val="left" w:pos="9486"/>
              </w:tabs>
              <w:ind w:right="57"/>
              <w:jc w:val="right"/>
              <w:rPr>
                <w:sz w:val="18"/>
                <w:szCs w:val="18"/>
                <w:lang w:eastAsia="it-CH"/>
              </w:rPr>
            </w:pPr>
            <w:r w:rsidRPr="001057F8">
              <w:rPr>
                <w:sz w:val="18"/>
                <w:szCs w:val="18"/>
                <w:lang w:eastAsia="it-CH"/>
              </w:rPr>
              <w:t>6’848</w:t>
            </w:r>
          </w:p>
        </w:tc>
        <w:tc>
          <w:tcPr>
            <w:tcW w:w="399" w:type="pct"/>
            <w:tcBorders>
              <w:top w:val="single" w:sz="4" w:space="0" w:color="auto"/>
              <w:left w:val="single" w:sz="4" w:space="0" w:color="auto"/>
              <w:bottom w:val="single" w:sz="4" w:space="0" w:color="auto"/>
            </w:tcBorders>
            <w:vAlign w:val="center"/>
          </w:tcPr>
          <w:p w:rsidR="00F500DC" w:rsidRPr="000E39AB" w:rsidRDefault="00F500DC" w:rsidP="00F500DC">
            <w:pPr>
              <w:tabs>
                <w:tab w:val="left" w:pos="9486"/>
              </w:tabs>
              <w:ind w:right="57"/>
              <w:jc w:val="right"/>
              <w:rPr>
                <w:sz w:val="18"/>
                <w:szCs w:val="18"/>
                <w:lang w:eastAsia="it-CH"/>
              </w:rPr>
            </w:pPr>
            <w:r>
              <w:rPr>
                <w:sz w:val="18"/>
                <w:szCs w:val="18"/>
                <w:lang w:eastAsia="it-CH"/>
              </w:rPr>
              <w:t>6’929</w:t>
            </w:r>
          </w:p>
        </w:tc>
        <w:tc>
          <w:tcPr>
            <w:tcW w:w="399" w:type="pct"/>
            <w:tcBorders>
              <w:top w:val="single" w:sz="4" w:space="0" w:color="auto"/>
              <w:left w:val="single" w:sz="4" w:space="0" w:color="auto"/>
              <w:bottom w:val="single" w:sz="4" w:space="0" w:color="auto"/>
            </w:tcBorders>
            <w:vAlign w:val="center"/>
          </w:tcPr>
          <w:p w:rsidR="00F500DC" w:rsidRPr="00681CC4" w:rsidRDefault="00F500DC" w:rsidP="00F500DC">
            <w:pPr>
              <w:tabs>
                <w:tab w:val="left" w:pos="9486"/>
              </w:tabs>
              <w:jc w:val="right"/>
              <w:rPr>
                <w:bCs/>
                <w:sz w:val="18"/>
                <w:szCs w:val="18"/>
                <w:lang w:eastAsia="it-CH"/>
              </w:rPr>
            </w:pPr>
            <w:r>
              <w:rPr>
                <w:bCs/>
                <w:sz w:val="18"/>
                <w:szCs w:val="18"/>
                <w:lang w:eastAsia="it-CH"/>
              </w:rPr>
              <w:t>7’953</w:t>
            </w:r>
          </w:p>
        </w:tc>
      </w:tr>
      <w:tr w:rsidR="00F500DC" w:rsidRPr="00DE7B1C" w:rsidTr="00F500DC">
        <w:trPr>
          <w:trHeight w:val="285"/>
          <w:jc w:val="center"/>
        </w:trPr>
        <w:tc>
          <w:tcPr>
            <w:tcW w:w="955" w:type="pct"/>
            <w:tcBorders>
              <w:top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F500DC" w:rsidRPr="004170B3" w:rsidRDefault="00F500DC" w:rsidP="00F500DC">
            <w:pPr>
              <w:tabs>
                <w:tab w:val="left" w:pos="9486"/>
              </w:tabs>
              <w:jc w:val="left"/>
              <w:rPr>
                <w:sz w:val="18"/>
                <w:szCs w:val="18"/>
              </w:rPr>
            </w:pPr>
            <w:r w:rsidRPr="004170B3">
              <w:rPr>
                <w:sz w:val="18"/>
                <w:szCs w:val="18"/>
                <w:lang w:eastAsia="it-CH"/>
              </w:rPr>
              <w:t>Vantaggio di ubicazione</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1'882</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2'036</w:t>
            </w:r>
          </w:p>
        </w:tc>
        <w:tc>
          <w:tcPr>
            <w:tcW w:w="406"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2'043</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2'039</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1'992</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1057F8" w:rsidRDefault="00F500DC" w:rsidP="00F500DC">
            <w:pPr>
              <w:tabs>
                <w:tab w:val="left" w:pos="9486"/>
              </w:tabs>
              <w:ind w:right="57"/>
              <w:jc w:val="right"/>
              <w:rPr>
                <w:sz w:val="18"/>
                <w:szCs w:val="18"/>
                <w:lang w:eastAsia="it-CH"/>
              </w:rPr>
            </w:pPr>
            <w:r w:rsidRPr="001057F8">
              <w:rPr>
                <w:sz w:val="18"/>
                <w:szCs w:val="18"/>
                <w:lang w:eastAsia="it-CH"/>
              </w:rPr>
              <w:t>1’995</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1057F8" w:rsidRDefault="00F500DC" w:rsidP="00F500DC">
            <w:pPr>
              <w:tabs>
                <w:tab w:val="left" w:pos="9486"/>
              </w:tabs>
              <w:ind w:right="57"/>
              <w:jc w:val="right"/>
              <w:rPr>
                <w:sz w:val="18"/>
                <w:szCs w:val="18"/>
                <w:lang w:eastAsia="it-CH"/>
              </w:rPr>
            </w:pPr>
            <w:r w:rsidRPr="001057F8">
              <w:rPr>
                <w:sz w:val="18"/>
                <w:szCs w:val="18"/>
                <w:lang w:eastAsia="it-CH"/>
              </w:rPr>
              <w:t>2’059</w:t>
            </w:r>
          </w:p>
        </w:tc>
        <w:tc>
          <w:tcPr>
            <w:tcW w:w="406" w:type="pct"/>
            <w:tcBorders>
              <w:top w:val="single" w:sz="4" w:space="0" w:color="auto"/>
              <w:left w:val="single" w:sz="4" w:space="0" w:color="auto"/>
              <w:bottom w:val="single" w:sz="4" w:space="0" w:color="auto"/>
            </w:tcBorders>
            <w:vAlign w:val="center"/>
          </w:tcPr>
          <w:p w:rsidR="00F500DC" w:rsidRPr="001057F8" w:rsidRDefault="00F500DC" w:rsidP="00F500DC">
            <w:pPr>
              <w:tabs>
                <w:tab w:val="left" w:pos="9486"/>
              </w:tabs>
              <w:ind w:right="57"/>
              <w:jc w:val="right"/>
              <w:rPr>
                <w:sz w:val="18"/>
                <w:szCs w:val="18"/>
                <w:lang w:eastAsia="it-CH"/>
              </w:rPr>
            </w:pPr>
            <w:r w:rsidRPr="001057F8">
              <w:rPr>
                <w:sz w:val="18"/>
                <w:szCs w:val="18"/>
                <w:lang w:eastAsia="it-CH"/>
              </w:rPr>
              <w:t>2’161</w:t>
            </w:r>
          </w:p>
        </w:tc>
        <w:tc>
          <w:tcPr>
            <w:tcW w:w="399" w:type="pct"/>
            <w:tcBorders>
              <w:top w:val="single" w:sz="4" w:space="0" w:color="auto"/>
              <w:left w:val="single" w:sz="4" w:space="0" w:color="auto"/>
              <w:bottom w:val="single" w:sz="4" w:space="0" w:color="auto"/>
            </w:tcBorders>
            <w:vAlign w:val="center"/>
          </w:tcPr>
          <w:p w:rsidR="00F500DC" w:rsidRPr="000E39AB" w:rsidRDefault="00F500DC" w:rsidP="00F500DC">
            <w:pPr>
              <w:tabs>
                <w:tab w:val="left" w:pos="9486"/>
              </w:tabs>
              <w:ind w:right="57"/>
              <w:jc w:val="right"/>
              <w:rPr>
                <w:sz w:val="18"/>
                <w:szCs w:val="18"/>
                <w:lang w:eastAsia="it-CH"/>
              </w:rPr>
            </w:pPr>
            <w:r>
              <w:rPr>
                <w:sz w:val="18"/>
                <w:szCs w:val="18"/>
                <w:lang w:eastAsia="it-CH"/>
              </w:rPr>
              <w:t>2’322</w:t>
            </w:r>
          </w:p>
        </w:tc>
        <w:tc>
          <w:tcPr>
            <w:tcW w:w="399" w:type="pct"/>
            <w:tcBorders>
              <w:top w:val="single" w:sz="4" w:space="0" w:color="auto"/>
              <w:left w:val="single" w:sz="4" w:space="0" w:color="auto"/>
              <w:bottom w:val="single" w:sz="4" w:space="0" w:color="auto"/>
            </w:tcBorders>
            <w:vAlign w:val="center"/>
          </w:tcPr>
          <w:p w:rsidR="00F500DC" w:rsidRPr="00681CC4" w:rsidRDefault="00F500DC" w:rsidP="00F500DC">
            <w:pPr>
              <w:tabs>
                <w:tab w:val="left" w:pos="9486"/>
              </w:tabs>
              <w:jc w:val="right"/>
              <w:rPr>
                <w:bCs/>
                <w:sz w:val="18"/>
                <w:szCs w:val="18"/>
                <w:lang w:eastAsia="it-CH"/>
              </w:rPr>
            </w:pPr>
            <w:r>
              <w:rPr>
                <w:bCs/>
                <w:sz w:val="18"/>
                <w:szCs w:val="18"/>
                <w:lang w:eastAsia="it-CH"/>
              </w:rPr>
              <w:t>2’498</w:t>
            </w:r>
          </w:p>
        </w:tc>
      </w:tr>
      <w:tr w:rsidR="00F500DC" w:rsidRPr="00DE7B1C" w:rsidTr="00F500DC">
        <w:trPr>
          <w:trHeight w:val="285"/>
          <w:jc w:val="center"/>
        </w:trPr>
        <w:tc>
          <w:tcPr>
            <w:tcW w:w="955" w:type="pct"/>
            <w:tcBorders>
              <w:top w:val="single" w:sz="4" w:space="0" w:color="auto"/>
              <w:bottom w:val="single" w:sz="4" w:space="0" w:color="auto"/>
              <w:right w:val="single" w:sz="4" w:space="0" w:color="auto"/>
            </w:tcBorders>
            <w:noWrap/>
            <w:tcMar>
              <w:top w:w="0" w:type="dxa"/>
              <w:left w:w="70" w:type="dxa"/>
              <w:bottom w:w="0" w:type="dxa"/>
              <w:right w:w="70" w:type="dxa"/>
            </w:tcMar>
            <w:vAlign w:val="center"/>
          </w:tcPr>
          <w:p w:rsidR="00F500DC" w:rsidRPr="004170B3" w:rsidRDefault="00F500DC" w:rsidP="00F500DC">
            <w:pPr>
              <w:tabs>
                <w:tab w:val="left" w:pos="9486"/>
              </w:tabs>
              <w:jc w:val="left"/>
              <w:rPr>
                <w:sz w:val="18"/>
                <w:szCs w:val="18"/>
                <w:lang w:eastAsia="it-CH"/>
              </w:rPr>
            </w:pPr>
            <w:r w:rsidRPr="004170B3">
              <w:rPr>
                <w:sz w:val="18"/>
                <w:szCs w:val="18"/>
                <w:lang w:eastAsia="it-CH"/>
              </w:rPr>
              <w:t>Attività culturali</w:t>
            </w:r>
            <w:r w:rsidRPr="004170B3">
              <w:rPr>
                <w:rStyle w:val="Rimandonotaapidipagina"/>
                <w:sz w:val="18"/>
                <w:szCs w:val="18"/>
                <w:lang w:eastAsia="it-CH"/>
              </w:rPr>
              <w:footnoteReference w:id="1"/>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1057F8" w:rsidRDefault="00F500DC" w:rsidP="00F500DC">
            <w:pPr>
              <w:tabs>
                <w:tab w:val="left" w:pos="9486"/>
              </w:tabs>
              <w:jc w:val="right"/>
              <w:rPr>
                <w:sz w:val="18"/>
                <w:szCs w:val="18"/>
                <w:lang w:eastAsia="it-CH"/>
              </w:rPr>
            </w:pPr>
            <w:r w:rsidRPr="001057F8">
              <w:rPr>
                <w:sz w:val="18"/>
                <w:szCs w:val="18"/>
                <w:lang w:eastAsia="it-CH"/>
              </w:rPr>
              <w:t>500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1057F8" w:rsidRDefault="00F500DC" w:rsidP="00F500DC">
            <w:pPr>
              <w:tabs>
                <w:tab w:val="left" w:pos="9486"/>
              </w:tabs>
              <w:jc w:val="right"/>
              <w:rPr>
                <w:sz w:val="18"/>
                <w:szCs w:val="18"/>
                <w:lang w:eastAsia="it-CH"/>
              </w:rPr>
            </w:pPr>
            <w:r w:rsidRPr="001057F8">
              <w:rPr>
                <w:sz w:val="18"/>
                <w:szCs w:val="18"/>
                <w:lang w:eastAsia="it-CH"/>
              </w:rPr>
              <w:t>500</w:t>
            </w:r>
          </w:p>
        </w:tc>
        <w:tc>
          <w:tcPr>
            <w:tcW w:w="406"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500DC" w:rsidRPr="001057F8" w:rsidRDefault="00F500DC" w:rsidP="00F500DC">
            <w:pPr>
              <w:tabs>
                <w:tab w:val="left" w:pos="9486"/>
              </w:tabs>
              <w:jc w:val="right"/>
              <w:rPr>
                <w:sz w:val="18"/>
                <w:szCs w:val="18"/>
                <w:lang w:eastAsia="it-CH"/>
              </w:rPr>
            </w:pPr>
            <w:r w:rsidRPr="001057F8">
              <w:rPr>
                <w:sz w:val="18"/>
                <w:szCs w:val="18"/>
                <w:lang w:eastAsia="it-CH"/>
              </w:rPr>
              <w:t>500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1057F8" w:rsidRDefault="00F500DC" w:rsidP="00F500DC">
            <w:pPr>
              <w:tabs>
                <w:tab w:val="left" w:pos="9486"/>
              </w:tabs>
              <w:jc w:val="right"/>
              <w:rPr>
                <w:sz w:val="18"/>
                <w:szCs w:val="18"/>
                <w:lang w:eastAsia="it-CH"/>
              </w:rPr>
            </w:pPr>
            <w:r w:rsidRPr="001057F8">
              <w:rPr>
                <w:sz w:val="18"/>
                <w:szCs w:val="18"/>
                <w:lang w:eastAsia="it-CH"/>
              </w:rPr>
              <w:t>500</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F500DC" w:rsidRPr="001057F8" w:rsidRDefault="00F500DC" w:rsidP="00F500DC">
            <w:pPr>
              <w:tabs>
                <w:tab w:val="left" w:pos="9486"/>
              </w:tabs>
              <w:jc w:val="right"/>
              <w:rPr>
                <w:sz w:val="18"/>
                <w:szCs w:val="18"/>
                <w:lang w:eastAsia="it-CH"/>
              </w:rPr>
            </w:pPr>
            <w:r w:rsidRPr="001057F8">
              <w:rPr>
                <w:sz w:val="18"/>
                <w:szCs w:val="18"/>
                <w:lang w:eastAsia="it-CH"/>
              </w:rPr>
              <w:t>500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1057F8" w:rsidRDefault="00F500DC" w:rsidP="00F500DC">
            <w:pPr>
              <w:tabs>
                <w:tab w:val="left" w:pos="9486"/>
              </w:tabs>
              <w:ind w:right="57"/>
              <w:jc w:val="right"/>
              <w:rPr>
                <w:sz w:val="18"/>
                <w:szCs w:val="18"/>
                <w:lang w:eastAsia="it-CH"/>
              </w:rPr>
            </w:pPr>
            <w:r w:rsidRPr="001057F8">
              <w:rPr>
                <w:sz w:val="18"/>
                <w:szCs w:val="18"/>
                <w:lang w:eastAsia="it-CH"/>
              </w:rPr>
              <w:t>500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1057F8" w:rsidRDefault="00F500DC" w:rsidP="00F500DC">
            <w:pPr>
              <w:tabs>
                <w:tab w:val="left" w:pos="9486"/>
              </w:tabs>
              <w:ind w:right="57"/>
              <w:jc w:val="right"/>
              <w:rPr>
                <w:sz w:val="18"/>
                <w:szCs w:val="18"/>
                <w:lang w:eastAsia="it-CH"/>
              </w:rPr>
            </w:pPr>
            <w:r w:rsidRPr="001057F8">
              <w:rPr>
                <w:sz w:val="18"/>
                <w:szCs w:val="18"/>
                <w:lang w:eastAsia="it-CH"/>
              </w:rPr>
              <w:t>500</w:t>
            </w:r>
          </w:p>
        </w:tc>
        <w:tc>
          <w:tcPr>
            <w:tcW w:w="406" w:type="pct"/>
            <w:tcBorders>
              <w:top w:val="single" w:sz="4" w:space="0" w:color="auto"/>
              <w:left w:val="single" w:sz="4" w:space="0" w:color="auto"/>
              <w:bottom w:val="single" w:sz="4" w:space="0" w:color="auto"/>
            </w:tcBorders>
            <w:vAlign w:val="center"/>
          </w:tcPr>
          <w:p w:rsidR="00F500DC" w:rsidRPr="001057F8" w:rsidRDefault="00F500DC" w:rsidP="00F500DC">
            <w:pPr>
              <w:tabs>
                <w:tab w:val="left" w:pos="9486"/>
              </w:tabs>
              <w:ind w:right="57"/>
              <w:jc w:val="right"/>
              <w:rPr>
                <w:sz w:val="18"/>
                <w:szCs w:val="18"/>
                <w:lang w:eastAsia="it-CH"/>
              </w:rPr>
            </w:pPr>
            <w:r w:rsidRPr="001057F8">
              <w:rPr>
                <w:sz w:val="18"/>
                <w:szCs w:val="18"/>
                <w:lang w:eastAsia="it-CH"/>
              </w:rPr>
              <w:t>500</w:t>
            </w:r>
          </w:p>
        </w:tc>
        <w:tc>
          <w:tcPr>
            <w:tcW w:w="399" w:type="pct"/>
            <w:tcBorders>
              <w:top w:val="single" w:sz="4" w:space="0" w:color="auto"/>
              <w:left w:val="single" w:sz="4" w:space="0" w:color="auto"/>
              <w:bottom w:val="single" w:sz="4" w:space="0" w:color="auto"/>
            </w:tcBorders>
            <w:vAlign w:val="center"/>
          </w:tcPr>
          <w:p w:rsidR="00F500DC" w:rsidRPr="000E39AB" w:rsidRDefault="00F500DC" w:rsidP="00F500DC">
            <w:pPr>
              <w:tabs>
                <w:tab w:val="left" w:pos="9486"/>
              </w:tabs>
              <w:ind w:right="57"/>
              <w:jc w:val="right"/>
              <w:rPr>
                <w:sz w:val="18"/>
                <w:szCs w:val="18"/>
                <w:lang w:eastAsia="it-CH"/>
              </w:rPr>
            </w:pPr>
            <w:r>
              <w:rPr>
                <w:sz w:val="18"/>
                <w:szCs w:val="18"/>
                <w:lang w:eastAsia="it-CH"/>
              </w:rPr>
              <w:t>500</w:t>
            </w:r>
          </w:p>
        </w:tc>
        <w:tc>
          <w:tcPr>
            <w:tcW w:w="399" w:type="pct"/>
            <w:tcBorders>
              <w:top w:val="single" w:sz="4" w:space="0" w:color="auto"/>
              <w:left w:val="single" w:sz="4" w:space="0" w:color="auto"/>
              <w:bottom w:val="single" w:sz="4" w:space="0" w:color="auto"/>
            </w:tcBorders>
            <w:vAlign w:val="center"/>
          </w:tcPr>
          <w:p w:rsidR="00F500DC" w:rsidRPr="00681CC4" w:rsidRDefault="00F500DC" w:rsidP="00F500DC">
            <w:pPr>
              <w:tabs>
                <w:tab w:val="left" w:pos="9486"/>
              </w:tabs>
              <w:jc w:val="right"/>
              <w:rPr>
                <w:bCs/>
                <w:sz w:val="18"/>
                <w:szCs w:val="18"/>
                <w:lang w:eastAsia="it-CH"/>
              </w:rPr>
            </w:pPr>
            <w:r>
              <w:rPr>
                <w:bCs/>
                <w:sz w:val="18"/>
                <w:szCs w:val="18"/>
                <w:lang w:eastAsia="it-CH"/>
              </w:rPr>
              <w:t>500</w:t>
            </w:r>
          </w:p>
        </w:tc>
      </w:tr>
      <w:tr w:rsidR="00F500DC" w:rsidRPr="00DE7B1C" w:rsidTr="00F500DC">
        <w:trPr>
          <w:trHeight w:val="285"/>
          <w:jc w:val="center"/>
        </w:trPr>
        <w:tc>
          <w:tcPr>
            <w:tcW w:w="955" w:type="pct"/>
            <w:tcBorders>
              <w:top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F500DC" w:rsidRPr="004170B3" w:rsidRDefault="00F500DC" w:rsidP="00F500DC">
            <w:pPr>
              <w:tabs>
                <w:tab w:val="left" w:pos="9486"/>
              </w:tabs>
              <w:jc w:val="left"/>
              <w:rPr>
                <w:sz w:val="18"/>
                <w:szCs w:val="18"/>
              </w:rPr>
            </w:pPr>
            <w:r w:rsidRPr="004170B3">
              <w:rPr>
                <w:sz w:val="18"/>
                <w:szCs w:val="18"/>
                <w:lang w:eastAsia="it-CH"/>
              </w:rPr>
              <w:t>Attività innovative e sviluppo</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rPr>
              <w:t>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1057F8" w:rsidRDefault="00F500DC" w:rsidP="00F500DC">
            <w:pPr>
              <w:tabs>
                <w:tab w:val="left" w:pos="9486"/>
              </w:tabs>
              <w:ind w:right="57"/>
              <w:jc w:val="right"/>
              <w:rPr>
                <w:sz w:val="18"/>
                <w:szCs w:val="18"/>
              </w:rPr>
            </w:pPr>
            <w:r w:rsidRPr="001057F8">
              <w:rPr>
                <w:sz w:val="18"/>
                <w:szCs w:val="18"/>
              </w:rPr>
              <w:t>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1057F8" w:rsidRDefault="00F500DC" w:rsidP="00F500DC">
            <w:pPr>
              <w:tabs>
                <w:tab w:val="left" w:pos="9486"/>
              </w:tabs>
              <w:ind w:right="57"/>
              <w:jc w:val="right"/>
              <w:rPr>
                <w:sz w:val="18"/>
                <w:szCs w:val="18"/>
              </w:rPr>
            </w:pPr>
            <w:r w:rsidRPr="001057F8">
              <w:rPr>
                <w:sz w:val="18"/>
                <w:szCs w:val="18"/>
              </w:rPr>
              <w:t>0</w:t>
            </w:r>
          </w:p>
        </w:tc>
        <w:tc>
          <w:tcPr>
            <w:tcW w:w="406" w:type="pct"/>
            <w:tcBorders>
              <w:top w:val="single" w:sz="4" w:space="0" w:color="auto"/>
              <w:left w:val="single" w:sz="4" w:space="0" w:color="auto"/>
              <w:bottom w:val="single" w:sz="4" w:space="0" w:color="auto"/>
            </w:tcBorders>
            <w:vAlign w:val="center"/>
          </w:tcPr>
          <w:p w:rsidR="00F500DC" w:rsidRPr="001057F8" w:rsidRDefault="00F500DC" w:rsidP="00F500DC">
            <w:pPr>
              <w:tabs>
                <w:tab w:val="left" w:pos="9486"/>
              </w:tabs>
              <w:ind w:right="57"/>
              <w:jc w:val="right"/>
              <w:rPr>
                <w:sz w:val="18"/>
                <w:szCs w:val="18"/>
              </w:rPr>
            </w:pPr>
            <w:r w:rsidRPr="001057F8">
              <w:rPr>
                <w:sz w:val="18"/>
                <w:szCs w:val="18"/>
              </w:rPr>
              <w:t>0</w:t>
            </w:r>
          </w:p>
        </w:tc>
        <w:tc>
          <w:tcPr>
            <w:tcW w:w="399" w:type="pct"/>
            <w:tcBorders>
              <w:top w:val="single" w:sz="4" w:space="0" w:color="auto"/>
              <w:left w:val="single" w:sz="4" w:space="0" w:color="auto"/>
              <w:bottom w:val="single" w:sz="4" w:space="0" w:color="auto"/>
            </w:tcBorders>
            <w:vAlign w:val="center"/>
          </w:tcPr>
          <w:p w:rsidR="00F500DC" w:rsidRPr="000E39AB" w:rsidRDefault="00F500DC" w:rsidP="00F500DC">
            <w:pPr>
              <w:tabs>
                <w:tab w:val="left" w:pos="9486"/>
              </w:tabs>
              <w:ind w:right="57"/>
              <w:jc w:val="right"/>
              <w:rPr>
                <w:sz w:val="18"/>
                <w:szCs w:val="18"/>
                <w:lang w:eastAsia="it-CH"/>
              </w:rPr>
            </w:pPr>
            <w:r>
              <w:rPr>
                <w:sz w:val="18"/>
                <w:szCs w:val="18"/>
                <w:lang w:eastAsia="it-CH"/>
              </w:rPr>
              <w:t>0</w:t>
            </w:r>
          </w:p>
        </w:tc>
        <w:tc>
          <w:tcPr>
            <w:tcW w:w="399" w:type="pct"/>
            <w:tcBorders>
              <w:top w:val="single" w:sz="4" w:space="0" w:color="auto"/>
              <w:left w:val="single" w:sz="4" w:space="0" w:color="auto"/>
              <w:bottom w:val="single" w:sz="4" w:space="0" w:color="auto"/>
            </w:tcBorders>
            <w:vAlign w:val="center"/>
          </w:tcPr>
          <w:p w:rsidR="00F500DC" w:rsidRPr="00681CC4" w:rsidRDefault="00F500DC" w:rsidP="00F500DC">
            <w:pPr>
              <w:tabs>
                <w:tab w:val="left" w:pos="9486"/>
              </w:tabs>
              <w:jc w:val="right"/>
              <w:rPr>
                <w:bCs/>
                <w:sz w:val="18"/>
                <w:szCs w:val="18"/>
                <w:lang w:eastAsia="it-CH"/>
              </w:rPr>
            </w:pPr>
            <w:r w:rsidRPr="00681CC4">
              <w:rPr>
                <w:bCs/>
                <w:sz w:val="18"/>
                <w:szCs w:val="18"/>
                <w:lang w:eastAsia="it-CH"/>
              </w:rPr>
              <w:t>0</w:t>
            </w:r>
          </w:p>
        </w:tc>
      </w:tr>
      <w:tr w:rsidR="00F500DC" w:rsidRPr="00DE7B1C" w:rsidTr="00F500DC">
        <w:trPr>
          <w:trHeight w:val="285"/>
          <w:jc w:val="center"/>
        </w:trPr>
        <w:tc>
          <w:tcPr>
            <w:tcW w:w="955" w:type="pct"/>
            <w:tcBorders>
              <w:top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F500DC" w:rsidRPr="004170B3" w:rsidRDefault="00F500DC" w:rsidP="00F500DC">
            <w:pPr>
              <w:tabs>
                <w:tab w:val="left" w:pos="9486"/>
              </w:tabs>
              <w:jc w:val="left"/>
              <w:rPr>
                <w:rFonts w:eastAsia="Calibri" w:cs="Arial"/>
                <w:sz w:val="18"/>
                <w:szCs w:val="18"/>
              </w:rPr>
            </w:pPr>
            <w:r w:rsidRPr="004170B3">
              <w:rPr>
                <w:sz w:val="18"/>
                <w:szCs w:val="18"/>
                <w:lang w:eastAsia="it-CH"/>
              </w:rPr>
              <w:t>Contributo IRB</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2'121</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2'185</w:t>
            </w:r>
          </w:p>
        </w:tc>
        <w:tc>
          <w:tcPr>
            <w:tcW w:w="406"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2'251</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2'251</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F500DC" w:rsidRPr="001057F8" w:rsidRDefault="00F500DC" w:rsidP="00F500DC">
            <w:pPr>
              <w:tabs>
                <w:tab w:val="left" w:pos="9486"/>
              </w:tabs>
              <w:jc w:val="right"/>
              <w:rPr>
                <w:sz w:val="18"/>
                <w:szCs w:val="18"/>
              </w:rPr>
            </w:pPr>
            <w:r w:rsidRPr="001057F8">
              <w:rPr>
                <w:sz w:val="18"/>
                <w:szCs w:val="18"/>
                <w:lang w:eastAsia="it-CH"/>
              </w:rPr>
              <w:t>2'251</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1057F8" w:rsidRDefault="00F500DC" w:rsidP="00F500DC">
            <w:pPr>
              <w:tabs>
                <w:tab w:val="left" w:pos="9486"/>
              </w:tabs>
              <w:ind w:right="57"/>
              <w:jc w:val="right"/>
              <w:rPr>
                <w:sz w:val="18"/>
                <w:szCs w:val="18"/>
                <w:lang w:eastAsia="it-CH"/>
              </w:rPr>
            </w:pPr>
            <w:r w:rsidRPr="001057F8">
              <w:rPr>
                <w:sz w:val="18"/>
                <w:szCs w:val="18"/>
                <w:lang w:eastAsia="it-CH"/>
              </w:rPr>
              <w:t>2’251</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1057F8" w:rsidRDefault="00F500DC" w:rsidP="00F500DC">
            <w:pPr>
              <w:tabs>
                <w:tab w:val="left" w:pos="9486"/>
              </w:tabs>
              <w:ind w:right="57"/>
              <w:jc w:val="right"/>
              <w:rPr>
                <w:sz w:val="18"/>
                <w:szCs w:val="18"/>
                <w:lang w:eastAsia="it-CH"/>
              </w:rPr>
            </w:pPr>
            <w:r w:rsidRPr="001057F8">
              <w:rPr>
                <w:sz w:val="18"/>
                <w:szCs w:val="18"/>
                <w:lang w:eastAsia="it-CH"/>
              </w:rPr>
              <w:t>2’251</w:t>
            </w:r>
          </w:p>
        </w:tc>
        <w:tc>
          <w:tcPr>
            <w:tcW w:w="406" w:type="pct"/>
            <w:tcBorders>
              <w:top w:val="single" w:sz="4" w:space="0" w:color="auto"/>
              <w:left w:val="single" w:sz="4" w:space="0" w:color="auto"/>
              <w:bottom w:val="single" w:sz="4" w:space="0" w:color="auto"/>
            </w:tcBorders>
            <w:vAlign w:val="center"/>
          </w:tcPr>
          <w:p w:rsidR="00F500DC" w:rsidRPr="001057F8" w:rsidRDefault="00F500DC" w:rsidP="00F500DC">
            <w:pPr>
              <w:tabs>
                <w:tab w:val="left" w:pos="9486"/>
              </w:tabs>
              <w:ind w:right="57"/>
              <w:jc w:val="right"/>
              <w:rPr>
                <w:sz w:val="18"/>
                <w:szCs w:val="18"/>
                <w:lang w:eastAsia="it-CH"/>
              </w:rPr>
            </w:pPr>
            <w:r w:rsidRPr="001057F8">
              <w:rPr>
                <w:sz w:val="18"/>
                <w:szCs w:val="18"/>
                <w:lang w:eastAsia="it-CH"/>
              </w:rPr>
              <w:t>2’255</w:t>
            </w:r>
          </w:p>
        </w:tc>
        <w:tc>
          <w:tcPr>
            <w:tcW w:w="399" w:type="pct"/>
            <w:tcBorders>
              <w:top w:val="single" w:sz="4" w:space="0" w:color="auto"/>
              <w:left w:val="single" w:sz="4" w:space="0" w:color="auto"/>
              <w:bottom w:val="single" w:sz="4" w:space="0" w:color="auto"/>
            </w:tcBorders>
            <w:vAlign w:val="center"/>
          </w:tcPr>
          <w:p w:rsidR="00F500DC" w:rsidRPr="000E39AB" w:rsidRDefault="00F500DC" w:rsidP="00F500DC">
            <w:pPr>
              <w:tabs>
                <w:tab w:val="left" w:pos="9486"/>
              </w:tabs>
              <w:ind w:right="57"/>
              <w:jc w:val="right"/>
              <w:rPr>
                <w:sz w:val="18"/>
                <w:szCs w:val="18"/>
                <w:lang w:eastAsia="it-CH"/>
              </w:rPr>
            </w:pPr>
            <w:r>
              <w:rPr>
                <w:sz w:val="18"/>
                <w:szCs w:val="18"/>
                <w:lang w:eastAsia="it-CH"/>
              </w:rPr>
              <w:t>2’311</w:t>
            </w:r>
          </w:p>
        </w:tc>
        <w:tc>
          <w:tcPr>
            <w:tcW w:w="399" w:type="pct"/>
            <w:tcBorders>
              <w:top w:val="single" w:sz="4" w:space="0" w:color="auto"/>
              <w:left w:val="single" w:sz="4" w:space="0" w:color="auto"/>
              <w:bottom w:val="single" w:sz="4" w:space="0" w:color="auto"/>
            </w:tcBorders>
            <w:vAlign w:val="center"/>
          </w:tcPr>
          <w:p w:rsidR="00F500DC" w:rsidRPr="00681CC4" w:rsidRDefault="00F500DC" w:rsidP="00F500DC">
            <w:pPr>
              <w:tabs>
                <w:tab w:val="left" w:pos="9486"/>
              </w:tabs>
              <w:jc w:val="right"/>
              <w:rPr>
                <w:bCs/>
                <w:sz w:val="18"/>
                <w:szCs w:val="18"/>
                <w:lang w:eastAsia="it-CH"/>
              </w:rPr>
            </w:pPr>
            <w:r w:rsidRPr="00681CC4">
              <w:rPr>
                <w:bCs/>
                <w:sz w:val="18"/>
                <w:szCs w:val="18"/>
                <w:lang w:eastAsia="it-CH"/>
              </w:rPr>
              <w:t>2’369</w:t>
            </w:r>
          </w:p>
        </w:tc>
      </w:tr>
      <w:tr w:rsidR="00F500DC" w:rsidRPr="00DE7B1C" w:rsidTr="00F500DC">
        <w:trPr>
          <w:trHeight w:val="285"/>
          <w:jc w:val="center"/>
        </w:trPr>
        <w:tc>
          <w:tcPr>
            <w:tcW w:w="955" w:type="pct"/>
            <w:tcBorders>
              <w:top w:val="single" w:sz="4" w:space="0" w:color="auto"/>
              <w:bottom w:val="single" w:sz="4" w:space="0" w:color="auto"/>
              <w:right w:val="single" w:sz="4" w:space="0" w:color="auto"/>
            </w:tcBorders>
            <w:noWrap/>
            <w:tcMar>
              <w:top w:w="0" w:type="dxa"/>
              <w:left w:w="70" w:type="dxa"/>
              <w:bottom w:w="0" w:type="dxa"/>
              <w:right w:w="70" w:type="dxa"/>
            </w:tcMar>
            <w:vAlign w:val="center"/>
          </w:tcPr>
          <w:p w:rsidR="00F500DC" w:rsidRPr="004170B3" w:rsidRDefault="00F500DC" w:rsidP="00F500DC">
            <w:pPr>
              <w:tabs>
                <w:tab w:val="left" w:pos="9486"/>
              </w:tabs>
              <w:jc w:val="left"/>
              <w:rPr>
                <w:sz w:val="18"/>
                <w:szCs w:val="18"/>
                <w:lang w:eastAsia="it-CH"/>
              </w:rPr>
            </w:pPr>
            <w:r w:rsidRPr="004170B3">
              <w:rPr>
                <w:sz w:val="18"/>
                <w:szCs w:val="18"/>
                <w:lang w:eastAsia="it-CH"/>
              </w:rPr>
              <w:t>Contributo IOR</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1057F8" w:rsidRDefault="00F500DC" w:rsidP="00F500DC">
            <w:pPr>
              <w:tabs>
                <w:tab w:val="left" w:pos="9486"/>
              </w:tabs>
              <w:jc w:val="right"/>
              <w:rPr>
                <w:sz w:val="18"/>
                <w:szCs w:val="18"/>
                <w:lang w:eastAsia="it-CH"/>
              </w:rPr>
            </w:pPr>
            <w:r w:rsidRPr="001057F8">
              <w:rPr>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1057F8" w:rsidRDefault="00F500DC" w:rsidP="00F500DC">
            <w:pPr>
              <w:tabs>
                <w:tab w:val="left" w:pos="9486"/>
              </w:tabs>
              <w:jc w:val="right"/>
              <w:rPr>
                <w:sz w:val="18"/>
                <w:szCs w:val="18"/>
                <w:lang w:eastAsia="it-CH"/>
              </w:rPr>
            </w:pPr>
            <w:r w:rsidRPr="001057F8">
              <w:rPr>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500DC" w:rsidRPr="001057F8" w:rsidRDefault="00F500DC" w:rsidP="00F500DC">
            <w:pPr>
              <w:tabs>
                <w:tab w:val="left" w:pos="9486"/>
              </w:tabs>
              <w:jc w:val="right"/>
              <w:rPr>
                <w:sz w:val="18"/>
                <w:szCs w:val="18"/>
                <w:lang w:eastAsia="it-CH"/>
              </w:rPr>
            </w:pPr>
            <w:r w:rsidRPr="001057F8">
              <w:rPr>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1057F8" w:rsidRDefault="00F500DC" w:rsidP="00F500DC">
            <w:pPr>
              <w:tabs>
                <w:tab w:val="left" w:pos="9486"/>
              </w:tabs>
              <w:jc w:val="right"/>
              <w:rPr>
                <w:sz w:val="18"/>
                <w:szCs w:val="18"/>
                <w:lang w:eastAsia="it-CH"/>
              </w:rPr>
            </w:pPr>
            <w:r w:rsidRPr="001057F8">
              <w:rPr>
                <w:sz w:val="18"/>
                <w:szCs w:val="18"/>
                <w:lang w:eastAsia="it-CH"/>
              </w:rPr>
              <w:t>650</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F500DC" w:rsidRPr="001057F8" w:rsidRDefault="00F500DC" w:rsidP="00F500DC">
            <w:pPr>
              <w:tabs>
                <w:tab w:val="left" w:pos="9486"/>
              </w:tabs>
              <w:jc w:val="right"/>
              <w:rPr>
                <w:sz w:val="18"/>
                <w:szCs w:val="18"/>
                <w:lang w:eastAsia="it-CH"/>
              </w:rPr>
            </w:pPr>
            <w:r w:rsidRPr="001057F8">
              <w:rPr>
                <w:sz w:val="18"/>
                <w:szCs w:val="18"/>
                <w:lang w:eastAsia="it-CH"/>
              </w:rPr>
              <w:t>650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1057F8" w:rsidRDefault="00F500DC" w:rsidP="00F500DC">
            <w:pPr>
              <w:tabs>
                <w:tab w:val="left" w:pos="9486"/>
              </w:tabs>
              <w:ind w:right="57"/>
              <w:jc w:val="right"/>
              <w:rPr>
                <w:sz w:val="18"/>
                <w:szCs w:val="18"/>
                <w:lang w:eastAsia="it-CH"/>
              </w:rPr>
            </w:pPr>
            <w:r w:rsidRPr="001057F8">
              <w:rPr>
                <w:sz w:val="18"/>
                <w:szCs w:val="18"/>
                <w:lang w:eastAsia="it-CH"/>
              </w:rPr>
              <w:t>750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1057F8" w:rsidRDefault="00F500DC" w:rsidP="00F500DC">
            <w:pPr>
              <w:tabs>
                <w:tab w:val="left" w:pos="9486"/>
              </w:tabs>
              <w:ind w:right="57"/>
              <w:jc w:val="right"/>
              <w:rPr>
                <w:sz w:val="18"/>
                <w:szCs w:val="18"/>
                <w:lang w:eastAsia="it-CH"/>
              </w:rPr>
            </w:pPr>
            <w:r w:rsidRPr="001057F8">
              <w:rPr>
                <w:sz w:val="18"/>
                <w:szCs w:val="18"/>
                <w:lang w:eastAsia="it-CH"/>
              </w:rPr>
              <w:t>750</w:t>
            </w:r>
          </w:p>
        </w:tc>
        <w:tc>
          <w:tcPr>
            <w:tcW w:w="406" w:type="pct"/>
            <w:tcBorders>
              <w:top w:val="single" w:sz="4" w:space="0" w:color="auto"/>
              <w:left w:val="single" w:sz="4" w:space="0" w:color="auto"/>
              <w:bottom w:val="single" w:sz="4" w:space="0" w:color="auto"/>
            </w:tcBorders>
            <w:vAlign w:val="center"/>
          </w:tcPr>
          <w:p w:rsidR="00F500DC" w:rsidRPr="001057F8" w:rsidRDefault="00F500DC" w:rsidP="00F500DC">
            <w:pPr>
              <w:tabs>
                <w:tab w:val="left" w:pos="9486"/>
              </w:tabs>
              <w:ind w:right="57"/>
              <w:jc w:val="right"/>
              <w:rPr>
                <w:sz w:val="18"/>
                <w:szCs w:val="18"/>
                <w:lang w:eastAsia="it-CH"/>
              </w:rPr>
            </w:pPr>
            <w:r w:rsidRPr="001057F8">
              <w:rPr>
                <w:sz w:val="18"/>
                <w:szCs w:val="18"/>
                <w:lang w:eastAsia="it-CH"/>
              </w:rPr>
              <w:t>1’019</w:t>
            </w:r>
          </w:p>
        </w:tc>
        <w:tc>
          <w:tcPr>
            <w:tcW w:w="399" w:type="pct"/>
            <w:tcBorders>
              <w:top w:val="single" w:sz="4" w:space="0" w:color="auto"/>
              <w:left w:val="single" w:sz="4" w:space="0" w:color="auto"/>
              <w:bottom w:val="single" w:sz="4" w:space="0" w:color="auto"/>
            </w:tcBorders>
            <w:vAlign w:val="center"/>
          </w:tcPr>
          <w:p w:rsidR="00F500DC" w:rsidRPr="000E39AB" w:rsidRDefault="00F500DC" w:rsidP="00F500DC">
            <w:pPr>
              <w:tabs>
                <w:tab w:val="left" w:pos="9486"/>
              </w:tabs>
              <w:ind w:right="57"/>
              <w:jc w:val="right"/>
              <w:rPr>
                <w:sz w:val="18"/>
                <w:szCs w:val="18"/>
                <w:lang w:eastAsia="it-CH"/>
              </w:rPr>
            </w:pPr>
            <w:r>
              <w:rPr>
                <w:sz w:val="18"/>
                <w:szCs w:val="18"/>
                <w:lang w:eastAsia="it-CH"/>
              </w:rPr>
              <w:t>988</w:t>
            </w:r>
          </w:p>
        </w:tc>
        <w:tc>
          <w:tcPr>
            <w:tcW w:w="399" w:type="pct"/>
            <w:tcBorders>
              <w:top w:val="single" w:sz="4" w:space="0" w:color="auto"/>
              <w:left w:val="single" w:sz="4" w:space="0" w:color="auto"/>
              <w:bottom w:val="single" w:sz="4" w:space="0" w:color="auto"/>
            </w:tcBorders>
            <w:vAlign w:val="center"/>
          </w:tcPr>
          <w:p w:rsidR="00F500DC" w:rsidRPr="00681CC4" w:rsidRDefault="00F500DC" w:rsidP="00F500DC">
            <w:pPr>
              <w:tabs>
                <w:tab w:val="left" w:pos="9486"/>
              </w:tabs>
              <w:jc w:val="right"/>
              <w:rPr>
                <w:bCs/>
                <w:sz w:val="18"/>
                <w:szCs w:val="18"/>
                <w:lang w:eastAsia="it-CH"/>
              </w:rPr>
            </w:pPr>
            <w:r w:rsidRPr="00681CC4">
              <w:rPr>
                <w:bCs/>
                <w:sz w:val="18"/>
                <w:szCs w:val="18"/>
                <w:lang w:eastAsia="it-CH"/>
              </w:rPr>
              <w:t>1’107</w:t>
            </w:r>
          </w:p>
        </w:tc>
      </w:tr>
      <w:tr w:rsidR="00F500DC" w:rsidRPr="00DE7B1C" w:rsidTr="00F500DC">
        <w:trPr>
          <w:trHeight w:val="300"/>
          <w:jc w:val="center"/>
        </w:trPr>
        <w:tc>
          <w:tcPr>
            <w:tcW w:w="955" w:type="pct"/>
            <w:tcBorders>
              <w:top w:val="single" w:sz="4" w:space="0" w:color="auto"/>
              <w:bottom w:val="single" w:sz="4" w:space="0" w:color="auto"/>
              <w:right w:val="single" w:sz="4" w:space="0" w:color="auto"/>
            </w:tcBorders>
            <w:noWrap/>
            <w:tcMar>
              <w:top w:w="0" w:type="dxa"/>
              <w:left w:w="70" w:type="dxa"/>
              <w:bottom w:w="0" w:type="dxa"/>
              <w:right w:w="70" w:type="dxa"/>
            </w:tcMar>
            <w:vAlign w:val="center"/>
          </w:tcPr>
          <w:p w:rsidR="00F500DC" w:rsidRPr="004170B3" w:rsidRDefault="00F500DC" w:rsidP="00F500DC">
            <w:pPr>
              <w:tabs>
                <w:tab w:val="left" w:pos="9486"/>
              </w:tabs>
              <w:jc w:val="left"/>
              <w:rPr>
                <w:bCs/>
                <w:sz w:val="18"/>
                <w:szCs w:val="18"/>
                <w:lang w:eastAsia="it-CH"/>
              </w:rPr>
            </w:pPr>
            <w:r w:rsidRPr="004170B3">
              <w:rPr>
                <w:bCs/>
                <w:sz w:val="18"/>
                <w:szCs w:val="18"/>
                <w:lang w:eastAsia="it-CH"/>
              </w:rPr>
              <w:t xml:space="preserve">Contributo altre affiliate </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786B5F" w:rsidRDefault="00F500DC" w:rsidP="00F500DC">
            <w:pPr>
              <w:tabs>
                <w:tab w:val="left" w:pos="9486"/>
              </w:tabs>
              <w:jc w:val="right"/>
              <w:rPr>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786B5F" w:rsidRDefault="00F500DC" w:rsidP="00F500DC">
            <w:pPr>
              <w:tabs>
                <w:tab w:val="left" w:pos="9486"/>
              </w:tabs>
              <w:jc w:val="right"/>
              <w:rPr>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786B5F" w:rsidRDefault="00F500DC" w:rsidP="00F500DC">
            <w:pPr>
              <w:tabs>
                <w:tab w:val="left" w:pos="9486"/>
              </w:tabs>
              <w:jc w:val="right"/>
              <w:rPr>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786B5F" w:rsidRDefault="00F500DC" w:rsidP="00F500DC">
            <w:pPr>
              <w:tabs>
                <w:tab w:val="left" w:pos="9486"/>
              </w:tabs>
              <w:jc w:val="right"/>
              <w:rPr>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F500DC" w:rsidRPr="00786B5F" w:rsidRDefault="00F500DC" w:rsidP="00F500DC">
            <w:pPr>
              <w:tabs>
                <w:tab w:val="left" w:pos="9486"/>
              </w:tabs>
              <w:jc w:val="right"/>
              <w:rPr>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786B5F" w:rsidRDefault="00F500DC" w:rsidP="00F500DC">
            <w:pPr>
              <w:tabs>
                <w:tab w:val="left" w:pos="9486"/>
              </w:tabs>
              <w:ind w:right="57"/>
              <w:jc w:val="right"/>
              <w:rPr>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786B5F" w:rsidRDefault="00F500DC" w:rsidP="00F500DC">
            <w:pPr>
              <w:tabs>
                <w:tab w:val="left" w:pos="9486"/>
              </w:tabs>
              <w:ind w:right="57"/>
              <w:jc w:val="right"/>
              <w:rPr>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tcBorders>
            <w:vAlign w:val="center"/>
          </w:tcPr>
          <w:p w:rsidR="00F500DC" w:rsidRPr="001057F8" w:rsidRDefault="00F500DC" w:rsidP="00F500DC">
            <w:pPr>
              <w:tabs>
                <w:tab w:val="left" w:pos="9486"/>
              </w:tabs>
              <w:ind w:right="57"/>
              <w:jc w:val="right"/>
              <w:rPr>
                <w:bCs/>
                <w:sz w:val="18"/>
                <w:szCs w:val="18"/>
                <w:highlight w:val="yellow"/>
                <w:lang w:eastAsia="it-CH"/>
              </w:rPr>
            </w:pPr>
            <w:r w:rsidRPr="001057F8">
              <w:rPr>
                <w:bCs/>
                <w:sz w:val="18"/>
                <w:szCs w:val="18"/>
                <w:lang w:eastAsia="it-CH"/>
              </w:rPr>
              <w:t>930</w:t>
            </w:r>
          </w:p>
        </w:tc>
        <w:tc>
          <w:tcPr>
            <w:tcW w:w="399" w:type="pct"/>
            <w:tcBorders>
              <w:top w:val="single" w:sz="4" w:space="0" w:color="auto"/>
              <w:left w:val="single" w:sz="4" w:space="0" w:color="auto"/>
              <w:bottom w:val="single" w:sz="4" w:space="0" w:color="auto"/>
            </w:tcBorders>
            <w:vAlign w:val="center"/>
          </w:tcPr>
          <w:p w:rsidR="00F500DC" w:rsidRPr="000E39AB" w:rsidRDefault="00F500DC" w:rsidP="00F500DC">
            <w:pPr>
              <w:tabs>
                <w:tab w:val="left" w:pos="9486"/>
              </w:tabs>
              <w:ind w:right="57"/>
              <w:jc w:val="right"/>
              <w:rPr>
                <w:sz w:val="18"/>
                <w:szCs w:val="18"/>
                <w:lang w:eastAsia="it-CH"/>
              </w:rPr>
            </w:pPr>
            <w:r>
              <w:rPr>
                <w:sz w:val="18"/>
                <w:szCs w:val="18"/>
                <w:lang w:eastAsia="it-CH"/>
              </w:rPr>
              <w:t>980</w:t>
            </w:r>
          </w:p>
        </w:tc>
        <w:tc>
          <w:tcPr>
            <w:tcW w:w="399" w:type="pct"/>
            <w:tcBorders>
              <w:top w:val="single" w:sz="4" w:space="0" w:color="auto"/>
              <w:left w:val="single" w:sz="4" w:space="0" w:color="auto"/>
              <w:bottom w:val="single" w:sz="4" w:space="0" w:color="auto"/>
            </w:tcBorders>
            <w:vAlign w:val="center"/>
          </w:tcPr>
          <w:p w:rsidR="00F500DC" w:rsidRPr="00681CC4" w:rsidRDefault="00F500DC" w:rsidP="00F500DC">
            <w:pPr>
              <w:tabs>
                <w:tab w:val="left" w:pos="9486"/>
              </w:tabs>
              <w:jc w:val="right"/>
              <w:rPr>
                <w:bCs/>
                <w:sz w:val="18"/>
                <w:szCs w:val="18"/>
                <w:lang w:eastAsia="it-CH"/>
              </w:rPr>
            </w:pPr>
            <w:r>
              <w:rPr>
                <w:bCs/>
                <w:sz w:val="18"/>
                <w:szCs w:val="18"/>
                <w:lang w:eastAsia="it-CH"/>
              </w:rPr>
              <w:t>980</w:t>
            </w:r>
          </w:p>
        </w:tc>
      </w:tr>
      <w:tr w:rsidR="00F500DC" w:rsidRPr="00DE7B1C" w:rsidTr="00F500DC">
        <w:trPr>
          <w:trHeight w:val="300"/>
          <w:jc w:val="center"/>
        </w:trPr>
        <w:tc>
          <w:tcPr>
            <w:tcW w:w="955" w:type="pct"/>
            <w:tcBorders>
              <w:top w:val="single" w:sz="4" w:space="0" w:color="auto"/>
              <w:bottom w:val="single" w:sz="4" w:space="0" w:color="auto"/>
              <w:right w:val="single" w:sz="4" w:space="0" w:color="auto"/>
            </w:tcBorders>
            <w:noWrap/>
            <w:tcMar>
              <w:top w:w="0" w:type="dxa"/>
              <w:left w:w="70" w:type="dxa"/>
              <w:bottom w:w="0" w:type="dxa"/>
              <w:right w:w="70" w:type="dxa"/>
            </w:tcMar>
            <w:vAlign w:val="center"/>
          </w:tcPr>
          <w:p w:rsidR="00F500DC" w:rsidRPr="004170B3" w:rsidRDefault="00F500DC" w:rsidP="00F500DC">
            <w:pPr>
              <w:tabs>
                <w:tab w:val="left" w:pos="9486"/>
              </w:tabs>
              <w:jc w:val="left"/>
              <w:rPr>
                <w:bCs/>
                <w:sz w:val="18"/>
                <w:szCs w:val="18"/>
                <w:lang w:eastAsia="it-CH"/>
              </w:rPr>
            </w:pPr>
            <w:r w:rsidRPr="00505334">
              <w:rPr>
                <w:b/>
                <w:bCs/>
                <w:sz w:val="18"/>
                <w:szCs w:val="18"/>
                <w:lang w:eastAsia="it-CH"/>
              </w:rPr>
              <w:t xml:space="preserve">Totale </w:t>
            </w:r>
            <w:r>
              <w:rPr>
                <w:b/>
                <w:bCs/>
                <w:sz w:val="18"/>
                <w:szCs w:val="18"/>
                <w:lang w:eastAsia="it-CH"/>
              </w:rPr>
              <w:t>calcolato secondo art. 22 cdp</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1057F8" w:rsidRDefault="00F500DC" w:rsidP="00F500DC">
            <w:pPr>
              <w:tabs>
                <w:tab w:val="left" w:pos="9486"/>
              </w:tabs>
              <w:spacing w:before="40"/>
              <w:ind w:right="57"/>
              <w:jc w:val="right"/>
              <w:rPr>
                <w:b/>
                <w:bCs/>
                <w:sz w:val="18"/>
                <w:szCs w:val="18"/>
                <w:lang w:eastAsia="it-CH"/>
              </w:rPr>
            </w:pPr>
            <w:r>
              <w:rPr>
                <w:b/>
                <w:bCs/>
                <w:sz w:val="18"/>
                <w:szCs w:val="18"/>
                <w:lang w:eastAsia="it-CH"/>
              </w:rPr>
              <w:t>20’858</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1057F8" w:rsidRDefault="00F500DC" w:rsidP="00F500DC">
            <w:pPr>
              <w:tabs>
                <w:tab w:val="left" w:pos="9486"/>
              </w:tabs>
              <w:spacing w:before="40"/>
              <w:ind w:right="57"/>
              <w:jc w:val="right"/>
              <w:rPr>
                <w:b/>
                <w:bCs/>
                <w:sz w:val="18"/>
                <w:szCs w:val="18"/>
                <w:lang w:eastAsia="it-CH"/>
              </w:rPr>
            </w:pPr>
            <w:r>
              <w:rPr>
                <w:b/>
                <w:bCs/>
                <w:sz w:val="18"/>
                <w:szCs w:val="18"/>
                <w:lang w:eastAsia="it-CH"/>
              </w:rPr>
              <w:t>21’480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1057F8" w:rsidRDefault="00F500DC" w:rsidP="00F500DC">
            <w:pPr>
              <w:tabs>
                <w:tab w:val="left" w:pos="9486"/>
              </w:tabs>
              <w:spacing w:before="40"/>
              <w:ind w:right="57"/>
              <w:jc w:val="right"/>
              <w:rPr>
                <w:b/>
                <w:bCs/>
                <w:sz w:val="18"/>
                <w:szCs w:val="18"/>
                <w:lang w:eastAsia="it-CH"/>
              </w:rPr>
            </w:pPr>
            <w:r>
              <w:rPr>
                <w:b/>
                <w:bCs/>
                <w:sz w:val="18"/>
                <w:szCs w:val="18"/>
                <w:lang w:eastAsia="it-CH"/>
              </w:rPr>
              <w:t>21’433</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1057F8" w:rsidRDefault="00F500DC" w:rsidP="00F500DC">
            <w:pPr>
              <w:tabs>
                <w:tab w:val="left" w:pos="9486"/>
              </w:tabs>
              <w:spacing w:before="40"/>
              <w:ind w:right="57"/>
              <w:jc w:val="right"/>
              <w:rPr>
                <w:b/>
                <w:bCs/>
                <w:sz w:val="18"/>
                <w:szCs w:val="18"/>
                <w:lang w:eastAsia="it-CH"/>
              </w:rPr>
            </w:pPr>
            <w:r w:rsidRPr="001057F8">
              <w:rPr>
                <w:b/>
                <w:bCs/>
                <w:sz w:val="18"/>
                <w:szCs w:val="18"/>
                <w:lang w:eastAsia="it-CH"/>
              </w:rPr>
              <w:t>23’236</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F500DC" w:rsidRPr="001057F8" w:rsidRDefault="00F500DC" w:rsidP="00F500DC">
            <w:pPr>
              <w:tabs>
                <w:tab w:val="left" w:pos="9486"/>
              </w:tabs>
              <w:spacing w:before="40"/>
              <w:ind w:right="57"/>
              <w:jc w:val="right"/>
              <w:rPr>
                <w:b/>
                <w:bCs/>
                <w:sz w:val="18"/>
                <w:szCs w:val="18"/>
                <w:lang w:eastAsia="it-CH"/>
              </w:rPr>
            </w:pPr>
            <w:r w:rsidRPr="001057F8">
              <w:rPr>
                <w:b/>
                <w:bCs/>
                <w:sz w:val="18"/>
                <w:szCs w:val="18"/>
                <w:lang w:eastAsia="it-CH"/>
              </w:rPr>
              <w:t>22’953</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1057F8" w:rsidRDefault="00F500DC" w:rsidP="00F500DC">
            <w:pPr>
              <w:tabs>
                <w:tab w:val="left" w:pos="9486"/>
              </w:tabs>
              <w:spacing w:before="40"/>
              <w:ind w:right="57"/>
              <w:jc w:val="right"/>
              <w:rPr>
                <w:b/>
                <w:bCs/>
                <w:sz w:val="18"/>
                <w:szCs w:val="18"/>
                <w:lang w:eastAsia="it-CH"/>
              </w:rPr>
            </w:pPr>
            <w:r>
              <w:rPr>
                <w:b/>
                <w:bCs/>
                <w:sz w:val="18"/>
                <w:szCs w:val="18"/>
                <w:lang w:eastAsia="it-CH"/>
              </w:rPr>
              <w:t>23’522</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1057F8" w:rsidRDefault="00F500DC" w:rsidP="00F500DC">
            <w:pPr>
              <w:tabs>
                <w:tab w:val="left" w:pos="9486"/>
              </w:tabs>
              <w:spacing w:before="40"/>
              <w:ind w:right="57"/>
              <w:jc w:val="right"/>
              <w:rPr>
                <w:b/>
                <w:bCs/>
                <w:sz w:val="18"/>
                <w:szCs w:val="18"/>
                <w:lang w:eastAsia="it-CH"/>
              </w:rPr>
            </w:pPr>
            <w:r>
              <w:rPr>
                <w:b/>
                <w:bCs/>
                <w:sz w:val="18"/>
                <w:szCs w:val="18"/>
                <w:lang w:eastAsia="it-CH"/>
              </w:rPr>
              <w:t>23’436</w:t>
            </w:r>
          </w:p>
        </w:tc>
        <w:tc>
          <w:tcPr>
            <w:tcW w:w="406" w:type="pct"/>
            <w:tcBorders>
              <w:top w:val="single" w:sz="4" w:space="0" w:color="auto"/>
              <w:left w:val="single" w:sz="4" w:space="0" w:color="auto"/>
              <w:bottom w:val="single" w:sz="4" w:space="0" w:color="auto"/>
            </w:tcBorders>
            <w:vAlign w:val="center"/>
          </w:tcPr>
          <w:p w:rsidR="00F500DC" w:rsidRPr="001057F8" w:rsidRDefault="00F500DC" w:rsidP="00F500DC">
            <w:pPr>
              <w:tabs>
                <w:tab w:val="left" w:pos="9486"/>
              </w:tabs>
              <w:spacing w:before="40"/>
              <w:ind w:right="57"/>
              <w:jc w:val="right"/>
              <w:rPr>
                <w:bCs/>
                <w:sz w:val="18"/>
                <w:szCs w:val="18"/>
                <w:highlight w:val="yellow"/>
                <w:lang w:eastAsia="it-CH"/>
              </w:rPr>
            </w:pPr>
            <w:r>
              <w:rPr>
                <w:b/>
                <w:bCs/>
                <w:sz w:val="18"/>
                <w:szCs w:val="18"/>
                <w:lang w:eastAsia="it-CH"/>
              </w:rPr>
              <w:t>23’634</w:t>
            </w:r>
          </w:p>
        </w:tc>
        <w:tc>
          <w:tcPr>
            <w:tcW w:w="399" w:type="pct"/>
            <w:tcBorders>
              <w:top w:val="single" w:sz="4" w:space="0" w:color="auto"/>
              <w:left w:val="single" w:sz="4" w:space="0" w:color="auto"/>
              <w:bottom w:val="single" w:sz="4" w:space="0" w:color="auto"/>
            </w:tcBorders>
            <w:vAlign w:val="center"/>
          </w:tcPr>
          <w:p w:rsidR="00F500DC" w:rsidRDefault="00F500DC" w:rsidP="00F500DC">
            <w:pPr>
              <w:tabs>
                <w:tab w:val="left" w:pos="9486"/>
              </w:tabs>
              <w:jc w:val="right"/>
              <w:rPr>
                <w:b/>
                <w:bCs/>
                <w:sz w:val="18"/>
                <w:szCs w:val="18"/>
                <w:lang w:eastAsia="it-CH"/>
              </w:rPr>
            </w:pPr>
            <w:r>
              <w:rPr>
                <w:b/>
                <w:bCs/>
                <w:sz w:val="18"/>
                <w:szCs w:val="18"/>
                <w:lang w:eastAsia="it-CH"/>
              </w:rPr>
              <w:t>24’414</w:t>
            </w:r>
          </w:p>
        </w:tc>
        <w:tc>
          <w:tcPr>
            <w:tcW w:w="399" w:type="pct"/>
            <w:tcBorders>
              <w:top w:val="single" w:sz="4" w:space="0" w:color="auto"/>
              <w:left w:val="single" w:sz="4" w:space="0" w:color="auto"/>
              <w:bottom w:val="single" w:sz="4" w:space="0" w:color="auto"/>
            </w:tcBorders>
            <w:vAlign w:val="center"/>
          </w:tcPr>
          <w:p w:rsidR="00F500DC" w:rsidRDefault="00F500DC" w:rsidP="00F500DC">
            <w:pPr>
              <w:tabs>
                <w:tab w:val="left" w:pos="9486"/>
              </w:tabs>
              <w:jc w:val="right"/>
              <w:rPr>
                <w:b/>
                <w:bCs/>
                <w:sz w:val="18"/>
                <w:szCs w:val="18"/>
                <w:lang w:eastAsia="it-CH"/>
              </w:rPr>
            </w:pPr>
            <w:r>
              <w:rPr>
                <w:b/>
                <w:bCs/>
                <w:sz w:val="18"/>
                <w:szCs w:val="18"/>
                <w:lang w:eastAsia="it-CH"/>
              </w:rPr>
              <w:t>26’857</w:t>
            </w:r>
          </w:p>
        </w:tc>
      </w:tr>
      <w:tr w:rsidR="00F500DC" w:rsidRPr="00DE7B1C" w:rsidTr="00F500DC">
        <w:trPr>
          <w:trHeight w:val="300"/>
          <w:jc w:val="center"/>
        </w:trPr>
        <w:tc>
          <w:tcPr>
            <w:tcW w:w="955" w:type="pct"/>
            <w:tcBorders>
              <w:top w:val="single" w:sz="4" w:space="0" w:color="auto"/>
              <w:bottom w:val="single" w:sz="4" w:space="0" w:color="auto"/>
              <w:right w:val="single" w:sz="4" w:space="0" w:color="auto"/>
            </w:tcBorders>
            <w:noWrap/>
            <w:tcMar>
              <w:top w:w="0" w:type="dxa"/>
              <w:left w:w="70" w:type="dxa"/>
              <w:bottom w:w="0" w:type="dxa"/>
              <w:right w:w="70" w:type="dxa"/>
            </w:tcMar>
            <w:vAlign w:val="center"/>
          </w:tcPr>
          <w:p w:rsidR="00F500DC" w:rsidRPr="00505334" w:rsidRDefault="00F500DC" w:rsidP="00F500DC">
            <w:pPr>
              <w:tabs>
                <w:tab w:val="left" w:pos="9486"/>
              </w:tabs>
              <w:jc w:val="left"/>
              <w:rPr>
                <w:b/>
                <w:bCs/>
                <w:sz w:val="18"/>
                <w:szCs w:val="18"/>
                <w:lang w:eastAsia="it-CH"/>
              </w:rPr>
            </w:pPr>
            <w:r>
              <w:rPr>
                <w:rFonts w:cs="Arial"/>
                <w:b/>
                <w:bCs/>
                <w:sz w:val="18"/>
                <w:szCs w:val="18"/>
              </w:rPr>
              <w:t>Contributo di gestione versato a USI</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Default="00F500DC" w:rsidP="00F500DC">
            <w:pPr>
              <w:tabs>
                <w:tab w:val="left" w:pos="9486"/>
              </w:tabs>
              <w:spacing w:before="40"/>
              <w:ind w:right="57"/>
              <w:jc w:val="right"/>
              <w:rPr>
                <w:b/>
                <w:bCs/>
                <w:sz w:val="18"/>
                <w:szCs w:val="18"/>
                <w:lang w:eastAsia="it-CH"/>
              </w:rPr>
            </w:pPr>
            <w:r>
              <w:rPr>
                <w:b/>
                <w:bCs/>
                <w:sz w:val="18"/>
                <w:szCs w:val="18"/>
                <w:lang w:eastAsia="it-CH"/>
              </w:rPr>
              <w:t>19’440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Default="00F500DC" w:rsidP="00F500DC">
            <w:pPr>
              <w:tabs>
                <w:tab w:val="left" w:pos="9486"/>
              </w:tabs>
              <w:spacing w:before="40"/>
              <w:ind w:right="57"/>
              <w:jc w:val="right"/>
              <w:rPr>
                <w:b/>
                <w:bCs/>
                <w:sz w:val="18"/>
                <w:szCs w:val="18"/>
                <w:lang w:eastAsia="it-CH"/>
              </w:rPr>
            </w:pPr>
            <w:r>
              <w:rPr>
                <w:b/>
                <w:bCs/>
                <w:sz w:val="18"/>
                <w:szCs w:val="18"/>
                <w:lang w:eastAsia="it-CH"/>
              </w:rPr>
              <w:t>20’250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Default="00F500DC" w:rsidP="00F500DC">
            <w:pPr>
              <w:tabs>
                <w:tab w:val="left" w:pos="9486"/>
              </w:tabs>
              <w:spacing w:before="40"/>
              <w:ind w:right="57"/>
              <w:jc w:val="right"/>
              <w:rPr>
                <w:b/>
                <w:bCs/>
                <w:sz w:val="18"/>
                <w:szCs w:val="18"/>
                <w:lang w:eastAsia="it-CH"/>
              </w:rPr>
            </w:pPr>
            <w:r>
              <w:rPr>
                <w:b/>
                <w:bCs/>
                <w:sz w:val="18"/>
                <w:szCs w:val="18"/>
                <w:lang w:eastAsia="it-CH"/>
              </w:rPr>
              <w:t>21’000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1057F8" w:rsidRDefault="00F500DC" w:rsidP="00F500DC">
            <w:pPr>
              <w:tabs>
                <w:tab w:val="left" w:pos="9486"/>
              </w:tabs>
              <w:spacing w:before="40"/>
              <w:ind w:right="57"/>
              <w:jc w:val="right"/>
              <w:rPr>
                <w:b/>
                <w:bCs/>
                <w:sz w:val="18"/>
                <w:szCs w:val="18"/>
                <w:lang w:eastAsia="it-CH"/>
              </w:rPr>
            </w:pPr>
            <w:r>
              <w:rPr>
                <w:b/>
                <w:bCs/>
                <w:sz w:val="18"/>
                <w:szCs w:val="18"/>
                <w:lang w:eastAsia="it-CH"/>
              </w:rPr>
              <w:t>21’650</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F500DC" w:rsidRPr="001057F8" w:rsidRDefault="00F500DC" w:rsidP="00F500DC">
            <w:pPr>
              <w:tabs>
                <w:tab w:val="left" w:pos="9486"/>
              </w:tabs>
              <w:spacing w:before="40"/>
              <w:ind w:right="57"/>
              <w:jc w:val="right"/>
              <w:rPr>
                <w:b/>
                <w:bCs/>
                <w:sz w:val="18"/>
                <w:szCs w:val="18"/>
                <w:lang w:eastAsia="it-CH"/>
              </w:rPr>
            </w:pPr>
            <w:r>
              <w:rPr>
                <w:b/>
                <w:bCs/>
                <w:sz w:val="18"/>
                <w:szCs w:val="18"/>
                <w:lang w:eastAsia="it-CH"/>
              </w:rPr>
              <w:t>21’650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1057F8" w:rsidRDefault="00F500DC" w:rsidP="00F500DC">
            <w:pPr>
              <w:tabs>
                <w:tab w:val="left" w:pos="9486"/>
              </w:tabs>
              <w:spacing w:before="40"/>
              <w:ind w:right="57"/>
              <w:jc w:val="right"/>
              <w:rPr>
                <w:b/>
                <w:bCs/>
                <w:sz w:val="18"/>
                <w:szCs w:val="18"/>
                <w:lang w:eastAsia="it-CH"/>
              </w:rPr>
            </w:pPr>
            <w:r>
              <w:rPr>
                <w:b/>
                <w:bCs/>
                <w:sz w:val="18"/>
                <w:szCs w:val="18"/>
                <w:lang w:eastAsia="it-CH"/>
              </w:rPr>
              <w:t>21’750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1057F8" w:rsidRDefault="00F500DC" w:rsidP="00F500DC">
            <w:pPr>
              <w:tabs>
                <w:tab w:val="left" w:pos="9486"/>
              </w:tabs>
              <w:spacing w:before="40"/>
              <w:ind w:right="57"/>
              <w:jc w:val="right"/>
              <w:rPr>
                <w:b/>
                <w:bCs/>
                <w:sz w:val="18"/>
                <w:szCs w:val="18"/>
                <w:lang w:eastAsia="it-CH"/>
              </w:rPr>
            </w:pPr>
            <w:r>
              <w:rPr>
                <w:b/>
                <w:bCs/>
                <w:sz w:val="18"/>
                <w:szCs w:val="18"/>
                <w:lang w:eastAsia="it-CH"/>
              </w:rPr>
              <w:t>21’750</w:t>
            </w:r>
          </w:p>
        </w:tc>
        <w:tc>
          <w:tcPr>
            <w:tcW w:w="406" w:type="pct"/>
            <w:tcBorders>
              <w:top w:val="single" w:sz="4" w:space="0" w:color="auto"/>
              <w:left w:val="single" w:sz="4" w:space="0" w:color="auto"/>
              <w:bottom w:val="single" w:sz="4" w:space="0" w:color="auto"/>
            </w:tcBorders>
            <w:vAlign w:val="center"/>
          </w:tcPr>
          <w:p w:rsidR="00F500DC" w:rsidRPr="001057F8" w:rsidRDefault="00F500DC" w:rsidP="00F500DC">
            <w:pPr>
              <w:tabs>
                <w:tab w:val="left" w:pos="9486"/>
              </w:tabs>
              <w:spacing w:before="40"/>
              <w:ind w:right="57"/>
              <w:jc w:val="right"/>
              <w:rPr>
                <w:b/>
                <w:bCs/>
                <w:sz w:val="18"/>
                <w:szCs w:val="18"/>
                <w:lang w:eastAsia="it-CH"/>
              </w:rPr>
            </w:pPr>
            <w:r>
              <w:rPr>
                <w:b/>
                <w:bCs/>
                <w:sz w:val="18"/>
                <w:szCs w:val="18"/>
                <w:lang w:eastAsia="it-CH"/>
              </w:rPr>
              <w:t>23’633</w:t>
            </w:r>
          </w:p>
        </w:tc>
        <w:tc>
          <w:tcPr>
            <w:tcW w:w="399" w:type="pct"/>
            <w:tcBorders>
              <w:top w:val="single" w:sz="4" w:space="0" w:color="auto"/>
              <w:left w:val="single" w:sz="4" w:space="0" w:color="auto"/>
              <w:bottom w:val="single" w:sz="4" w:space="0" w:color="auto"/>
            </w:tcBorders>
            <w:vAlign w:val="center"/>
          </w:tcPr>
          <w:p w:rsidR="00F500DC" w:rsidRDefault="00F500DC" w:rsidP="00F500DC">
            <w:pPr>
              <w:tabs>
                <w:tab w:val="left" w:pos="9486"/>
              </w:tabs>
              <w:jc w:val="right"/>
              <w:rPr>
                <w:b/>
                <w:bCs/>
                <w:sz w:val="18"/>
                <w:szCs w:val="18"/>
                <w:lang w:eastAsia="it-CH"/>
              </w:rPr>
            </w:pPr>
            <w:r>
              <w:rPr>
                <w:b/>
                <w:bCs/>
                <w:sz w:val="18"/>
                <w:szCs w:val="18"/>
                <w:lang w:eastAsia="it-CH"/>
              </w:rPr>
              <w:t>24’410</w:t>
            </w:r>
          </w:p>
        </w:tc>
        <w:tc>
          <w:tcPr>
            <w:tcW w:w="399" w:type="pct"/>
            <w:tcBorders>
              <w:top w:val="single" w:sz="4" w:space="0" w:color="auto"/>
              <w:left w:val="single" w:sz="4" w:space="0" w:color="auto"/>
              <w:bottom w:val="single" w:sz="4" w:space="0" w:color="auto"/>
            </w:tcBorders>
            <w:vAlign w:val="center"/>
          </w:tcPr>
          <w:p w:rsidR="00F500DC" w:rsidRDefault="00F500DC" w:rsidP="00F500DC">
            <w:pPr>
              <w:tabs>
                <w:tab w:val="left" w:pos="9486"/>
              </w:tabs>
              <w:jc w:val="right"/>
              <w:rPr>
                <w:b/>
                <w:bCs/>
                <w:sz w:val="18"/>
                <w:szCs w:val="18"/>
                <w:lang w:eastAsia="it-CH"/>
              </w:rPr>
            </w:pPr>
            <w:r>
              <w:rPr>
                <w:b/>
                <w:bCs/>
                <w:sz w:val="18"/>
                <w:szCs w:val="18"/>
                <w:lang w:eastAsia="it-CH"/>
              </w:rPr>
              <w:t>25’161</w:t>
            </w:r>
          </w:p>
        </w:tc>
      </w:tr>
      <w:tr w:rsidR="00F500DC" w:rsidRPr="00DE7B1C" w:rsidTr="00F500DC">
        <w:trPr>
          <w:trHeight w:val="300"/>
          <w:jc w:val="center"/>
        </w:trPr>
        <w:tc>
          <w:tcPr>
            <w:tcW w:w="955" w:type="pct"/>
            <w:tcBorders>
              <w:top w:val="single" w:sz="4" w:space="0" w:color="auto"/>
              <w:bottom w:val="single" w:sz="4" w:space="0" w:color="auto"/>
              <w:right w:val="single" w:sz="4" w:space="0" w:color="auto"/>
            </w:tcBorders>
            <w:noWrap/>
            <w:tcMar>
              <w:top w:w="0" w:type="dxa"/>
              <w:left w:w="70" w:type="dxa"/>
              <w:bottom w:w="0" w:type="dxa"/>
              <w:right w:w="70" w:type="dxa"/>
            </w:tcMar>
            <w:vAlign w:val="center"/>
          </w:tcPr>
          <w:p w:rsidR="00F500DC" w:rsidRPr="00505334" w:rsidRDefault="00F500DC" w:rsidP="00F500DC">
            <w:pPr>
              <w:tabs>
                <w:tab w:val="left" w:pos="9486"/>
              </w:tabs>
              <w:jc w:val="left"/>
              <w:rPr>
                <w:b/>
                <w:bCs/>
                <w:sz w:val="18"/>
                <w:szCs w:val="18"/>
                <w:lang w:eastAsia="it-CH"/>
              </w:rPr>
            </w:pPr>
            <w:r w:rsidRPr="004170B3">
              <w:rPr>
                <w:bCs/>
                <w:sz w:val="18"/>
                <w:szCs w:val="18"/>
                <w:lang w:eastAsia="it-CH"/>
              </w:rPr>
              <w:t>Contributo integrativo</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786B5F" w:rsidRDefault="00F500DC" w:rsidP="00F500DC">
            <w:pPr>
              <w:tabs>
                <w:tab w:val="left" w:pos="9486"/>
              </w:tabs>
              <w:jc w:val="right"/>
              <w:rPr>
                <w:b/>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786B5F" w:rsidRDefault="00F500DC" w:rsidP="00F500DC">
            <w:pPr>
              <w:tabs>
                <w:tab w:val="left" w:pos="9486"/>
              </w:tabs>
              <w:jc w:val="right"/>
              <w:rPr>
                <w:b/>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786B5F" w:rsidRDefault="00F500DC" w:rsidP="00F500DC">
            <w:pPr>
              <w:tabs>
                <w:tab w:val="left" w:pos="9486"/>
              </w:tabs>
              <w:jc w:val="right"/>
              <w:rPr>
                <w:b/>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786B5F" w:rsidRDefault="00F500DC" w:rsidP="00F500DC">
            <w:pPr>
              <w:tabs>
                <w:tab w:val="left" w:pos="9486"/>
              </w:tabs>
              <w:jc w:val="right"/>
              <w:rPr>
                <w:b/>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F500DC" w:rsidRPr="00786B5F" w:rsidRDefault="00F500DC" w:rsidP="00F500DC">
            <w:pPr>
              <w:tabs>
                <w:tab w:val="left" w:pos="9486"/>
              </w:tabs>
              <w:jc w:val="right"/>
              <w:rPr>
                <w:b/>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786B5F" w:rsidRDefault="00F500DC" w:rsidP="00F500DC">
            <w:pPr>
              <w:tabs>
                <w:tab w:val="left" w:pos="9486"/>
              </w:tabs>
              <w:ind w:right="57"/>
              <w:jc w:val="right"/>
              <w:rPr>
                <w:b/>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786B5F" w:rsidRDefault="00F500DC" w:rsidP="00F500DC">
            <w:pPr>
              <w:tabs>
                <w:tab w:val="left" w:pos="9486"/>
              </w:tabs>
              <w:ind w:right="57"/>
              <w:jc w:val="right"/>
              <w:rPr>
                <w:b/>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tcBorders>
            <w:vAlign w:val="center"/>
          </w:tcPr>
          <w:p w:rsidR="00F500DC" w:rsidRPr="001057F8" w:rsidRDefault="00F500DC" w:rsidP="00F500DC">
            <w:pPr>
              <w:tabs>
                <w:tab w:val="left" w:pos="9486"/>
              </w:tabs>
              <w:ind w:right="57"/>
              <w:jc w:val="right"/>
              <w:rPr>
                <w:b/>
                <w:bCs/>
                <w:sz w:val="18"/>
                <w:szCs w:val="18"/>
                <w:lang w:eastAsia="it-CH"/>
              </w:rPr>
            </w:pPr>
            <w:r w:rsidRPr="001057F8">
              <w:rPr>
                <w:bCs/>
                <w:sz w:val="18"/>
                <w:szCs w:val="18"/>
                <w:lang w:eastAsia="it-CH"/>
              </w:rPr>
              <w:t>490</w:t>
            </w:r>
          </w:p>
        </w:tc>
        <w:tc>
          <w:tcPr>
            <w:tcW w:w="399" w:type="pct"/>
            <w:tcBorders>
              <w:top w:val="single" w:sz="4" w:space="0" w:color="auto"/>
              <w:left w:val="single" w:sz="4" w:space="0" w:color="auto"/>
              <w:bottom w:val="single" w:sz="4" w:space="0" w:color="auto"/>
            </w:tcBorders>
            <w:vAlign w:val="center"/>
          </w:tcPr>
          <w:p w:rsidR="00F500DC" w:rsidRPr="00C65661" w:rsidRDefault="00F500DC" w:rsidP="00F500DC">
            <w:pPr>
              <w:tabs>
                <w:tab w:val="left" w:pos="9486"/>
              </w:tabs>
              <w:jc w:val="right"/>
              <w:rPr>
                <w:bCs/>
                <w:sz w:val="18"/>
                <w:szCs w:val="18"/>
                <w:lang w:eastAsia="it-CH"/>
              </w:rPr>
            </w:pPr>
            <w:r w:rsidRPr="00C65661">
              <w:rPr>
                <w:bCs/>
                <w:sz w:val="18"/>
                <w:szCs w:val="18"/>
                <w:lang w:eastAsia="it-CH"/>
              </w:rPr>
              <w:t>700</w:t>
            </w:r>
          </w:p>
        </w:tc>
        <w:tc>
          <w:tcPr>
            <w:tcW w:w="399" w:type="pct"/>
            <w:tcBorders>
              <w:top w:val="single" w:sz="4" w:space="0" w:color="auto"/>
              <w:left w:val="single" w:sz="4" w:space="0" w:color="auto"/>
              <w:bottom w:val="single" w:sz="4" w:space="0" w:color="auto"/>
            </w:tcBorders>
            <w:vAlign w:val="center"/>
          </w:tcPr>
          <w:p w:rsidR="00F500DC" w:rsidRPr="00681CC4" w:rsidRDefault="00F500DC" w:rsidP="00F500DC">
            <w:pPr>
              <w:tabs>
                <w:tab w:val="left" w:pos="9486"/>
              </w:tabs>
              <w:jc w:val="right"/>
              <w:rPr>
                <w:bCs/>
                <w:sz w:val="18"/>
                <w:szCs w:val="18"/>
                <w:lang w:eastAsia="it-CH"/>
              </w:rPr>
            </w:pPr>
            <w:r>
              <w:rPr>
                <w:bCs/>
                <w:sz w:val="18"/>
                <w:szCs w:val="18"/>
                <w:lang w:eastAsia="it-CH"/>
              </w:rPr>
              <w:t>700</w:t>
            </w:r>
          </w:p>
        </w:tc>
      </w:tr>
      <w:tr w:rsidR="00F500DC" w:rsidRPr="00DE7B1C" w:rsidTr="00F500DC">
        <w:trPr>
          <w:trHeight w:val="300"/>
          <w:jc w:val="center"/>
        </w:trPr>
        <w:tc>
          <w:tcPr>
            <w:tcW w:w="955" w:type="pct"/>
            <w:tcBorders>
              <w:top w:val="single" w:sz="4" w:space="0" w:color="auto"/>
              <w:bottom w:val="single" w:sz="4" w:space="0" w:color="auto"/>
              <w:right w:val="single" w:sz="4" w:space="0" w:color="auto"/>
            </w:tcBorders>
            <w:noWrap/>
            <w:tcMar>
              <w:top w:w="0" w:type="dxa"/>
              <w:left w:w="70" w:type="dxa"/>
              <w:bottom w:w="0" w:type="dxa"/>
              <w:right w:w="70" w:type="dxa"/>
            </w:tcMar>
            <w:vAlign w:val="center"/>
          </w:tcPr>
          <w:p w:rsidR="00F500DC" w:rsidRPr="004170B3" w:rsidRDefault="00F500DC" w:rsidP="00F500DC">
            <w:pPr>
              <w:tabs>
                <w:tab w:val="left" w:pos="9486"/>
              </w:tabs>
              <w:jc w:val="left"/>
              <w:rPr>
                <w:bCs/>
                <w:sz w:val="18"/>
                <w:szCs w:val="18"/>
                <w:lang w:eastAsia="it-CH"/>
              </w:rPr>
            </w:pPr>
            <w:r w:rsidRPr="004170B3">
              <w:rPr>
                <w:bCs/>
                <w:sz w:val="18"/>
                <w:szCs w:val="18"/>
                <w:lang w:eastAsia="it-CH"/>
              </w:rPr>
              <w:t xml:space="preserve">Contributo </w:t>
            </w:r>
            <w:r>
              <w:rPr>
                <w:bCs/>
                <w:sz w:val="18"/>
                <w:szCs w:val="18"/>
                <w:lang w:eastAsia="it-CH"/>
              </w:rPr>
              <w:t xml:space="preserve">per </w:t>
            </w:r>
            <w:r w:rsidRPr="004170B3">
              <w:rPr>
                <w:bCs/>
                <w:sz w:val="18"/>
                <w:szCs w:val="18"/>
                <w:lang w:eastAsia="it-CH"/>
              </w:rPr>
              <w:t>infrastruttura</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786B5F" w:rsidRDefault="00F500DC" w:rsidP="00F500DC">
            <w:pPr>
              <w:tabs>
                <w:tab w:val="left" w:pos="9486"/>
              </w:tabs>
              <w:jc w:val="right"/>
              <w:rPr>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786B5F" w:rsidRDefault="00F500DC" w:rsidP="00F500DC">
            <w:pPr>
              <w:tabs>
                <w:tab w:val="left" w:pos="9486"/>
              </w:tabs>
              <w:jc w:val="right"/>
              <w:rPr>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786B5F" w:rsidRDefault="00F500DC" w:rsidP="00F500DC">
            <w:pPr>
              <w:tabs>
                <w:tab w:val="left" w:pos="9486"/>
              </w:tabs>
              <w:jc w:val="right"/>
              <w:rPr>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786B5F" w:rsidRDefault="00F500DC" w:rsidP="00F500DC">
            <w:pPr>
              <w:tabs>
                <w:tab w:val="left" w:pos="9486"/>
              </w:tabs>
              <w:jc w:val="right"/>
              <w:rPr>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F500DC" w:rsidRPr="00786B5F" w:rsidRDefault="00F500DC" w:rsidP="00F500DC">
            <w:pPr>
              <w:tabs>
                <w:tab w:val="left" w:pos="9486"/>
              </w:tabs>
              <w:jc w:val="right"/>
              <w:rPr>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786B5F" w:rsidRDefault="00F500DC" w:rsidP="00F500DC">
            <w:pPr>
              <w:tabs>
                <w:tab w:val="left" w:pos="9486"/>
              </w:tabs>
              <w:ind w:right="57"/>
              <w:jc w:val="right"/>
              <w:rPr>
                <w:bCs/>
                <w:sz w:val="18"/>
                <w:szCs w:val="18"/>
                <w:lang w:eastAsia="it-CH"/>
              </w:rPr>
            </w:pPr>
            <w:r w:rsidRPr="00786B5F">
              <w:rPr>
                <w:bCs/>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786B5F" w:rsidRDefault="00F500DC" w:rsidP="00F500DC">
            <w:pPr>
              <w:tabs>
                <w:tab w:val="left" w:pos="9486"/>
              </w:tabs>
              <w:ind w:right="57"/>
              <w:jc w:val="right"/>
              <w:rPr>
                <w:bCs/>
                <w:sz w:val="18"/>
                <w:szCs w:val="18"/>
                <w:lang w:eastAsia="it-CH"/>
              </w:rPr>
            </w:pPr>
            <w:r w:rsidRPr="00786B5F">
              <w:rPr>
                <w:bCs/>
                <w:sz w:val="18"/>
                <w:szCs w:val="18"/>
                <w:lang w:eastAsia="it-CH"/>
              </w:rPr>
              <w:t>152</w:t>
            </w:r>
          </w:p>
        </w:tc>
        <w:tc>
          <w:tcPr>
            <w:tcW w:w="406" w:type="pct"/>
            <w:tcBorders>
              <w:top w:val="single" w:sz="4" w:space="0" w:color="auto"/>
              <w:left w:val="single" w:sz="4" w:space="0" w:color="auto"/>
              <w:bottom w:val="single" w:sz="4" w:space="0" w:color="auto"/>
            </w:tcBorders>
            <w:vAlign w:val="center"/>
          </w:tcPr>
          <w:p w:rsidR="00F500DC" w:rsidRPr="001057F8" w:rsidRDefault="00F500DC" w:rsidP="00F500DC">
            <w:pPr>
              <w:tabs>
                <w:tab w:val="left" w:pos="9486"/>
              </w:tabs>
              <w:ind w:right="57"/>
              <w:jc w:val="right"/>
              <w:rPr>
                <w:bCs/>
                <w:sz w:val="18"/>
                <w:szCs w:val="18"/>
                <w:lang w:eastAsia="it-CH"/>
              </w:rPr>
            </w:pPr>
            <w:r w:rsidRPr="001057F8">
              <w:rPr>
                <w:bCs/>
                <w:sz w:val="18"/>
                <w:szCs w:val="18"/>
                <w:lang w:eastAsia="it-CH"/>
              </w:rPr>
              <w:t>611</w:t>
            </w:r>
          </w:p>
        </w:tc>
        <w:tc>
          <w:tcPr>
            <w:tcW w:w="399" w:type="pct"/>
            <w:tcBorders>
              <w:top w:val="single" w:sz="4" w:space="0" w:color="auto"/>
              <w:left w:val="single" w:sz="4" w:space="0" w:color="auto"/>
              <w:bottom w:val="single" w:sz="4" w:space="0" w:color="auto"/>
            </w:tcBorders>
            <w:vAlign w:val="center"/>
          </w:tcPr>
          <w:p w:rsidR="00F500DC" w:rsidRPr="00C65661" w:rsidRDefault="00F500DC" w:rsidP="00F500DC">
            <w:pPr>
              <w:tabs>
                <w:tab w:val="left" w:pos="9486"/>
              </w:tabs>
              <w:jc w:val="right"/>
              <w:rPr>
                <w:bCs/>
                <w:sz w:val="18"/>
                <w:szCs w:val="18"/>
                <w:lang w:eastAsia="it-CH"/>
              </w:rPr>
            </w:pPr>
            <w:r w:rsidRPr="00C65661">
              <w:rPr>
                <w:bCs/>
                <w:sz w:val="18"/>
                <w:szCs w:val="18"/>
                <w:lang w:eastAsia="it-CH"/>
              </w:rPr>
              <w:t>643</w:t>
            </w:r>
          </w:p>
        </w:tc>
        <w:tc>
          <w:tcPr>
            <w:tcW w:w="399" w:type="pct"/>
            <w:tcBorders>
              <w:top w:val="single" w:sz="4" w:space="0" w:color="auto"/>
              <w:left w:val="single" w:sz="4" w:space="0" w:color="auto"/>
              <w:bottom w:val="single" w:sz="4" w:space="0" w:color="auto"/>
            </w:tcBorders>
            <w:vAlign w:val="center"/>
          </w:tcPr>
          <w:p w:rsidR="00F500DC" w:rsidRPr="00681CC4" w:rsidRDefault="00F500DC" w:rsidP="00F500DC">
            <w:pPr>
              <w:tabs>
                <w:tab w:val="left" w:pos="9486"/>
              </w:tabs>
              <w:jc w:val="right"/>
              <w:rPr>
                <w:bCs/>
                <w:sz w:val="18"/>
                <w:szCs w:val="18"/>
                <w:lang w:eastAsia="it-CH"/>
              </w:rPr>
            </w:pPr>
            <w:r w:rsidRPr="00681CC4">
              <w:rPr>
                <w:bCs/>
                <w:sz w:val="18"/>
                <w:szCs w:val="18"/>
                <w:lang w:eastAsia="it-CH"/>
              </w:rPr>
              <w:t>352</w:t>
            </w:r>
          </w:p>
        </w:tc>
      </w:tr>
      <w:tr w:rsidR="00F500DC" w:rsidRPr="00DE7B1C" w:rsidTr="00F500DC">
        <w:trPr>
          <w:trHeight w:val="300"/>
          <w:jc w:val="center"/>
        </w:trPr>
        <w:tc>
          <w:tcPr>
            <w:tcW w:w="955" w:type="pct"/>
            <w:tcBorders>
              <w:top w:val="single" w:sz="4" w:space="0" w:color="auto"/>
              <w:bottom w:val="single" w:sz="4" w:space="0" w:color="auto"/>
              <w:right w:val="single" w:sz="4" w:space="0" w:color="auto"/>
            </w:tcBorders>
            <w:noWrap/>
            <w:tcMar>
              <w:top w:w="0" w:type="dxa"/>
              <w:left w:w="70" w:type="dxa"/>
              <w:bottom w:w="0" w:type="dxa"/>
              <w:right w:w="70" w:type="dxa"/>
            </w:tcMar>
            <w:vAlign w:val="center"/>
          </w:tcPr>
          <w:p w:rsidR="00F500DC" w:rsidRPr="00F0171F" w:rsidRDefault="00F500DC" w:rsidP="00F500DC">
            <w:pPr>
              <w:tabs>
                <w:tab w:val="left" w:pos="9486"/>
              </w:tabs>
              <w:jc w:val="left"/>
              <w:rPr>
                <w:i/>
                <w:sz w:val="18"/>
                <w:szCs w:val="18"/>
                <w:lang w:eastAsia="it-CH"/>
              </w:rPr>
            </w:pPr>
            <w:r w:rsidRPr="00F0171F">
              <w:rPr>
                <w:i/>
                <w:sz w:val="18"/>
                <w:szCs w:val="18"/>
                <w:lang w:eastAsia="it-CH"/>
              </w:rPr>
              <w:t>di cui affitti</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B87577" w:rsidRDefault="00F500DC" w:rsidP="00F500DC">
            <w:pPr>
              <w:tabs>
                <w:tab w:val="left" w:pos="9486"/>
              </w:tabs>
              <w:jc w:val="right"/>
              <w:rPr>
                <w:bCs/>
                <w:i/>
                <w:sz w:val="18"/>
                <w:szCs w:val="18"/>
                <w:lang w:eastAsia="it-CH"/>
              </w:rPr>
            </w:pPr>
            <w:r w:rsidRPr="00B87577">
              <w:rPr>
                <w:bCs/>
                <w:i/>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B87577" w:rsidRDefault="00F500DC" w:rsidP="00F500DC">
            <w:pPr>
              <w:tabs>
                <w:tab w:val="left" w:pos="9486"/>
              </w:tabs>
              <w:jc w:val="right"/>
              <w:rPr>
                <w:bCs/>
                <w:i/>
                <w:sz w:val="18"/>
                <w:szCs w:val="18"/>
                <w:lang w:eastAsia="it-CH"/>
              </w:rPr>
            </w:pPr>
            <w:r w:rsidRPr="00B87577">
              <w:rPr>
                <w:bCs/>
                <w:i/>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B87577" w:rsidRDefault="00F500DC" w:rsidP="00F500DC">
            <w:pPr>
              <w:tabs>
                <w:tab w:val="left" w:pos="9486"/>
              </w:tabs>
              <w:jc w:val="right"/>
              <w:rPr>
                <w:bCs/>
                <w:i/>
                <w:sz w:val="18"/>
                <w:szCs w:val="18"/>
                <w:lang w:eastAsia="it-CH"/>
              </w:rPr>
            </w:pPr>
            <w:r w:rsidRPr="00B87577">
              <w:rPr>
                <w:bCs/>
                <w:i/>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B87577" w:rsidRDefault="00F500DC" w:rsidP="00F500DC">
            <w:pPr>
              <w:tabs>
                <w:tab w:val="left" w:pos="9486"/>
              </w:tabs>
              <w:jc w:val="right"/>
              <w:rPr>
                <w:bCs/>
                <w:i/>
                <w:sz w:val="18"/>
                <w:szCs w:val="18"/>
                <w:lang w:eastAsia="it-CH"/>
              </w:rPr>
            </w:pPr>
            <w:r w:rsidRPr="00B87577">
              <w:rPr>
                <w:bCs/>
                <w:i/>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F500DC" w:rsidRPr="00B87577" w:rsidRDefault="00F500DC" w:rsidP="00F500DC">
            <w:pPr>
              <w:tabs>
                <w:tab w:val="left" w:pos="9486"/>
              </w:tabs>
              <w:jc w:val="right"/>
              <w:rPr>
                <w:bCs/>
                <w:i/>
                <w:sz w:val="18"/>
                <w:szCs w:val="18"/>
                <w:lang w:eastAsia="it-CH"/>
              </w:rPr>
            </w:pPr>
            <w:r w:rsidRPr="00B87577">
              <w:rPr>
                <w:bCs/>
                <w:i/>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B87577" w:rsidRDefault="00F500DC" w:rsidP="00F500DC">
            <w:pPr>
              <w:tabs>
                <w:tab w:val="left" w:pos="9486"/>
              </w:tabs>
              <w:ind w:right="57"/>
              <w:jc w:val="right"/>
              <w:rPr>
                <w:bCs/>
                <w:i/>
                <w:sz w:val="18"/>
                <w:szCs w:val="18"/>
                <w:lang w:eastAsia="it-CH"/>
              </w:rPr>
            </w:pPr>
            <w:r w:rsidRPr="00B87577">
              <w:rPr>
                <w:bCs/>
                <w:i/>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B87577" w:rsidRDefault="00F500DC" w:rsidP="00F500DC">
            <w:pPr>
              <w:tabs>
                <w:tab w:val="left" w:pos="9486"/>
              </w:tabs>
              <w:ind w:right="57"/>
              <w:jc w:val="right"/>
              <w:rPr>
                <w:bCs/>
                <w:i/>
                <w:sz w:val="18"/>
                <w:szCs w:val="18"/>
                <w:lang w:eastAsia="it-CH"/>
              </w:rPr>
            </w:pPr>
            <w:r w:rsidRPr="00B87577">
              <w:rPr>
                <w:bCs/>
                <w:i/>
                <w:sz w:val="18"/>
                <w:szCs w:val="18"/>
                <w:lang w:eastAsia="it-CH"/>
              </w:rPr>
              <w:t>152</w:t>
            </w:r>
          </w:p>
        </w:tc>
        <w:tc>
          <w:tcPr>
            <w:tcW w:w="406" w:type="pct"/>
            <w:tcBorders>
              <w:top w:val="single" w:sz="4" w:space="0" w:color="auto"/>
              <w:left w:val="single" w:sz="4" w:space="0" w:color="auto"/>
              <w:bottom w:val="single" w:sz="4" w:space="0" w:color="auto"/>
            </w:tcBorders>
            <w:vAlign w:val="center"/>
          </w:tcPr>
          <w:p w:rsidR="00F500DC" w:rsidRPr="00B87577" w:rsidRDefault="00F500DC" w:rsidP="00F500DC">
            <w:pPr>
              <w:tabs>
                <w:tab w:val="left" w:pos="9486"/>
              </w:tabs>
              <w:ind w:right="57"/>
              <w:jc w:val="right"/>
              <w:rPr>
                <w:i/>
                <w:sz w:val="18"/>
                <w:szCs w:val="18"/>
                <w:lang w:eastAsia="it-CH"/>
              </w:rPr>
            </w:pPr>
            <w:r w:rsidRPr="00B87577">
              <w:rPr>
                <w:i/>
                <w:sz w:val="18"/>
                <w:szCs w:val="18"/>
                <w:lang w:eastAsia="it-CH"/>
              </w:rPr>
              <w:t>189</w:t>
            </w:r>
          </w:p>
        </w:tc>
        <w:tc>
          <w:tcPr>
            <w:tcW w:w="399" w:type="pct"/>
            <w:tcBorders>
              <w:top w:val="single" w:sz="4" w:space="0" w:color="auto"/>
              <w:left w:val="single" w:sz="4" w:space="0" w:color="auto"/>
              <w:bottom w:val="single" w:sz="4" w:space="0" w:color="auto"/>
            </w:tcBorders>
            <w:vAlign w:val="center"/>
          </w:tcPr>
          <w:p w:rsidR="00F500DC" w:rsidRPr="00C65661" w:rsidRDefault="00F500DC" w:rsidP="00F500DC">
            <w:pPr>
              <w:tabs>
                <w:tab w:val="left" w:pos="9486"/>
              </w:tabs>
              <w:jc w:val="right"/>
              <w:rPr>
                <w:bCs/>
                <w:i/>
                <w:sz w:val="18"/>
                <w:szCs w:val="18"/>
                <w:lang w:eastAsia="it-CH"/>
              </w:rPr>
            </w:pPr>
            <w:r w:rsidRPr="00C65661">
              <w:rPr>
                <w:bCs/>
                <w:i/>
                <w:sz w:val="18"/>
                <w:szCs w:val="18"/>
                <w:lang w:eastAsia="it-CH"/>
              </w:rPr>
              <w:t>189</w:t>
            </w:r>
          </w:p>
        </w:tc>
        <w:tc>
          <w:tcPr>
            <w:tcW w:w="399" w:type="pct"/>
            <w:tcBorders>
              <w:top w:val="single" w:sz="4" w:space="0" w:color="auto"/>
              <w:left w:val="single" w:sz="4" w:space="0" w:color="auto"/>
              <w:bottom w:val="single" w:sz="4" w:space="0" w:color="auto"/>
            </w:tcBorders>
            <w:vAlign w:val="center"/>
          </w:tcPr>
          <w:p w:rsidR="00F500DC" w:rsidRPr="00681CC4" w:rsidRDefault="00F500DC" w:rsidP="00F500DC">
            <w:pPr>
              <w:tabs>
                <w:tab w:val="left" w:pos="9486"/>
              </w:tabs>
              <w:jc w:val="right"/>
              <w:rPr>
                <w:bCs/>
                <w:i/>
                <w:sz w:val="18"/>
                <w:szCs w:val="18"/>
                <w:lang w:eastAsia="it-CH"/>
              </w:rPr>
            </w:pPr>
            <w:r w:rsidRPr="00681CC4">
              <w:rPr>
                <w:bCs/>
                <w:i/>
                <w:sz w:val="18"/>
                <w:szCs w:val="18"/>
                <w:lang w:eastAsia="it-CH"/>
              </w:rPr>
              <w:t>189</w:t>
            </w:r>
          </w:p>
        </w:tc>
      </w:tr>
      <w:tr w:rsidR="00F500DC" w:rsidRPr="00DE7B1C" w:rsidTr="00F500DC">
        <w:trPr>
          <w:trHeight w:val="300"/>
          <w:jc w:val="center"/>
        </w:trPr>
        <w:tc>
          <w:tcPr>
            <w:tcW w:w="955" w:type="pct"/>
            <w:tcBorders>
              <w:top w:val="single" w:sz="4" w:space="0" w:color="auto"/>
              <w:bottom w:val="single" w:sz="4" w:space="0" w:color="auto"/>
              <w:right w:val="single" w:sz="4" w:space="0" w:color="auto"/>
            </w:tcBorders>
            <w:noWrap/>
            <w:tcMar>
              <w:top w:w="0" w:type="dxa"/>
              <w:left w:w="70" w:type="dxa"/>
              <w:bottom w:w="0" w:type="dxa"/>
              <w:right w:w="70" w:type="dxa"/>
            </w:tcMar>
            <w:vAlign w:val="center"/>
          </w:tcPr>
          <w:p w:rsidR="00F500DC" w:rsidRPr="00F0171F" w:rsidRDefault="00F500DC" w:rsidP="00F500DC">
            <w:pPr>
              <w:tabs>
                <w:tab w:val="left" w:pos="9486"/>
              </w:tabs>
              <w:jc w:val="left"/>
              <w:rPr>
                <w:i/>
                <w:sz w:val="18"/>
                <w:szCs w:val="18"/>
                <w:lang w:eastAsia="it-CH"/>
              </w:rPr>
            </w:pPr>
            <w:r>
              <w:rPr>
                <w:i/>
                <w:sz w:val="18"/>
                <w:szCs w:val="18"/>
                <w:lang w:eastAsia="it-CH"/>
              </w:rPr>
              <w:t>di cui</w:t>
            </w:r>
            <w:r w:rsidRPr="00F0171F">
              <w:rPr>
                <w:i/>
                <w:sz w:val="18"/>
                <w:szCs w:val="18"/>
                <w:lang w:eastAsia="it-CH"/>
              </w:rPr>
              <w:t xml:space="preserve"> accantonamento manutenzione Campus</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B87577" w:rsidRDefault="00F500DC" w:rsidP="00F500DC">
            <w:pPr>
              <w:tabs>
                <w:tab w:val="left" w:pos="9486"/>
              </w:tabs>
              <w:jc w:val="right"/>
              <w:rPr>
                <w:bCs/>
                <w:i/>
                <w:sz w:val="18"/>
                <w:szCs w:val="18"/>
                <w:lang w:eastAsia="it-CH"/>
              </w:rPr>
            </w:pPr>
            <w:r w:rsidRPr="00B87577">
              <w:rPr>
                <w:bCs/>
                <w:i/>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B87577" w:rsidRDefault="00F500DC" w:rsidP="00F500DC">
            <w:pPr>
              <w:tabs>
                <w:tab w:val="left" w:pos="9486"/>
              </w:tabs>
              <w:jc w:val="right"/>
              <w:rPr>
                <w:bCs/>
                <w:i/>
                <w:sz w:val="18"/>
                <w:szCs w:val="18"/>
                <w:lang w:eastAsia="it-CH"/>
              </w:rPr>
            </w:pPr>
            <w:r w:rsidRPr="00B87577">
              <w:rPr>
                <w:bCs/>
                <w:i/>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B87577" w:rsidRDefault="00F500DC" w:rsidP="00F500DC">
            <w:pPr>
              <w:tabs>
                <w:tab w:val="left" w:pos="9486"/>
              </w:tabs>
              <w:jc w:val="right"/>
              <w:rPr>
                <w:bCs/>
                <w:i/>
                <w:sz w:val="18"/>
                <w:szCs w:val="18"/>
                <w:lang w:eastAsia="it-CH"/>
              </w:rPr>
            </w:pPr>
            <w:r w:rsidRPr="00B87577">
              <w:rPr>
                <w:bCs/>
                <w:i/>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00DC" w:rsidRPr="00B87577" w:rsidRDefault="00F500DC" w:rsidP="00F500DC">
            <w:pPr>
              <w:tabs>
                <w:tab w:val="left" w:pos="9486"/>
              </w:tabs>
              <w:jc w:val="right"/>
              <w:rPr>
                <w:bCs/>
                <w:i/>
                <w:sz w:val="18"/>
                <w:szCs w:val="18"/>
                <w:lang w:eastAsia="it-CH"/>
              </w:rPr>
            </w:pPr>
            <w:r w:rsidRPr="00B87577">
              <w:rPr>
                <w:bCs/>
                <w:i/>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F500DC" w:rsidRPr="00B87577" w:rsidRDefault="00F500DC" w:rsidP="00F500DC">
            <w:pPr>
              <w:tabs>
                <w:tab w:val="left" w:pos="9486"/>
              </w:tabs>
              <w:jc w:val="right"/>
              <w:rPr>
                <w:bCs/>
                <w:i/>
                <w:sz w:val="18"/>
                <w:szCs w:val="18"/>
                <w:lang w:eastAsia="it-CH"/>
              </w:rPr>
            </w:pPr>
            <w:r w:rsidRPr="00B87577">
              <w:rPr>
                <w:bCs/>
                <w:i/>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B87577" w:rsidRDefault="00F500DC" w:rsidP="00F500DC">
            <w:pPr>
              <w:tabs>
                <w:tab w:val="left" w:pos="9486"/>
              </w:tabs>
              <w:ind w:right="57"/>
              <w:jc w:val="right"/>
              <w:rPr>
                <w:bCs/>
                <w:i/>
                <w:sz w:val="18"/>
                <w:szCs w:val="18"/>
                <w:lang w:eastAsia="it-CH"/>
              </w:rPr>
            </w:pPr>
            <w:r w:rsidRPr="00B87577">
              <w:rPr>
                <w:bCs/>
                <w:i/>
                <w:sz w:val="18"/>
                <w:szCs w:val="18"/>
                <w:lang w:eastAsia="it-CH"/>
              </w:rPr>
              <w:t>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B87577" w:rsidRDefault="00F500DC" w:rsidP="00F500DC">
            <w:pPr>
              <w:tabs>
                <w:tab w:val="left" w:pos="9486"/>
              </w:tabs>
              <w:ind w:right="57"/>
              <w:jc w:val="right"/>
              <w:rPr>
                <w:bCs/>
                <w:i/>
                <w:sz w:val="18"/>
                <w:szCs w:val="18"/>
                <w:lang w:eastAsia="it-CH"/>
              </w:rPr>
            </w:pPr>
            <w:r w:rsidRPr="00B87577">
              <w:rPr>
                <w:bCs/>
                <w:i/>
                <w:sz w:val="18"/>
                <w:szCs w:val="18"/>
                <w:lang w:eastAsia="it-CH"/>
              </w:rPr>
              <w:t>0</w:t>
            </w:r>
          </w:p>
        </w:tc>
        <w:tc>
          <w:tcPr>
            <w:tcW w:w="406" w:type="pct"/>
            <w:tcBorders>
              <w:top w:val="single" w:sz="4" w:space="0" w:color="auto"/>
              <w:left w:val="single" w:sz="4" w:space="0" w:color="auto"/>
              <w:bottom w:val="single" w:sz="4" w:space="0" w:color="auto"/>
            </w:tcBorders>
            <w:vAlign w:val="center"/>
          </w:tcPr>
          <w:p w:rsidR="00F500DC" w:rsidRPr="00B87577" w:rsidRDefault="00F500DC" w:rsidP="00F500DC">
            <w:pPr>
              <w:tabs>
                <w:tab w:val="left" w:pos="9486"/>
              </w:tabs>
              <w:ind w:right="57"/>
              <w:jc w:val="right"/>
              <w:rPr>
                <w:i/>
                <w:sz w:val="18"/>
                <w:szCs w:val="18"/>
                <w:highlight w:val="yellow"/>
                <w:lang w:eastAsia="it-CH"/>
              </w:rPr>
            </w:pPr>
            <w:r w:rsidRPr="00B87577">
              <w:rPr>
                <w:i/>
                <w:sz w:val="18"/>
                <w:szCs w:val="18"/>
                <w:lang w:eastAsia="it-CH"/>
              </w:rPr>
              <w:t>422</w:t>
            </w:r>
          </w:p>
        </w:tc>
        <w:tc>
          <w:tcPr>
            <w:tcW w:w="399" w:type="pct"/>
            <w:tcBorders>
              <w:top w:val="single" w:sz="4" w:space="0" w:color="auto"/>
              <w:left w:val="single" w:sz="4" w:space="0" w:color="auto"/>
              <w:bottom w:val="single" w:sz="4" w:space="0" w:color="auto"/>
            </w:tcBorders>
            <w:vAlign w:val="center"/>
          </w:tcPr>
          <w:p w:rsidR="00F500DC" w:rsidRPr="00C65661" w:rsidRDefault="00F500DC" w:rsidP="00F500DC">
            <w:pPr>
              <w:tabs>
                <w:tab w:val="left" w:pos="9486"/>
              </w:tabs>
              <w:jc w:val="right"/>
              <w:rPr>
                <w:bCs/>
                <w:i/>
                <w:sz w:val="18"/>
                <w:szCs w:val="18"/>
                <w:lang w:eastAsia="it-CH"/>
              </w:rPr>
            </w:pPr>
            <w:r w:rsidRPr="00C65661">
              <w:rPr>
                <w:bCs/>
                <w:i/>
                <w:sz w:val="18"/>
                <w:szCs w:val="18"/>
                <w:lang w:eastAsia="it-CH"/>
              </w:rPr>
              <w:t>454</w:t>
            </w:r>
          </w:p>
        </w:tc>
        <w:tc>
          <w:tcPr>
            <w:tcW w:w="399" w:type="pct"/>
            <w:tcBorders>
              <w:top w:val="single" w:sz="4" w:space="0" w:color="auto"/>
              <w:left w:val="single" w:sz="4" w:space="0" w:color="auto"/>
              <w:bottom w:val="single" w:sz="4" w:space="0" w:color="auto"/>
            </w:tcBorders>
            <w:vAlign w:val="center"/>
          </w:tcPr>
          <w:p w:rsidR="00F500DC" w:rsidRPr="00681CC4" w:rsidRDefault="00F500DC" w:rsidP="00F500DC">
            <w:pPr>
              <w:tabs>
                <w:tab w:val="left" w:pos="9486"/>
              </w:tabs>
              <w:jc w:val="right"/>
              <w:rPr>
                <w:bCs/>
                <w:i/>
                <w:sz w:val="18"/>
                <w:szCs w:val="18"/>
                <w:lang w:eastAsia="it-CH"/>
              </w:rPr>
            </w:pPr>
            <w:r w:rsidRPr="00681CC4">
              <w:rPr>
                <w:bCs/>
                <w:i/>
                <w:sz w:val="18"/>
                <w:szCs w:val="18"/>
                <w:lang w:eastAsia="it-CH"/>
              </w:rPr>
              <w:t>163</w:t>
            </w:r>
          </w:p>
        </w:tc>
      </w:tr>
      <w:tr w:rsidR="00F500DC" w:rsidRPr="00DE7B1C" w:rsidTr="00F500DC">
        <w:trPr>
          <w:trHeight w:val="300"/>
          <w:jc w:val="center"/>
        </w:trPr>
        <w:tc>
          <w:tcPr>
            <w:tcW w:w="955" w:type="pct"/>
            <w:tcBorders>
              <w:top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F500DC" w:rsidRPr="004170B3" w:rsidRDefault="00F500DC" w:rsidP="00F500DC">
            <w:pPr>
              <w:tabs>
                <w:tab w:val="left" w:pos="9486"/>
              </w:tabs>
              <w:jc w:val="left"/>
              <w:rPr>
                <w:sz w:val="18"/>
                <w:szCs w:val="18"/>
              </w:rPr>
            </w:pPr>
            <w:r w:rsidRPr="004170B3">
              <w:rPr>
                <w:b/>
                <w:bCs/>
                <w:sz w:val="18"/>
                <w:szCs w:val="18"/>
                <w:lang w:eastAsia="it-CH"/>
              </w:rPr>
              <w:t xml:space="preserve">Totale </w:t>
            </w:r>
            <w:r>
              <w:rPr>
                <w:b/>
                <w:bCs/>
                <w:sz w:val="18"/>
                <w:szCs w:val="18"/>
                <w:lang w:eastAsia="it-CH"/>
              </w:rPr>
              <w:t>contributi versati a USI</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00DC" w:rsidRPr="00786B5F" w:rsidRDefault="00F500DC" w:rsidP="00F500DC">
            <w:pPr>
              <w:tabs>
                <w:tab w:val="left" w:pos="9486"/>
              </w:tabs>
              <w:jc w:val="right"/>
              <w:rPr>
                <w:sz w:val="18"/>
                <w:szCs w:val="18"/>
              </w:rPr>
            </w:pPr>
            <w:r w:rsidRPr="00786B5F">
              <w:rPr>
                <w:b/>
                <w:bCs/>
                <w:sz w:val="18"/>
                <w:szCs w:val="18"/>
                <w:lang w:eastAsia="it-CH"/>
              </w:rPr>
              <w:t>19’440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00DC" w:rsidRPr="00786B5F" w:rsidRDefault="00F500DC" w:rsidP="00F500DC">
            <w:pPr>
              <w:tabs>
                <w:tab w:val="left" w:pos="9486"/>
              </w:tabs>
              <w:jc w:val="right"/>
              <w:rPr>
                <w:sz w:val="18"/>
                <w:szCs w:val="18"/>
              </w:rPr>
            </w:pPr>
            <w:r w:rsidRPr="00786B5F">
              <w:rPr>
                <w:b/>
                <w:bCs/>
                <w:sz w:val="18"/>
                <w:szCs w:val="18"/>
                <w:lang w:eastAsia="it-CH"/>
              </w:rPr>
              <w:t>20’250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00DC" w:rsidRPr="00786B5F" w:rsidRDefault="00F500DC" w:rsidP="00F500DC">
            <w:pPr>
              <w:tabs>
                <w:tab w:val="left" w:pos="9486"/>
              </w:tabs>
              <w:jc w:val="right"/>
              <w:rPr>
                <w:sz w:val="18"/>
                <w:szCs w:val="18"/>
              </w:rPr>
            </w:pPr>
            <w:r w:rsidRPr="00786B5F">
              <w:rPr>
                <w:b/>
                <w:bCs/>
                <w:sz w:val="18"/>
                <w:szCs w:val="18"/>
                <w:lang w:eastAsia="it-CH"/>
              </w:rPr>
              <w:t>21'000</w:t>
            </w:r>
          </w:p>
        </w:tc>
        <w:tc>
          <w:tcPr>
            <w:tcW w:w="4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500DC" w:rsidRPr="00786B5F" w:rsidRDefault="00F500DC" w:rsidP="00F500DC">
            <w:pPr>
              <w:tabs>
                <w:tab w:val="left" w:pos="9486"/>
              </w:tabs>
              <w:jc w:val="right"/>
              <w:rPr>
                <w:sz w:val="18"/>
                <w:szCs w:val="18"/>
              </w:rPr>
            </w:pPr>
            <w:r w:rsidRPr="00786B5F">
              <w:rPr>
                <w:b/>
                <w:bCs/>
                <w:sz w:val="18"/>
                <w:szCs w:val="18"/>
                <w:lang w:eastAsia="it-CH"/>
              </w:rPr>
              <w:t>21'650</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F500DC" w:rsidRPr="00786B5F" w:rsidRDefault="00F500DC" w:rsidP="00F500DC">
            <w:pPr>
              <w:tabs>
                <w:tab w:val="left" w:pos="9486"/>
              </w:tabs>
              <w:jc w:val="right"/>
              <w:rPr>
                <w:sz w:val="18"/>
                <w:szCs w:val="18"/>
              </w:rPr>
            </w:pPr>
            <w:r w:rsidRPr="00786B5F">
              <w:rPr>
                <w:b/>
                <w:bCs/>
                <w:sz w:val="18"/>
                <w:szCs w:val="18"/>
                <w:lang w:eastAsia="it-CH"/>
              </w:rPr>
              <w:t>21'650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786B5F" w:rsidRDefault="00F500DC" w:rsidP="00F500DC">
            <w:pPr>
              <w:tabs>
                <w:tab w:val="left" w:pos="9486"/>
              </w:tabs>
              <w:ind w:right="57"/>
              <w:jc w:val="right"/>
              <w:rPr>
                <w:b/>
                <w:bCs/>
                <w:sz w:val="18"/>
                <w:szCs w:val="18"/>
                <w:lang w:eastAsia="it-CH"/>
              </w:rPr>
            </w:pPr>
            <w:r w:rsidRPr="00786B5F">
              <w:rPr>
                <w:b/>
                <w:bCs/>
                <w:sz w:val="18"/>
                <w:szCs w:val="18"/>
                <w:lang w:eastAsia="it-CH"/>
              </w:rPr>
              <w:t>21’750</w:t>
            </w:r>
          </w:p>
        </w:tc>
        <w:tc>
          <w:tcPr>
            <w:tcW w:w="406" w:type="pct"/>
            <w:tcBorders>
              <w:top w:val="single" w:sz="4" w:space="0" w:color="auto"/>
              <w:left w:val="single" w:sz="4" w:space="0" w:color="auto"/>
              <w:bottom w:val="single" w:sz="4" w:space="0" w:color="auto"/>
              <w:right w:val="single" w:sz="4" w:space="0" w:color="auto"/>
            </w:tcBorders>
            <w:vAlign w:val="center"/>
          </w:tcPr>
          <w:p w:rsidR="00F500DC" w:rsidRPr="00786B5F" w:rsidRDefault="00F500DC" w:rsidP="00F500DC">
            <w:pPr>
              <w:tabs>
                <w:tab w:val="left" w:pos="9486"/>
              </w:tabs>
              <w:ind w:right="57"/>
              <w:jc w:val="right"/>
              <w:rPr>
                <w:b/>
                <w:bCs/>
                <w:sz w:val="18"/>
                <w:szCs w:val="18"/>
                <w:lang w:eastAsia="it-CH"/>
              </w:rPr>
            </w:pPr>
            <w:r w:rsidRPr="00786B5F">
              <w:rPr>
                <w:b/>
                <w:bCs/>
                <w:sz w:val="18"/>
                <w:szCs w:val="18"/>
                <w:lang w:eastAsia="it-CH"/>
              </w:rPr>
              <w:t>21’</w:t>
            </w:r>
            <w:r>
              <w:rPr>
                <w:b/>
                <w:bCs/>
                <w:sz w:val="18"/>
                <w:szCs w:val="18"/>
                <w:lang w:eastAsia="it-CH"/>
              </w:rPr>
              <w:t>902</w:t>
            </w:r>
          </w:p>
        </w:tc>
        <w:tc>
          <w:tcPr>
            <w:tcW w:w="406" w:type="pct"/>
            <w:tcBorders>
              <w:top w:val="single" w:sz="4" w:space="0" w:color="auto"/>
              <w:left w:val="single" w:sz="4" w:space="0" w:color="auto"/>
              <w:bottom w:val="single" w:sz="4" w:space="0" w:color="auto"/>
            </w:tcBorders>
            <w:vAlign w:val="center"/>
          </w:tcPr>
          <w:p w:rsidR="00F500DC" w:rsidRPr="00786B5F" w:rsidRDefault="00F500DC" w:rsidP="00F500DC">
            <w:pPr>
              <w:tabs>
                <w:tab w:val="left" w:pos="9486"/>
              </w:tabs>
              <w:ind w:right="57"/>
              <w:jc w:val="right"/>
              <w:rPr>
                <w:b/>
                <w:sz w:val="18"/>
                <w:szCs w:val="18"/>
                <w:highlight w:val="yellow"/>
                <w:lang w:eastAsia="it-CH"/>
              </w:rPr>
            </w:pPr>
            <w:r w:rsidRPr="00786B5F">
              <w:rPr>
                <w:b/>
                <w:bCs/>
                <w:sz w:val="18"/>
                <w:szCs w:val="18"/>
                <w:lang w:eastAsia="it-CH"/>
              </w:rPr>
              <w:t>24’73</w:t>
            </w:r>
            <w:r>
              <w:rPr>
                <w:b/>
                <w:bCs/>
                <w:sz w:val="18"/>
                <w:szCs w:val="18"/>
                <w:lang w:eastAsia="it-CH"/>
              </w:rPr>
              <w:t>4</w:t>
            </w:r>
          </w:p>
        </w:tc>
        <w:tc>
          <w:tcPr>
            <w:tcW w:w="399" w:type="pct"/>
            <w:tcBorders>
              <w:top w:val="single" w:sz="4" w:space="0" w:color="auto"/>
              <w:left w:val="single" w:sz="4" w:space="0" w:color="auto"/>
              <w:bottom w:val="single" w:sz="4" w:space="0" w:color="auto"/>
            </w:tcBorders>
            <w:vAlign w:val="center"/>
          </w:tcPr>
          <w:p w:rsidR="00F500DC" w:rsidRPr="00786B5F" w:rsidRDefault="00F500DC" w:rsidP="00F500DC">
            <w:pPr>
              <w:tabs>
                <w:tab w:val="left" w:pos="9486"/>
              </w:tabs>
              <w:jc w:val="right"/>
              <w:rPr>
                <w:b/>
                <w:bCs/>
                <w:sz w:val="18"/>
                <w:szCs w:val="18"/>
                <w:lang w:eastAsia="it-CH"/>
              </w:rPr>
            </w:pPr>
            <w:r>
              <w:rPr>
                <w:b/>
                <w:bCs/>
                <w:sz w:val="18"/>
                <w:szCs w:val="18"/>
                <w:lang w:eastAsia="it-CH"/>
              </w:rPr>
              <w:t>25’753</w:t>
            </w:r>
          </w:p>
        </w:tc>
        <w:tc>
          <w:tcPr>
            <w:tcW w:w="399" w:type="pct"/>
            <w:tcBorders>
              <w:top w:val="single" w:sz="4" w:space="0" w:color="auto"/>
              <w:left w:val="single" w:sz="4" w:space="0" w:color="auto"/>
              <w:bottom w:val="single" w:sz="4" w:space="0" w:color="auto"/>
            </w:tcBorders>
            <w:vAlign w:val="center"/>
          </w:tcPr>
          <w:p w:rsidR="00F500DC" w:rsidRDefault="00F500DC" w:rsidP="00F500DC">
            <w:pPr>
              <w:tabs>
                <w:tab w:val="left" w:pos="9486"/>
              </w:tabs>
              <w:jc w:val="right"/>
              <w:rPr>
                <w:b/>
                <w:bCs/>
                <w:sz w:val="18"/>
                <w:szCs w:val="18"/>
                <w:lang w:eastAsia="it-CH"/>
              </w:rPr>
            </w:pPr>
            <w:r>
              <w:rPr>
                <w:b/>
                <w:bCs/>
                <w:sz w:val="18"/>
                <w:szCs w:val="18"/>
                <w:lang w:eastAsia="it-CH"/>
              </w:rPr>
              <w:t>26’213</w:t>
            </w:r>
          </w:p>
        </w:tc>
      </w:tr>
      <w:tr w:rsidR="00F500DC" w:rsidRPr="00DE7B1C" w:rsidTr="00F500DC">
        <w:trPr>
          <w:trHeight w:val="300"/>
          <w:jc w:val="center"/>
        </w:trPr>
        <w:tc>
          <w:tcPr>
            <w:tcW w:w="955" w:type="pct"/>
            <w:tcBorders>
              <w:top w:val="single" w:sz="4" w:space="0" w:color="auto"/>
              <w:right w:val="single" w:sz="4" w:space="0" w:color="auto"/>
            </w:tcBorders>
            <w:noWrap/>
            <w:tcMar>
              <w:top w:w="0" w:type="dxa"/>
              <w:left w:w="70" w:type="dxa"/>
              <w:bottom w:w="0" w:type="dxa"/>
              <w:right w:w="70" w:type="dxa"/>
            </w:tcMar>
            <w:vAlign w:val="center"/>
            <w:hideMark/>
          </w:tcPr>
          <w:p w:rsidR="00F500DC" w:rsidRPr="004170B3" w:rsidRDefault="00F500DC" w:rsidP="00F500DC">
            <w:pPr>
              <w:tabs>
                <w:tab w:val="left" w:pos="9486"/>
              </w:tabs>
              <w:jc w:val="left"/>
              <w:rPr>
                <w:sz w:val="18"/>
                <w:szCs w:val="18"/>
              </w:rPr>
            </w:pPr>
            <w:r w:rsidRPr="004170B3">
              <w:rPr>
                <w:i/>
                <w:iCs/>
                <w:sz w:val="18"/>
                <w:szCs w:val="18"/>
                <w:lang w:eastAsia="it-CH"/>
              </w:rPr>
              <w:t>Aumento annuo</w:t>
            </w:r>
          </w:p>
        </w:tc>
        <w:tc>
          <w:tcPr>
            <w:tcW w:w="406" w:type="pct"/>
            <w:tcBorders>
              <w:top w:val="single" w:sz="4" w:space="0" w:color="auto"/>
              <w:left w:val="single" w:sz="4" w:space="0" w:color="auto"/>
              <w:right w:val="single" w:sz="4" w:space="0" w:color="auto"/>
            </w:tcBorders>
            <w:tcMar>
              <w:top w:w="0" w:type="dxa"/>
              <w:left w:w="70" w:type="dxa"/>
              <w:bottom w:w="0" w:type="dxa"/>
              <w:right w:w="70" w:type="dxa"/>
            </w:tcMar>
            <w:vAlign w:val="center"/>
            <w:hideMark/>
          </w:tcPr>
          <w:p w:rsidR="00F500DC" w:rsidRPr="00786B5F" w:rsidRDefault="00F500DC" w:rsidP="00F500DC">
            <w:pPr>
              <w:tabs>
                <w:tab w:val="left" w:pos="9486"/>
              </w:tabs>
              <w:jc w:val="right"/>
              <w:rPr>
                <w:sz w:val="18"/>
                <w:szCs w:val="18"/>
              </w:rPr>
            </w:pPr>
            <w:r w:rsidRPr="00786B5F">
              <w:rPr>
                <w:i/>
                <w:iCs/>
                <w:sz w:val="18"/>
                <w:szCs w:val="18"/>
                <w:lang w:eastAsia="it-CH"/>
              </w:rPr>
              <w:t>1.0%</w:t>
            </w:r>
          </w:p>
        </w:tc>
        <w:tc>
          <w:tcPr>
            <w:tcW w:w="406" w:type="pct"/>
            <w:tcBorders>
              <w:top w:val="single" w:sz="4" w:space="0" w:color="auto"/>
              <w:left w:val="single" w:sz="4" w:space="0" w:color="auto"/>
              <w:right w:val="single" w:sz="4" w:space="0" w:color="auto"/>
            </w:tcBorders>
            <w:tcMar>
              <w:top w:w="0" w:type="dxa"/>
              <w:left w:w="70" w:type="dxa"/>
              <w:bottom w:w="0" w:type="dxa"/>
              <w:right w:w="70" w:type="dxa"/>
            </w:tcMar>
            <w:vAlign w:val="center"/>
            <w:hideMark/>
          </w:tcPr>
          <w:p w:rsidR="00F500DC" w:rsidRPr="00786B5F" w:rsidRDefault="00F500DC" w:rsidP="00F500DC">
            <w:pPr>
              <w:tabs>
                <w:tab w:val="left" w:pos="9486"/>
              </w:tabs>
              <w:jc w:val="right"/>
              <w:rPr>
                <w:sz w:val="18"/>
                <w:szCs w:val="18"/>
              </w:rPr>
            </w:pPr>
            <w:r w:rsidRPr="00786B5F">
              <w:rPr>
                <w:i/>
                <w:iCs/>
                <w:sz w:val="18"/>
                <w:szCs w:val="18"/>
                <w:lang w:eastAsia="it-CH"/>
              </w:rPr>
              <w:t>4.2%</w:t>
            </w:r>
          </w:p>
        </w:tc>
        <w:tc>
          <w:tcPr>
            <w:tcW w:w="406" w:type="pct"/>
            <w:tcBorders>
              <w:top w:val="single" w:sz="4" w:space="0" w:color="auto"/>
              <w:left w:val="single" w:sz="4" w:space="0" w:color="auto"/>
              <w:right w:val="single" w:sz="4" w:space="0" w:color="auto"/>
            </w:tcBorders>
            <w:noWrap/>
            <w:tcMar>
              <w:top w:w="0" w:type="dxa"/>
              <w:left w:w="70" w:type="dxa"/>
              <w:bottom w:w="0" w:type="dxa"/>
              <w:right w:w="70" w:type="dxa"/>
            </w:tcMar>
            <w:vAlign w:val="center"/>
            <w:hideMark/>
          </w:tcPr>
          <w:p w:rsidR="00F500DC" w:rsidRPr="00786B5F" w:rsidRDefault="00F500DC" w:rsidP="00F500DC">
            <w:pPr>
              <w:tabs>
                <w:tab w:val="left" w:pos="9486"/>
              </w:tabs>
              <w:jc w:val="right"/>
              <w:rPr>
                <w:sz w:val="18"/>
                <w:szCs w:val="18"/>
              </w:rPr>
            </w:pPr>
            <w:r w:rsidRPr="00786B5F">
              <w:rPr>
                <w:i/>
                <w:iCs/>
                <w:sz w:val="18"/>
                <w:szCs w:val="18"/>
                <w:lang w:eastAsia="it-CH"/>
              </w:rPr>
              <w:t>3.7%</w:t>
            </w:r>
          </w:p>
        </w:tc>
        <w:tc>
          <w:tcPr>
            <w:tcW w:w="406" w:type="pct"/>
            <w:tcBorders>
              <w:top w:val="single" w:sz="4" w:space="0" w:color="auto"/>
              <w:left w:val="single" w:sz="4" w:space="0" w:color="auto"/>
              <w:right w:val="single" w:sz="4" w:space="0" w:color="auto"/>
            </w:tcBorders>
            <w:tcMar>
              <w:top w:w="0" w:type="dxa"/>
              <w:left w:w="70" w:type="dxa"/>
              <w:bottom w:w="0" w:type="dxa"/>
              <w:right w:w="70" w:type="dxa"/>
            </w:tcMar>
            <w:vAlign w:val="center"/>
            <w:hideMark/>
          </w:tcPr>
          <w:p w:rsidR="00F500DC" w:rsidRPr="00786B5F" w:rsidRDefault="00F500DC" w:rsidP="00F500DC">
            <w:pPr>
              <w:tabs>
                <w:tab w:val="left" w:pos="9486"/>
              </w:tabs>
              <w:jc w:val="right"/>
              <w:rPr>
                <w:sz w:val="18"/>
                <w:szCs w:val="18"/>
              </w:rPr>
            </w:pPr>
            <w:r w:rsidRPr="00786B5F">
              <w:rPr>
                <w:i/>
                <w:iCs/>
                <w:sz w:val="18"/>
                <w:szCs w:val="18"/>
                <w:lang w:eastAsia="it-CH"/>
              </w:rPr>
              <w:t>3.1%</w:t>
            </w:r>
          </w:p>
        </w:tc>
        <w:tc>
          <w:tcPr>
            <w:tcW w:w="406" w:type="pct"/>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hideMark/>
          </w:tcPr>
          <w:p w:rsidR="00F500DC" w:rsidRPr="00786B5F" w:rsidRDefault="00F500DC" w:rsidP="00F500DC">
            <w:pPr>
              <w:tabs>
                <w:tab w:val="left" w:pos="9486"/>
              </w:tabs>
              <w:jc w:val="right"/>
              <w:rPr>
                <w:sz w:val="18"/>
                <w:szCs w:val="18"/>
              </w:rPr>
            </w:pPr>
            <w:r w:rsidRPr="00786B5F">
              <w:rPr>
                <w:i/>
                <w:iCs/>
                <w:sz w:val="18"/>
                <w:szCs w:val="18"/>
                <w:lang w:eastAsia="it-CH"/>
              </w:rPr>
              <w:t>0%</w:t>
            </w:r>
          </w:p>
        </w:tc>
        <w:tc>
          <w:tcPr>
            <w:tcW w:w="406" w:type="pct"/>
            <w:tcBorders>
              <w:top w:val="single" w:sz="4" w:space="0" w:color="auto"/>
              <w:left w:val="single" w:sz="4" w:space="0" w:color="auto"/>
              <w:right w:val="single" w:sz="4" w:space="0" w:color="auto"/>
            </w:tcBorders>
            <w:vAlign w:val="center"/>
          </w:tcPr>
          <w:p w:rsidR="00F500DC" w:rsidRPr="00786B5F" w:rsidRDefault="00F500DC" w:rsidP="00F500DC">
            <w:pPr>
              <w:tabs>
                <w:tab w:val="left" w:pos="9486"/>
              </w:tabs>
              <w:ind w:right="57"/>
              <w:jc w:val="right"/>
              <w:rPr>
                <w:i/>
                <w:iCs/>
                <w:sz w:val="18"/>
                <w:szCs w:val="18"/>
                <w:lang w:eastAsia="it-CH"/>
              </w:rPr>
            </w:pPr>
            <w:r w:rsidRPr="00786B5F">
              <w:rPr>
                <w:i/>
                <w:iCs/>
                <w:sz w:val="18"/>
                <w:szCs w:val="18"/>
                <w:lang w:eastAsia="it-CH"/>
              </w:rPr>
              <w:t>0.5%</w:t>
            </w:r>
          </w:p>
        </w:tc>
        <w:tc>
          <w:tcPr>
            <w:tcW w:w="406" w:type="pct"/>
            <w:tcBorders>
              <w:top w:val="single" w:sz="4" w:space="0" w:color="auto"/>
              <w:left w:val="single" w:sz="4" w:space="0" w:color="auto"/>
              <w:right w:val="single" w:sz="4" w:space="0" w:color="auto"/>
            </w:tcBorders>
            <w:vAlign w:val="center"/>
          </w:tcPr>
          <w:p w:rsidR="00F500DC" w:rsidRPr="00786B5F" w:rsidRDefault="00F500DC" w:rsidP="00F500DC">
            <w:pPr>
              <w:tabs>
                <w:tab w:val="left" w:pos="9486"/>
              </w:tabs>
              <w:ind w:right="57"/>
              <w:jc w:val="right"/>
              <w:rPr>
                <w:i/>
                <w:iCs/>
                <w:sz w:val="18"/>
                <w:szCs w:val="18"/>
                <w:lang w:eastAsia="it-CH"/>
              </w:rPr>
            </w:pPr>
            <w:r w:rsidRPr="00786B5F">
              <w:rPr>
                <w:i/>
                <w:iCs/>
                <w:sz w:val="18"/>
                <w:szCs w:val="18"/>
                <w:lang w:eastAsia="it-CH"/>
              </w:rPr>
              <w:t>0</w:t>
            </w:r>
            <w:r>
              <w:rPr>
                <w:i/>
                <w:iCs/>
                <w:sz w:val="18"/>
                <w:szCs w:val="18"/>
                <w:lang w:eastAsia="it-CH"/>
              </w:rPr>
              <w:t>.7</w:t>
            </w:r>
            <w:r w:rsidRPr="00786B5F">
              <w:rPr>
                <w:i/>
                <w:iCs/>
                <w:sz w:val="18"/>
                <w:szCs w:val="18"/>
                <w:lang w:eastAsia="it-CH"/>
              </w:rPr>
              <w:t>%</w:t>
            </w:r>
          </w:p>
        </w:tc>
        <w:tc>
          <w:tcPr>
            <w:tcW w:w="406" w:type="pct"/>
            <w:tcBorders>
              <w:top w:val="single" w:sz="4" w:space="0" w:color="auto"/>
              <w:left w:val="single" w:sz="4" w:space="0" w:color="auto"/>
            </w:tcBorders>
            <w:vAlign w:val="center"/>
          </w:tcPr>
          <w:p w:rsidR="00F500DC" w:rsidRPr="00786B5F" w:rsidRDefault="00F500DC" w:rsidP="00F500DC">
            <w:pPr>
              <w:tabs>
                <w:tab w:val="left" w:pos="9486"/>
              </w:tabs>
              <w:ind w:right="57"/>
              <w:jc w:val="right"/>
              <w:rPr>
                <w:i/>
                <w:sz w:val="18"/>
                <w:szCs w:val="18"/>
                <w:lang w:eastAsia="it-CH"/>
              </w:rPr>
            </w:pPr>
            <w:r>
              <w:rPr>
                <w:i/>
                <w:iCs/>
                <w:sz w:val="18"/>
                <w:szCs w:val="18"/>
                <w:lang w:eastAsia="it-CH"/>
              </w:rPr>
              <w:t>12.9</w:t>
            </w:r>
            <w:r w:rsidRPr="00786B5F">
              <w:rPr>
                <w:i/>
                <w:iCs/>
                <w:sz w:val="18"/>
                <w:szCs w:val="18"/>
                <w:lang w:eastAsia="it-CH"/>
              </w:rPr>
              <w:t>%</w:t>
            </w:r>
          </w:p>
        </w:tc>
        <w:tc>
          <w:tcPr>
            <w:tcW w:w="399" w:type="pct"/>
            <w:tcBorders>
              <w:top w:val="single" w:sz="4" w:space="0" w:color="auto"/>
              <w:left w:val="single" w:sz="4" w:space="0" w:color="auto"/>
            </w:tcBorders>
            <w:vAlign w:val="center"/>
          </w:tcPr>
          <w:p w:rsidR="00F500DC" w:rsidRPr="00C65661" w:rsidRDefault="00F500DC" w:rsidP="00F500DC">
            <w:pPr>
              <w:tabs>
                <w:tab w:val="left" w:pos="9486"/>
              </w:tabs>
              <w:jc w:val="right"/>
              <w:rPr>
                <w:bCs/>
                <w:i/>
                <w:sz w:val="18"/>
                <w:szCs w:val="18"/>
                <w:lang w:eastAsia="it-CH"/>
              </w:rPr>
            </w:pPr>
            <w:r w:rsidRPr="00C65661">
              <w:rPr>
                <w:bCs/>
                <w:i/>
                <w:sz w:val="18"/>
                <w:szCs w:val="18"/>
                <w:lang w:eastAsia="it-CH"/>
              </w:rPr>
              <w:t>4.12%</w:t>
            </w:r>
          </w:p>
        </w:tc>
        <w:tc>
          <w:tcPr>
            <w:tcW w:w="399" w:type="pct"/>
            <w:tcBorders>
              <w:top w:val="single" w:sz="4" w:space="0" w:color="auto"/>
              <w:left w:val="single" w:sz="4" w:space="0" w:color="auto"/>
            </w:tcBorders>
            <w:vAlign w:val="center"/>
          </w:tcPr>
          <w:p w:rsidR="00F500DC" w:rsidRPr="00A563BD" w:rsidRDefault="00F500DC" w:rsidP="00F500DC">
            <w:pPr>
              <w:tabs>
                <w:tab w:val="left" w:pos="9486"/>
              </w:tabs>
              <w:jc w:val="right"/>
              <w:rPr>
                <w:bCs/>
                <w:i/>
                <w:sz w:val="18"/>
                <w:szCs w:val="18"/>
                <w:lang w:eastAsia="it-CH"/>
              </w:rPr>
            </w:pPr>
            <w:r w:rsidRPr="00A563BD">
              <w:rPr>
                <w:bCs/>
                <w:i/>
                <w:sz w:val="18"/>
                <w:szCs w:val="18"/>
                <w:lang w:eastAsia="it-CH"/>
              </w:rPr>
              <w:t>1.79%</w:t>
            </w:r>
          </w:p>
        </w:tc>
      </w:tr>
    </w:tbl>
    <w:p w:rsidR="00F500DC" w:rsidRDefault="00F500DC" w:rsidP="00F500DC">
      <w:pPr>
        <w:tabs>
          <w:tab w:val="left" w:pos="9486"/>
        </w:tabs>
        <w:suppressAutoHyphens w:val="0"/>
        <w:spacing w:after="240"/>
        <w:jc w:val="left"/>
      </w:pPr>
    </w:p>
    <w:p w:rsidR="00F500DC" w:rsidRDefault="00F500DC" w:rsidP="00F500DC">
      <w:pPr>
        <w:spacing w:before="120"/>
        <w:rPr>
          <w:sz w:val="24"/>
          <w:szCs w:val="24"/>
        </w:rPr>
      </w:pPr>
      <w:r w:rsidRPr="00887EE0">
        <w:rPr>
          <w:sz w:val="24"/>
          <w:szCs w:val="24"/>
        </w:rPr>
        <w:t xml:space="preserve">Nel 2023 è stato versato all’USI un contributo di gestione di 25.16 milioni di franchi, importo inferiore rispetto al valore calcolato secondo i parametri dell’art. 22 cpv. 1-5 del cdp, superiore se si tiene conto del contributo annuo per la Facoltà di Scienze biomediche (cfr. art. 22 cpv. 8 del cdp) non incluso nella </w:t>
      </w:r>
      <w:r w:rsidRPr="00887EE0">
        <w:rPr>
          <w:sz w:val="24"/>
          <w:szCs w:val="24"/>
        </w:rPr>
        <w:fldChar w:fldCharType="begin"/>
      </w:r>
      <w:r w:rsidRPr="00887EE0">
        <w:rPr>
          <w:sz w:val="24"/>
          <w:szCs w:val="24"/>
        </w:rPr>
        <w:instrText xml:space="preserve"> REF _Ref135641805 \h </w:instrText>
      </w:r>
      <w:r>
        <w:rPr>
          <w:sz w:val="24"/>
          <w:szCs w:val="24"/>
        </w:rPr>
        <w:instrText xml:space="preserve"> \* MERGEFORMAT </w:instrText>
      </w:r>
      <w:r w:rsidRPr="00887EE0">
        <w:rPr>
          <w:sz w:val="24"/>
          <w:szCs w:val="24"/>
        </w:rPr>
      </w:r>
      <w:r w:rsidRPr="00887EE0">
        <w:rPr>
          <w:sz w:val="24"/>
          <w:szCs w:val="24"/>
        </w:rPr>
        <w:fldChar w:fldCharType="separate"/>
      </w:r>
      <w:r w:rsidR="00B63873" w:rsidRPr="00B63873">
        <w:rPr>
          <w:sz w:val="24"/>
          <w:szCs w:val="24"/>
        </w:rPr>
        <w:t xml:space="preserve">Tabella </w:t>
      </w:r>
      <w:r w:rsidR="00B63873" w:rsidRPr="00B63873">
        <w:rPr>
          <w:noProof/>
          <w:sz w:val="24"/>
          <w:szCs w:val="24"/>
        </w:rPr>
        <w:t>1</w:t>
      </w:r>
      <w:r w:rsidRPr="00887EE0">
        <w:rPr>
          <w:sz w:val="24"/>
          <w:szCs w:val="24"/>
        </w:rPr>
        <w:fldChar w:fldCharType="end"/>
      </w:r>
      <w:r w:rsidRPr="00887EE0">
        <w:rPr>
          <w:sz w:val="24"/>
          <w:szCs w:val="24"/>
        </w:rPr>
        <w:t xml:space="preserve"> e che nel 2023 ammonta a 6 milioni di </w:t>
      </w:r>
      <w:r w:rsidRPr="00887EE0">
        <w:rPr>
          <w:sz w:val="24"/>
          <w:szCs w:val="24"/>
        </w:rPr>
        <w:lastRenderedPageBreak/>
        <w:t xml:space="preserve">franchi, versati con RG n. 1472 del 22 marzo 2023. A questi vanno ad aggiungersi i 700'000 franchi del contributo integrativo, previsto all’art. 22 cpv. 6 lett. b del cdp, che è stato versato per l’ultima volta nel 2023, come indicato nel contratto. Il contributo complessivo per l’infrastruttura ammonta a 352'000 franchi, in diminuzione rispetto al 2022, poiché sono stati versati 0.3 milioni di franchi in meno per le manutenzioni straordinarie dei campus rispetto a quanto inizialmente previsto nel preventivo dello Stato, decisione presa nell’ambito delle misure di contenimento della spesa implementate durante l’anno per riequilibrare i conti del Cantone. </w:t>
      </w:r>
    </w:p>
    <w:p w:rsidR="005F35C3" w:rsidRPr="00887EE0" w:rsidRDefault="005F35C3" w:rsidP="00F500DC">
      <w:pPr>
        <w:spacing w:before="120"/>
        <w:rPr>
          <w:sz w:val="24"/>
          <w:szCs w:val="24"/>
        </w:rPr>
      </w:pPr>
    </w:p>
    <w:p w:rsidR="00F500DC" w:rsidRPr="00887EE0" w:rsidRDefault="00F500DC" w:rsidP="00F31169">
      <w:pPr>
        <w:rPr>
          <w:sz w:val="24"/>
          <w:szCs w:val="24"/>
        </w:rPr>
      </w:pPr>
      <w:r w:rsidRPr="00887EE0">
        <w:rPr>
          <w:sz w:val="24"/>
          <w:szCs w:val="24"/>
        </w:rPr>
        <w:t xml:space="preserve">I contributi versati agli istituti affiliati (esclusi IOR e IRB) sono rimasti invariati nel 2023. L’importo di 980'000 franchi è così composto: 600'000 franchi all’Istituto di ricerche economiche (IRE), 200'000 franchi all’IRSOL, 130'000 franchi alla Fondazione Sasso Corbaro e 50'000 franchi al Centro di biologia alpina. </w:t>
      </w:r>
    </w:p>
    <w:p w:rsidR="00F500DC" w:rsidRDefault="00F500DC" w:rsidP="00F31169">
      <w:pPr>
        <w:tabs>
          <w:tab w:val="left" w:pos="9486"/>
        </w:tabs>
        <w:rPr>
          <w:sz w:val="24"/>
        </w:rPr>
      </w:pPr>
    </w:p>
    <w:p w:rsidR="00F31169" w:rsidRDefault="00F31169" w:rsidP="00F31169">
      <w:pPr>
        <w:tabs>
          <w:tab w:val="left" w:pos="9486"/>
        </w:tabs>
        <w:rPr>
          <w:sz w:val="24"/>
        </w:rPr>
      </w:pPr>
    </w:p>
    <w:p w:rsidR="00F500DC" w:rsidRPr="00F31169" w:rsidRDefault="00F500DC" w:rsidP="00F31169">
      <w:pPr>
        <w:pStyle w:val="Titolo1"/>
        <w:tabs>
          <w:tab w:val="left" w:pos="567"/>
        </w:tabs>
        <w:suppressAutoHyphens w:val="0"/>
        <w:spacing w:before="0"/>
        <w:ind w:left="567" w:hanging="567"/>
        <w:jc w:val="both"/>
        <w:rPr>
          <w:rFonts w:eastAsia="Calibri" w:cs="Times New Roman"/>
          <w:caps/>
          <w:sz w:val="24"/>
          <w:szCs w:val="24"/>
          <w:lang w:val="it-IT" w:eastAsia="it-IT"/>
        </w:rPr>
      </w:pPr>
      <w:r w:rsidRPr="00F31169">
        <w:rPr>
          <w:rFonts w:eastAsia="Calibri" w:cs="Times New Roman"/>
          <w:caps/>
          <w:sz w:val="24"/>
          <w:szCs w:val="24"/>
          <w:lang w:val="it-IT" w:eastAsia="it-IT"/>
        </w:rPr>
        <w:t>USI - RIASSUNTO SUL RAGGIUNGIMENTO DEGLI OBIETTIVI</w:t>
      </w:r>
    </w:p>
    <w:p w:rsidR="00F500DC" w:rsidRPr="005C4F1F" w:rsidRDefault="00F500DC" w:rsidP="00F500DC">
      <w:pPr>
        <w:spacing w:before="120"/>
        <w:rPr>
          <w:sz w:val="24"/>
          <w:szCs w:val="24"/>
        </w:rPr>
      </w:pPr>
      <w:r w:rsidRPr="005C4F1F">
        <w:rPr>
          <w:sz w:val="24"/>
          <w:szCs w:val="24"/>
        </w:rPr>
        <w:t xml:space="preserve">Per quanto concerne gli </w:t>
      </w:r>
      <w:r w:rsidRPr="005C4F1F">
        <w:rPr>
          <w:b/>
          <w:sz w:val="24"/>
          <w:szCs w:val="24"/>
        </w:rPr>
        <w:t>obiettivi generali</w:t>
      </w:r>
      <w:r w:rsidRPr="005C4F1F">
        <w:rPr>
          <w:sz w:val="24"/>
          <w:szCs w:val="24"/>
        </w:rPr>
        <w:t xml:space="preserve">, la quota minima di studenti bachelor e master provenienti da altri Cantoni è superata, così come la quota parte dei ricavi da ricerca sul totale dei ricavi d’esercizio, che risulta superiore al 15% fissato dal cdp. Per contro non è rispettata la quota massima del 50% per gli studenti esteri: sia il bachelor (56.76%) che il master (70.38%) presentano valori superiori. </w:t>
      </w:r>
    </w:p>
    <w:p w:rsidR="00F500DC" w:rsidRPr="005C4F1F" w:rsidRDefault="00F500DC" w:rsidP="00F500DC">
      <w:pPr>
        <w:spacing w:before="120"/>
        <w:rPr>
          <w:sz w:val="24"/>
          <w:szCs w:val="24"/>
        </w:rPr>
      </w:pPr>
      <w:r w:rsidRPr="005C4F1F">
        <w:rPr>
          <w:sz w:val="24"/>
          <w:szCs w:val="24"/>
        </w:rPr>
        <w:t xml:space="preserve">Il numero di dottorandi e di diplomi di dottorato rilasciati dall’USI in proporzione agli ETP di professori e dirigenti di ricerca è in linea con la media svizzera per le facoltà ECO e COM, è auspicato un miglioramento per ARC e INF, mentre considerato il recente avvio delle attività di BMED una valutazione dei dati per questa facoltà risulta prematura. </w:t>
      </w:r>
    </w:p>
    <w:p w:rsidR="00F500DC" w:rsidRPr="005C4F1F" w:rsidRDefault="00F500DC" w:rsidP="00F500DC">
      <w:pPr>
        <w:spacing w:before="120"/>
        <w:rPr>
          <w:sz w:val="24"/>
          <w:szCs w:val="24"/>
        </w:rPr>
      </w:pPr>
      <w:r w:rsidRPr="005C4F1F">
        <w:rPr>
          <w:sz w:val="24"/>
          <w:szCs w:val="24"/>
        </w:rPr>
        <w:t xml:space="preserve">L’obiettivo relativo alle pari opportunità viene parzialmente raggiunto se si osservano i dati in ETP per alcune categorie professionali dell’USI, tuttavia rimangono dei margini di miglioramento importanti per quanto riguarda la presenza di personale femminile nella categoria dei professori. L’obiettivo declinato per facoltà invece non viene raggiunto. Rispetto al periodo precedente si rileva un sensibile aumento di personale femminile impiegato all’USI, incremento che accogliamo con positività. L’auspicio è che l’USI prosegua in questa direzione, riducendo progressivamente il divario con la media delle altre università svizzere laddove necessario e mantenendo una percentuale di donne superiore alla media nelle categorie che presentano valori oltre la media svizzera. </w:t>
      </w:r>
    </w:p>
    <w:p w:rsidR="00F500DC" w:rsidRPr="005C4F1F" w:rsidRDefault="00F500DC" w:rsidP="00F500DC">
      <w:pPr>
        <w:spacing w:before="120"/>
        <w:rPr>
          <w:sz w:val="24"/>
          <w:szCs w:val="24"/>
        </w:rPr>
      </w:pPr>
      <w:r w:rsidRPr="005C4F1F">
        <w:rPr>
          <w:sz w:val="24"/>
          <w:szCs w:val="24"/>
        </w:rPr>
        <w:t xml:space="preserve">Gli </w:t>
      </w:r>
      <w:r w:rsidRPr="005C4F1F">
        <w:rPr>
          <w:b/>
          <w:sz w:val="24"/>
          <w:szCs w:val="24"/>
        </w:rPr>
        <w:t>obiettivi di efficacia</w:t>
      </w:r>
      <w:r w:rsidRPr="005C4F1F">
        <w:rPr>
          <w:sz w:val="24"/>
          <w:szCs w:val="24"/>
        </w:rPr>
        <w:t xml:space="preserve"> sono raggiunti. Il tasso di passaggio dei maturati ticinesi (19%) è in linea con i valori degli anni precedenti. La soddisfazione degli studenti nei confronti dell’offerta formativa dell’USI è cresciuta rispetto al 2022 e si conferma su valori elevati (8.16 di valutazione media su una scala da 1 a 10), così come si rileva un buon grado di soddisfazione da parte dei diplomati rispetto alle competenze acquisite (3.8 su una scala da 1 a 5). La percentuale</w:t>
      </w:r>
      <w:r>
        <w:rPr>
          <w:sz w:val="24"/>
          <w:szCs w:val="24"/>
        </w:rPr>
        <w:t xml:space="preserve"> </w:t>
      </w:r>
      <w:r w:rsidRPr="001207A4">
        <w:rPr>
          <w:sz w:val="24"/>
          <w:szCs w:val="24"/>
        </w:rPr>
        <w:t>della soddisfazione degli studenti delle competenze acquisite</w:t>
      </w:r>
      <w:r w:rsidRPr="005C4F1F">
        <w:rPr>
          <w:sz w:val="24"/>
          <w:szCs w:val="24"/>
        </w:rPr>
        <w:t xml:space="preserve"> dei diplomati master dell’USI a 1 anno e a 5 anni dall’ottenimento del diploma è soddisfacente in confronto alla media nazionale, mentre il reddito lordo annuo mediano dei diplomati USI risulta decisamente inferiore rispetto a quello di chi ha frequentato altri atenei svizzeri.</w:t>
      </w:r>
      <w:r>
        <w:rPr>
          <w:sz w:val="24"/>
          <w:szCs w:val="24"/>
        </w:rPr>
        <w:t xml:space="preserve"> </w:t>
      </w:r>
      <w:r w:rsidRPr="005C4F1F">
        <w:rPr>
          <w:sz w:val="24"/>
          <w:szCs w:val="24"/>
        </w:rPr>
        <w:t xml:space="preserve"> </w:t>
      </w:r>
      <w:r w:rsidRPr="001207A4">
        <w:rPr>
          <w:sz w:val="24"/>
          <w:szCs w:val="24"/>
        </w:rPr>
        <w:t xml:space="preserve">Analizzando i dati del reddito lordo annuo, si evince che il valore mediano del salario standardizzato 3 dei diplomati dell’USI a 1 anno dal diploma è inferiore del 34.6% rispetto a quello delle altre università. A 5 anni dal diploma il dato USI rimane il più basso della graduatoria, tuttavia la forbice con il dato complessivo svizzero si riduce (-24.9%). Il </w:t>
      </w:r>
      <w:r w:rsidRPr="001207A4">
        <w:rPr>
          <w:sz w:val="24"/>
          <w:szCs w:val="24"/>
        </w:rPr>
        <w:lastRenderedPageBreak/>
        <w:t>database UST non fornisce ulteriori informazioni sui salari, pertanto non è dato sapere, ad esempio, se all’interno di questi dati sia stato considerato solo il reddito dei diplomati impiegati in Svizzera o se nel campione analizzato vi sono anche diplomati che lavorano all’estero. Pertanto un’interpretazione più approfondita di questi dati non è possibile.</w:t>
      </w:r>
    </w:p>
    <w:p w:rsidR="00F500DC" w:rsidRPr="005C4F1F" w:rsidRDefault="00F500DC" w:rsidP="00F500DC">
      <w:pPr>
        <w:spacing w:before="120"/>
        <w:rPr>
          <w:sz w:val="24"/>
          <w:szCs w:val="24"/>
        </w:rPr>
      </w:pPr>
      <w:r w:rsidRPr="005C4F1F">
        <w:rPr>
          <w:sz w:val="24"/>
          <w:szCs w:val="24"/>
        </w:rPr>
        <w:t xml:space="preserve">La ricerca dell’USI si conferma efficace, infatti nel 2022 vi è stata un’ulteriore crescita delle pubblicazioni (588 rispetto alle 559 del 2021), grazie in particolare al settore delle scienze biomediche, le quali presentano dei valori soddisfacenti per quanto riguarda l’impatto normalizzato, la percentuale nel 10% più citato e la presenza di coautori provenienti dall’estero. La percentuale di progetti accettati dal FNS, dall’Unione Europea (programma Horizon Europe) e da Innosuisse negli ultimi anni risulta in linea con la media dell’ente finanziatore. </w:t>
      </w:r>
    </w:p>
    <w:p w:rsidR="00F500DC" w:rsidRPr="005C4F1F" w:rsidRDefault="00F500DC" w:rsidP="00F500DC">
      <w:pPr>
        <w:spacing w:before="120"/>
        <w:rPr>
          <w:sz w:val="24"/>
          <w:szCs w:val="24"/>
        </w:rPr>
      </w:pPr>
      <w:r w:rsidRPr="005C4F1F">
        <w:rPr>
          <w:sz w:val="24"/>
          <w:szCs w:val="24"/>
        </w:rPr>
        <w:t xml:space="preserve">Il tasso di passaggio delle conoscenze dall’ambito della ricerca a quello di mercato e il volume delle attività culturali e di dialogo tra scienza e società riportano dei valori ritenuti soddisfacenti. </w:t>
      </w:r>
    </w:p>
    <w:p w:rsidR="00F500DC" w:rsidRPr="005C4F1F" w:rsidRDefault="00F500DC" w:rsidP="00F500DC">
      <w:pPr>
        <w:spacing w:before="120"/>
        <w:rPr>
          <w:sz w:val="24"/>
          <w:szCs w:val="24"/>
        </w:rPr>
      </w:pPr>
      <w:r w:rsidRPr="005C4F1F">
        <w:rPr>
          <w:sz w:val="24"/>
          <w:szCs w:val="24"/>
        </w:rPr>
        <w:t xml:space="preserve">Gli </w:t>
      </w:r>
      <w:r w:rsidRPr="005C4F1F">
        <w:rPr>
          <w:b/>
          <w:sz w:val="24"/>
          <w:szCs w:val="24"/>
        </w:rPr>
        <w:t>obiettivi di efficienza</w:t>
      </w:r>
      <w:r w:rsidRPr="005C4F1F">
        <w:rPr>
          <w:sz w:val="24"/>
          <w:szCs w:val="24"/>
        </w:rPr>
        <w:t xml:space="preserve"> presentano valori abbastanza positivi, anche se migliorabili. Per quanto riguarda il costo medio per studente, il dato per la formazione di base (indicatore I) è superiore alla media nazionale per la maggior parte dei settori di studio dell’USI, pertanto l’obiettivo non viene raggiunto. Per contro sono soddisfacenti i dati dell’indicatore II, che tiene conto anche della ricerca. L’obiettivo relativo al tasso di inquadramento non viene raggiunto, tuttavia si osservano miglioramenti e un maggiore allineamento alla media svizzera in varie categorie professionali e in varie facoltà dell’USI. La durata media degli studi, valutata analizzando l’intensità di studio in ETP, presenta valori soddisfacenti rispetto alla media nazionale.  </w:t>
      </w:r>
    </w:p>
    <w:p w:rsidR="00F500DC" w:rsidRPr="005C4F1F" w:rsidRDefault="00F500DC" w:rsidP="00F31169">
      <w:pPr>
        <w:rPr>
          <w:sz w:val="24"/>
          <w:szCs w:val="24"/>
        </w:rPr>
      </w:pPr>
      <w:r w:rsidRPr="005C4F1F">
        <w:rPr>
          <w:sz w:val="24"/>
          <w:szCs w:val="24"/>
        </w:rPr>
        <w:t xml:space="preserve">L’efficienza della ricerca non può essere valutata, poiché non è disponibile la suddivisione dei dati per area disciplinare come richiesto dal cdp. L’auspicio è che con l’avanzamento del rinnovo del sistema informativo dell’USI questi dati siano disponibili nei prossimi anni. </w:t>
      </w:r>
    </w:p>
    <w:p w:rsidR="00F500DC" w:rsidRDefault="00F500DC" w:rsidP="00F31169"/>
    <w:p w:rsidR="00F31169" w:rsidRDefault="00F31169" w:rsidP="00F31169"/>
    <w:p w:rsidR="00F500DC" w:rsidRPr="00F31169" w:rsidRDefault="00F500DC" w:rsidP="00F31169">
      <w:pPr>
        <w:pStyle w:val="Titolo1"/>
        <w:tabs>
          <w:tab w:val="left" w:pos="567"/>
        </w:tabs>
        <w:suppressAutoHyphens w:val="0"/>
        <w:spacing w:before="0"/>
        <w:ind w:left="567" w:hanging="567"/>
        <w:jc w:val="both"/>
        <w:rPr>
          <w:rFonts w:eastAsia="Calibri" w:cs="Times New Roman"/>
          <w:caps/>
          <w:sz w:val="24"/>
          <w:szCs w:val="24"/>
          <w:lang w:val="it-IT" w:eastAsia="it-IT"/>
        </w:rPr>
      </w:pPr>
      <w:r w:rsidRPr="00F31169">
        <w:rPr>
          <w:rFonts w:eastAsia="Calibri" w:cs="Times New Roman"/>
          <w:caps/>
          <w:sz w:val="24"/>
          <w:szCs w:val="24"/>
          <w:lang w:val="it-IT" w:eastAsia="it-IT"/>
        </w:rPr>
        <w:t>SUPSI - ASPETTI FINANZIARI</w:t>
      </w:r>
    </w:p>
    <w:p w:rsidR="00F500DC" w:rsidRPr="00142C2A" w:rsidRDefault="00F500DC" w:rsidP="00F500DC">
      <w:pPr>
        <w:spacing w:before="120"/>
        <w:rPr>
          <w:sz w:val="24"/>
          <w:szCs w:val="24"/>
        </w:rPr>
      </w:pPr>
      <w:r w:rsidRPr="00142C2A">
        <w:rPr>
          <w:sz w:val="24"/>
          <w:szCs w:val="24"/>
        </w:rPr>
        <w:t>Nella relazione sintetica sui conti della SUPSI (allegato 6</w:t>
      </w:r>
      <w:r>
        <w:rPr>
          <w:sz w:val="24"/>
          <w:szCs w:val="24"/>
        </w:rPr>
        <w:t xml:space="preserve"> del messaggio</w:t>
      </w:r>
      <w:r w:rsidRPr="00142C2A">
        <w:rPr>
          <w:sz w:val="24"/>
          <w:szCs w:val="24"/>
        </w:rPr>
        <w:t xml:space="preserve">), il CCF verifica alcuni aspetti finanziari previsti nel cdp, in particolare il risultato d’esercizio del DFA/ASP e la corretta attribuzione alla rispettiva voce di bilancio come previsto dall’art. 22 cdp. </w:t>
      </w:r>
    </w:p>
    <w:p w:rsidR="00F500DC" w:rsidRPr="00142C2A" w:rsidRDefault="00F500DC" w:rsidP="00F500DC">
      <w:pPr>
        <w:spacing w:before="120"/>
        <w:rPr>
          <w:sz w:val="24"/>
          <w:szCs w:val="24"/>
        </w:rPr>
      </w:pPr>
      <w:r w:rsidRPr="00142C2A">
        <w:rPr>
          <w:sz w:val="24"/>
          <w:szCs w:val="24"/>
        </w:rPr>
        <w:t xml:space="preserve">Nel 2023 il DFA/ASP registra un utile d’esercizio di 44'641.76 franchi, in miglioramento rispetto alla perdita di 96'666.48 franchi del 2022. L’utile viene attribuito al conto “Utili/perdite riportate DFA/ASP”, che con questa aggiunta a fine 2023 riporta un saldo di 614'292.48 franchi. </w:t>
      </w:r>
    </w:p>
    <w:p w:rsidR="00F500DC" w:rsidRPr="00142C2A" w:rsidRDefault="00F500DC" w:rsidP="00F500DC">
      <w:pPr>
        <w:spacing w:before="120"/>
        <w:rPr>
          <w:sz w:val="24"/>
          <w:szCs w:val="24"/>
        </w:rPr>
      </w:pPr>
      <w:r w:rsidRPr="00142C2A">
        <w:rPr>
          <w:sz w:val="24"/>
          <w:szCs w:val="24"/>
        </w:rPr>
        <w:t xml:space="preserve">Il conto economico del DFA/ASP nel 2023 registra ricavi d’esercizio totali per 21.8 milioni di franchi, in crescita di circa 1 milione in confronto al 2022. I contributi cantonali ammontano a 18.0 milioni di franchi (+0.9 milioni, di cui 0.8 per maggiori contributi ASUP per studenti ticinesi), mentre si registrano ricavi da terzi per circa 3.7 milioni di franchi (+0.1 milioni rispetto al 2022). I costi totali d’esercizio sono pari a 21.7 milioni di franchi (+0.8 milioni in confronto all’anno precedente), di cui 18.6 milioni per i costi del personale (+0.8 milioni) e 3.1 milioni di altri costi d’esercizio. </w:t>
      </w:r>
    </w:p>
    <w:p w:rsidR="00F500DC" w:rsidRPr="00142C2A" w:rsidRDefault="00F500DC" w:rsidP="00F500DC">
      <w:pPr>
        <w:spacing w:before="120"/>
        <w:rPr>
          <w:sz w:val="24"/>
          <w:szCs w:val="24"/>
        </w:rPr>
      </w:pPr>
      <w:r w:rsidRPr="00142C2A">
        <w:rPr>
          <w:sz w:val="24"/>
          <w:szCs w:val="24"/>
        </w:rPr>
        <w:t xml:space="preserve">La </w:t>
      </w:r>
      <w:r w:rsidRPr="00142C2A">
        <w:rPr>
          <w:sz w:val="24"/>
          <w:szCs w:val="24"/>
        </w:rPr>
        <w:fldChar w:fldCharType="begin"/>
      </w:r>
      <w:r w:rsidRPr="00142C2A">
        <w:rPr>
          <w:sz w:val="24"/>
          <w:szCs w:val="24"/>
        </w:rPr>
        <w:instrText xml:space="preserve"> REF _Ref171691313 \h </w:instrText>
      </w:r>
      <w:r>
        <w:rPr>
          <w:sz w:val="24"/>
          <w:szCs w:val="24"/>
        </w:rPr>
        <w:instrText xml:space="preserve"> \* MERGEFORMAT </w:instrText>
      </w:r>
      <w:r w:rsidRPr="00142C2A">
        <w:rPr>
          <w:sz w:val="24"/>
          <w:szCs w:val="24"/>
        </w:rPr>
      </w:r>
      <w:r w:rsidRPr="00142C2A">
        <w:rPr>
          <w:sz w:val="24"/>
          <w:szCs w:val="24"/>
        </w:rPr>
        <w:fldChar w:fldCharType="separate"/>
      </w:r>
      <w:r w:rsidR="00B63873" w:rsidRPr="00B63873">
        <w:rPr>
          <w:sz w:val="24"/>
          <w:szCs w:val="24"/>
        </w:rPr>
        <w:t xml:space="preserve">Tabella </w:t>
      </w:r>
      <w:r w:rsidR="00B63873" w:rsidRPr="00B63873">
        <w:rPr>
          <w:noProof/>
          <w:sz w:val="24"/>
          <w:szCs w:val="24"/>
        </w:rPr>
        <w:t>2</w:t>
      </w:r>
      <w:r w:rsidRPr="00142C2A">
        <w:rPr>
          <w:sz w:val="24"/>
          <w:szCs w:val="24"/>
        </w:rPr>
        <w:fldChar w:fldCharType="end"/>
      </w:r>
      <w:r w:rsidRPr="00142C2A">
        <w:rPr>
          <w:sz w:val="24"/>
          <w:szCs w:val="24"/>
        </w:rPr>
        <w:t xml:space="preserve"> mostra l’evoluzione dei contributi cantonali versati al DFA/ASP dal 2016 al 2023. </w:t>
      </w:r>
    </w:p>
    <w:p w:rsidR="00F31169" w:rsidRDefault="00F31169">
      <w:pPr>
        <w:suppressAutoHyphens w:val="0"/>
        <w:rPr>
          <w:b/>
          <w:bCs/>
          <w:sz w:val="24"/>
        </w:rPr>
      </w:pPr>
      <w:r>
        <w:rPr>
          <w:b/>
          <w:bCs/>
          <w:sz w:val="24"/>
        </w:rPr>
        <w:br w:type="page"/>
      </w:r>
    </w:p>
    <w:p w:rsidR="00F500DC" w:rsidRDefault="00F500DC" w:rsidP="00F500DC">
      <w:pPr>
        <w:pStyle w:val="Didascalia"/>
      </w:pPr>
      <w:bookmarkStart w:id="3" w:name="_Ref171691313"/>
      <w:r>
        <w:lastRenderedPageBreak/>
        <w:t xml:space="preserve">Tabella </w:t>
      </w:r>
      <w:r>
        <w:fldChar w:fldCharType="begin"/>
      </w:r>
      <w:r>
        <w:instrText xml:space="preserve"> SEQ Tabella \* ARABIC </w:instrText>
      </w:r>
      <w:r>
        <w:fldChar w:fldCharType="separate"/>
      </w:r>
      <w:r w:rsidR="00B63873">
        <w:t>2</w:t>
      </w:r>
      <w:r>
        <w:fldChar w:fldCharType="end"/>
      </w:r>
      <w:bookmarkEnd w:id="3"/>
      <w:r>
        <w:t xml:space="preserve"> – Evoluzione del contributo di gestione cantonale DFA/ASP (incluso il contributo d’infrastruttura) per prestazione, in migliaia di franchi, dal 2015 (fonte: DCSU) </w:t>
      </w:r>
    </w:p>
    <w:tbl>
      <w:tblPr>
        <w:tblW w:w="4911" w:type="pct"/>
        <w:jc w:val="center"/>
        <w:tblLayout w:type="fixed"/>
        <w:tblCellMar>
          <w:left w:w="70" w:type="dxa"/>
          <w:right w:w="70" w:type="dxa"/>
        </w:tblCellMar>
        <w:tblLook w:val="0000" w:firstRow="0" w:lastRow="0" w:firstColumn="0" w:lastColumn="0" w:noHBand="0" w:noVBand="0"/>
      </w:tblPr>
      <w:tblGrid>
        <w:gridCol w:w="3412"/>
        <w:gridCol w:w="738"/>
        <w:gridCol w:w="738"/>
        <w:gridCol w:w="738"/>
        <w:gridCol w:w="738"/>
        <w:gridCol w:w="738"/>
        <w:gridCol w:w="738"/>
        <w:gridCol w:w="738"/>
        <w:gridCol w:w="738"/>
      </w:tblGrid>
      <w:tr w:rsidR="00F500DC" w:rsidRPr="00730AC2" w:rsidTr="00F500DC">
        <w:trPr>
          <w:trHeight w:val="535"/>
          <w:jc w:val="center"/>
        </w:trPr>
        <w:tc>
          <w:tcPr>
            <w:tcW w:w="1831" w:type="pct"/>
            <w:shd w:val="clear" w:color="auto" w:fill="auto"/>
            <w:noWrap/>
            <w:vAlign w:val="bottom"/>
          </w:tcPr>
          <w:p w:rsidR="00F500DC" w:rsidRPr="00730AC2" w:rsidRDefault="00F500DC" w:rsidP="00F500DC">
            <w:pPr>
              <w:tabs>
                <w:tab w:val="left" w:pos="9486"/>
              </w:tabs>
              <w:rPr>
                <w:rFonts w:cs="Arial"/>
                <w:b/>
                <w:bCs/>
                <w:sz w:val="18"/>
                <w:szCs w:val="18"/>
              </w:rPr>
            </w:pPr>
            <w:r w:rsidRPr="00730AC2">
              <w:rPr>
                <w:rFonts w:cs="Arial"/>
                <w:b/>
                <w:bCs/>
                <w:sz w:val="18"/>
                <w:szCs w:val="18"/>
              </w:rPr>
              <w:t> </w:t>
            </w:r>
          </w:p>
        </w:tc>
        <w:tc>
          <w:tcPr>
            <w:tcW w:w="396" w:type="pct"/>
            <w:tcBorders>
              <w:left w:val="single" w:sz="4" w:space="0" w:color="FFFFFF" w:themeColor="background1"/>
              <w:right w:val="single" w:sz="4" w:space="0" w:color="FFFFFF" w:themeColor="background1"/>
            </w:tcBorders>
            <w:shd w:val="clear" w:color="auto" w:fill="D9D9D9" w:themeFill="background1" w:themeFillShade="D9"/>
            <w:vAlign w:val="center"/>
          </w:tcPr>
          <w:p w:rsidR="00F500DC" w:rsidRPr="00125A8B" w:rsidRDefault="00F500DC" w:rsidP="00F500DC">
            <w:pPr>
              <w:tabs>
                <w:tab w:val="left" w:pos="9486"/>
              </w:tabs>
              <w:jc w:val="right"/>
              <w:rPr>
                <w:rFonts w:cs="Arial"/>
                <w:b/>
                <w:bCs/>
                <w:sz w:val="18"/>
                <w:szCs w:val="18"/>
              </w:rPr>
            </w:pPr>
            <w:r w:rsidRPr="00125A8B">
              <w:rPr>
                <w:rFonts w:cs="Arial"/>
                <w:b/>
                <w:bCs/>
                <w:sz w:val="18"/>
                <w:szCs w:val="18"/>
              </w:rPr>
              <w:t>2016</w:t>
            </w:r>
          </w:p>
        </w:tc>
        <w:tc>
          <w:tcPr>
            <w:tcW w:w="396" w:type="pct"/>
            <w:tcBorders>
              <w:left w:val="single" w:sz="4" w:space="0" w:color="FFFFFF" w:themeColor="background1"/>
              <w:right w:val="single" w:sz="4" w:space="0" w:color="FFFFFF" w:themeColor="background1"/>
            </w:tcBorders>
            <w:shd w:val="clear" w:color="auto" w:fill="D9D9D9" w:themeFill="background1" w:themeFillShade="D9"/>
            <w:noWrap/>
            <w:vAlign w:val="center"/>
          </w:tcPr>
          <w:p w:rsidR="00F500DC" w:rsidRPr="00125A8B" w:rsidRDefault="00F500DC" w:rsidP="00F500DC">
            <w:pPr>
              <w:tabs>
                <w:tab w:val="left" w:pos="9486"/>
              </w:tabs>
              <w:jc w:val="right"/>
              <w:rPr>
                <w:rFonts w:cs="Arial"/>
                <w:b/>
                <w:bCs/>
                <w:sz w:val="18"/>
                <w:szCs w:val="18"/>
              </w:rPr>
            </w:pPr>
            <w:r w:rsidRPr="00125A8B">
              <w:rPr>
                <w:rFonts w:cs="Arial"/>
                <w:b/>
                <w:bCs/>
                <w:sz w:val="18"/>
                <w:szCs w:val="18"/>
              </w:rPr>
              <w:t>2017</w:t>
            </w:r>
          </w:p>
        </w:tc>
        <w:tc>
          <w:tcPr>
            <w:tcW w:w="396" w:type="pct"/>
            <w:tcBorders>
              <w:left w:val="single" w:sz="4" w:space="0" w:color="FFFFFF" w:themeColor="background1"/>
              <w:right w:val="single" w:sz="4" w:space="0" w:color="FFFFFF" w:themeColor="background1"/>
            </w:tcBorders>
            <w:shd w:val="clear" w:color="auto" w:fill="D9D9D9" w:themeFill="background1" w:themeFillShade="D9"/>
            <w:vAlign w:val="center"/>
          </w:tcPr>
          <w:p w:rsidR="00F500DC" w:rsidRPr="00125A8B" w:rsidRDefault="00F500DC" w:rsidP="00F500DC">
            <w:pPr>
              <w:tabs>
                <w:tab w:val="left" w:pos="9486"/>
              </w:tabs>
              <w:jc w:val="right"/>
              <w:rPr>
                <w:rFonts w:cs="Arial"/>
                <w:b/>
                <w:bCs/>
                <w:sz w:val="18"/>
                <w:szCs w:val="18"/>
              </w:rPr>
            </w:pPr>
            <w:r w:rsidRPr="00125A8B">
              <w:rPr>
                <w:b/>
                <w:sz w:val="18"/>
                <w:szCs w:val="18"/>
              </w:rPr>
              <w:t>2018</w:t>
            </w:r>
          </w:p>
        </w:tc>
        <w:tc>
          <w:tcPr>
            <w:tcW w:w="396" w:type="pct"/>
            <w:tcBorders>
              <w:left w:val="single" w:sz="4" w:space="0" w:color="FFFFFF" w:themeColor="background1"/>
              <w:right w:val="single" w:sz="4" w:space="0" w:color="FFFFFF" w:themeColor="background1"/>
            </w:tcBorders>
            <w:shd w:val="clear" w:color="auto" w:fill="D9D9D9" w:themeFill="background1" w:themeFillShade="D9"/>
            <w:vAlign w:val="center"/>
          </w:tcPr>
          <w:p w:rsidR="00F500DC" w:rsidRPr="00125A8B" w:rsidRDefault="00F500DC" w:rsidP="00F500DC">
            <w:pPr>
              <w:tabs>
                <w:tab w:val="left" w:pos="9486"/>
              </w:tabs>
              <w:jc w:val="right"/>
              <w:rPr>
                <w:b/>
                <w:sz w:val="18"/>
                <w:szCs w:val="18"/>
              </w:rPr>
            </w:pPr>
            <w:r w:rsidRPr="00125A8B">
              <w:rPr>
                <w:b/>
                <w:sz w:val="18"/>
                <w:szCs w:val="18"/>
              </w:rPr>
              <w:t>2019</w:t>
            </w:r>
          </w:p>
        </w:tc>
        <w:tc>
          <w:tcPr>
            <w:tcW w:w="396" w:type="pct"/>
            <w:tcBorders>
              <w:left w:val="single" w:sz="4" w:space="0" w:color="FFFFFF" w:themeColor="background1"/>
            </w:tcBorders>
            <w:shd w:val="clear" w:color="auto" w:fill="D9D9D9" w:themeFill="background1" w:themeFillShade="D9"/>
            <w:vAlign w:val="center"/>
          </w:tcPr>
          <w:p w:rsidR="00F500DC" w:rsidRPr="00125A8B" w:rsidRDefault="00F500DC" w:rsidP="00F500DC">
            <w:pPr>
              <w:tabs>
                <w:tab w:val="left" w:pos="9486"/>
              </w:tabs>
              <w:jc w:val="right"/>
              <w:rPr>
                <w:b/>
                <w:sz w:val="18"/>
                <w:szCs w:val="18"/>
              </w:rPr>
            </w:pPr>
            <w:r w:rsidRPr="00125A8B">
              <w:rPr>
                <w:b/>
                <w:sz w:val="18"/>
                <w:szCs w:val="18"/>
              </w:rPr>
              <w:t>2020</w:t>
            </w:r>
          </w:p>
        </w:tc>
        <w:tc>
          <w:tcPr>
            <w:tcW w:w="396" w:type="pct"/>
            <w:tcBorders>
              <w:left w:val="single" w:sz="4" w:space="0" w:color="FFFFFF" w:themeColor="background1"/>
            </w:tcBorders>
            <w:shd w:val="clear" w:color="auto" w:fill="D9D9D9" w:themeFill="background1" w:themeFillShade="D9"/>
            <w:vAlign w:val="center"/>
          </w:tcPr>
          <w:p w:rsidR="00F500DC" w:rsidRPr="00125A8B" w:rsidRDefault="00F500DC" w:rsidP="00F500DC">
            <w:pPr>
              <w:tabs>
                <w:tab w:val="left" w:pos="9486"/>
              </w:tabs>
              <w:jc w:val="right"/>
              <w:rPr>
                <w:b/>
                <w:sz w:val="18"/>
                <w:szCs w:val="18"/>
              </w:rPr>
            </w:pPr>
            <w:r w:rsidRPr="00125A8B">
              <w:rPr>
                <w:b/>
                <w:sz w:val="18"/>
                <w:szCs w:val="18"/>
              </w:rPr>
              <w:t>2021</w:t>
            </w:r>
          </w:p>
        </w:tc>
        <w:tc>
          <w:tcPr>
            <w:tcW w:w="396" w:type="pct"/>
            <w:tcBorders>
              <w:left w:val="single" w:sz="4" w:space="0" w:color="FFFFFF" w:themeColor="background1"/>
            </w:tcBorders>
            <w:shd w:val="clear" w:color="auto" w:fill="D9D9D9" w:themeFill="background1" w:themeFillShade="D9"/>
            <w:vAlign w:val="center"/>
          </w:tcPr>
          <w:p w:rsidR="00F500DC" w:rsidRPr="00125A8B" w:rsidRDefault="00F500DC" w:rsidP="00F500DC">
            <w:pPr>
              <w:tabs>
                <w:tab w:val="left" w:pos="9486"/>
              </w:tabs>
              <w:jc w:val="right"/>
              <w:rPr>
                <w:b/>
                <w:sz w:val="18"/>
                <w:szCs w:val="18"/>
              </w:rPr>
            </w:pPr>
            <w:r w:rsidRPr="00125A8B">
              <w:rPr>
                <w:b/>
                <w:sz w:val="18"/>
                <w:szCs w:val="18"/>
              </w:rPr>
              <w:t>2022</w:t>
            </w:r>
          </w:p>
        </w:tc>
        <w:tc>
          <w:tcPr>
            <w:tcW w:w="396" w:type="pct"/>
            <w:tcBorders>
              <w:left w:val="single" w:sz="4" w:space="0" w:color="FFFFFF" w:themeColor="background1"/>
            </w:tcBorders>
            <w:shd w:val="clear" w:color="auto" w:fill="D9D9D9" w:themeFill="background1" w:themeFillShade="D9"/>
            <w:vAlign w:val="center"/>
          </w:tcPr>
          <w:p w:rsidR="00F500DC" w:rsidRPr="00125A8B" w:rsidRDefault="00F500DC" w:rsidP="00F500DC">
            <w:pPr>
              <w:tabs>
                <w:tab w:val="left" w:pos="9486"/>
              </w:tabs>
              <w:jc w:val="right"/>
              <w:rPr>
                <w:b/>
                <w:sz w:val="18"/>
                <w:szCs w:val="18"/>
              </w:rPr>
            </w:pPr>
            <w:r>
              <w:rPr>
                <w:b/>
                <w:sz w:val="18"/>
                <w:szCs w:val="18"/>
              </w:rPr>
              <w:t>2023</w:t>
            </w:r>
          </w:p>
        </w:tc>
      </w:tr>
      <w:tr w:rsidR="00F500DC" w:rsidRPr="00730AC2" w:rsidTr="00F500DC">
        <w:trPr>
          <w:trHeight w:val="535"/>
          <w:jc w:val="center"/>
        </w:trPr>
        <w:tc>
          <w:tcPr>
            <w:tcW w:w="1831" w:type="pct"/>
            <w:tcBorders>
              <w:top w:val="single" w:sz="4" w:space="0" w:color="auto"/>
              <w:bottom w:val="single" w:sz="4" w:space="0" w:color="auto"/>
              <w:right w:val="single" w:sz="4" w:space="0" w:color="auto"/>
            </w:tcBorders>
            <w:noWrap/>
            <w:vAlign w:val="center"/>
          </w:tcPr>
          <w:p w:rsidR="00F500DC" w:rsidRPr="00730AC2" w:rsidRDefault="00F500DC" w:rsidP="00F500DC">
            <w:pPr>
              <w:tabs>
                <w:tab w:val="left" w:pos="9486"/>
              </w:tabs>
              <w:jc w:val="left"/>
              <w:rPr>
                <w:rFonts w:cs="Arial"/>
                <w:b/>
                <w:bCs/>
                <w:sz w:val="18"/>
                <w:szCs w:val="18"/>
              </w:rPr>
            </w:pPr>
            <w:r>
              <w:rPr>
                <w:rFonts w:cs="Arial"/>
                <w:b/>
                <w:bCs/>
                <w:sz w:val="18"/>
                <w:szCs w:val="18"/>
              </w:rPr>
              <w:t>Contributo di gestione versato al DFA/ASP</w:t>
            </w:r>
          </w:p>
        </w:tc>
        <w:tc>
          <w:tcPr>
            <w:tcW w:w="396" w:type="pct"/>
            <w:tcBorders>
              <w:top w:val="single" w:sz="4" w:space="0" w:color="auto"/>
              <w:left w:val="single" w:sz="4" w:space="0" w:color="auto"/>
              <w:bottom w:val="single" w:sz="4" w:space="0" w:color="auto"/>
              <w:right w:val="single" w:sz="4" w:space="0" w:color="auto"/>
            </w:tcBorders>
            <w:vAlign w:val="center"/>
          </w:tcPr>
          <w:p w:rsidR="00F500DC" w:rsidRPr="00125A8B" w:rsidRDefault="00F500DC" w:rsidP="00F500DC">
            <w:pPr>
              <w:tabs>
                <w:tab w:val="left" w:pos="9486"/>
              </w:tabs>
              <w:jc w:val="right"/>
              <w:rPr>
                <w:rFonts w:cs="Arial"/>
                <w:b/>
                <w:bCs/>
                <w:sz w:val="18"/>
                <w:szCs w:val="18"/>
              </w:rPr>
            </w:pPr>
            <w:r w:rsidRPr="00125A8B">
              <w:rPr>
                <w:rFonts w:cs="Arial"/>
                <w:b/>
                <w:bCs/>
                <w:sz w:val="18"/>
                <w:szCs w:val="18"/>
              </w:rPr>
              <w:t>11’500</w:t>
            </w:r>
          </w:p>
        </w:tc>
        <w:tc>
          <w:tcPr>
            <w:tcW w:w="396" w:type="pct"/>
            <w:tcBorders>
              <w:top w:val="single" w:sz="4" w:space="0" w:color="auto"/>
              <w:left w:val="single" w:sz="4" w:space="0" w:color="auto"/>
              <w:bottom w:val="single" w:sz="4" w:space="0" w:color="auto"/>
              <w:right w:val="single" w:sz="4" w:space="0" w:color="auto"/>
            </w:tcBorders>
            <w:noWrap/>
            <w:vAlign w:val="center"/>
          </w:tcPr>
          <w:p w:rsidR="00F500DC" w:rsidRPr="00415A23" w:rsidRDefault="00F500DC" w:rsidP="00F500DC">
            <w:pPr>
              <w:tabs>
                <w:tab w:val="left" w:pos="9486"/>
              </w:tabs>
              <w:jc w:val="right"/>
              <w:rPr>
                <w:rFonts w:cs="Arial"/>
                <w:b/>
                <w:bCs/>
                <w:sz w:val="18"/>
                <w:szCs w:val="18"/>
                <w:highlight w:val="yellow"/>
              </w:rPr>
            </w:pPr>
            <w:r w:rsidRPr="00125A8B">
              <w:rPr>
                <w:b/>
                <w:sz w:val="18"/>
                <w:szCs w:val="18"/>
              </w:rPr>
              <w:t>12’715</w:t>
            </w:r>
          </w:p>
        </w:tc>
        <w:tc>
          <w:tcPr>
            <w:tcW w:w="396" w:type="pct"/>
            <w:tcBorders>
              <w:top w:val="single" w:sz="4" w:space="0" w:color="auto"/>
              <w:left w:val="single" w:sz="4" w:space="0" w:color="auto"/>
              <w:bottom w:val="single" w:sz="4" w:space="0" w:color="auto"/>
              <w:right w:val="single" w:sz="4" w:space="0" w:color="auto"/>
            </w:tcBorders>
            <w:vAlign w:val="center"/>
          </w:tcPr>
          <w:p w:rsidR="00F500DC" w:rsidRPr="00125A8B" w:rsidRDefault="00F500DC" w:rsidP="00F500DC">
            <w:pPr>
              <w:tabs>
                <w:tab w:val="left" w:pos="9486"/>
              </w:tabs>
              <w:jc w:val="right"/>
              <w:rPr>
                <w:b/>
                <w:sz w:val="18"/>
                <w:szCs w:val="18"/>
              </w:rPr>
            </w:pPr>
            <w:r w:rsidRPr="00125A8B">
              <w:rPr>
                <w:b/>
                <w:sz w:val="18"/>
                <w:szCs w:val="18"/>
              </w:rPr>
              <w:t>12’715</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F500DC" w:rsidRPr="00125A8B" w:rsidRDefault="00F500DC" w:rsidP="00F500DC">
            <w:pPr>
              <w:tabs>
                <w:tab w:val="left" w:pos="9486"/>
              </w:tabs>
              <w:jc w:val="right"/>
              <w:rPr>
                <w:b/>
                <w:sz w:val="18"/>
                <w:szCs w:val="18"/>
              </w:rPr>
            </w:pPr>
            <w:r w:rsidRPr="00125A8B">
              <w:rPr>
                <w:b/>
                <w:sz w:val="18"/>
                <w:szCs w:val="18"/>
              </w:rPr>
              <w:t>12’715</w:t>
            </w:r>
          </w:p>
        </w:tc>
        <w:tc>
          <w:tcPr>
            <w:tcW w:w="396" w:type="pct"/>
            <w:tcBorders>
              <w:top w:val="single" w:sz="4" w:space="0" w:color="auto"/>
              <w:left w:val="single" w:sz="4" w:space="0" w:color="auto"/>
              <w:bottom w:val="single" w:sz="4" w:space="0" w:color="auto"/>
            </w:tcBorders>
            <w:vAlign w:val="center"/>
          </w:tcPr>
          <w:p w:rsidR="00F500DC" w:rsidRPr="00125A8B" w:rsidRDefault="00F500DC" w:rsidP="00F500DC">
            <w:pPr>
              <w:tabs>
                <w:tab w:val="left" w:pos="9486"/>
              </w:tabs>
              <w:jc w:val="right"/>
              <w:rPr>
                <w:b/>
                <w:sz w:val="18"/>
                <w:szCs w:val="18"/>
              </w:rPr>
            </w:pPr>
            <w:r w:rsidRPr="00125A8B">
              <w:rPr>
                <w:b/>
                <w:sz w:val="18"/>
                <w:szCs w:val="18"/>
              </w:rPr>
              <w:t>13’045</w:t>
            </w:r>
          </w:p>
        </w:tc>
        <w:tc>
          <w:tcPr>
            <w:tcW w:w="396" w:type="pct"/>
            <w:tcBorders>
              <w:top w:val="single" w:sz="4" w:space="0" w:color="auto"/>
              <w:left w:val="single" w:sz="4" w:space="0" w:color="auto"/>
              <w:bottom w:val="single" w:sz="4" w:space="0" w:color="auto"/>
            </w:tcBorders>
            <w:vAlign w:val="center"/>
          </w:tcPr>
          <w:p w:rsidR="00F500DC" w:rsidRPr="00125A8B" w:rsidRDefault="00F500DC" w:rsidP="00F500DC">
            <w:pPr>
              <w:tabs>
                <w:tab w:val="left" w:pos="9486"/>
              </w:tabs>
              <w:jc w:val="right"/>
              <w:rPr>
                <w:b/>
                <w:sz w:val="18"/>
                <w:szCs w:val="18"/>
              </w:rPr>
            </w:pPr>
            <w:r w:rsidRPr="00125A8B">
              <w:rPr>
                <w:b/>
                <w:sz w:val="18"/>
                <w:szCs w:val="18"/>
              </w:rPr>
              <w:t>5’200</w:t>
            </w:r>
          </w:p>
        </w:tc>
        <w:tc>
          <w:tcPr>
            <w:tcW w:w="396" w:type="pct"/>
            <w:tcBorders>
              <w:top w:val="single" w:sz="4" w:space="0" w:color="auto"/>
              <w:left w:val="single" w:sz="4" w:space="0" w:color="auto"/>
              <w:bottom w:val="single" w:sz="4" w:space="0" w:color="auto"/>
            </w:tcBorders>
            <w:vAlign w:val="center"/>
          </w:tcPr>
          <w:p w:rsidR="00F500DC" w:rsidRPr="00125A8B" w:rsidRDefault="00F500DC" w:rsidP="00F500DC">
            <w:pPr>
              <w:tabs>
                <w:tab w:val="left" w:pos="9486"/>
              </w:tabs>
              <w:jc w:val="right"/>
              <w:rPr>
                <w:b/>
                <w:sz w:val="18"/>
                <w:szCs w:val="18"/>
              </w:rPr>
            </w:pPr>
            <w:r>
              <w:rPr>
                <w:b/>
                <w:sz w:val="18"/>
                <w:szCs w:val="18"/>
              </w:rPr>
              <w:t>5’304</w:t>
            </w:r>
          </w:p>
        </w:tc>
        <w:tc>
          <w:tcPr>
            <w:tcW w:w="396" w:type="pct"/>
            <w:tcBorders>
              <w:top w:val="single" w:sz="4" w:space="0" w:color="auto"/>
              <w:left w:val="single" w:sz="4" w:space="0" w:color="auto"/>
              <w:bottom w:val="single" w:sz="4" w:space="0" w:color="auto"/>
            </w:tcBorders>
            <w:vAlign w:val="center"/>
          </w:tcPr>
          <w:p w:rsidR="00F500DC" w:rsidRDefault="00F500DC" w:rsidP="00F500DC">
            <w:pPr>
              <w:tabs>
                <w:tab w:val="left" w:pos="9486"/>
              </w:tabs>
              <w:jc w:val="right"/>
              <w:rPr>
                <w:b/>
                <w:sz w:val="18"/>
                <w:szCs w:val="18"/>
              </w:rPr>
            </w:pPr>
            <w:r>
              <w:rPr>
                <w:b/>
                <w:sz w:val="18"/>
                <w:szCs w:val="18"/>
              </w:rPr>
              <w:t>5’410</w:t>
            </w:r>
          </w:p>
        </w:tc>
      </w:tr>
      <w:tr w:rsidR="00F500DC" w:rsidRPr="00730AC2" w:rsidTr="00F500DC">
        <w:trPr>
          <w:trHeight w:val="535"/>
          <w:jc w:val="center"/>
        </w:trPr>
        <w:tc>
          <w:tcPr>
            <w:tcW w:w="1831" w:type="pct"/>
            <w:tcBorders>
              <w:top w:val="single" w:sz="4" w:space="0" w:color="auto"/>
              <w:bottom w:val="single" w:sz="4" w:space="0" w:color="auto"/>
              <w:right w:val="single" w:sz="4" w:space="0" w:color="auto"/>
            </w:tcBorders>
            <w:shd w:val="clear" w:color="auto" w:fill="auto"/>
            <w:noWrap/>
            <w:vAlign w:val="center"/>
          </w:tcPr>
          <w:p w:rsidR="00F500DC" w:rsidRPr="00730AC2" w:rsidRDefault="00F500DC" w:rsidP="00F500DC">
            <w:pPr>
              <w:tabs>
                <w:tab w:val="left" w:pos="9486"/>
              </w:tabs>
              <w:jc w:val="left"/>
              <w:rPr>
                <w:rFonts w:cs="Arial"/>
                <w:i/>
                <w:iCs/>
                <w:sz w:val="18"/>
                <w:szCs w:val="18"/>
              </w:rPr>
            </w:pPr>
            <w:r w:rsidRPr="00730AC2">
              <w:rPr>
                <w:rFonts w:cs="Arial"/>
                <w:sz w:val="18"/>
                <w:szCs w:val="18"/>
              </w:rPr>
              <w:t>Infrastruttura</w:t>
            </w:r>
            <w:r>
              <w:rPr>
                <w:rFonts w:cs="Arial"/>
                <w:sz w:val="18"/>
                <w:szCs w:val="18"/>
              </w:rPr>
              <w:t xml:space="preserve"> (affitti)</w:t>
            </w:r>
          </w:p>
        </w:tc>
        <w:tc>
          <w:tcPr>
            <w:tcW w:w="396" w:type="pct"/>
            <w:tcBorders>
              <w:top w:val="single" w:sz="4" w:space="0" w:color="auto"/>
              <w:left w:val="single" w:sz="4" w:space="0" w:color="auto"/>
              <w:bottom w:val="single" w:sz="4" w:space="0" w:color="auto"/>
              <w:right w:val="single" w:sz="4" w:space="0" w:color="auto"/>
            </w:tcBorders>
            <w:vAlign w:val="center"/>
          </w:tcPr>
          <w:p w:rsidR="00F500DC" w:rsidRPr="00125A8B" w:rsidRDefault="00F500DC" w:rsidP="00F500DC">
            <w:pPr>
              <w:tabs>
                <w:tab w:val="left" w:pos="9486"/>
              </w:tabs>
              <w:jc w:val="right"/>
              <w:rPr>
                <w:rFonts w:cs="Arial"/>
                <w:i/>
                <w:iCs/>
                <w:sz w:val="18"/>
                <w:szCs w:val="18"/>
              </w:rPr>
            </w:pPr>
            <w:r w:rsidRPr="00125A8B">
              <w:rPr>
                <w:rFonts w:cs="Arial"/>
                <w:sz w:val="18"/>
                <w:szCs w:val="18"/>
              </w:rPr>
              <w:t>1’514</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00DC" w:rsidRPr="00415A23" w:rsidRDefault="00F500DC" w:rsidP="00F500DC">
            <w:pPr>
              <w:tabs>
                <w:tab w:val="left" w:pos="9486"/>
              </w:tabs>
              <w:jc w:val="right"/>
              <w:rPr>
                <w:rFonts w:cs="Arial"/>
                <w:i/>
                <w:iCs/>
                <w:sz w:val="18"/>
                <w:szCs w:val="18"/>
                <w:highlight w:val="yellow"/>
              </w:rPr>
            </w:pPr>
            <w:r w:rsidRPr="00125A8B">
              <w:rPr>
                <w:sz w:val="18"/>
                <w:szCs w:val="18"/>
              </w:rPr>
              <w:t>1’535</w:t>
            </w:r>
          </w:p>
        </w:tc>
        <w:tc>
          <w:tcPr>
            <w:tcW w:w="396" w:type="pct"/>
            <w:tcBorders>
              <w:top w:val="single" w:sz="4" w:space="0" w:color="auto"/>
              <w:left w:val="single" w:sz="4" w:space="0" w:color="auto"/>
              <w:bottom w:val="single" w:sz="4" w:space="0" w:color="auto"/>
              <w:right w:val="single" w:sz="4" w:space="0" w:color="auto"/>
            </w:tcBorders>
            <w:vAlign w:val="center"/>
          </w:tcPr>
          <w:p w:rsidR="00F500DC" w:rsidRPr="00125A8B" w:rsidRDefault="00F500DC" w:rsidP="00F500DC">
            <w:pPr>
              <w:tabs>
                <w:tab w:val="left" w:pos="9486"/>
              </w:tabs>
              <w:jc w:val="right"/>
              <w:rPr>
                <w:rFonts w:cs="Arial"/>
                <w:b/>
                <w:bCs/>
                <w:sz w:val="18"/>
                <w:szCs w:val="18"/>
              </w:rPr>
            </w:pPr>
            <w:r w:rsidRPr="00125A8B">
              <w:rPr>
                <w:sz w:val="18"/>
                <w:szCs w:val="18"/>
              </w:rPr>
              <w:t>1’535</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F500DC" w:rsidRPr="00125A8B" w:rsidRDefault="00F500DC" w:rsidP="00F500DC">
            <w:pPr>
              <w:tabs>
                <w:tab w:val="left" w:pos="9486"/>
              </w:tabs>
              <w:jc w:val="right"/>
              <w:rPr>
                <w:i/>
                <w:sz w:val="18"/>
                <w:szCs w:val="18"/>
              </w:rPr>
            </w:pPr>
            <w:r w:rsidRPr="00125A8B">
              <w:rPr>
                <w:sz w:val="18"/>
                <w:szCs w:val="18"/>
              </w:rPr>
              <w:t>1’535</w:t>
            </w:r>
          </w:p>
        </w:tc>
        <w:tc>
          <w:tcPr>
            <w:tcW w:w="396" w:type="pct"/>
            <w:tcBorders>
              <w:top w:val="single" w:sz="4" w:space="0" w:color="auto"/>
              <w:left w:val="single" w:sz="4" w:space="0" w:color="auto"/>
              <w:bottom w:val="single" w:sz="4" w:space="0" w:color="auto"/>
            </w:tcBorders>
            <w:vAlign w:val="center"/>
          </w:tcPr>
          <w:p w:rsidR="00F500DC" w:rsidRPr="00125A8B" w:rsidRDefault="00F500DC" w:rsidP="00F500DC">
            <w:pPr>
              <w:tabs>
                <w:tab w:val="left" w:pos="9486"/>
              </w:tabs>
              <w:jc w:val="right"/>
              <w:rPr>
                <w:i/>
                <w:sz w:val="18"/>
                <w:szCs w:val="18"/>
              </w:rPr>
            </w:pPr>
            <w:r w:rsidRPr="00125A8B">
              <w:rPr>
                <w:sz w:val="18"/>
                <w:szCs w:val="18"/>
              </w:rPr>
              <w:t>1’535</w:t>
            </w:r>
          </w:p>
        </w:tc>
        <w:tc>
          <w:tcPr>
            <w:tcW w:w="396" w:type="pct"/>
            <w:tcBorders>
              <w:top w:val="single" w:sz="4" w:space="0" w:color="auto"/>
              <w:left w:val="single" w:sz="4" w:space="0" w:color="auto"/>
              <w:bottom w:val="single" w:sz="4" w:space="0" w:color="auto"/>
            </w:tcBorders>
            <w:vAlign w:val="center"/>
          </w:tcPr>
          <w:p w:rsidR="00F500DC" w:rsidRPr="00125A8B" w:rsidRDefault="00F500DC" w:rsidP="00F500DC">
            <w:pPr>
              <w:tabs>
                <w:tab w:val="left" w:pos="9486"/>
              </w:tabs>
              <w:jc w:val="right"/>
              <w:rPr>
                <w:sz w:val="18"/>
                <w:szCs w:val="18"/>
              </w:rPr>
            </w:pPr>
            <w:r w:rsidRPr="00125A8B">
              <w:rPr>
                <w:sz w:val="18"/>
                <w:szCs w:val="18"/>
              </w:rPr>
              <w:t>1’526</w:t>
            </w:r>
          </w:p>
        </w:tc>
        <w:tc>
          <w:tcPr>
            <w:tcW w:w="396" w:type="pct"/>
            <w:tcBorders>
              <w:top w:val="single" w:sz="4" w:space="0" w:color="auto"/>
              <w:left w:val="single" w:sz="4" w:space="0" w:color="auto"/>
              <w:bottom w:val="single" w:sz="4" w:space="0" w:color="auto"/>
            </w:tcBorders>
            <w:vAlign w:val="center"/>
          </w:tcPr>
          <w:p w:rsidR="00F500DC" w:rsidRPr="00125A8B" w:rsidRDefault="00F500DC" w:rsidP="00F500DC">
            <w:pPr>
              <w:tabs>
                <w:tab w:val="left" w:pos="9486"/>
              </w:tabs>
              <w:jc w:val="right"/>
              <w:rPr>
                <w:sz w:val="18"/>
                <w:szCs w:val="18"/>
              </w:rPr>
            </w:pPr>
            <w:r w:rsidRPr="00125A8B">
              <w:rPr>
                <w:sz w:val="18"/>
                <w:szCs w:val="18"/>
              </w:rPr>
              <w:t>1’527</w:t>
            </w:r>
          </w:p>
        </w:tc>
        <w:tc>
          <w:tcPr>
            <w:tcW w:w="396" w:type="pct"/>
            <w:tcBorders>
              <w:top w:val="single" w:sz="4" w:space="0" w:color="auto"/>
              <w:left w:val="single" w:sz="4" w:space="0" w:color="auto"/>
              <w:bottom w:val="single" w:sz="4" w:space="0" w:color="auto"/>
            </w:tcBorders>
            <w:vAlign w:val="center"/>
          </w:tcPr>
          <w:p w:rsidR="00F500DC" w:rsidRPr="00125A8B" w:rsidRDefault="00F500DC" w:rsidP="00F500DC">
            <w:pPr>
              <w:tabs>
                <w:tab w:val="left" w:pos="9486"/>
              </w:tabs>
              <w:jc w:val="right"/>
              <w:rPr>
                <w:sz w:val="18"/>
                <w:szCs w:val="18"/>
              </w:rPr>
            </w:pPr>
            <w:r>
              <w:rPr>
                <w:sz w:val="18"/>
                <w:szCs w:val="18"/>
              </w:rPr>
              <w:t>1’530</w:t>
            </w:r>
          </w:p>
        </w:tc>
      </w:tr>
      <w:tr w:rsidR="00F500DC" w:rsidRPr="00730AC2" w:rsidTr="00F500DC">
        <w:trPr>
          <w:trHeight w:val="535"/>
          <w:jc w:val="center"/>
        </w:trPr>
        <w:tc>
          <w:tcPr>
            <w:tcW w:w="1831" w:type="pct"/>
            <w:tcBorders>
              <w:top w:val="single" w:sz="4" w:space="0" w:color="auto"/>
              <w:bottom w:val="single" w:sz="4" w:space="0" w:color="auto"/>
              <w:right w:val="single" w:sz="4" w:space="0" w:color="auto"/>
            </w:tcBorders>
            <w:shd w:val="clear" w:color="auto" w:fill="auto"/>
            <w:noWrap/>
            <w:vAlign w:val="center"/>
          </w:tcPr>
          <w:p w:rsidR="00F500DC" w:rsidRPr="00730AC2" w:rsidRDefault="00F500DC" w:rsidP="00F500DC">
            <w:pPr>
              <w:tabs>
                <w:tab w:val="left" w:pos="9486"/>
              </w:tabs>
              <w:jc w:val="left"/>
              <w:rPr>
                <w:rFonts w:cs="Arial"/>
                <w:b/>
                <w:bCs/>
                <w:sz w:val="18"/>
                <w:szCs w:val="18"/>
              </w:rPr>
            </w:pPr>
            <w:r w:rsidRPr="00730AC2">
              <w:rPr>
                <w:rFonts w:cs="Arial"/>
                <w:b/>
                <w:bCs/>
                <w:sz w:val="18"/>
                <w:szCs w:val="18"/>
              </w:rPr>
              <w:t>Totale contributi versati a</w:t>
            </w:r>
            <w:r>
              <w:rPr>
                <w:rFonts w:cs="Arial"/>
                <w:b/>
                <w:bCs/>
                <w:sz w:val="18"/>
                <w:szCs w:val="18"/>
              </w:rPr>
              <w:t>l</w:t>
            </w:r>
            <w:r w:rsidRPr="00730AC2">
              <w:rPr>
                <w:rFonts w:cs="Arial"/>
                <w:b/>
                <w:bCs/>
                <w:sz w:val="18"/>
                <w:szCs w:val="18"/>
              </w:rPr>
              <w:t xml:space="preserve"> </w:t>
            </w:r>
            <w:r>
              <w:rPr>
                <w:rFonts w:cs="Arial"/>
                <w:b/>
                <w:bCs/>
                <w:sz w:val="18"/>
                <w:szCs w:val="18"/>
              </w:rPr>
              <w:t>DFA/ASP</w:t>
            </w:r>
          </w:p>
        </w:tc>
        <w:tc>
          <w:tcPr>
            <w:tcW w:w="396" w:type="pct"/>
            <w:tcBorders>
              <w:top w:val="single" w:sz="4" w:space="0" w:color="auto"/>
              <w:left w:val="single" w:sz="4" w:space="0" w:color="auto"/>
              <w:bottom w:val="single" w:sz="4" w:space="0" w:color="auto"/>
              <w:right w:val="single" w:sz="4" w:space="0" w:color="auto"/>
            </w:tcBorders>
            <w:vAlign w:val="center"/>
          </w:tcPr>
          <w:p w:rsidR="00F500DC" w:rsidRPr="00125A8B" w:rsidRDefault="00F500DC" w:rsidP="00F500DC">
            <w:pPr>
              <w:tabs>
                <w:tab w:val="left" w:pos="9486"/>
              </w:tabs>
              <w:jc w:val="right"/>
              <w:rPr>
                <w:rFonts w:cs="Arial"/>
                <w:b/>
                <w:bCs/>
                <w:sz w:val="18"/>
                <w:szCs w:val="18"/>
              </w:rPr>
            </w:pPr>
            <w:r w:rsidRPr="00125A8B">
              <w:rPr>
                <w:rFonts w:cs="Arial"/>
                <w:b/>
                <w:bCs/>
                <w:sz w:val="18"/>
                <w:szCs w:val="18"/>
              </w:rPr>
              <w:t>13’014</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00DC" w:rsidRPr="00415A23" w:rsidRDefault="00F500DC" w:rsidP="00F500DC">
            <w:pPr>
              <w:tabs>
                <w:tab w:val="left" w:pos="9486"/>
              </w:tabs>
              <w:jc w:val="right"/>
              <w:rPr>
                <w:rFonts w:cs="Arial"/>
                <w:b/>
                <w:bCs/>
                <w:sz w:val="18"/>
                <w:szCs w:val="18"/>
                <w:highlight w:val="yellow"/>
              </w:rPr>
            </w:pPr>
            <w:r w:rsidRPr="00125A8B">
              <w:rPr>
                <w:b/>
                <w:sz w:val="18"/>
                <w:szCs w:val="18"/>
              </w:rPr>
              <w:t>14’250</w:t>
            </w:r>
          </w:p>
        </w:tc>
        <w:tc>
          <w:tcPr>
            <w:tcW w:w="396" w:type="pct"/>
            <w:tcBorders>
              <w:top w:val="single" w:sz="4" w:space="0" w:color="auto"/>
              <w:left w:val="single" w:sz="4" w:space="0" w:color="auto"/>
              <w:bottom w:val="single" w:sz="4" w:space="0" w:color="auto"/>
              <w:right w:val="single" w:sz="4" w:space="0" w:color="auto"/>
            </w:tcBorders>
            <w:vAlign w:val="center"/>
          </w:tcPr>
          <w:p w:rsidR="00F500DC" w:rsidRPr="00125A8B" w:rsidRDefault="00F500DC" w:rsidP="00F500DC">
            <w:pPr>
              <w:tabs>
                <w:tab w:val="left" w:pos="9486"/>
              </w:tabs>
              <w:jc w:val="right"/>
              <w:rPr>
                <w:rFonts w:cs="Arial"/>
                <w:b/>
                <w:bCs/>
                <w:sz w:val="18"/>
                <w:szCs w:val="18"/>
              </w:rPr>
            </w:pPr>
            <w:r w:rsidRPr="00125A8B">
              <w:rPr>
                <w:b/>
                <w:sz w:val="18"/>
                <w:szCs w:val="18"/>
              </w:rPr>
              <w:t>14’250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F500DC" w:rsidRPr="00125A8B" w:rsidRDefault="00F500DC" w:rsidP="00F500DC">
            <w:pPr>
              <w:tabs>
                <w:tab w:val="left" w:pos="9486"/>
              </w:tabs>
              <w:jc w:val="right"/>
              <w:rPr>
                <w:b/>
                <w:sz w:val="18"/>
                <w:szCs w:val="18"/>
              </w:rPr>
            </w:pPr>
            <w:r w:rsidRPr="00125A8B">
              <w:rPr>
                <w:b/>
                <w:sz w:val="18"/>
                <w:szCs w:val="18"/>
              </w:rPr>
              <w:t>14’250</w:t>
            </w:r>
          </w:p>
        </w:tc>
        <w:tc>
          <w:tcPr>
            <w:tcW w:w="396" w:type="pct"/>
            <w:tcBorders>
              <w:top w:val="single" w:sz="4" w:space="0" w:color="auto"/>
              <w:left w:val="single" w:sz="4" w:space="0" w:color="auto"/>
              <w:bottom w:val="single" w:sz="4" w:space="0" w:color="auto"/>
            </w:tcBorders>
            <w:vAlign w:val="center"/>
          </w:tcPr>
          <w:p w:rsidR="00F500DC" w:rsidRPr="00125A8B" w:rsidRDefault="00F500DC" w:rsidP="00F500DC">
            <w:pPr>
              <w:tabs>
                <w:tab w:val="left" w:pos="9486"/>
              </w:tabs>
              <w:jc w:val="right"/>
              <w:rPr>
                <w:b/>
                <w:sz w:val="18"/>
                <w:szCs w:val="18"/>
              </w:rPr>
            </w:pPr>
            <w:r w:rsidRPr="00125A8B">
              <w:rPr>
                <w:b/>
                <w:sz w:val="18"/>
                <w:szCs w:val="18"/>
              </w:rPr>
              <w:t>14’580</w:t>
            </w:r>
          </w:p>
        </w:tc>
        <w:tc>
          <w:tcPr>
            <w:tcW w:w="396" w:type="pct"/>
            <w:tcBorders>
              <w:top w:val="single" w:sz="4" w:space="0" w:color="auto"/>
              <w:left w:val="single" w:sz="4" w:space="0" w:color="auto"/>
              <w:bottom w:val="single" w:sz="4" w:space="0" w:color="auto"/>
            </w:tcBorders>
            <w:vAlign w:val="center"/>
          </w:tcPr>
          <w:p w:rsidR="00F500DC" w:rsidRPr="00125A8B" w:rsidRDefault="00F500DC" w:rsidP="00F500DC">
            <w:pPr>
              <w:tabs>
                <w:tab w:val="left" w:pos="9486"/>
              </w:tabs>
              <w:jc w:val="right"/>
              <w:rPr>
                <w:b/>
                <w:sz w:val="18"/>
                <w:szCs w:val="18"/>
              </w:rPr>
            </w:pPr>
            <w:r w:rsidRPr="00125A8B">
              <w:rPr>
                <w:b/>
                <w:sz w:val="18"/>
                <w:szCs w:val="18"/>
              </w:rPr>
              <w:t>6’726</w:t>
            </w:r>
          </w:p>
        </w:tc>
        <w:tc>
          <w:tcPr>
            <w:tcW w:w="396" w:type="pct"/>
            <w:tcBorders>
              <w:top w:val="single" w:sz="4" w:space="0" w:color="auto"/>
              <w:left w:val="single" w:sz="4" w:space="0" w:color="auto"/>
              <w:bottom w:val="single" w:sz="4" w:space="0" w:color="auto"/>
            </w:tcBorders>
            <w:vAlign w:val="center"/>
          </w:tcPr>
          <w:p w:rsidR="00F500DC" w:rsidRPr="00125A8B" w:rsidRDefault="00F500DC" w:rsidP="00F500DC">
            <w:pPr>
              <w:tabs>
                <w:tab w:val="left" w:pos="9486"/>
              </w:tabs>
              <w:jc w:val="right"/>
              <w:rPr>
                <w:b/>
                <w:sz w:val="18"/>
                <w:szCs w:val="18"/>
              </w:rPr>
            </w:pPr>
            <w:r w:rsidRPr="00125A8B">
              <w:rPr>
                <w:b/>
                <w:sz w:val="18"/>
                <w:szCs w:val="18"/>
              </w:rPr>
              <w:t>6’</w:t>
            </w:r>
            <w:r>
              <w:rPr>
                <w:b/>
                <w:sz w:val="18"/>
                <w:szCs w:val="18"/>
              </w:rPr>
              <w:t>831</w:t>
            </w:r>
          </w:p>
        </w:tc>
        <w:tc>
          <w:tcPr>
            <w:tcW w:w="396" w:type="pct"/>
            <w:tcBorders>
              <w:top w:val="single" w:sz="4" w:space="0" w:color="auto"/>
              <w:left w:val="single" w:sz="4" w:space="0" w:color="auto"/>
              <w:bottom w:val="single" w:sz="4" w:space="0" w:color="auto"/>
            </w:tcBorders>
            <w:vAlign w:val="center"/>
          </w:tcPr>
          <w:p w:rsidR="00F500DC" w:rsidRPr="00125A8B" w:rsidRDefault="00F500DC" w:rsidP="00F500DC">
            <w:pPr>
              <w:tabs>
                <w:tab w:val="left" w:pos="9486"/>
              </w:tabs>
              <w:jc w:val="right"/>
              <w:rPr>
                <w:b/>
                <w:sz w:val="18"/>
                <w:szCs w:val="18"/>
              </w:rPr>
            </w:pPr>
            <w:r>
              <w:rPr>
                <w:b/>
                <w:sz w:val="18"/>
                <w:szCs w:val="18"/>
              </w:rPr>
              <w:t>6’940</w:t>
            </w:r>
          </w:p>
        </w:tc>
      </w:tr>
      <w:tr w:rsidR="00F500DC" w:rsidRPr="00730AC2" w:rsidTr="00F500DC">
        <w:trPr>
          <w:trHeight w:val="535"/>
          <w:jc w:val="center"/>
        </w:trPr>
        <w:tc>
          <w:tcPr>
            <w:tcW w:w="1831" w:type="pct"/>
            <w:tcBorders>
              <w:top w:val="single" w:sz="4" w:space="0" w:color="auto"/>
              <w:bottom w:val="single" w:sz="4" w:space="0" w:color="auto"/>
              <w:right w:val="single" w:sz="4" w:space="0" w:color="auto"/>
            </w:tcBorders>
            <w:shd w:val="clear" w:color="auto" w:fill="auto"/>
            <w:noWrap/>
            <w:vAlign w:val="center"/>
          </w:tcPr>
          <w:p w:rsidR="00F500DC" w:rsidRPr="00125A8B" w:rsidRDefault="00F500DC" w:rsidP="00F500DC">
            <w:pPr>
              <w:tabs>
                <w:tab w:val="left" w:pos="9486"/>
              </w:tabs>
              <w:jc w:val="left"/>
              <w:rPr>
                <w:rFonts w:cs="Arial"/>
                <w:i/>
                <w:iCs/>
                <w:sz w:val="18"/>
                <w:szCs w:val="18"/>
                <w:highlight w:val="yellow"/>
              </w:rPr>
            </w:pPr>
            <w:r w:rsidRPr="00125A8B">
              <w:rPr>
                <w:rFonts w:cs="Arial"/>
                <w:i/>
                <w:iCs/>
                <w:sz w:val="18"/>
                <w:szCs w:val="18"/>
              </w:rPr>
              <w:t>Aumento annuo</w:t>
            </w:r>
          </w:p>
        </w:tc>
        <w:tc>
          <w:tcPr>
            <w:tcW w:w="396" w:type="pct"/>
            <w:tcBorders>
              <w:top w:val="single" w:sz="4" w:space="0" w:color="auto"/>
              <w:left w:val="single" w:sz="4" w:space="0" w:color="auto"/>
              <w:bottom w:val="single" w:sz="4" w:space="0" w:color="auto"/>
              <w:right w:val="single" w:sz="4" w:space="0" w:color="auto"/>
            </w:tcBorders>
            <w:vAlign w:val="center"/>
          </w:tcPr>
          <w:p w:rsidR="00F500DC" w:rsidRPr="00125A8B" w:rsidRDefault="00F500DC" w:rsidP="00F500DC">
            <w:pPr>
              <w:tabs>
                <w:tab w:val="left" w:pos="9486"/>
              </w:tabs>
              <w:jc w:val="right"/>
              <w:rPr>
                <w:rFonts w:cs="Arial"/>
                <w:i/>
                <w:iCs/>
                <w:sz w:val="18"/>
                <w:szCs w:val="18"/>
              </w:rPr>
            </w:pPr>
            <w:r w:rsidRPr="00125A8B">
              <w:rPr>
                <w:rFonts w:cs="Arial"/>
                <w:i/>
                <w:iCs/>
                <w:sz w:val="18"/>
                <w:szCs w:val="18"/>
              </w:rPr>
              <w:t>3.3%</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00DC" w:rsidRPr="00125A8B" w:rsidRDefault="00F500DC" w:rsidP="00F500DC">
            <w:pPr>
              <w:tabs>
                <w:tab w:val="left" w:pos="9486"/>
              </w:tabs>
              <w:jc w:val="right"/>
              <w:rPr>
                <w:rFonts w:cs="Arial"/>
                <w:i/>
                <w:iCs/>
                <w:sz w:val="18"/>
                <w:szCs w:val="18"/>
              </w:rPr>
            </w:pPr>
            <w:r w:rsidRPr="00125A8B">
              <w:rPr>
                <w:rFonts w:cs="Arial"/>
                <w:i/>
                <w:iCs/>
                <w:sz w:val="18"/>
                <w:szCs w:val="18"/>
              </w:rPr>
              <w:t>9.5%</w:t>
            </w:r>
          </w:p>
        </w:tc>
        <w:tc>
          <w:tcPr>
            <w:tcW w:w="396" w:type="pct"/>
            <w:tcBorders>
              <w:top w:val="single" w:sz="4" w:space="0" w:color="auto"/>
              <w:left w:val="single" w:sz="4" w:space="0" w:color="auto"/>
              <w:bottom w:val="single" w:sz="4" w:space="0" w:color="auto"/>
              <w:right w:val="single" w:sz="4" w:space="0" w:color="auto"/>
            </w:tcBorders>
            <w:vAlign w:val="center"/>
          </w:tcPr>
          <w:p w:rsidR="00F500DC" w:rsidRPr="00125A8B" w:rsidRDefault="00F500DC" w:rsidP="00F500DC">
            <w:pPr>
              <w:tabs>
                <w:tab w:val="left" w:pos="9486"/>
              </w:tabs>
              <w:jc w:val="right"/>
              <w:rPr>
                <w:rFonts w:cs="Arial"/>
                <w:bCs/>
                <w:i/>
                <w:sz w:val="18"/>
                <w:szCs w:val="18"/>
              </w:rPr>
            </w:pPr>
            <w:r w:rsidRPr="00125A8B">
              <w:rPr>
                <w:rFonts w:cs="Arial"/>
                <w:bCs/>
                <w:i/>
                <w:sz w:val="18"/>
                <w:szCs w:val="18"/>
              </w:rPr>
              <w:t>0.0%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F500DC" w:rsidRPr="00125A8B" w:rsidRDefault="00F500DC" w:rsidP="00F500DC">
            <w:pPr>
              <w:tabs>
                <w:tab w:val="left" w:pos="9486"/>
              </w:tabs>
              <w:jc w:val="right"/>
              <w:rPr>
                <w:rFonts w:cs="Arial"/>
                <w:bCs/>
                <w:i/>
                <w:sz w:val="18"/>
                <w:szCs w:val="18"/>
              </w:rPr>
            </w:pPr>
            <w:r w:rsidRPr="00125A8B">
              <w:rPr>
                <w:rFonts w:cs="Arial"/>
                <w:bCs/>
                <w:i/>
                <w:sz w:val="18"/>
                <w:szCs w:val="18"/>
              </w:rPr>
              <w:t>0.0%</w:t>
            </w:r>
          </w:p>
        </w:tc>
        <w:tc>
          <w:tcPr>
            <w:tcW w:w="396" w:type="pct"/>
            <w:tcBorders>
              <w:top w:val="single" w:sz="4" w:space="0" w:color="auto"/>
              <w:left w:val="single" w:sz="4" w:space="0" w:color="auto"/>
              <w:bottom w:val="single" w:sz="4" w:space="0" w:color="auto"/>
            </w:tcBorders>
            <w:vAlign w:val="center"/>
          </w:tcPr>
          <w:p w:rsidR="00F500DC" w:rsidRPr="00125A8B" w:rsidRDefault="00F500DC" w:rsidP="00F500DC">
            <w:pPr>
              <w:tabs>
                <w:tab w:val="left" w:pos="9486"/>
              </w:tabs>
              <w:jc w:val="right"/>
              <w:rPr>
                <w:rFonts w:cs="Arial"/>
                <w:bCs/>
                <w:i/>
                <w:sz w:val="18"/>
                <w:szCs w:val="18"/>
              </w:rPr>
            </w:pPr>
            <w:r w:rsidRPr="00125A8B">
              <w:rPr>
                <w:rFonts w:cs="Arial"/>
                <w:bCs/>
                <w:i/>
                <w:sz w:val="18"/>
                <w:szCs w:val="18"/>
              </w:rPr>
              <w:t>2.3%</w:t>
            </w:r>
          </w:p>
        </w:tc>
        <w:tc>
          <w:tcPr>
            <w:tcW w:w="396" w:type="pct"/>
            <w:tcBorders>
              <w:top w:val="single" w:sz="4" w:space="0" w:color="auto"/>
              <w:left w:val="single" w:sz="4" w:space="0" w:color="auto"/>
              <w:bottom w:val="single" w:sz="4" w:space="0" w:color="auto"/>
            </w:tcBorders>
            <w:vAlign w:val="center"/>
          </w:tcPr>
          <w:p w:rsidR="00F500DC" w:rsidRPr="00125A8B" w:rsidRDefault="00F500DC" w:rsidP="00F500DC">
            <w:pPr>
              <w:tabs>
                <w:tab w:val="left" w:pos="9486"/>
              </w:tabs>
              <w:jc w:val="right"/>
              <w:rPr>
                <w:rFonts w:cs="Arial"/>
                <w:i/>
                <w:sz w:val="18"/>
                <w:szCs w:val="18"/>
              </w:rPr>
            </w:pPr>
            <w:r w:rsidRPr="00125A8B">
              <w:rPr>
                <w:rFonts w:cs="Arial"/>
                <w:i/>
                <w:sz w:val="18"/>
                <w:szCs w:val="18"/>
              </w:rPr>
              <w:t>-54.0%</w:t>
            </w:r>
          </w:p>
        </w:tc>
        <w:tc>
          <w:tcPr>
            <w:tcW w:w="396" w:type="pct"/>
            <w:tcBorders>
              <w:top w:val="single" w:sz="4" w:space="0" w:color="auto"/>
              <w:left w:val="single" w:sz="4" w:space="0" w:color="auto"/>
              <w:bottom w:val="single" w:sz="4" w:space="0" w:color="auto"/>
            </w:tcBorders>
            <w:vAlign w:val="center"/>
          </w:tcPr>
          <w:p w:rsidR="00F500DC" w:rsidRPr="00125A8B" w:rsidRDefault="00F500DC" w:rsidP="00F500DC">
            <w:pPr>
              <w:tabs>
                <w:tab w:val="left" w:pos="9486"/>
              </w:tabs>
              <w:jc w:val="right"/>
              <w:rPr>
                <w:i/>
                <w:sz w:val="18"/>
                <w:szCs w:val="18"/>
              </w:rPr>
            </w:pPr>
            <w:r>
              <w:rPr>
                <w:i/>
                <w:sz w:val="18"/>
                <w:szCs w:val="18"/>
              </w:rPr>
              <w:t>1.6</w:t>
            </w:r>
            <w:r w:rsidRPr="00125A8B">
              <w:rPr>
                <w:i/>
                <w:sz w:val="18"/>
                <w:szCs w:val="18"/>
              </w:rPr>
              <w:t>%</w:t>
            </w:r>
          </w:p>
        </w:tc>
        <w:tc>
          <w:tcPr>
            <w:tcW w:w="396" w:type="pct"/>
            <w:tcBorders>
              <w:top w:val="single" w:sz="4" w:space="0" w:color="auto"/>
              <w:left w:val="single" w:sz="4" w:space="0" w:color="auto"/>
              <w:bottom w:val="single" w:sz="4" w:space="0" w:color="auto"/>
            </w:tcBorders>
            <w:vAlign w:val="center"/>
          </w:tcPr>
          <w:p w:rsidR="00F500DC" w:rsidRDefault="00F500DC" w:rsidP="00F500DC">
            <w:pPr>
              <w:tabs>
                <w:tab w:val="left" w:pos="9486"/>
              </w:tabs>
              <w:jc w:val="right"/>
              <w:rPr>
                <w:i/>
                <w:sz w:val="18"/>
                <w:szCs w:val="18"/>
              </w:rPr>
            </w:pPr>
            <w:r>
              <w:rPr>
                <w:i/>
                <w:sz w:val="18"/>
                <w:szCs w:val="18"/>
              </w:rPr>
              <w:t>1.6%</w:t>
            </w:r>
          </w:p>
        </w:tc>
      </w:tr>
      <w:tr w:rsidR="00F500DC" w:rsidRPr="00730AC2" w:rsidTr="00F500DC">
        <w:trPr>
          <w:trHeight w:val="535"/>
          <w:jc w:val="center"/>
        </w:trPr>
        <w:tc>
          <w:tcPr>
            <w:tcW w:w="1831" w:type="pct"/>
            <w:tcBorders>
              <w:top w:val="single" w:sz="4" w:space="0" w:color="auto"/>
              <w:right w:val="single" w:sz="4" w:space="0" w:color="auto"/>
            </w:tcBorders>
            <w:shd w:val="clear" w:color="auto" w:fill="auto"/>
            <w:noWrap/>
            <w:vAlign w:val="center"/>
          </w:tcPr>
          <w:p w:rsidR="00F500DC" w:rsidRDefault="00F500DC" w:rsidP="00F500DC">
            <w:pPr>
              <w:tabs>
                <w:tab w:val="left" w:pos="9486"/>
              </w:tabs>
              <w:jc w:val="left"/>
              <w:rPr>
                <w:rFonts w:cs="Arial"/>
                <w:i/>
                <w:iCs/>
                <w:sz w:val="18"/>
                <w:szCs w:val="18"/>
                <w:highlight w:val="yellow"/>
              </w:rPr>
            </w:pPr>
            <w:r w:rsidRPr="00125A8B">
              <w:rPr>
                <w:rFonts w:cs="Arial"/>
                <w:b/>
                <w:iCs/>
                <w:sz w:val="18"/>
                <w:szCs w:val="18"/>
              </w:rPr>
              <w:t>Contributo ASUP per studenti ticinesi</w:t>
            </w:r>
          </w:p>
        </w:tc>
        <w:tc>
          <w:tcPr>
            <w:tcW w:w="396" w:type="pct"/>
            <w:tcBorders>
              <w:top w:val="single" w:sz="4" w:space="0" w:color="auto"/>
              <w:left w:val="single" w:sz="4" w:space="0" w:color="auto"/>
              <w:right w:val="single" w:sz="4" w:space="0" w:color="auto"/>
            </w:tcBorders>
            <w:vAlign w:val="center"/>
          </w:tcPr>
          <w:p w:rsidR="00F500DC" w:rsidRPr="00415A23" w:rsidRDefault="00F500DC" w:rsidP="00F500DC">
            <w:pPr>
              <w:tabs>
                <w:tab w:val="left" w:pos="9486"/>
              </w:tabs>
              <w:jc w:val="right"/>
              <w:rPr>
                <w:rFonts w:cs="Arial"/>
                <w:i/>
                <w:iCs/>
                <w:sz w:val="18"/>
                <w:szCs w:val="18"/>
                <w:highlight w:val="yellow"/>
              </w:rPr>
            </w:pPr>
            <w:r>
              <w:rPr>
                <w:rFonts w:cs="Arial"/>
                <w:b/>
                <w:bCs/>
                <w:sz w:val="18"/>
                <w:szCs w:val="18"/>
              </w:rPr>
              <w:t>-</w:t>
            </w:r>
          </w:p>
        </w:tc>
        <w:tc>
          <w:tcPr>
            <w:tcW w:w="396" w:type="pct"/>
            <w:tcBorders>
              <w:top w:val="single" w:sz="4" w:space="0" w:color="auto"/>
              <w:left w:val="single" w:sz="4" w:space="0" w:color="auto"/>
              <w:right w:val="single" w:sz="4" w:space="0" w:color="auto"/>
            </w:tcBorders>
            <w:shd w:val="clear" w:color="auto" w:fill="auto"/>
            <w:noWrap/>
            <w:vAlign w:val="center"/>
          </w:tcPr>
          <w:p w:rsidR="00F500DC" w:rsidRPr="00415A23" w:rsidRDefault="00F500DC" w:rsidP="00F500DC">
            <w:pPr>
              <w:tabs>
                <w:tab w:val="left" w:pos="9486"/>
              </w:tabs>
              <w:jc w:val="right"/>
              <w:rPr>
                <w:rFonts w:cs="Arial"/>
                <w:i/>
                <w:iCs/>
                <w:sz w:val="18"/>
                <w:szCs w:val="18"/>
                <w:highlight w:val="yellow"/>
              </w:rPr>
            </w:pPr>
            <w:r>
              <w:rPr>
                <w:b/>
                <w:sz w:val="18"/>
                <w:szCs w:val="18"/>
              </w:rPr>
              <w:t>-</w:t>
            </w:r>
          </w:p>
        </w:tc>
        <w:tc>
          <w:tcPr>
            <w:tcW w:w="396" w:type="pct"/>
            <w:tcBorders>
              <w:top w:val="single" w:sz="4" w:space="0" w:color="auto"/>
              <w:left w:val="single" w:sz="4" w:space="0" w:color="auto"/>
              <w:right w:val="single" w:sz="4" w:space="0" w:color="auto"/>
            </w:tcBorders>
            <w:vAlign w:val="center"/>
          </w:tcPr>
          <w:p w:rsidR="00F500DC" w:rsidRPr="00415A23" w:rsidRDefault="00F500DC" w:rsidP="00F500DC">
            <w:pPr>
              <w:tabs>
                <w:tab w:val="left" w:pos="9486"/>
              </w:tabs>
              <w:jc w:val="right"/>
              <w:rPr>
                <w:rFonts w:cs="Arial"/>
                <w:bCs/>
                <w:i/>
                <w:sz w:val="18"/>
                <w:szCs w:val="18"/>
                <w:highlight w:val="yellow"/>
              </w:rPr>
            </w:pPr>
            <w:r>
              <w:rPr>
                <w:b/>
                <w:sz w:val="18"/>
                <w:szCs w:val="18"/>
              </w:rPr>
              <w:t>-</w:t>
            </w:r>
          </w:p>
        </w:tc>
        <w:tc>
          <w:tcPr>
            <w:tcW w:w="396" w:type="pct"/>
            <w:tcBorders>
              <w:top w:val="single" w:sz="4" w:space="0" w:color="auto"/>
              <w:left w:val="single" w:sz="4" w:space="0" w:color="auto"/>
              <w:right w:val="single" w:sz="4" w:space="0" w:color="auto"/>
            </w:tcBorders>
            <w:shd w:val="clear" w:color="auto" w:fill="auto"/>
            <w:vAlign w:val="center"/>
          </w:tcPr>
          <w:p w:rsidR="00F500DC" w:rsidRPr="00415A23" w:rsidRDefault="00F500DC" w:rsidP="00F500DC">
            <w:pPr>
              <w:tabs>
                <w:tab w:val="left" w:pos="9486"/>
              </w:tabs>
              <w:jc w:val="right"/>
              <w:rPr>
                <w:rFonts w:cs="Arial"/>
                <w:bCs/>
                <w:i/>
                <w:sz w:val="18"/>
                <w:szCs w:val="18"/>
                <w:highlight w:val="yellow"/>
              </w:rPr>
            </w:pPr>
            <w:r>
              <w:rPr>
                <w:b/>
                <w:sz w:val="18"/>
                <w:szCs w:val="18"/>
              </w:rPr>
              <w:t>-</w:t>
            </w:r>
          </w:p>
        </w:tc>
        <w:tc>
          <w:tcPr>
            <w:tcW w:w="396" w:type="pct"/>
            <w:tcBorders>
              <w:top w:val="single" w:sz="4" w:space="0" w:color="auto"/>
              <w:left w:val="single" w:sz="4" w:space="0" w:color="auto"/>
            </w:tcBorders>
            <w:vAlign w:val="center"/>
          </w:tcPr>
          <w:p w:rsidR="00F500DC" w:rsidRPr="00415A23" w:rsidRDefault="00F500DC" w:rsidP="00F500DC">
            <w:pPr>
              <w:tabs>
                <w:tab w:val="left" w:pos="9486"/>
              </w:tabs>
              <w:jc w:val="right"/>
              <w:rPr>
                <w:rFonts w:cs="Arial"/>
                <w:bCs/>
                <w:i/>
                <w:sz w:val="18"/>
                <w:szCs w:val="18"/>
                <w:highlight w:val="yellow"/>
              </w:rPr>
            </w:pPr>
            <w:r>
              <w:rPr>
                <w:b/>
                <w:sz w:val="18"/>
                <w:szCs w:val="18"/>
              </w:rPr>
              <w:t>-</w:t>
            </w:r>
          </w:p>
        </w:tc>
        <w:tc>
          <w:tcPr>
            <w:tcW w:w="396" w:type="pct"/>
            <w:tcBorders>
              <w:top w:val="single" w:sz="4" w:space="0" w:color="auto"/>
              <w:left w:val="single" w:sz="4" w:space="0" w:color="auto"/>
            </w:tcBorders>
            <w:vAlign w:val="center"/>
          </w:tcPr>
          <w:p w:rsidR="00F500DC" w:rsidRDefault="00F500DC" w:rsidP="00F500DC">
            <w:pPr>
              <w:tabs>
                <w:tab w:val="left" w:pos="9486"/>
              </w:tabs>
              <w:jc w:val="right"/>
              <w:rPr>
                <w:rFonts w:cs="Arial"/>
                <w:i/>
                <w:sz w:val="18"/>
                <w:szCs w:val="18"/>
                <w:highlight w:val="yellow"/>
              </w:rPr>
            </w:pPr>
            <w:r>
              <w:rPr>
                <w:b/>
                <w:sz w:val="18"/>
                <w:szCs w:val="18"/>
              </w:rPr>
              <w:t>10’046</w:t>
            </w:r>
          </w:p>
        </w:tc>
        <w:tc>
          <w:tcPr>
            <w:tcW w:w="396" w:type="pct"/>
            <w:tcBorders>
              <w:top w:val="single" w:sz="4" w:space="0" w:color="auto"/>
              <w:left w:val="single" w:sz="4" w:space="0" w:color="auto"/>
            </w:tcBorders>
            <w:vAlign w:val="center"/>
          </w:tcPr>
          <w:p w:rsidR="00F500DC" w:rsidRPr="00125A8B" w:rsidRDefault="00F500DC" w:rsidP="00F500DC">
            <w:pPr>
              <w:tabs>
                <w:tab w:val="left" w:pos="9486"/>
              </w:tabs>
              <w:jc w:val="right"/>
              <w:rPr>
                <w:i/>
                <w:sz w:val="18"/>
                <w:szCs w:val="18"/>
              </w:rPr>
            </w:pPr>
            <w:r>
              <w:rPr>
                <w:b/>
                <w:sz w:val="18"/>
                <w:szCs w:val="18"/>
              </w:rPr>
              <w:t>10’746</w:t>
            </w:r>
          </w:p>
        </w:tc>
        <w:tc>
          <w:tcPr>
            <w:tcW w:w="396" w:type="pct"/>
            <w:tcBorders>
              <w:top w:val="single" w:sz="4" w:space="0" w:color="auto"/>
              <w:left w:val="single" w:sz="4" w:space="0" w:color="auto"/>
            </w:tcBorders>
            <w:vAlign w:val="center"/>
          </w:tcPr>
          <w:p w:rsidR="00F500DC" w:rsidRDefault="00F500DC" w:rsidP="00F500DC">
            <w:pPr>
              <w:tabs>
                <w:tab w:val="left" w:pos="9486"/>
              </w:tabs>
              <w:jc w:val="right"/>
              <w:rPr>
                <w:b/>
                <w:sz w:val="18"/>
                <w:szCs w:val="18"/>
              </w:rPr>
            </w:pPr>
            <w:r>
              <w:rPr>
                <w:b/>
                <w:sz w:val="18"/>
                <w:szCs w:val="18"/>
              </w:rPr>
              <w:t>11’693</w:t>
            </w:r>
          </w:p>
        </w:tc>
      </w:tr>
    </w:tbl>
    <w:p w:rsidR="00F500DC" w:rsidRPr="005F35C3" w:rsidRDefault="00F500DC" w:rsidP="00F500DC">
      <w:pPr>
        <w:spacing w:before="120"/>
        <w:rPr>
          <w:sz w:val="20"/>
          <w:szCs w:val="20"/>
        </w:rPr>
      </w:pPr>
      <w:r w:rsidRPr="005F35C3">
        <w:rPr>
          <w:sz w:val="20"/>
          <w:szCs w:val="20"/>
        </w:rPr>
        <w:t xml:space="preserve">Nota: fino al 2020 veniva versato un contributo forfettario che includeva anche il contributo per gli studenti, dal 2021 il contributo per gli studenti ticinesi è calcolato separatamente in base alle tariffe ASUP. </w:t>
      </w:r>
    </w:p>
    <w:p w:rsidR="00F500DC" w:rsidRDefault="00F500DC" w:rsidP="00F31169"/>
    <w:p w:rsidR="00F500DC" w:rsidRPr="009B4546" w:rsidRDefault="00F500DC" w:rsidP="00F31169"/>
    <w:p w:rsidR="00F500DC" w:rsidRPr="00F31169" w:rsidRDefault="00F500DC" w:rsidP="00F31169">
      <w:pPr>
        <w:pStyle w:val="Titolo1"/>
        <w:tabs>
          <w:tab w:val="left" w:pos="567"/>
        </w:tabs>
        <w:suppressAutoHyphens w:val="0"/>
        <w:spacing w:before="0"/>
        <w:ind w:left="567" w:hanging="567"/>
        <w:jc w:val="both"/>
        <w:rPr>
          <w:rFonts w:eastAsia="Calibri" w:cs="Times New Roman"/>
          <w:caps/>
          <w:sz w:val="24"/>
          <w:szCs w:val="24"/>
          <w:lang w:val="it-IT" w:eastAsia="it-IT"/>
        </w:rPr>
      </w:pPr>
      <w:r w:rsidRPr="00F31169">
        <w:rPr>
          <w:rFonts w:eastAsia="Calibri" w:cs="Times New Roman"/>
          <w:caps/>
          <w:sz w:val="24"/>
          <w:szCs w:val="24"/>
          <w:lang w:val="it-IT" w:eastAsia="it-IT"/>
        </w:rPr>
        <w:t>SUPSI - RAGGIUNGIMENTO DEGLI OBIETTIVI</w:t>
      </w:r>
    </w:p>
    <w:p w:rsidR="00F500DC" w:rsidRPr="0018167D" w:rsidRDefault="00F500DC" w:rsidP="00F500DC">
      <w:pPr>
        <w:spacing w:before="120"/>
        <w:rPr>
          <w:sz w:val="24"/>
          <w:szCs w:val="24"/>
        </w:rPr>
      </w:pPr>
      <w:r w:rsidRPr="0018167D">
        <w:rPr>
          <w:sz w:val="24"/>
          <w:szCs w:val="24"/>
        </w:rPr>
        <w:t xml:space="preserve">Gli obiettivi generali previsti nel cdp includono la definizione di quote massime di studenti provenienti dall’estero così come la verifica dell’attualizzazione costante della formazione continua e del raggiungimento della parità di genere. </w:t>
      </w:r>
    </w:p>
    <w:p w:rsidR="00F500DC" w:rsidRPr="0018167D" w:rsidRDefault="00F500DC" w:rsidP="00F500DC">
      <w:pPr>
        <w:spacing w:before="120"/>
        <w:rPr>
          <w:sz w:val="24"/>
          <w:szCs w:val="24"/>
        </w:rPr>
      </w:pPr>
      <w:r w:rsidRPr="0018167D">
        <w:rPr>
          <w:sz w:val="24"/>
          <w:szCs w:val="24"/>
        </w:rPr>
        <w:t xml:space="preserve">La difficoltà che si è riscontrata negli anni precedenti legata al raggiungimento degli </w:t>
      </w:r>
      <w:r w:rsidRPr="0018167D">
        <w:rPr>
          <w:b/>
          <w:sz w:val="24"/>
          <w:szCs w:val="24"/>
        </w:rPr>
        <w:t>obiettivi generali</w:t>
      </w:r>
      <w:r w:rsidRPr="0018167D">
        <w:rPr>
          <w:sz w:val="24"/>
          <w:szCs w:val="24"/>
        </w:rPr>
        <w:t xml:space="preserve"> sulla composizione del corpo studentesco per la formazione di base si conferma anche per il 2023. La soglia minima della percentuale di studenti provenienti da altri cantoni nei settori di studio non artistici non viene raggiunta né per il bachelor, né per il master. Vengono invece eccedute le quote massime fissate per gli studenti esteri sia nel bachelor (corsi di laurea del DTI), sia nel master (per i settori di studio non artistici). L’unico obiettivo raggiunto è quello riguardante la percentuale massima di studenti esteri nei settori di studio non artistici (ad eccezione dei corsi di laurea del DTI) per il livello bachelor.</w:t>
      </w:r>
    </w:p>
    <w:p w:rsidR="00F500DC" w:rsidRPr="0018167D" w:rsidRDefault="00F500DC" w:rsidP="00F500DC">
      <w:pPr>
        <w:spacing w:before="120"/>
        <w:rPr>
          <w:sz w:val="24"/>
          <w:szCs w:val="24"/>
        </w:rPr>
      </w:pPr>
      <w:r w:rsidRPr="0018167D">
        <w:rPr>
          <w:sz w:val="24"/>
          <w:szCs w:val="24"/>
        </w:rPr>
        <w:t>In relazione alla formazione continua, il numero di corsi offerti torna ad aumentare, confermando una crescita nel tempo. Incremento che trova un risvolto anche nei partecipanti, riportando le cifre ai valori prepandemici.</w:t>
      </w:r>
    </w:p>
    <w:p w:rsidR="00F500DC" w:rsidRPr="0018167D" w:rsidRDefault="00F500DC" w:rsidP="00F500DC">
      <w:pPr>
        <w:spacing w:before="120"/>
        <w:rPr>
          <w:sz w:val="24"/>
          <w:szCs w:val="24"/>
        </w:rPr>
      </w:pPr>
      <w:r w:rsidRPr="0018167D">
        <w:rPr>
          <w:sz w:val="24"/>
          <w:szCs w:val="24"/>
        </w:rPr>
        <w:t>Per quanto riguarda la ricerca e i servizi, la percentuale di docenti-ricercatori è leggermente al di sotto, ma comunque in linea con la media svizzera, mentre si rileva un’elevata percentuale di ricavi da ricerca e servizi rispetto alla media svizzera.</w:t>
      </w:r>
    </w:p>
    <w:p w:rsidR="00F500DC" w:rsidRPr="0018167D" w:rsidRDefault="00F500DC" w:rsidP="00F500DC">
      <w:pPr>
        <w:spacing w:before="120"/>
        <w:rPr>
          <w:sz w:val="24"/>
          <w:szCs w:val="24"/>
        </w:rPr>
      </w:pPr>
      <w:r w:rsidRPr="0018167D">
        <w:rPr>
          <w:sz w:val="24"/>
          <w:szCs w:val="24"/>
        </w:rPr>
        <w:t>L’obiettivo generale stabilito nell’ambito delle pari opportunità risulta in linea con la media nazionale e soddisfa i criteri previsti nel cdp. In generale la SUPSI sta mettendo in campo misure atte a migliorare l’attuale situazione.</w:t>
      </w:r>
    </w:p>
    <w:p w:rsidR="00F500DC" w:rsidRPr="0018167D" w:rsidRDefault="00F500DC" w:rsidP="00F500DC">
      <w:pPr>
        <w:spacing w:before="120"/>
        <w:rPr>
          <w:sz w:val="24"/>
          <w:szCs w:val="24"/>
        </w:rPr>
      </w:pPr>
      <w:r w:rsidRPr="0018167D">
        <w:rPr>
          <w:sz w:val="24"/>
          <w:szCs w:val="24"/>
        </w:rPr>
        <w:t xml:space="preserve">Prendendo in considerazione gli </w:t>
      </w:r>
      <w:r w:rsidRPr="0018167D">
        <w:rPr>
          <w:b/>
          <w:sz w:val="24"/>
          <w:szCs w:val="24"/>
        </w:rPr>
        <w:t xml:space="preserve">obiettivi di efficacia </w:t>
      </w:r>
      <w:r w:rsidRPr="0018167D">
        <w:rPr>
          <w:sz w:val="24"/>
          <w:szCs w:val="24"/>
        </w:rPr>
        <w:t xml:space="preserve">nell’ambito della formazione di base, si nota che il valore del tasso di passaggio per i detentori di una maturità professionale ottenuta nel Cantone Ticino alla SUPSI è inferiore rispetto ai dati a livello nazionale. La valutazione dell’adeguatezza delle competenze acquisite dai diplomati svolta dalle aziende datrici di lavoro risulta positiva, così come è positivo anche il grado di soddisfazione degli studenti, che mostra dati superiori alla soglia stabilita. </w:t>
      </w:r>
    </w:p>
    <w:p w:rsidR="00F500DC" w:rsidRPr="0018167D" w:rsidRDefault="00F500DC" w:rsidP="00F500DC">
      <w:pPr>
        <w:spacing w:before="120"/>
        <w:rPr>
          <w:sz w:val="24"/>
          <w:szCs w:val="24"/>
        </w:rPr>
      </w:pPr>
      <w:r w:rsidRPr="0018167D">
        <w:rPr>
          <w:sz w:val="24"/>
          <w:szCs w:val="24"/>
        </w:rPr>
        <w:lastRenderedPageBreak/>
        <w:t>Per quel che riguarda la verifica dell’offerta di formazione continua, sebbene le domande dell’indagine siano cambiate e non è quindi possibile fare un paragone completo con gli anni passati, si riscontra un grado di soddisfazione dei diplomati elevato. Si attendono le prossime valutazioni per proporre un’analisi più approfondita dei nuovi dati nel tempo.</w:t>
      </w:r>
    </w:p>
    <w:p w:rsidR="00F500DC" w:rsidRPr="0018167D" w:rsidRDefault="00F500DC" w:rsidP="00F500DC">
      <w:pPr>
        <w:spacing w:before="120"/>
        <w:rPr>
          <w:sz w:val="24"/>
          <w:szCs w:val="24"/>
        </w:rPr>
      </w:pPr>
      <w:r w:rsidRPr="0018167D">
        <w:rPr>
          <w:sz w:val="24"/>
          <w:szCs w:val="24"/>
        </w:rPr>
        <w:t>A dimostrazione della stabilità dell’efficacia della ricerca e delle prestazioni di servizio della SUPSI, si riscontra uno sviluppo generalmente in linea rispetto agli anni scorsi sia per quanto riguarda i progetti di ricerca promossi, sia per quanto riguarda il grado di soddisfazione delle imprese.</w:t>
      </w:r>
    </w:p>
    <w:p w:rsidR="00F500DC" w:rsidRPr="0018167D" w:rsidRDefault="00F500DC" w:rsidP="00F500DC">
      <w:pPr>
        <w:spacing w:before="120"/>
        <w:rPr>
          <w:sz w:val="24"/>
          <w:szCs w:val="24"/>
        </w:rPr>
      </w:pPr>
      <w:r w:rsidRPr="0018167D">
        <w:rPr>
          <w:sz w:val="24"/>
          <w:szCs w:val="24"/>
        </w:rPr>
        <w:t xml:space="preserve">Gli </w:t>
      </w:r>
      <w:r w:rsidRPr="0018167D">
        <w:rPr>
          <w:b/>
          <w:sz w:val="24"/>
          <w:szCs w:val="24"/>
        </w:rPr>
        <w:t>obiettivi di efficienza</w:t>
      </w:r>
      <w:r w:rsidRPr="0018167D">
        <w:rPr>
          <w:sz w:val="24"/>
          <w:szCs w:val="24"/>
        </w:rPr>
        <w:t xml:space="preserve"> fissati dal cdp per la SUPSI sono generalmente raggiunti. In linea con gli anni passati, infatti, il costo medio per studente risulta inferiore alla media svizzera per tutti gli ambiti di studio ad eccezione di economia aziendale e di lavoro sociale. Come per l’anno scorso, la stessa situazione si riscontra anche per il tasso di inquadramento. Si rileva inoltre una generale stabilità della percentuale di ECTS acquisiti rispetto a quelli iscritti (86% anche per l’anno accademico 2022-23). </w:t>
      </w:r>
    </w:p>
    <w:p w:rsidR="00F500DC" w:rsidRPr="0018167D" w:rsidRDefault="00F500DC" w:rsidP="00E333A9">
      <w:pPr>
        <w:rPr>
          <w:sz w:val="24"/>
          <w:szCs w:val="24"/>
        </w:rPr>
      </w:pPr>
      <w:r w:rsidRPr="0018167D">
        <w:rPr>
          <w:sz w:val="24"/>
          <w:szCs w:val="24"/>
        </w:rPr>
        <w:t>In relazione alla copertura dei costi nei campi della formazione continua, della ricerca e delle prestazioni di servizio, non si riscontrano particolari problematiche. Tutti gli obiettivi prefissati sono raggiunti: il tasso di autofinanziamento della formazione continua si attesta al 108%, la copertura completa dei costi diretti per i progetti di ricerca finanziati da enti competitivi è del 113%, mentre la copertura dei costi completi nei mandati diretti di ricerca e servizi ammonta al 92%. I dati presentati sono in linea con gli anni passati.</w:t>
      </w:r>
    </w:p>
    <w:p w:rsidR="00F500DC" w:rsidRDefault="00F500DC" w:rsidP="00E333A9">
      <w:pPr>
        <w:tabs>
          <w:tab w:val="left" w:pos="9486"/>
        </w:tabs>
        <w:rPr>
          <w:b/>
          <w:bCs/>
          <w:sz w:val="24"/>
        </w:rPr>
      </w:pPr>
    </w:p>
    <w:p w:rsidR="00E333A9" w:rsidRDefault="00E333A9" w:rsidP="00E333A9">
      <w:pPr>
        <w:tabs>
          <w:tab w:val="left" w:pos="9486"/>
        </w:tabs>
        <w:rPr>
          <w:b/>
          <w:bCs/>
          <w:sz w:val="24"/>
        </w:rPr>
      </w:pPr>
    </w:p>
    <w:p w:rsidR="00F500DC" w:rsidRPr="00E333A9" w:rsidRDefault="00F500DC" w:rsidP="00E333A9">
      <w:pPr>
        <w:pStyle w:val="Titolo1"/>
        <w:tabs>
          <w:tab w:val="left" w:pos="0"/>
        </w:tabs>
        <w:suppressAutoHyphens w:val="0"/>
        <w:spacing w:before="0"/>
        <w:jc w:val="both"/>
        <w:rPr>
          <w:rFonts w:eastAsia="Calibri" w:cs="Times New Roman"/>
          <w:caps/>
          <w:sz w:val="24"/>
          <w:szCs w:val="24"/>
          <w:lang w:val="it-IT" w:eastAsia="it-IT"/>
        </w:rPr>
      </w:pPr>
      <w:r w:rsidRPr="00E333A9">
        <w:rPr>
          <w:rFonts w:eastAsia="Calibri" w:cs="Times New Roman"/>
          <w:caps/>
          <w:sz w:val="24"/>
          <w:szCs w:val="24"/>
          <w:lang w:val="it-IT" w:eastAsia="it-IT"/>
        </w:rPr>
        <w:t>DFA / ALTA SCUOLA PEDAGOGICA DELLA SUPSI - RAGGIUNGIMENTO DEGLI OBIETTIVI</w:t>
      </w:r>
    </w:p>
    <w:p w:rsidR="00F500DC" w:rsidRPr="00C80FBA" w:rsidRDefault="00F500DC" w:rsidP="00F500DC">
      <w:pPr>
        <w:spacing w:before="120"/>
        <w:rPr>
          <w:sz w:val="24"/>
          <w:szCs w:val="24"/>
        </w:rPr>
      </w:pPr>
      <w:r w:rsidRPr="00C80FBA">
        <w:rPr>
          <w:sz w:val="24"/>
          <w:szCs w:val="24"/>
        </w:rPr>
        <w:t xml:space="preserve">Gli </w:t>
      </w:r>
      <w:r w:rsidRPr="00C80FBA">
        <w:rPr>
          <w:b/>
          <w:sz w:val="24"/>
          <w:szCs w:val="24"/>
        </w:rPr>
        <w:t>obiettivi d’impatto</w:t>
      </w:r>
      <w:r w:rsidRPr="00C80FBA">
        <w:rPr>
          <w:sz w:val="24"/>
          <w:szCs w:val="24"/>
        </w:rPr>
        <w:t xml:space="preserve"> </w:t>
      </w:r>
      <w:r w:rsidRPr="00C80FBA">
        <w:rPr>
          <w:b/>
          <w:sz w:val="24"/>
          <w:szCs w:val="24"/>
        </w:rPr>
        <w:t>particolari</w:t>
      </w:r>
      <w:r w:rsidRPr="00C80FBA">
        <w:rPr>
          <w:sz w:val="24"/>
          <w:szCs w:val="24"/>
        </w:rPr>
        <w:t xml:space="preserve"> previsti dall’art. 8 del cdp non presentano dei valori soglia da rispettare oppure dei confronti con altri istituti nazionali operativi nello stesso ambito del DFA/ASP. Pertanto la valutazione del loro raggiungimento non viene effettuata su una base puramente numerica, bensì tenendo conto delle necessità del sistema scolastico ticinese.</w:t>
      </w:r>
    </w:p>
    <w:p w:rsidR="00F500DC" w:rsidRPr="00C80FBA" w:rsidRDefault="00F500DC" w:rsidP="00F500DC">
      <w:pPr>
        <w:spacing w:before="120"/>
        <w:rPr>
          <w:sz w:val="24"/>
          <w:szCs w:val="24"/>
        </w:rPr>
      </w:pPr>
      <w:r w:rsidRPr="00C80FBA">
        <w:rPr>
          <w:sz w:val="24"/>
          <w:szCs w:val="24"/>
        </w:rPr>
        <w:t>L’offerta formativa di base e continua proposta dal DFA/ASP è stabilita di concerto con il DECS e risulta essere coerente con la pianificazione quadriennale impostata dal Dipartimento.</w:t>
      </w:r>
    </w:p>
    <w:p w:rsidR="00F500DC" w:rsidRPr="00C80FBA" w:rsidRDefault="00F500DC" w:rsidP="00F500DC">
      <w:pPr>
        <w:spacing w:before="120"/>
        <w:rPr>
          <w:sz w:val="24"/>
          <w:szCs w:val="24"/>
        </w:rPr>
      </w:pPr>
      <w:r w:rsidRPr="00C80FBA">
        <w:rPr>
          <w:sz w:val="24"/>
          <w:szCs w:val="24"/>
        </w:rPr>
        <w:t xml:space="preserve">Per quanto riguarda la formazione di base, l’offerta assicura il ricambio di personale docente richiesto. Nell’ambito della formazione continua, il focus principale nell’anno 2022-23 è stato posto sul tema dell’inclusione e dell’accessibilità. </w:t>
      </w:r>
    </w:p>
    <w:p w:rsidR="00F500DC" w:rsidRPr="00C80FBA" w:rsidRDefault="00F500DC" w:rsidP="00F500DC">
      <w:pPr>
        <w:spacing w:before="120"/>
        <w:rPr>
          <w:sz w:val="24"/>
          <w:szCs w:val="24"/>
        </w:rPr>
      </w:pPr>
      <w:r w:rsidRPr="00C80FBA">
        <w:rPr>
          <w:sz w:val="24"/>
          <w:szCs w:val="24"/>
        </w:rPr>
        <w:t xml:space="preserve">Gli </w:t>
      </w:r>
      <w:r w:rsidRPr="00C80FBA">
        <w:rPr>
          <w:b/>
          <w:sz w:val="24"/>
          <w:szCs w:val="24"/>
        </w:rPr>
        <w:t>obiettivi quantitativi</w:t>
      </w:r>
      <w:r w:rsidRPr="00C80FBA">
        <w:rPr>
          <w:sz w:val="24"/>
          <w:szCs w:val="24"/>
        </w:rPr>
        <w:t xml:space="preserve"> </w:t>
      </w:r>
      <w:r w:rsidRPr="00C80FBA">
        <w:rPr>
          <w:b/>
          <w:sz w:val="24"/>
          <w:szCs w:val="24"/>
        </w:rPr>
        <w:t>particolari</w:t>
      </w:r>
      <w:r w:rsidRPr="00C80FBA">
        <w:rPr>
          <w:sz w:val="24"/>
          <w:szCs w:val="24"/>
        </w:rPr>
        <w:t xml:space="preserve"> previsti dall’art. 9 fissano dei valori da raggiungere in relazione a tre ambiti: formazione di base, formazione continua e ricerca educativa. Complessivamente si rileva che gli obiettivi quantitativi particolari sono stati raggiunti.</w:t>
      </w:r>
    </w:p>
    <w:p w:rsidR="00F500DC" w:rsidRPr="00C80FBA" w:rsidRDefault="00F500DC" w:rsidP="00F500DC">
      <w:pPr>
        <w:spacing w:before="120"/>
        <w:rPr>
          <w:sz w:val="24"/>
          <w:szCs w:val="24"/>
        </w:rPr>
      </w:pPr>
      <w:r w:rsidRPr="00C80FBA">
        <w:rPr>
          <w:sz w:val="24"/>
          <w:szCs w:val="24"/>
        </w:rPr>
        <w:t>Di seguito vengono riassunti gli aspetti più salienti. Per quanto riguarda la formazione di base, il superamento della soglia fissata per il numero medio di docenti di scuola dell’infanzia e scuola elementare (+32.2 ETP) è da ricondurre al progetto 100 matricole ormai a pieno regime. Per la formazione continua, il volume di ore di lezione assicurato per l’anno accademico 2022-23 è di complessivamente 5'199 ore, ben al di sopra del minimo richiesto di 3'000 ore lezione. Infine, anche per l’obiettivo relativo alla ricerca educativa si rileva una percentuale di personale del corpo accademico (ETP) superiore alla quota stabilita del 20% (+3.5%).</w:t>
      </w:r>
    </w:p>
    <w:p w:rsidR="00F500DC" w:rsidRPr="00C80FBA" w:rsidRDefault="00F500DC" w:rsidP="00F500DC">
      <w:pPr>
        <w:spacing w:before="120"/>
        <w:rPr>
          <w:sz w:val="24"/>
          <w:szCs w:val="24"/>
        </w:rPr>
      </w:pPr>
      <w:r w:rsidRPr="00C80FBA">
        <w:rPr>
          <w:sz w:val="24"/>
          <w:szCs w:val="24"/>
        </w:rPr>
        <w:lastRenderedPageBreak/>
        <w:t xml:space="preserve">All’art. 19 del cdp vengono stabiliti una serie di </w:t>
      </w:r>
      <w:r w:rsidRPr="00C80FBA">
        <w:rPr>
          <w:b/>
          <w:sz w:val="24"/>
          <w:szCs w:val="24"/>
        </w:rPr>
        <w:t>indicatori</w:t>
      </w:r>
      <w:r w:rsidRPr="00C80FBA">
        <w:rPr>
          <w:sz w:val="24"/>
          <w:szCs w:val="24"/>
        </w:rPr>
        <w:t>, per i quali, come per gli anni precedenti, non si rilevano particolari criticità. Il numero di studenti per le formazioni bachelor e master è in aumento rispetto al 2022 (media ponderata ETP: +19.1 bachelor; +9.8 master). Per la formazione di bachelor, il tasso di abbandono risulta in leggero aumento rispetto al 6% del 2022 (2023: 8%), così come il tasso di ammissione (2023: 52.0%; 2022: 48%). La formazione di master mostra valori simili: il tasso di abbandono è dell’8% e quello di ammissione del 39.4%. Tuttavia, non è possibile fare un confronto con gli anni passati in quanto i percorsi di studio offerti sono – per loro natura – variabili.</w:t>
      </w:r>
    </w:p>
    <w:p w:rsidR="00F500DC" w:rsidRPr="00C80FBA" w:rsidRDefault="00F500DC" w:rsidP="00F500DC">
      <w:pPr>
        <w:spacing w:before="120"/>
        <w:rPr>
          <w:sz w:val="24"/>
          <w:szCs w:val="24"/>
        </w:rPr>
      </w:pPr>
      <w:r w:rsidRPr="00C80FBA">
        <w:rPr>
          <w:sz w:val="24"/>
          <w:szCs w:val="24"/>
        </w:rPr>
        <w:t>I risultati relativi al livello di soddisfazione degli studenti per le formazioni di bachelor e di master risultano in linea con gli anni scorsi, sebbene con valori leggermente inferiori. In aggiunta, seguendo la tendenza degli anni precedenti, il costo medio per studente di bachelor presso il DFA/ASP è inferiore rispetto alla media svizzera.</w:t>
      </w:r>
    </w:p>
    <w:p w:rsidR="00F500DC" w:rsidRPr="00C80FBA" w:rsidRDefault="00F500DC" w:rsidP="00F500DC">
      <w:pPr>
        <w:spacing w:before="120"/>
        <w:rPr>
          <w:sz w:val="24"/>
          <w:szCs w:val="24"/>
        </w:rPr>
      </w:pPr>
      <w:r w:rsidRPr="00C80FBA">
        <w:rPr>
          <w:sz w:val="24"/>
          <w:szCs w:val="24"/>
        </w:rPr>
        <w:t>Il numero di partecipanti in formazione continua nel 2023 si attesta a 3’459 (2022: 4'328), mantenendo un maggiore numero di iscritti rispetto al periodo prepandemico. Mostrando un costante aumento rispetto agli anni passati, il numero di corsi di formazione continua offerti è di 231 (2022: 211). Il tasso di soddisfazione degli iscritti alla formazione continua è positivo e in linea con gli anni precedenti.</w:t>
      </w:r>
    </w:p>
    <w:p w:rsidR="00F500DC" w:rsidRPr="00C80FBA" w:rsidRDefault="00F500DC" w:rsidP="00F500DC">
      <w:pPr>
        <w:spacing w:before="120"/>
        <w:rPr>
          <w:sz w:val="24"/>
          <w:szCs w:val="24"/>
        </w:rPr>
      </w:pPr>
      <w:r w:rsidRPr="00C80FBA">
        <w:rPr>
          <w:sz w:val="24"/>
          <w:szCs w:val="24"/>
        </w:rPr>
        <w:t xml:space="preserve">Rispetto al 2022, la ricerca vede un leggero aumento del numero dei progetti (da 59 a 63), tuttavia si osserva una lieve diminuzione del volume di ricavi (da 1.67 milioni di franchi nel 2022 a 1.55 nel 2023). </w:t>
      </w:r>
    </w:p>
    <w:p w:rsidR="00F500DC" w:rsidRPr="00830CC5" w:rsidRDefault="00F500DC" w:rsidP="00A26BAE">
      <w:pPr>
        <w:rPr>
          <w:sz w:val="24"/>
          <w:szCs w:val="24"/>
        </w:rPr>
      </w:pPr>
      <w:r w:rsidRPr="00C80FBA">
        <w:rPr>
          <w:sz w:val="24"/>
          <w:szCs w:val="24"/>
        </w:rPr>
        <w:t>In conclusione, il DFA/ASP mostra di raggiungere gli obiettivi fissati dagli indicatori stabiliti nel cdp con oscillazioni e assestamenti dovuti all’implementazione di nuove pratiche.</w:t>
      </w:r>
    </w:p>
    <w:p w:rsidR="00F500DC" w:rsidRDefault="00F500DC" w:rsidP="00A26BAE">
      <w:pPr>
        <w:pStyle w:val="Titolo2"/>
        <w:numPr>
          <w:ilvl w:val="0"/>
          <w:numId w:val="0"/>
        </w:numPr>
        <w:spacing w:before="0" w:after="0"/>
      </w:pPr>
      <w:bookmarkStart w:id="4" w:name="_Toc174967762"/>
      <w:bookmarkStart w:id="5" w:name="_Toc174969932"/>
      <w:bookmarkStart w:id="6" w:name="_Toc175047347"/>
      <w:bookmarkStart w:id="7" w:name="_Toc175053287"/>
      <w:bookmarkStart w:id="8" w:name="_Toc175060383"/>
      <w:bookmarkStart w:id="9" w:name="_Toc175062305"/>
      <w:bookmarkStart w:id="10" w:name="_Toc175062437"/>
      <w:bookmarkStart w:id="11" w:name="_Toc175064428"/>
      <w:bookmarkStart w:id="12" w:name="_Toc175065285"/>
      <w:bookmarkStart w:id="13" w:name="_Toc175649092"/>
      <w:bookmarkStart w:id="14" w:name="_Toc175650672"/>
      <w:bookmarkStart w:id="15" w:name="_Toc176165429"/>
    </w:p>
    <w:p w:rsidR="00A26BAE" w:rsidRPr="00A26BAE" w:rsidRDefault="00A26BAE" w:rsidP="00A26BAE"/>
    <w:p w:rsidR="00F500DC" w:rsidRPr="00A26BAE" w:rsidRDefault="00F500DC" w:rsidP="00A26BAE">
      <w:pPr>
        <w:pStyle w:val="Titolo2"/>
        <w:numPr>
          <w:ilvl w:val="0"/>
          <w:numId w:val="0"/>
        </w:numPr>
        <w:tabs>
          <w:tab w:val="left" w:pos="567"/>
        </w:tabs>
        <w:suppressAutoHyphens w:val="0"/>
        <w:spacing w:before="0" w:after="120"/>
        <w:jc w:val="both"/>
        <w:rPr>
          <w:rFonts w:eastAsia="Calibri" w:cs="Times New Roman"/>
          <w:sz w:val="24"/>
          <w:lang w:val="it-IT" w:eastAsia="it-IT"/>
        </w:rPr>
      </w:pPr>
      <w:r w:rsidRPr="00A26BAE">
        <w:rPr>
          <w:rFonts w:eastAsia="Calibri" w:cs="Times New Roman"/>
          <w:sz w:val="24"/>
          <w:lang w:val="it-IT" w:eastAsia="it-IT"/>
        </w:rPr>
        <w:t>Rapporto sulla ricerca educativa</w:t>
      </w:r>
      <w:bookmarkEnd w:id="4"/>
      <w:bookmarkEnd w:id="5"/>
      <w:bookmarkEnd w:id="6"/>
      <w:bookmarkEnd w:id="7"/>
      <w:bookmarkEnd w:id="8"/>
      <w:bookmarkEnd w:id="9"/>
      <w:bookmarkEnd w:id="10"/>
      <w:bookmarkEnd w:id="11"/>
      <w:bookmarkEnd w:id="12"/>
      <w:bookmarkEnd w:id="13"/>
      <w:bookmarkEnd w:id="14"/>
      <w:bookmarkEnd w:id="15"/>
    </w:p>
    <w:p w:rsidR="00F500DC" w:rsidRPr="003E3CD3" w:rsidRDefault="00F500DC" w:rsidP="00F500DC">
      <w:pPr>
        <w:spacing w:before="120"/>
        <w:rPr>
          <w:rFonts w:cs="Arial"/>
          <w:sz w:val="24"/>
          <w:szCs w:val="24"/>
        </w:rPr>
      </w:pPr>
      <w:r w:rsidRPr="003E3CD3">
        <w:rPr>
          <w:rFonts w:cs="Arial"/>
          <w:sz w:val="24"/>
          <w:szCs w:val="24"/>
        </w:rPr>
        <w:t xml:space="preserve">Il rapporto 2023 sulla ricerca educativa (allegato 9 </w:t>
      </w:r>
      <w:r w:rsidRPr="001207A4">
        <w:rPr>
          <w:rFonts w:cs="Arial"/>
          <w:sz w:val="24"/>
          <w:szCs w:val="24"/>
        </w:rPr>
        <w:t>del messaggio</w:t>
      </w:r>
      <w:r w:rsidRPr="003E3CD3">
        <w:rPr>
          <w:rFonts w:cs="Arial"/>
          <w:sz w:val="24"/>
          <w:szCs w:val="24"/>
        </w:rPr>
        <w:t xml:space="preserve">) del DFA/ASP elenca i progetti conclusi, quelli in corso, i nuovi progetti e il dettaglio dei costi per ognuno. In particolare, nel 2023 sono terminati progetti inerenti a vari aspetti della scuola ticinese, dalle prassi didattiche legate allo studio dell’ambiente ai fattori che influenzano le valutazioni in italiano e matematica alla scuola elementare, dalle traiettorie formative e professionali di allievi e apprendisti al funzionamento del sistema educativo nel Canton Ticino. </w:t>
      </w:r>
    </w:p>
    <w:p w:rsidR="00F500DC" w:rsidRPr="003E3CD3" w:rsidRDefault="00F500DC" w:rsidP="00F500DC">
      <w:pPr>
        <w:spacing w:before="120"/>
        <w:rPr>
          <w:rFonts w:cs="Arial"/>
          <w:sz w:val="24"/>
          <w:szCs w:val="24"/>
        </w:rPr>
      </w:pPr>
      <w:r w:rsidRPr="003E3CD3">
        <w:rPr>
          <w:rFonts w:cs="Arial"/>
          <w:sz w:val="24"/>
          <w:szCs w:val="24"/>
        </w:rPr>
        <w:t xml:space="preserve">Con il cdp 2021-2024 (cfr. art. 17 cpv. 4) viene versato al DFA/ASP un importo annuo di 800'000 franchi (incluso nel contributo di gestione) da destinare alla ricerca educativa. Come illustrato nella </w:t>
      </w:r>
      <w:r w:rsidR="00843834" w:rsidRPr="004070D4">
        <w:rPr>
          <w:rFonts w:cs="Arial"/>
          <w:sz w:val="24"/>
          <w:szCs w:val="24"/>
        </w:rPr>
        <w:t>Tabella 3</w:t>
      </w:r>
      <w:r w:rsidR="00843834">
        <w:rPr>
          <w:rFonts w:cs="Arial"/>
          <w:sz w:val="24"/>
          <w:szCs w:val="24"/>
        </w:rPr>
        <w:t xml:space="preserve">, </w:t>
      </w:r>
      <w:r w:rsidRPr="003E3CD3">
        <w:rPr>
          <w:rFonts w:cs="Arial"/>
          <w:sz w:val="24"/>
          <w:szCs w:val="24"/>
        </w:rPr>
        <w:t xml:space="preserve">le attività di ricerca chiudono l’esercizio 2023 con costi totali per 959'938 franchi, mentre i finanziamenti ammontano a 873'545 franchi. Il disavanzo di 86'393 franchi è coperto in parte dal DFA/ASP, mentre il DECS contribuisce con 23'500 franchi a sostegno dei progetti “BASS” e “Sondaggio EAS”, oltre a coprire i 6'393 franchi che eccedono il limite del 10% previsto dalla Convenzione tra le parti, ratificata con la decisione dipartimentale n. 2 del 4 gennaio 2021. </w:t>
      </w:r>
    </w:p>
    <w:p w:rsidR="00A26BAE" w:rsidRDefault="00A26BAE">
      <w:pPr>
        <w:suppressAutoHyphens w:val="0"/>
        <w:rPr>
          <w:sz w:val="24"/>
          <w:szCs w:val="24"/>
        </w:rPr>
      </w:pPr>
      <w:r>
        <w:rPr>
          <w:sz w:val="24"/>
          <w:szCs w:val="24"/>
        </w:rPr>
        <w:br w:type="page"/>
      </w:r>
    </w:p>
    <w:p w:rsidR="00F500DC" w:rsidRDefault="00F500DC" w:rsidP="00F500DC">
      <w:pPr>
        <w:pStyle w:val="Didascalia"/>
      </w:pPr>
      <w:r>
        <w:lastRenderedPageBreak/>
        <w:t xml:space="preserve">Tabella </w:t>
      </w:r>
      <w:r>
        <w:fldChar w:fldCharType="begin"/>
      </w:r>
      <w:r>
        <w:instrText xml:space="preserve"> SEQ Tabella \* ARABIC </w:instrText>
      </w:r>
      <w:r>
        <w:fldChar w:fldCharType="separate"/>
      </w:r>
      <w:r w:rsidR="00B63873">
        <w:t>3</w:t>
      </w:r>
      <w:r>
        <w:fldChar w:fldCharType="end"/>
      </w:r>
      <w:r>
        <w:t xml:space="preserve"> – Riepilogo di costi e ricavi relativi al mandato cantonale sulla ricerca educativa e controllo superamento limiti, in franchi, nel 2023 (fonte: DFA/ASP)</w:t>
      </w:r>
    </w:p>
    <w:tbl>
      <w:tblPr>
        <w:tblW w:w="5000" w:type="pct"/>
        <w:jc w:val="center"/>
        <w:tblCellMar>
          <w:left w:w="70" w:type="dxa"/>
          <w:right w:w="70" w:type="dxa"/>
        </w:tblCellMar>
        <w:tblLook w:val="04A0" w:firstRow="1" w:lastRow="0" w:firstColumn="1" w:lastColumn="0" w:noHBand="0" w:noVBand="1"/>
      </w:tblPr>
      <w:tblGrid>
        <w:gridCol w:w="5726"/>
        <w:gridCol w:w="1786"/>
        <w:gridCol w:w="548"/>
        <w:gridCol w:w="1420"/>
      </w:tblGrid>
      <w:tr w:rsidR="00F500DC" w:rsidRPr="00CE0D9D" w:rsidTr="00F500DC">
        <w:trPr>
          <w:trHeight w:val="300"/>
          <w:jc w:val="center"/>
        </w:trPr>
        <w:tc>
          <w:tcPr>
            <w:tcW w:w="3020" w:type="pct"/>
            <w:tcBorders>
              <w:right w:val="single" w:sz="4" w:space="0" w:color="FFFFFF" w:themeColor="background1"/>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 </w:t>
            </w:r>
          </w:p>
        </w:tc>
        <w:tc>
          <w:tcPr>
            <w:tcW w:w="1980" w:type="pct"/>
            <w:gridSpan w:val="3"/>
            <w:tcBorders>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rsidR="00F500DC" w:rsidRPr="00892C42" w:rsidRDefault="00F500DC" w:rsidP="00F500DC">
            <w:pPr>
              <w:tabs>
                <w:tab w:val="left" w:pos="9486"/>
              </w:tabs>
              <w:jc w:val="center"/>
              <w:rPr>
                <w:rFonts w:asciiTheme="minorHAnsi" w:eastAsia="Times New Roman" w:hAnsiTheme="minorHAnsi" w:cstheme="minorHAnsi"/>
                <w:b/>
                <w:color w:val="000000"/>
                <w:sz w:val="18"/>
                <w:szCs w:val="18"/>
                <w:lang w:eastAsia="it-CH"/>
              </w:rPr>
            </w:pPr>
            <w:r>
              <w:rPr>
                <w:rFonts w:asciiTheme="minorHAnsi" w:eastAsia="Times New Roman" w:hAnsiTheme="minorHAnsi" w:cstheme="minorHAnsi"/>
                <w:b/>
                <w:color w:val="000000"/>
                <w:sz w:val="18"/>
                <w:szCs w:val="18"/>
                <w:lang w:eastAsia="it-CH"/>
              </w:rPr>
              <w:t>Consuntivo</w:t>
            </w:r>
            <w:r w:rsidRPr="00892C42">
              <w:rPr>
                <w:rFonts w:asciiTheme="minorHAnsi" w:eastAsia="Times New Roman" w:hAnsiTheme="minorHAnsi" w:cstheme="minorHAnsi"/>
                <w:b/>
                <w:color w:val="000000"/>
                <w:sz w:val="18"/>
                <w:szCs w:val="18"/>
                <w:lang w:eastAsia="it-CH"/>
              </w:rPr>
              <w:t xml:space="preserve"> </w:t>
            </w:r>
            <w:r>
              <w:rPr>
                <w:rFonts w:asciiTheme="minorHAnsi" w:eastAsia="Times New Roman" w:hAnsiTheme="minorHAnsi" w:cstheme="minorHAnsi"/>
                <w:b/>
                <w:color w:val="000000"/>
                <w:sz w:val="18"/>
                <w:szCs w:val="18"/>
                <w:lang w:eastAsia="it-CH"/>
              </w:rPr>
              <w:t>2023</w:t>
            </w:r>
          </w:p>
        </w:tc>
      </w:tr>
      <w:tr w:rsidR="00F500DC" w:rsidRPr="001551A5" w:rsidTr="00F500DC">
        <w:trPr>
          <w:trHeight w:val="300"/>
          <w:jc w:val="center"/>
        </w:trPr>
        <w:tc>
          <w:tcPr>
            <w:tcW w:w="3020" w:type="pct"/>
            <w:tcBorders>
              <w:top w:val="nil"/>
              <w:right w:val="single" w:sz="4" w:space="0" w:color="FFFFFF" w:themeColor="background1"/>
            </w:tcBorders>
            <w:shd w:val="clear" w:color="auto" w:fill="D9D9D9" w:themeFill="background1" w:themeFillShade="D9"/>
            <w:noWrap/>
            <w:vAlign w:val="bottom"/>
            <w:hideMark/>
          </w:tcPr>
          <w:p w:rsidR="00F500DC" w:rsidRPr="00892C42" w:rsidRDefault="00F500DC" w:rsidP="00F500DC">
            <w:pPr>
              <w:tabs>
                <w:tab w:val="left" w:pos="9486"/>
              </w:tabs>
              <w:jc w:val="left"/>
              <w:rPr>
                <w:rFonts w:asciiTheme="minorHAnsi" w:eastAsia="Times New Roman" w:hAnsiTheme="minorHAnsi" w:cstheme="minorHAnsi"/>
                <w:b/>
                <w:color w:val="000000"/>
                <w:sz w:val="18"/>
                <w:szCs w:val="18"/>
                <w:lang w:eastAsia="it-CH"/>
              </w:rPr>
            </w:pPr>
            <w:r w:rsidRPr="00892C42">
              <w:rPr>
                <w:rFonts w:asciiTheme="minorHAnsi" w:eastAsia="Times New Roman" w:hAnsiTheme="minorHAnsi" w:cstheme="minorHAnsi"/>
                <w:b/>
                <w:color w:val="000000"/>
                <w:sz w:val="18"/>
                <w:szCs w:val="18"/>
                <w:lang w:eastAsia="it-CH"/>
              </w:rPr>
              <w:t> Descrizione</w:t>
            </w:r>
          </w:p>
        </w:tc>
        <w:tc>
          <w:tcPr>
            <w:tcW w:w="942" w:type="pc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noWrap/>
            <w:vAlign w:val="bottom"/>
            <w:hideMark/>
          </w:tcPr>
          <w:p w:rsidR="00F500DC" w:rsidRPr="00892C42" w:rsidRDefault="00F500DC" w:rsidP="00F500DC">
            <w:pPr>
              <w:tabs>
                <w:tab w:val="left" w:pos="9486"/>
              </w:tabs>
              <w:jc w:val="left"/>
              <w:rPr>
                <w:rFonts w:asciiTheme="minorHAnsi" w:eastAsia="Times New Roman" w:hAnsiTheme="minorHAnsi" w:cstheme="minorHAnsi"/>
                <w:b/>
                <w:color w:val="000000"/>
                <w:sz w:val="18"/>
                <w:szCs w:val="18"/>
                <w:lang w:eastAsia="it-CH"/>
              </w:rPr>
            </w:pPr>
            <w:r w:rsidRPr="00892C42">
              <w:rPr>
                <w:rFonts w:asciiTheme="minorHAnsi" w:eastAsia="Times New Roman" w:hAnsiTheme="minorHAnsi" w:cstheme="minorHAnsi"/>
                <w:b/>
                <w:color w:val="000000"/>
                <w:sz w:val="18"/>
                <w:szCs w:val="18"/>
                <w:lang w:eastAsia="it-CH"/>
              </w:rPr>
              <w:t>Costi</w:t>
            </w:r>
          </w:p>
        </w:tc>
        <w:tc>
          <w:tcPr>
            <w:tcW w:w="1038" w:type="pct"/>
            <w:gridSpan w:val="2"/>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noWrap/>
            <w:vAlign w:val="bottom"/>
            <w:hideMark/>
          </w:tcPr>
          <w:p w:rsidR="00F500DC" w:rsidRPr="00892C42" w:rsidRDefault="00F500DC" w:rsidP="00F500DC">
            <w:pPr>
              <w:tabs>
                <w:tab w:val="left" w:pos="9486"/>
              </w:tabs>
              <w:jc w:val="left"/>
              <w:rPr>
                <w:rFonts w:asciiTheme="minorHAnsi" w:eastAsia="Times New Roman" w:hAnsiTheme="minorHAnsi" w:cstheme="minorHAnsi"/>
                <w:b/>
                <w:color w:val="000000"/>
                <w:sz w:val="18"/>
                <w:szCs w:val="18"/>
                <w:lang w:eastAsia="it-CH"/>
              </w:rPr>
            </w:pPr>
            <w:r w:rsidRPr="00892C42">
              <w:rPr>
                <w:rFonts w:asciiTheme="minorHAnsi" w:eastAsia="Times New Roman" w:hAnsiTheme="minorHAnsi" w:cstheme="minorHAnsi"/>
                <w:b/>
                <w:color w:val="000000"/>
                <w:sz w:val="18"/>
                <w:szCs w:val="18"/>
                <w:lang w:eastAsia="it-CH"/>
              </w:rPr>
              <w:t>Ricavi</w:t>
            </w:r>
          </w:p>
        </w:tc>
      </w:tr>
      <w:tr w:rsidR="00F500DC" w:rsidRPr="00CE0D9D" w:rsidTr="00F500DC">
        <w:trPr>
          <w:trHeight w:val="300"/>
          <w:jc w:val="center"/>
        </w:trPr>
        <w:tc>
          <w:tcPr>
            <w:tcW w:w="3020" w:type="pct"/>
            <w:tcBorders>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Costi sui progetti</w:t>
            </w:r>
          </w:p>
        </w:tc>
        <w:tc>
          <w:tcPr>
            <w:tcW w:w="942" w:type="pct"/>
            <w:tcBorders>
              <w:left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color w:val="000000"/>
                <w:sz w:val="18"/>
                <w:szCs w:val="18"/>
                <w:lang w:eastAsia="it-CH"/>
              </w:rPr>
            </w:pPr>
            <w:r>
              <w:rPr>
                <w:rFonts w:asciiTheme="minorHAnsi" w:eastAsia="Times New Roman" w:hAnsiTheme="minorHAnsi" w:cstheme="minorHAnsi"/>
                <w:color w:val="000000"/>
                <w:sz w:val="18"/>
                <w:szCs w:val="18"/>
                <w:lang w:eastAsia="it-CH"/>
              </w:rPr>
              <w:t>959’938</w:t>
            </w:r>
          </w:p>
        </w:tc>
        <w:tc>
          <w:tcPr>
            <w:tcW w:w="1038" w:type="pct"/>
            <w:gridSpan w:val="2"/>
            <w:tcBorders>
              <w:left w:val="single" w:sz="4" w:space="0" w:color="auto"/>
              <w:bottom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 </w:t>
            </w:r>
          </w:p>
        </w:tc>
      </w:tr>
      <w:tr w:rsidR="00F500DC" w:rsidRPr="00CE0D9D" w:rsidTr="00F500DC">
        <w:trPr>
          <w:trHeight w:val="300"/>
          <w:jc w:val="center"/>
        </w:trPr>
        <w:tc>
          <w:tcPr>
            <w:tcW w:w="3020" w:type="pct"/>
            <w:tcBorders>
              <w:top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b/>
                <w:color w:val="000000"/>
                <w:sz w:val="18"/>
                <w:szCs w:val="18"/>
                <w:lang w:eastAsia="it-CH"/>
              </w:rPr>
            </w:pPr>
            <w:r w:rsidRPr="00CE0D9D">
              <w:rPr>
                <w:rFonts w:asciiTheme="minorHAnsi" w:eastAsia="Times New Roman" w:hAnsiTheme="minorHAnsi" w:cstheme="minorHAnsi"/>
                <w:b/>
                <w:color w:val="000000"/>
                <w:sz w:val="18"/>
                <w:szCs w:val="18"/>
                <w:lang w:eastAsia="it-CH"/>
              </w:rPr>
              <w:t>Totale costi</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0DC" w:rsidRPr="00447412" w:rsidRDefault="00F500DC" w:rsidP="00F500DC">
            <w:pPr>
              <w:tabs>
                <w:tab w:val="left" w:pos="9486"/>
              </w:tabs>
              <w:jc w:val="right"/>
              <w:rPr>
                <w:rFonts w:asciiTheme="minorHAnsi" w:eastAsia="Times New Roman" w:hAnsiTheme="minorHAnsi" w:cstheme="minorHAnsi"/>
                <w:b/>
                <w:color w:val="000000"/>
                <w:sz w:val="18"/>
                <w:szCs w:val="18"/>
                <w:lang w:eastAsia="it-CH"/>
              </w:rPr>
            </w:pPr>
            <w:r>
              <w:rPr>
                <w:rFonts w:asciiTheme="minorHAnsi" w:eastAsia="Times New Roman" w:hAnsiTheme="minorHAnsi" w:cstheme="minorHAnsi"/>
                <w:b/>
                <w:color w:val="000000"/>
                <w:sz w:val="18"/>
                <w:szCs w:val="18"/>
                <w:lang w:eastAsia="it-CH"/>
              </w:rPr>
              <w:t>959’938</w:t>
            </w:r>
          </w:p>
        </w:tc>
        <w:tc>
          <w:tcPr>
            <w:tcW w:w="1038" w:type="pct"/>
            <w:gridSpan w:val="2"/>
            <w:tcBorders>
              <w:top w:val="single" w:sz="4" w:space="0" w:color="auto"/>
              <w:left w:val="single" w:sz="4" w:space="0" w:color="auto"/>
              <w:bottom w:val="single" w:sz="4" w:space="0" w:color="auto"/>
            </w:tcBorders>
            <w:shd w:val="clear" w:color="auto" w:fill="auto"/>
            <w:noWrap/>
            <w:vAlign w:val="bottom"/>
            <w:hideMark/>
          </w:tcPr>
          <w:p w:rsidR="00F500DC" w:rsidRPr="00447412" w:rsidRDefault="00F500DC" w:rsidP="00F500DC">
            <w:pPr>
              <w:tabs>
                <w:tab w:val="left" w:pos="9486"/>
              </w:tabs>
              <w:jc w:val="right"/>
              <w:rPr>
                <w:rFonts w:asciiTheme="minorHAnsi" w:eastAsia="Times New Roman" w:hAnsiTheme="minorHAnsi" w:cstheme="minorHAnsi"/>
                <w:b/>
                <w:color w:val="000000"/>
                <w:sz w:val="18"/>
                <w:szCs w:val="18"/>
                <w:lang w:eastAsia="it-CH"/>
              </w:rPr>
            </w:pPr>
            <w:r w:rsidRPr="00447412">
              <w:rPr>
                <w:rFonts w:asciiTheme="minorHAnsi" w:eastAsia="Times New Roman" w:hAnsiTheme="minorHAnsi" w:cstheme="minorHAnsi"/>
                <w:b/>
                <w:color w:val="000000"/>
                <w:sz w:val="18"/>
                <w:szCs w:val="18"/>
                <w:lang w:eastAsia="it-CH"/>
              </w:rPr>
              <w:t> </w:t>
            </w:r>
          </w:p>
        </w:tc>
      </w:tr>
      <w:tr w:rsidR="00F500DC" w:rsidRPr="00CE0D9D" w:rsidTr="00F500DC">
        <w:trPr>
          <w:trHeight w:val="300"/>
          <w:jc w:val="center"/>
        </w:trPr>
        <w:tc>
          <w:tcPr>
            <w:tcW w:w="3020" w:type="pct"/>
            <w:tcBorders>
              <w:top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color w:val="000000"/>
                <w:sz w:val="18"/>
                <w:szCs w:val="18"/>
                <w:lang w:eastAsia="it-CH"/>
              </w:rPr>
            </w:pPr>
            <w:r>
              <w:rPr>
                <w:rFonts w:asciiTheme="minorHAnsi" w:eastAsia="Times New Roman" w:hAnsiTheme="minorHAnsi" w:cstheme="minorHAnsi"/>
                <w:color w:val="000000"/>
                <w:sz w:val="18"/>
                <w:szCs w:val="18"/>
                <w:lang w:eastAsia="it-CH"/>
              </w:rPr>
              <w:t>Contributo d</w:t>
            </w:r>
            <w:r w:rsidRPr="00CE0D9D">
              <w:rPr>
                <w:rFonts w:asciiTheme="minorHAnsi" w:eastAsia="Times New Roman" w:hAnsiTheme="minorHAnsi" w:cstheme="minorHAnsi"/>
                <w:color w:val="000000"/>
                <w:sz w:val="18"/>
                <w:szCs w:val="18"/>
                <w:lang w:eastAsia="it-CH"/>
              </w:rPr>
              <w:t>i gestione</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 </w:t>
            </w:r>
          </w:p>
        </w:tc>
        <w:tc>
          <w:tcPr>
            <w:tcW w:w="1038" w:type="pct"/>
            <w:gridSpan w:val="2"/>
            <w:tcBorders>
              <w:top w:val="single" w:sz="4" w:space="0" w:color="auto"/>
              <w:left w:val="single" w:sz="4" w:space="0" w:color="auto"/>
              <w:bottom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color w:val="000000"/>
                <w:sz w:val="18"/>
                <w:szCs w:val="18"/>
                <w:lang w:eastAsia="it-CH"/>
              </w:rPr>
            </w:pPr>
            <w:r>
              <w:rPr>
                <w:rFonts w:asciiTheme="minorHAnsi" w:eastAsia="Times New Roman" w:hAnsiTheme="minorHAnsi" w:cstheme="minorHAnsi"/>
                <w:color w:val="000000"/>
                <w:sz w:val="18"/>
                <w:szCs w:val="18"/>
                <w:lang w:eastAsia="it-CH"/>
              </w:rPr>
              <w:t>800’000</w:t>
            </w:r>
          </w:p>
        </w:tc>
      </w:tr>
      <w:tr w:rsidR="00F500DC" w:rsidRPr="00CE0D9D" w:rsidTr="00F500DC">
        <w:trPr>
          <w:trHeight w:val="300"/>
          <w:jc w:val="center"/>
        </w:trPr>
        <w:tc>
          <w:tcPr>
            <w:tcW w:w="3020" w:type="pct"/>
            <w:tcBorders>
              <w:top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Contributo ai progetti Interreg</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 </w:t>
            </w:r>
          </w:p>
        </w:tc>
        <w:tc>
          <w:tcPr>
            <w:tcW w:w="1038" w:type="pct"/>
            <w:gridSpan w:val="2"/>
            <w:tcBorders>
              <w:top w:val="single" w:sz="4" w:space="0" w:color="auto"/>
              <w:left w:val="single" w:sz="4" w:space="0" w:color="auto"/>
              <w:bottom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color w:val="000000"/>
                <w:sz w:val="18"/>
                <w:szCs w:val="18"/>
                <w:lang w:eastAsia="it-CH"/>
              </w:rPr>
            </w:pPr>
            <w:r>
              <w:rPr>
                <w:rFonts w:asciiTheme="minorHAnsi" w:eastAsia="Times New Roman" w:hAnsiTheme="minorHAnsi" w:cstheme="minorHAnsi"/>
                <w:color w:val="000000"/>
                <w:sz w:val="18"/>
                <w:szCs w:val="18"/>
                <w:lang w:eastAsia="it-CH"/>
              </w:rPr>
              <w:t>-</w:t>
            </w:r>
          </w:p>
        </w:tc>
      </w:tr>
      <w:tr w:rsidR="00F500DC" w:rsidRPr="00CE0D9D" w:rsidTr="00F500DC">
        <w:trPr>
          <w:trHeight w:val="300"/>
          <w:jc w:val="center"/>
        </w:trPr>
        <w:tc>
          <w:tcPr>
            <w:tcW w:w="3020" w:type="pct"/>
            <w:tcBorders>
              <w:top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Riporto dall'anno prece</w:t>
            </w:r>
            <w:r w:rsidRPr="001551A5">
              <w:rPr>
                <w:rFonts w:asciiTheme="minorHAnsi" w:eastAsia="Times New Roman" w:hAnsiTheme="minorHAnsi" w:cstheme="minorHAnsi"/>
                <w:color w:val="000000"/>
                <w:sz w:val="18"/>
                <w:szCs w:val="18"/>
                <w:lang w:eastAsia="it-CH"/>
              </w:rPr>
              <w:t>d</w:t>
            </w:r>
            <w:r w:rsidRPr="00CE0D9D">
              <w:rPr>
                <w:rFonts w:asciiTheme="minorHAnsi" w:eastAsia="Times New Roman" w:hAnsiTheme="minorHAnsi" w:cstheme="minorHAnsi"/>
                <w:color w:val="000000"/>
                <w:sz w:val="18"/>
                <w:szCs w:val="18"/>
                <w:lang w:eastAsia="it-CH"/>
              </w:rPr>
              <w:t>ente</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 </w:t>
            </w:r>
          </w:p>
        </w:tc>
        <w:tc>
          <w:tcPr>
            <w:tcW w:w="1038" w:type="pct"/>
            <w:gridSpan w:val="2"/>
            <w:tcBorders>
              <w:top w:val="single" w:sz="4" w:space="0" w:color="auto"/>
              <w:left w:val="single" w:sz="4" w:space="0" w:color="auto"/>
              <w:bottom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color w:val="000000"/>
                <w:sz w:val="18"/>
                <w:szCs w:val="18"/>
                <w:lang w:eastAsia="it-CH"/>
              </w:rPr>
            </w:pPr>
            <w:r>
              <w:rPr>
                <w:rFonts w:asciiTheme="minorHAnsi" w:eastAsia="Times New Roman" w:hAnsiTheme="minorHAnsi" w:cstheme="minorHAnsi"/>
                <w:color w:val="000000"/>
                <w:sz w:val="18"/>
                <w:szCs w:val="18"/>
                <w:lang w:eastAsia="it-CH"/>
              </w:rPr>
              <w:t>-</w:t>
            </w:r>
          </w:p>
        </w:tc>
      </w:tr>
      <w:tr w:rsidR="00F500DC" w:rsidRPr="00CE0D9D" w:rsidTr="00F500DC">
        <w:trPr>
          <w:trHeight w:val="300"/>
          <w:jc w:val="center"/>
        </w:trPr>
        <w:tc>
          <w:tcPr>
            <w:tcW w:w="3020" w:type="pct"/>
            <w:tcBorders>
              <w:top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color w:val="000000"/>
                <w:sz w:val="18"/>
                <w:szCs w:val="18"/>
                <w:lang w:eastAsia="it-CH"/>
              </w:rPr>
            </w:pPr>
            <w:r w:rsidRPr="001551A5">
              <w:rPr>
                <w:rFonts w:asciiTheme="minorHAnsi" w:eastAsia="Times New Roman" w:hAnsiTheme="minorHAnsi" w:cstheme="minorHAnsi"/>
                <w:color w:val="000000"/>
                <w:sz w:val="18"/>
                <w:szCs w:val="18"/>
                <w:lang w:eastAsia="it-CH"/>
              </w:rPr>
              <w:t>Cofinanzi</w:t>
            </w:r>
            <w:r w:rsidRPr="00CE0D9D">
              <w:rPr>
                <w:rFonts w:asciiTheme="minorHAnsi" w:eastAsia="Times New Roman" w:hAnsiTheme="minorHAnsi" w:cstheme="minorHAnsi"/>
                <w:color w:val="000000"/>
                <w:sz w:val="18"/>
                <w:szCs w:val="18"/>
                <w:lang w:eastAsia="it-CH"/>
              </w:rPr>
              <w:t>amento DFA</w:t>
            </w:r>
            <w:r>
              <w:rPr>
                <w:rFonts w:asciiTheme="minorHAnsi" w:eastAsia="Times New Roman" w:hAnsiTheme="minorHAnsi" w:cstheme="minorHAnsi"/>
                <w:color w:val="000000"/>
                <w:sz w:val="18"/>
                <w:szCs w:val="18"/>
                <w:lang w:eastAsia="it-CH"/>
              </w:rPr>
              <w:t>/ASP</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 </w:t>
            </w:r>
          </w:p>
        </w:tc>
        <w:tc>
          <w:tcPr>
            <w:tcW w:w="1038" w:type="pct"/>
            <w:gridSpan w:val="2"/>
            <w:tcBorders>
              <w:top w:val="single" w:sz="4" w:space="0" w:color="auto"/>
              <w:left w:val="single" w:sz="4" w:space="0" w:color="auto"/>
              <w:bottom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color w:val="000000"/>
                <w:sz w:val="18"/>
                <w:szCs w:val="18"/>
                <w:lang w:eastAsia="it-CH"/>
              </w:rPr>
            </w:pPr>
            <w:r>
              <w:rPr>
                <w:rFonts w:asciiTheme="minorHAnsi" w:eastAsia="Times New Roman" w:hAnsiTheme="minorHAnsi" w:cstheme="minorHAnsi"/>
                <w:color w:val="000000"/>
                <w:sz w:val="18"/>
                <w:szCs w:val="18"/>
                <w:lang w:eastAsia="it-CH"/>
              </w:rPr>
              <w:t>50’045</w:t>
            </w:r>
          </w:p>
        </w:tc>
      </w:tr>
      <w:tr w:rsidR="00F500DC" w:rsidRPr="00CE0D9D" w:rsidTr="00F500DC">
        <w:trPr>
          <w:trHeight w:val="300"/>
          <w:jc w:val="center"/>
        </w:trPr>
        <w:tc>
          <w:tcPr>
            <w:tcW w:w="3020" w:type="pct"/>
            <w:tcBorders>
              <w:top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 xml:space="preserve">Altri </w:t>
            </w:r>
            <w:r>
              <w:rPr>
                <w:rFonts w:asciiTheme="minorHAnsi" w:eastAsia="Times New Roman" w:hAnsiTheme="minorHAnsi" w:cstheme="minorHAnsi"/>
                <w:color w:val="000000"/>
                <w:sz w:val="18"/>
                <w:szCs w:val="18"/>
                <w:lang w:eastAsia="it-CH"/>
              </w:rPr>
              <w:t>contributi (DEC</w:t>
            </w:r>
            <w:r w:rsidRPr="00CE0D9D">
              <w:rPr>
                <w:rFonts w:asciiTheme="minorHAnsi" w:eastAsia="Times New Roman" w:hAnsiTheme="minorHAnsi" w:cstheme="minorHAnsi"/>
                <w:color w:val="000000"/>
                <w:sz w:val="18"/>
                <w:szCs w:val="18"/>
                <w:lang w:eastAsia="it-CH"/>
              </w:rPr>
              <w:t>S)</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 </w:t>
            </w:r>
          </w:p>
        </w:tc>
        <w:tc>
          <w:tcPr>
            <w:tcW w:w="1038" w:type="pct"/>
            <w:gridSpan w:val="2"/>
            <w:tcBorders>
              <w:top w:val="single" w:sz="4" w:space="0" w:color="auto"/>
              <w:left w:val="single" w:sz="4" w:space="0" w:color="auto"/>
              <w:bottom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color w:val="000000"/>
                <w:sz w:val="18"/>
                <w:szCs w:val="18"/>
                <w:lang w:eastAsia="it-CH"/>
              </w:rPr>
            </w:pPr>
            <w:r>
              <w:rPr>
                <w:rFonts w:asciiTheme="minorHAnsi" w:eastAsia="Times New Roman" w:hAnsiTheme="minorHAnsi" w:cstheme="minorHAnsi"/>
                <w:color w:val="000000"/>
                <w:sz w:val="18"/>
                <w:szCs w:val="18"/>
                <w:lang w:eastAsia="it-CH"/>
              </w:rPr>
              <w:t>23’500</w:t>
            </w:r>
          </w:p>
        </w:tc>
      </w:tr>
      <w:tr w:rsidR="00F500DC" w:rsidRPr="00CE0D9D" w:rsidTr="00F500DC">
        <w:trPr>
          <w:trHeight w:val="300"/>
          <w:jc w:val="center"/>
        </w:trPr>
        <w:tc>
          <w:tcPr>
            <w:tcW w:w="3020" w:type="pct"/>
            <w:tcBorders>
              <w:top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b/>
                <w:color w:val="000000"/>
                <w:sz w:val="18"/>
                <w:szCs w:val="18"/>
                <w:lang w:eastAsia="it-CH"/>
              </w:rPr>
            </w:pPr>
            <w:r w:rsidRPr="00CE0D9D">
              <w:rPr>
                <w:rFonts w:asciiTheme="minorHAnsi" w:eastAsia="Times New Roman" w:hAnsiTheme="minorHAnsi" w:cstheme="minorHAnsi"/>
                <w:b/>
                <w:color w:val="000000"/>
                <w:sz w:val="18"/>
                <w:szCs w:val="18"/>
                <w:lang w:eastAsia="it-CH"/>
              </w:rPr>
              <w:t>Totale ricavi</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b/>
                <w:color w:val="000000"/>
                <w:sz w:val="18"/>
                <w:szCs w:val="18"/>
                <w:lang w:eastAsia="it-CH"/>
              </w:rPr>
            </w:pPr>
            <w:r w:rsidRPr="00CE0D9D">
              <w:rPr>
                <w:rFonts w:asciiTheme="minorHAnsi" w:eastAsia="Times New Roman" w:hAnsiTheme="minorHAnsi" w:cstheme="minorHAnsi"/>
                <w:b/>
                <w:color w:val="000000"/>
                <w:sz w:val="18"/>
                <w:szCs w:val="18"/>
                <w:lang w:eastAsia="it-CH"/>
              </w:rPr>
              <w:t> </w:t>
            </w:r>
          </w:p>
        </w:tc>
        <w:tc>
          <w:tcPr>
            <w:tcW w:w="1038" w:type="pct"/>
            <w:gridSpan w:val="2"/>
            <w:tcBorders>
              <w:top w:val="single" w:sz="4" w:space="0" w:color="auto"/>
              <w:left w:val="single" w:sz="4" w:space="0" w:color="auto"/>
              <w:bottom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b/>
                <w:color w:val="000000"/>
                <w:sz w:val="18"/>
                <w:szCs w:val="18"/>
                <w:lang w:eastAsia="it-CH"/>
              </w:rPr>
            </w:pPr>
            <w:r>
              <w:rPr>
                <w:rFonts w:asciiTheme="minorHAnsi" w:eastAsia="Times New Roman" w:hAnsiTheme="minorHAnsi" w:cstheme="minorHAnsi"/>
                <w:b/>
                <w:color w:val="000000"/>
                <w:sz w:val="18"/>
                <w:szCs w:val="18"/>
                <w:lang w:eastAsia="it-CH"/>
              </w:rPr>
              <w:t>873’545</w:t>
            </w:r>
          </w:p>
        </w:tc>
      </w:tr>
      <w:tr w:rsidR="00F500DC" w:rsidRPr="00CE0D9D" w:rsidTr="00F500DC">
        <w:trPr>
          <w:trHeight w:val="300"/>
          <w:jc w:val="center"/>
        </w:trPr>
        <w:tc>
          <w:tcPr>
            <w:tcW w:w="3020" w:type="pct"/>
            <w:tcBorders>
              <w:top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b/>
                <w:color w:val="000000"/>
                <w:sz w:val="18"/>
                <w:szCs w:val="18"/>
                <w:lang w:eastAsia="it-CH"/>
              </w:rPr>
            </w:pPr>
            <w:r w:rsidRPr="00CE0D9D">
              <w:rPr>
                <w:rFonts w:asciiTheme="minorHAnsi" w:eastAsia="Times New Roman" w:hAnsiTheme="minorHAnsi" w:cstheme="minorHAnsi"/>
                <w:b/>
                <w:color w:val="000000"/>
                <w:sz w:val="18"/>
                <w:szCs w:val="18"/>
                <w:lang w:eastAsia="it-CH"/>
              </w:rPr>
              <w:t>Disavanzo</w:t>
            </w:r>
          </w:p>
        </w:tc>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b/>
                <w:color w:val="000000"/>
                <w:sz w:val="18"/>
                <w:szCs w:val="18"/>
                <w:lang w:eastAsia="it-CH"/>
              </w:rPr>
            </w:pPr>
            <w:r>
              <w:rPr>
                <w:rFonts w:asciiTheme="minorHAnsi" w:eastAsia="Times New Roman" w:hAnsiTheme="minorHAnsi" w:cstheme="minorHAnsi"/>
                <w:b/>
                <w:color w:val="000000"/>
                <w:sz w:val="18"/>
                <w:szCs w:val="18"/>
                <w:lang w:eastAsia="it-CH"/>
              </w:rPr>
              <w:t>-86’393</w:t>
            </w:r>
          </w:p>
        </w:tc>
        <w:tc>
          <w:tcPr>
            <w:tcW w:w="1038" w:type="pct"/>
            <w:gridSpan w:val="2"/>
            <w:tcBorders>
              <w:top w:val="single" w:sz="4" w:space="0" w:color="auto"/>
              <w:left w:val="single" w:sz="4" w:space="0" w:color="auto"/>
              <w:bottom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b/>
                <w:color w:val="000000"/>
                <w:sz w:val="18"/>
                <w:szCs w:val="18"/>
                <w:lang w:eastAsia="it-CH"/>
              </w:rPr>
            </w:pPr>
            <w:r w:rsidRPr="00CE0D9D">
              <w:rPr>
                <w:rFonts w:asciiTheme="minorHAnsi" w:eastAsia="Times New Roman" w:hAnsiTheme="minorHAnsi" w:cstheme="minorHAnsi"/>
                <w:b/>
                <w:color w:val="000000"/>
                <w:sz w:val="18"/>
                <w:szCs w:val="18"/>
                <w:lang w:eastAsia="it-CH"/>
              </w:rPr>
              <w:t> </w:t>
            </w:r>
          </w:p>
        </w:tc>
      </w:tr>
      <w:tr w:rsidR="00F500DC" w:rsidRPr="00CE0D9D" w:rsidTr="00F500DC">
        <w:trPr>
          <w:trHeight w:val="300"/>
          <w:jc w:val="center"/>
        </w:trPr>
        <w:tc>
          <w:tcPr>
            <w:tcW w:w="3020" w:type="pct"/>
            <w:tcBorders>
              <w:top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b/>
                <w:color w:val="000000"/>
                <w:sz w:val="18"/>
                <w:szCs w:val="18"/>
                <w:lang w:eastAsia="it-CH"/>
              </w:rPr>
            </w:pPr>
            <w:r w:rsidRPr="00CE0D9D">
              <w:rPr>
                <w:rFonts w:asciiTheme="minorHAnsi" w:eastAsia="Times New Roman" w:hAnsiTheme="minorHAnsi" w:cstheme="minorHAnsi"/>
                <w:b/>
                <w:color w:val="000000"/>
                <w:sz w:val="18"/>
                <w:szCs w:val="18"/>
                <w:lang w:eastAsia="it-CH"/>
              </w:rPr>
              <w:t>Totale a pareggio</w:t>
            </w:r>
          </w:p>
        </w:tc>
        <w:tc>
          <w:tcPr>
            <w:tcW w:w="942" w:type="pct"/>
            <w:tcBorders>
              <w:top w:val="single" w:sz="4" w:space="0" w:color="auto"/>
              <w:left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b/>
                <w:color w:val="000000"/>
                <w:sz w:val="18"/>
                <w:szCs w:val="18"/>
                <w:lang w:eastAsia="it-CH"/>
              </w:rPr>
            </w:pPr>
            <w:r>
              <w:rPr>
                <w:rFonts w:asciiTheme="minorHAnsi" w:eastAsia="Times New Roman" w:hAnsiTheme="minorHAnsi" w:cstheme="minorHAnsi"/>
                <w:b/>
                <w:color w:val="000000"/>
                <w:sz w:val="18"/>
                <w:szCs w:val="18"/>
                <w:lang w:eastAsia="it-CH"/>
              </w:rPr>
              <w:t>873’545</w:t>
            </w:r>
          </w:p>
        </w:tc>
        <w:tc>
          <w:tcPr>
            <w:tcW w:w="1038" w:type="pct"/>
            <w:gridSpan w:val="2"/>
            <w:tcBorders>
              <w:top w:val="single" w:sz="4" w:space="0" w:color="auto"/>
              <w:left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b/>
                <w:color w:val="000000"/>
                <w:sz w:val="18"/>
                <w:szCs w:val="18"/>
                <w:lang w:eastAsia="it-CH"/>
              </w:rPr>
            </w:pPr>
            <w:r>
              <w:rPr>
                <w:rFonts w:asciiTheme="minorHAnsi" w:eastAsia="Times New Roman" w:hAnsiTheme="minorHAnsi" w:cstheme="minorHAnsi"/>
                <w:b/>
                <w:color w:val="000000"/>
                <w:sz w:val="18"/>
                <w:szCs w:val="18"/>
                <w:lang w:eastAsia="it-CH"/>
              </w:rPr>
              <w:t>873’545</w:t>
            </w:r>
          </w:p>
        </w:tc>
      </w:tr>
      <w:tr w:rsidR="00F500DC" w:rsidRPr="001551A5" w:rsidTr="00F500DC">
        <w:trPr>
          <w:gridAfter w:val="1"/>
          <w:wAfter w:w="749" w:type="pct"/>
          <w:trHeight w:val="290"/>
          <w:jc w:val="center"/>
        </w:trPr>
        <w:tc>
          <w:tcPr>
            <w:tcW w:w="4251" w:type="pct"/>
            <w:gridSpan w:val="3"/>
            <w:shd w:val="clear" w:color="auto" w:fill="auto"/>
            <w:noWrap/>
            <w:vAlign w:val="bottom"/>
            <w:hideMark/>
          </w:tcPr>
          <w:p w:rsidR="00F500DC" w:rsidRPr="001551A5" w:rsidRDefault="00F500DC" w:rsidP="00F500DC">
            <w:pPr>
              <w:tabs>
                <w:tab w:val="left" w:pos="9486"/>
              </w:tabs>
              <w:spacing w:before="120"/>
              <w:jc w:val="left"/>
              <w:rPr>
                <w:rFonts w:asciiTheme="minorHAnsi" w:eastAsia="Times New Roman" w:hAnsiTheme="minorHAnsi" w:cstheme="minorHAnsi"/>
                <w:color w:val="000000"/>
                <w:sz w:val="18"/>
                <w:szCs w:val="18"/>
                <w:lang w:eastAsia="it-CH"/>
              </w:rPr>
            </w:pPr>
            <w:r w:rsidRPr="001551A5">
              <w:rPr>
                <w:rFonts w:asciiTheme="minorHAnsi" w:eastAsia="Times New Roman" w:hAnsiTheme="minorHAnsi" w:cstheme="minorHAnsi"/>
                <w:color w:val="000000"/>
                <w:sz w:val="18"/>
                <w:szCs w:val="18"/>
                <w:lang w:eastAsia="it-CH"/>
              </w:rPr>
              <w:t>Controllo superamento limiti (</w:t>
            </w:r>
            <w:r>
              <w:rPr>
                <w:rFonts w:asciiTheme="minorHAnsi" w:eastAsia="Times New Roman" w:hAnsiTheme="minorHAnsi" w:cstheme="minorHAnsi"/>
                <w:color w:val="000000"/>
                <w:sz w:val="18"/>
                <w:szCs w:val="18"/>
                <w:lang w:eastAsia="it-CH"/>
              </w:rPr>
              <w:t>art. 8 cpv. 1</w:t>
            </w:r>
            <w:r w:rsidRPr="00D329C7">
              <w:rPr>
                <w:rFonts w:asciiTheme="minorHAnsi" w:eastAsia="Times New Roman" w:hAnsiTheme="minorHAnsi" w:cstheme="minorHAnsi"/>
                <w:color w:val="000000"/>
                <w:sz w:val="18"/>
                <w:szCs w:val="18"/>
                <w:lang w:eastAsia="it-CH"/>
              </w:rPr>
              <w:t xml:space="preserve"> della convenzione tra DECS e DFA</w:t>
            </w:r>
            <w:r>
              <w:rPr>
                <w:rFonts w:asciiTheme="minorHAnsi" w:eastAsia="Times New Roman" w:hAnsiTheme="minorHAnsi" w:cstheme="minorHAnsi"/>
                <w:color w:val="000000"/>
                <w:sz w:val="18"/>
                <w:szCs w:val="18"/>
                <w:lang w:eastAsia="it-CH"/>
              </w:rPr>
              <w:t>/ASP</w:t>
            </w:r>
            <w:r w:rsidRPr="00CE0D9D">
              <w:rPr>
                <w:rFonts w:asciiTheme="minorHAnsi" w:eastAsia="Times New Roman" w:hAnsiTheme="minorHAnsi" w:cstheme="minorHAnsi"/>
                <w:color w:val="000000"/>
                <w:sz w:val="18"/>
                <w:szCs w:val="18"/>
                <w:lang w:eastAsia="it-CH"/>
              </w:rPr>
              <w:t>)</w:t>
            </w:r>
          </w:p>
        </w:tc>
      </w:tr>
      <w:tr w:rsidR="00F500DC" w:rsidRPr="00CE0D9D" w:rsidTr="00F500DC">
        <w:trPr>
          <w:trHeight w:val="162"/>
          <w:jc w:val="center"/>
        </w:trPr>
        <w:tc>
          <w:tcPr>
            <w:tcW w:w="3020" w:type="pct"/>
            <w:tcBorders>
              <w:top w:val="nil"/>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 </w:t>
            </w:r>
          </w:p>
        </w:tc>
        <w:tc>
          <w:tcPr>
            <w:tcW w:w="942" w:type="pct"/>
            <w:tcBorders>
              <w:top w:val="nil"/>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 </w:t>
            </w:r>
          </w:p>
        </w:tc>
        <w:tc>
          <w:tcPr>
            <w:tcW w:w="1038" w:type="pct"/>
            <w:gridSpan w:val="2"/>
            <w:tcBorders>
              <w:top w:val="nil"/>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 </w:t>
            </w:r>
          </w:p>
        </w:tc>
      </w:tr>
      <w:tr w:rsidR="00F500DC" w:rsidRPr="00CE0D9D" w:rsidTr="00F500DC">
        <w:trPr>
          <w:trHeight w:val="300"/>
          <w:jc w:val="center"/>
        </w:trPr>
        <w:tc>
          <w:tcPr>
            <w:tcW w:w="3020" w:type="pct"/>
            <w:tcBorders>
              <w:top w:val="nil"/>
              <w:right w:val="single" w:sz="4" w:space="0" w:color="FFFFFF" w:themeColor="background1"/>
            </w:tcBorders>
            <w:shd w:val="clear" w:color="auto" w:fill="D9D9D9" w:themeFill="background1" w:themeFillShade="D9"/>
            <w:noWrap/>
            <w:vAlign w:val="bottom"/>
            <w:hideMark/>
          </w:tcPr>
          <w:p w:rsidR="00F500DC" w:rsidRPr="00892C42" w:rsidRDefault="00F500DC" w:rsidP="00F500DC">
            <w:pPr>
              <w:tabs>
                <w:tab w:val="left" w:pos="9486"/>
              </w:tabs>
              <w:jc w:val="left"/>
              <w:rPr>
                <w:rFonts w:asciiTheme="minorHAnsi" w:eastAsia="Times New Roman" w:hAnsiTheme="minorHAnsi" w:cstheme="minorHAnsi"/>
                <w:b/>
                <w:color w:val="000000"/>
                <w:sz w:val="18"/>
                <w:szCs w:val="18"/>
                <w:lang w:eastAsia="it-CH"/>
              </w:rPr>
            </w:pPr>
            <w:r w:rsidRPr="00892C42">
              <w:rPr>
                <w:rFonts w:asciiTheme="minorHAnsi" w:eastAsia="Times New Roman" w:hAnsiTheme="minorHAnsi" w:cstheme="minorHAnsi"/>
                <w:b/>
                <w:color w:val="000000"/>
                <w:sz w:val="18"/>
                <w:szCs w:val="18"/>
                <w:lang w:eastAsia="it-CH"/>
              </w:rPr>
              <w:t>Descrizione</w:t>
            </w:r>
          </w:p>
        </w:tc>
        <w:tc>
          <w:tcPr>
            <w:tcW w:w="942" w:type="pct"/>
            <w:tcBorders>
              <w:top w:val="nil"/>
              <w:left w:val="single" w:sz="4" w:space="0" w:color="FFFFFF" w:themeColor="background1"/>
            </w:tcBorders>
            <w:shd w:val="clear" w:color="auto" w:fill="D9D9D9" w:themeFill="background1" w:themeFillShade="D9"/>
            <w:noWrap/>
            <w:vAlign w:val="bottom"/>
            <w:hideMark/>
          </w:tcPr>
          <w:p w:rsidR="00F500DC" w:rsidRPr="00892C42" w:rsidRDefault="00F500DC" w:rsidP="00F500DC">
            <w:pPr>
              <w:tabs>
                <w:tab w:val="left" w:pos="9486"/>
              </w:tabs>
              <w:jc w:val="right"/>
              <w:rPr>
                <w:rFonts w:asciiTheme="minorHAnsi" w:eastAsia="Times New Roman" w:hAnsiTheme="minorHAnsi" w:cstheme="minorHAnsi"/>
                <w:b/>
                <w:color w:val="000000"/>
                <w:sz w:val="18"/>
                <w:szCs w:val="18"/>
                <w:lang w:eastAsia="it-CH"/>
              </w:rPr>
            </w:pPr>
            <w:r w:rsidRPr="00892C42">
              <w:rPr>
                <w:rFonts w:asciiTheme="minorHAnsi" w:eastAsia="Times New Roman" w:hAnsiTheme="minorHAnsi" w:cstheme="minorHAnsi"/>
                <w:b/>
                <w:color w:val="000000"/>
                <w:sz w:val="18"/>
                <w:szCs w:val="18"/>
                <w:lang w:eastAsia="it-CH"/>
              </w:rPr>
              <w:t xml:space="preserve">Costi </w:t>
            </w:r>
            <w:r>
              <w:rPr>
                <w:rFonts w:asciiTheme="minorHAnsi" w:eastAsia="Times New Roman" w:hAnsiTheme="minorHAnsi" w:cstheme="minorHAnsi"/>
                <w:b/>
                <w:color w:val="000000"/>
                <w:sz w:val="18"/>
                <w:szCs w:val="18"/>
                <w:lang w:eastAsia="it-CH"/>
              </w:rPr>
              <w:t>2023</w:t>
            </w:r>
          </w:p>
        </w:tc>
        <w:tc>
          <w:tcPr>
            <w:tcW w:w="1038" w:type="pct"/>
            <w:gridSpan w:val="2"/>
            <w:tcBorders>
              <w:top w:val="nil"/>
            </w:tcBorders>
            <w:shd w:val="clear" w:color="auto" w:fill="auto"/>
            <w:noWrap/>
            <w:vAlign w:val="bottom"/>
            <w:hideMark/>
          </w:tcPr>
          <w:p w:rsidR="00F500DC" w:rsidRPr="00892C42" w:rsidRDefault="00F500DC" w:rsidP="00F500DC">
            <w:pPr>
              <w:tabs>
                <w:tab w:val="left" w:pos="9486"/>
              </w:tabs>
              <w:jc w:val="left"/>
              <w:rPr>
                <w:rFonts w:asciiTheme="minorHAnsi" w:eastAsia="Times New Roman" w:hAnsiTheme="minorHAnsi" w:cstheme="minorHAnsi"/>
                <w:b/>
                <w:color w:val="000000"/>
                <w:sz w:val="18"/>
                <w:szCs w:val="18"/>
                <w:lang w:eastAsia="it-CH"/>
              </w:rPr>
            </w:pPr>
            <w:r w:rsidRPr="00892C42">
              <w:rPr>
                <w:rFonts w:asciiTheme="minorHAnsi" w:eastAsia="Times New Roman" w:hAnsiTheme="minorHAnsi" w:cstheme="minorHAnsi"/>
                <w:b/>
                <w:color w:val="000000"/>
                <w:sz w:val="18"/>
                <w:szCs w:val="18"/>
                <w:lang w:eastAsia="it-CH"/>
              </w:rPr>
              <w:t> </w:t>
            </w:r>
          </w:p>
        </w:tc>
      </w:tr>
      <w:tr w:rsidR="00F500DC" w:rsidRPr="00CE0D9D" w:rsidTr="00F500DC">
        <w:trPr>
          <w:trHeight w:val="300"/>
          <w:jc w:val="center"/>
        </w:trPr>
        <w:tc>
          <w:tcPr>
            <w:tcW w:w="3020" w:type="pct"/>
            <w:tcBorders>
              <w:top w:val="nil"/>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Totale costi</w:t>
            </w:r>
          </w:p>
        </w:tc>
        <w:tc>
          <w:tcPr>
            <w:tcW w:w="942" w:type="pct"/>
            <w:tcBorders>
              <w:top w:val="nil"/>
              <w:left w:val="single" w:sz="4" w:space="0" w:color="auto"/>
              <w:bottom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color w:val="000000"/>
                <w:sz w:val="18"/>
                <w:szCs w:val="18"/>
                <w:lang w:eastAsia="it-CH"/>
              </w:rPr>
            </w:pPr>
            <w:r>
              <w:rPr>
                <w:rFonts w:asciiTheme="minorHAnsi" w:eastAsia="Times New Roman" w:hAnsiTheme="minorHAnsi" w:cstheme="minorHAnsi"/>
                <w:color w:val="000000"/>
                <w:sz w:val="18"/>
                <w:szCs w:val="18"/>
                <w:lang w:eastAsia="it-CH"/>
              </w:rPr>
              <w:t>959’938</w:t>
            </w:r>
          </w:p>
        </w:tc>
        <w:tc>
          <w:tcPr>
            <w:tcW w:w="1038" w:type="pct"/>
            <w:gridSpan w:val="2"/>
            <w:tcBorders>
              <w:top w:val="nil"/>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 </w:t>
            </w:r>
          </w:p>
        </w:tc>
      </w:tr>
      <w:tr w:rsidR="00F500DC" w:rsidRPr="00CE0D9D" w:rsidTr="00F500DC">
        <w:trPr>
          <w:trHeight w:val="300"/>
          <w:jc w:val="center"/>
        </w:trPr>
        <w:tc>
          <w:tcPr>
            <w:tcW w:w="3020" w:type="pct"/>
            <w:tcBorders>
              <w:top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Parte DFA</w:t>
            </w:r>
            <w:r>
              <w:rPr>
                <w:rFonts w:asciiTheme="minorHAnsi" w:eastAsia="Times New Roman" w:hAnsiTheme="minorHAnsi" w:cstheme="minorHAnsi"/>
                <w:color w:val="000000"/>
                <w:sz w:val="18"/>
                <w:szCs w:val="18"/>
                <w:lang w:eastAsia="it-CH"/>
              </w:rPr>
              <w:t>/ASP</w:t>
            </w:r>
          </w:p>
        </w:tc>
        <w:tc>
          <w:tcPr>
            <w:tcW w:w="942" w:type="pct"/>
            <w:tcBorders>
              <w:top w:val="single" w:sz="4" w:space="0" w:color="auto"/>
              <w:left w:val="single" w:sz="4" w:space="0" w:color="auto"/>
              <w:bottom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color w:val="000000"/>
                <w:sz w:val="18"/>
                <w:szCs w:val="18"/>
                <w:lang w:eastAsia="it-CH"/>
              </w:rPr>
            </w:pPr>
            <w:r>
              <w:rPr>
                <w:rFonts w:asciiTheme="minorHAnsi" w:eastAsia="Times New Roman" w:hAnsiTheme="minorHAnsi" w:cstheme="minorHAnsi"/>
                <w:color w:val="000000"/>
                <w:sz w:val="18"/>
                <w:szCs w:val="18"/>
                <w:lang w:eastAsia="it-CH"/>
              </w:rPr>
              <w:t>-50’045</w:t>
            </w:r>
          </w:p>
        </w:tc>
        <w:tc>
          <w:tcPr>
            <w:tcW w:w="1038" w:type="pct"/>
            <w:gridSpan w:val="2"/>
            <w:tcBorders>
              <w:top w:val="nil"/>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 </w:t>
            </w:r>
          </w:p>
        </w:tc>
      </w:tr>
      <w:tr w:rsidR="00F500DC" w:rsidRPr="00CE0D9D" w:rsidTr="00F500DC">
        <w:trPr>
          <w:trHeight w:val="300"/>
          <w:jc w:val="center"/>
        </w:trPr>
        <w:tc>
          <w:tcPr>
            <w:tcW w:w="3020" w:type="pct"/>
            <w:tcBorders>
              <w:top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Parte altri</w:t>
            </w:r>
          </w:p>
        </w:tc>
        <w:tc>
          <w:tcPr>
            <w:tcW w:w="942" w:type="pct"/>
            <w:tcBorders>
              <w:top w:val="single" w:sz="4" w:space="0" w:color="auto"/>
              <w:left w:val="single" w:sz="4" w:space="0" w:color="auto"/>
              <w:bottom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color w:val="000000"/>
                <w:sz w:val="18"/>
                <w:szCs w:val="18"/>
                <w:lang w:eastAsia="it-CH"/>
              </w:rPr>
            </w:pPr>
            <w:r>
              <w:rPr>
                <w:rFonts w:asciiTheme="minorHAnsi" w:eastAsia="Times New Roman" w:hAnsiTheme="minorHAnsi" w:cstheme="minorHAnsi"/>
                <w:color w:val="000000"/>
                <w:sz w:val="18"/>
                <w:szCs w:val="18"/>
                <w:lang w:eastAsia="it-CH"/>
              </w:rPr>
              <w:t>-23’500</w:t>
            </w:r>
          </w:p>
        </w:tc>
        <w:tc>
          <w:tcPr>
            <w:tcW w:w="1038" w:type="pct"/>
            <w:gridSpan w:val="2"/>
            <w:tcBorders>
              <w:top w:val="nil"/>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 </w:t>
            </w:r>
          </w:p>
        </w:tc>
      </w:tr>
      <w:tr w:rsidR="00F500DC" w:rsidRPr="00CE0D9D" w:rsidTr="00F500DC">
        <w:trPr>
          <w:trHeight w:val="300"/>
          <w:jc w:val="center"/>
        </w:trPr>
        <w:tc>
          <w:tcPr>
            <w:tcW w:w="3020" w:type="pct"/>
            <w:tcBorders>
              <w:top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b/>
                <w:color w:val="000000"/>
                <w:sz w:val="18"/>
                <w:szCs w:val="18"/>
                <w:lang w:eastAsia="it-CH"/>
              </w:rPr>
            </w:pPr>
            <w:r w:rsidRPr="00CE0D9D">
              <w:rPr>
                <w:rFonts w:asciiTheme="minorHAnsi" w:eastAsia="Times New Roman" w:hAnsiTheme="minorHAnsi" w:cstheme="minorHAnsi"/>
                <w:b/>
                <w:color w:val="000000"/>
                <w:sz w:val="18"/>
                <w:szCs w:val="18"/>
                <w:lang w:eastAsia="it-CH"/>
              </w:rPr>
              <w:t>Risultato mandato cantonale</w:t>
            </w:r>
          </w:p>
        </w:tc>
        <w:tc>
          <w:tcPr>
            <w:tcW w:w="942" w:type="pct"/>
            <w:tcBorders>
              <w:top w:val="single" w:sz="4" w:space="0" w:color="auto"/>
              <w:left w:val="single" w:sz="4" w:space="0" w:color="auto"/>
              <w:bottom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b/>
                <w:color w:val="000000"/>
                <w:sz w:val="18"/>
                <w:szCs w:val="18"/>
                <w:lang w:eastAsia="it-CH"/>
              </w:rPr>
            </w:pPr>
            <w:r>
              <w:rPr>
                <w:rFonts w:asciiTheme="minorHAnsi" w:eastAsia="Times New Roman" w:hAnsiTheme="minorHAnsi" w:cstheme="minorHAnsi"/>
                <w:b/>
                <w:color w:val="000000"/>
                <w:sz w:val="18"/>
                <w:szCs w:val="18"/>
                <w:lang w:eastAsia="it-CH"/>
              </w:rPr>
              <w:t>886’393</w:t>
            </w:r>
          </w:p>
        </w:tc>
        <w:tc>
          <w:tcPr>
            <w:tcW w:w="1038" w:type="pct"/>
            <w:gridSpan w:val="2"/>
            <w:tcBorders>
              <w:top w:val="nil"/>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b/>
                <w:color w:val="000000"/>
                <w:sz w:val="18"/>
                <w:szCs w:val="18"/>
                <w:lang w:eastAsia="it-CH"/>
              </w:rPr>
            </w:pPr>
            <w:r w:rsidRPr="00CE0D9D">
              <w:rPr>
                <w:rFonts w:asciiTheme="minorHAnsi" w:eastAsia="Times New Roman" w:hAnsiTheme="minorHAnsi" w:cstheme="minorHAnsi"/>
                <w:b/>
                <w:color w:val="000000"/>
                <w:sz w:val="18"/>
                <w:szCs w:val="18"/>
                <w:lang w:eastAsia="it-CH"/>
              </w:rPr>
              <w:t> </w:t>
            </w:r>
          </w:p>
        </w:tc>
      </w:tr>
      <w:tr w:rsidR="00F500DC" w:rsidRPr="00CE0D9D" w:rsidTr="00F500DC">
        <w:trPr>
          <w:trHeight w:val="300"/>
          <w:jc w:val="center"/>
        </w:trPr>
        <w:tc>
          <w:tcPr>
            <w:tcW w:w="3020" w:type="pct"/>
            <w:tcBorders>
              <w:top w:val="single" w:sz="4" w:space="0" w:color="auto"/>
              <w:bottom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color w:val="000000"/>
                <w:sz w:val="18"/>
                <w:szCs w:val="18"/>
                <w:lang w:eastAsia="it-CH"/>
              </w:rPr>
            </w:pPr>
            <w:r>
              <w:rPr>
                <w:rFonts w:asciiTheme="minorHAnsi" w:eastAsia="Times New Roman" w:hAnsiTheme="minorHAnsi" w:cstheme="minorHAnsi"/>
                <w:color w:val="000000"/>
                <w:sz w:val="18"/>
                <w:szCs w:val="18"/>
                <w:lang w:eastAsia="it-CH"/>
              </w:rPr>
              <w:t xml:space="preserve">Limite secondo </w:t>
            </w:r>
            <w:r w:rsidRPr="00BE7BD7">
              <w:rPr>
                <w:rFonts w:asciiTheme="minorHAnsi" w:eastAsia="Times New Roman" w:hAnsiTheme="minorHAnsi" w:cstheme="minorHAnsi"/>
                <w:color w:val="000000"/>
                <w:sz w:val="18"/>
                <w:szCs w:val="18"/>
                <w:lang w:eastAsia="it-CH"/>
              </w:rPr>
              <w:t>art. 8 cpv. 1</w:t>
            </w:r>
          </w:p>
        </w:tc>
        <w:tc>
          <w:tcPr>
            <w:tcW w:w="942" w:type="pct"/>
            <w:tcBorders>
              <w:top w:val="single" w:sz="4" w:space="0" w:color="auto"/>
              <w:left w:val="single" w:sz="4" w:space="0" w:color="auto"/>
              <w:bottom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color w:val="000000"/>
                <w:sz w:val="18"/>
                <w:szCs w:val="18"/>
                <w:lang w:eastAsia="it-CH"/>
              </w:rPr>
            </w:pPr>
            <w:r>
              <w:rPr>
                <w:rFonts w:asciiTheme="minorHAnsi" w:eastAsia="Times New Roman" w:hAnsiTheme="minorHAnsi" w:cstheme="minorHAnsi"/>
                <w:color w:val="000000"/>
                <w:sz w:val="18"/>
                <w:szCs w:val="18"/>
                <w:lang w:eastAsia="it-CH"/>
              </w:rPr>
              <w:t>-880’000</w:t>
            </w:r>
          </w:p>
        </w:tc>
        <w:tc>
          <w:tcPr>
            <w:tcW w:w="1038" w:type="pct"/>
            <w:gridSpan w:val="2"/>
            <w:tcBorders>
              <w:top w:val="nil"/>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color w:val="000000"/>
                <w:sz w:val="18"/>
                <w:szCs w:val="18"/>
                <w:lang w:eastAsia="it-CH"/>
              </w:rPr>
            </w:pPr>
            <w:r w:rsidRPr="00CE0D9D">
              <w:rPr>
                <w:rFonts w:asciiTheme="minorHAnsi" w:eastAsia="Times New Roman" w:hAnsiTheme="minorHAnsi" w:cstheme="minorHAnsi"/>
                <w:color w:val="000000"/>
                <w:sz w:val="18"/>
                <w:szCs w:val="18"/>
                <w:lang w:eastAsia="it-CH"/>
              </w:rPr>
              <w:t> </w:t>
            </w:r>
          </w:p>
        </w:tc>
      </w:tr>
      <w:tr w:rsidR="00F500DC" w:rsidRPr="00CE0D9D" w:rsidTr="00F500DC">
        <w:trPr>
          <w:trHeight w:val="300"/>
          <w:jc w:val="center"/>
        </w:trPr>
        <w:tc>
          <w:tcPr>
            <w:tcW w:w="3020" w:type="pct"/>
            <w:tcBorders>
              <w:top w:val="single" w:sz="4" w:space="0" w:color="auto"/>
              <w:right w:val="single" w:sz="4" w:space="0" w:color="auto"/>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b/>
                <w:color w:val="000000"/>
                <w:sz w:val="18"/>
                <w:szCs w:val="18"/>
                <w:lang w:eastAsia="it-CH"/>
              </w:rPr>
            </w:pPr>
            <w:r w:rsidRPr="00CE0D9D">
              <w:rPr>
                <w:rFonts w:asciiTheme="minorHAnsi" w:eastAsia="Times New Roman" w:hAnsiTheme="minorHAnsi" w:cstheme="minorHAnsi"/>
                <w:b/>
                <w:color w:val="000000"/>
                <w:sz w:val="18"/>
                <w:szCs w:val="18"/>
                <w:lang w:eastAsia="it-CH"/>
              </w:rPr>
              <w:t>Superamento</w:t>
            </w:r>
          </w:p>
        </w:tc>
        <w:tc>
          <w:tcPr>
            <w:tcW w:w="942" w:type="pct"/>
            <w:tcBorders>
              <w:top w:val="single" w:sz="4" w:space="0" w:color="auto"/>
              <w:left w:val="single" w:sz="4" w:space="0" w:color="auto"/>
            </w:tcBorders>
            <w:shd w:val="clear" w:color="auto" w:fill="auto"/>
            <w:noWrap/>
            <w:vAlign w:val="bottom"/>
            <w:hideMark/>
          </w:tcPr>
          <w:p w:rsidR="00F500DC" w:rsidRPr="00CE0D9D" w:rsidRDefault="00F500DC" w:rsidP="00F500DC">
            <w:pPr>
              <w:tabs>
                <w:tab w:val="left" w:pos="9486"/>
              </w:tabs>
              <w:jc w:val="right"/>
              <w:rPr>
                <w:rFonts w:asciiTheme="minorHAnsi" w:eastAsia="Times New Roman" w:hAnsiTheme="minorHAnsi" w:cstheme="minorHAnsi"/>
                <w:b/>
                <w:color w:val="000000"/>
                <w:sz w:val="18"/>
                <w:szCs w:val="18"/>
                <w:lang w:eastAsia="it-CH"/>
              </w:rPr>
            </w:pPr>
            <w:r>
              <w:rPr>
                <w:rFonts w:asciiTheme="minorHAnsi" w:eastAsia="Times New Roman" w:hAnsiTheme="minorHAnsi" w:cstheme="minorHAnsi"/>
                <w:b/>
                <w:color w:val="000000"/>
                <w:sz w:val="18"/>
                <w:szCs w:val="18"/>
                <w:lang w:eastAsia="it-CH"/>
              </w:rPr>
              <w:t>6’393</w:t>
            </w:r>
          </w:p>
        </w:tc>
        <w:tc>
          <w:tcPr>
            <w:tcW w:w="1038" w:type="pct"/>
            <w:gridSpan w:val="2"/>
            <w:tcBorders>
              <w:top w:val="nil"/>
              <w:bottom w:val="nil"/>
            </w:tcBorders>
            <w:shd w:val="clear" w:color="auto" w:fill="auto"/>
            <w:noWrap/>
            <w:vAlign w:val="bottom"/>
            <w:hideMark/>
          </w:tcPr>
          <w:p w:rsidR="00F500DC" w:rsidRPr="00CE0D9D" w:rsidRDefault="00F500DC" w:rsidP="00F500DC">
            <w:pPr>
              <w:tabs>
                <w:tab w:val="left" w:pos="9486"/>
              </w:tabs>
              <w:jc w:val="left"/>
              <w:rPr>
                <w:rFonts w:asciiTheme="minorHAnsi" w:eastAsia="Times New Roman" w:hAnsiTheme="minorHAnsi" w:cstheme="minorHAnsi"/>
                <w:b/>
                <w:color w:val="000000"/>
                <w:sz w:val="18"/>
                <w:szCs w:val="18"/>
                <w:lang w:eastAsia="it-CH"/>
              </w:rPr>
            </w:pPr>
            <w:r w:rsidRPr="00CE0D9D">
              <w:rPr>
                <w:rFonts w:asciiTheme="minorHAnsi" w:eastAsia="Times New Roman" w:hAnsiTheme="minorHAnsi" w:cstheme="minorHAnsi"/>
                <w:b/>
                <w:color w:val="000000"/>
                <w:sz w:val="18"/>
                <w:szCs w:val="18"/>
                <w:lang w:eastAsia="it-CH"/>
              </w:rPr>
              <w:t> </w:t>
            </w:r>
          </w:p>
        </w:tc>
      </w:tr>
    </w:tbl>
    <w:p w:rsidR="00F500DC" w:rsidRDefault="00F500DC" w:rsidP="00F500DC">
      <w:pPr>
        <w:spacing w:before="240"/>
        <w:rPr>
          <w:rFonts w:cs="Arial"/>
          <w:sz w:val="24"/>
          <w:szCs w:val="24"/>
        </w:rPr>
      </w:pPr>
      <w:bookmarkStart w:id="16" w:name="_Toc174967763"/>
      <w:bookmarkStart w:id="17" w:name="_Toc174969933"/>
      <w:bookmarkStart w:id="18" w:name="_Toc175047348"/>
      <w:bookmarkStart w:id="19" w:name="_Toc175053288"/>
      <w:bookmarkStart w:id="20" w:name="_Toc175060384"/>
      <w:bookmarkStart w:id="21" w:name="_Toc175062306"/>
      <w:bookmarkStart w:id="22" w:name="_Toc175062438"/>
      <w:bookmarkStart w:id="23" w:name="_Toc175064429"/>
      <w:bookmarkStart w:id="24" w:name="_Toc175065286"/>
      <w:bookmarkStart w:id="25" w:name="_Toc175649093"/>
      <w:bookmarkStart w:id="26" w:name="_Toc175650673"/>
      <w:bookmarkStart w:id="27" w:name="_Toc176165430"/>
    </w:p>
    <w:p w:rsidR="00F500DC" w:rsidRPr="00C80FBA" w:rsidRDefault="00F500DC" w:rsidP="00A26BAE">
      <w:pPr>
        <w:pStyle w:val="Titolo2"/>
        <w:numPr>
          <w:ilvl w:val="0"/>
          <w:numId w:val="0"/>
        </w:numPr>
        <w:tabs>
          <w:tab w:val="left" w:pos="567"/>
        </w:tabs>
        <w:suppressAutoHyphens w:val="0"/>
        <w:spacing w:before="0" w:after="120"/>
        <w:jc w:val="both"/>
        <w:rPr>
          <w:rFonts w:cs="Arial"/>
          <w:b w:val="0"/>
          <w:sz w:val="24"/>
          <w:szCs w:val="24"/>
        </w:rPr>
      </w:pPr>
      <w:r w:rsidRPr="00C80FBA">
        <w:rPr>
          <w:rFonts w:cs="Arial"/>
          <w:sz w:val="24"/>
          <w:szCs w:val="24"/>
        </w:rPr>
        <w:t>Rapporto sulla formazione continua</w:t>
      </w:r>
      <w:bookmarkEnd w:id="16"/>
      <w:bookmarkEnd w:id="17"/>
      <w:bookmarkEnd w:id="18"/>
      <w:bookmarkEnd w:id="19"/>
      <w:bookmarkEnd w:id="20"/>
      <w:bookmarkEnd w:id="21"/>
      <w:bookmarkEnd w:id="22"/>
      <w:bookmarkEnd w:id="23"/>
      <w:bookmarkEnd w:id="24"/>
      <w:bookmarkEnd w:id="25"/>
      <w:bookmarkEnd w:id="26"/>
      <w:bookmarkEnd w:id="27"/>
    </w:p>
    <w:p w:rsidR="00F500DC" w:rsidRPr="003E3CD3" w:rsidRDefault="00F500DC" w:rsidP="00F500DC">
      <w:pPr>
        <w:spacing w:before="120"/>
        <w:rPr>
          <w:rFonts w:cs="Arial"/>
          <w:sz w:val="24"/>
          <w:szCs w:val="24"/>
        </w:rPr>
      </w:pPr>
      <w:r w:rsidRPr="003E3CD3">
        <w:rPr>
          <w:rFonts w:cs="Arial"/>
          <w:sz w:val="24"/>
          <w:szCs w:val="24"/>
        </w:rPr>
        <w:t xml:space="preserve">Il rapporto consuntivo 2022-2023 sul settore della formazione continua (allegato 10 </w:t>
      </w:r>
      <w:r w:rsidRPr="001207A4">
        <w:rPr>
          <w:rFonts w:cs="Arial"/>
          <w:sz w:val="24"/>
          <w:szCs w:val="24"/>
        </w:rPr>
        <w:t>del messaggio) riassume i corsi proposti in base alla loro tipologia e illustra il rilevamento sulla qualità dell’offerta misurata tramite l’utilizzo di un questionario, come descritto al capitolo IV.3.3 del messaggio. Inoltre</w:t>
      </w:r>
      <w:r w:rsidRPr="003E3CD3">
        <w:rPr>
          <w:rFonts w:cs="Arial"/>
          <w:sz w:val="24"/>
          <w:szCs w:val="24"/>
        </w:rPr>
        <w:t xml:space="preserve"> vengono presentati i gruppi di lavoro e i progetti ai quali prende parte il settore della formazione continua del DFA/ASP. </w:t>
      </w:r>
    </w:p>
    <w:p w:rsidR="00F500DC" w:rsidRPr="003E3CD3" w:rsidRDefault="00F500DC" w:rsidP="00F500DC">
      <w:pPr>
        <w:spacing w:before="120"/>
        <w:rPr>
          <w:rFonts w:cs="Arial"/>
          <w:sz w:val="24"/>
          <w:szCs w:val="24"/>
        </w:rPr>
      </w:pPr>
      <w:r w:rsidRPr="003E3CD3">
        <w:rPr>
          <w:rFonts w:cs="Arial"/>
          <w:sz w:val="24"/>
          <w:szCs w:val="24"/>
        </w:rPr>
        <w:t xml:space="preserve">La </w:t>
      </w:r>
      <w:r w:rsidR="00843834" w:rsidRPr="004070D4">
        <w:rPr>
          <w:rFonts w:cs="Arial"/>
          <w:sz w:val="24"/>
          <w:szCs w:val="24"/>
        </w:rPr>
        <w:t>Tabella 4</w:t>
      </w:r>
      <w:r w:rsidR="00843834">
        <w:rPr>
          <w:rFonts w:cs="Arial"/>
          <w:sz w:val="24"/>
          <w:szCs w:val="24"/>
        </w:rPr>
        <w:t xml:space="preserve"> </w:t>
      </w:r>
      <w:r w:rsidRPr="003E3CD3">
        <w:rPr>
          <w:rFonts w:cs="Arial"/>
          <w:sz w:val="24"/>
          <w:szCs w:val="24"/>
        </w:rPr>
        <w:t xml:space="preserve">riassume i costi e i ricavi per la formazione continua durante l’anno contabile 2023, che chiude con un avanzo d’esercizio di 58'780.46 franchi. Al DFA/ASP viene versato un importo fisso annuo di 900'000 franchi per la formazione continua, come previsto all’art. 17 cpv.1 lett. b del cdp. </w:t>
      </w:r>
    </w:p>
    <w:p w:rsidR="00F500DC" w:rsidRPr="003E3CD3" w:rsidRDefault="00F500DC" w:rsidP="00F500DC">
      <w:pPr>
        <w:spacing w:before="120"/>
        <w:rPr>
          <w:rFonts w:cs="Arial"/>
          <w:sz w:val="24"/>
          <w:szCs w:val="24"/>
        </w:rPr>
      </w:pPr>
      <w:r w:rsidRPr="003E3CD3">
        <w:rPr>
          <w:rFonts w:cs="Arial"/>
          <w:sz w:val="24"/>
          <w:szCs w:val="24"/>
        </w:rPr>
        <w:t xml:space="preserve">Poiché nel 2023 i costi totali (892'330.59 franchi) sono interamente coperti dal contributo cantonale, la differenza di 7'669.41 franchi va a sommarsi all’importo di 51'111.05 franchi riportato dall’anno precedente (ai sensi dell’art. 6 cpv.2 della Convenzione tra DECS e DFA/ASP), costituendo l’utile d’esercizio sopracitato che viene riportato al 2024. </w:t>
      </w:r>
    </w:p>
    <w:p w:rsidR="0017351D" w:rsidRDefault="0017351D">
      <w:pPr>
        <w:suppressAutoHyphens w:val="0"/>
      </w:pPr>
      <w:r>
        <w:br w:type="page"/>
      </w:r>
    </w:p>
    <w:p w:rsidR="00F500DC" w:rsidRPr="00374458" w:rsidRDefault="00F500DC" w:rsidP="00F500DC">
      <w:pPr>
        <w:pStyle w:val="Didascalia"/>
      </w:pPr>
      <w:r>
        <w:lastRenderedPageBreak/>
        <w:t xml:space="preserve">Tabella </w:t>
      </w:r>
      <w:r>
        <w:fldChar w:fldCharType="begin"/>
      </w:r>
      <w:r>
        <w:instrText xml:space="preserve"> SEQ Tabella \* ARABIC </w:instrText>
      </w:r>
      <w:r>
        <w:fldChar w:fldCharType="separate"/>
      </w:r>
      <w:r w:rsidR="00B63873">
        <w:t>4</w:t>
      </w:r>
      <w:r>
        <w:fldChar w:fldCharType="end"/>
      </w:r>
      <w:r>
        <w:t xml:space="preserve"> – Riepilogo di costi e ricavi relativi al mandato cantonale sulla formazione continua e controllo superamento limiti, in franchi, nel 2023 (fonte: DFA/ASP)</w:t>
      </w:r>
    </w:p>
    <w:tbl>
      <w:tblPr>
        <w:tblW w:w="5000" w:type="pct"/>
        <w:jc w:val="center"/>
        <w:tblLook w:val="04A0" w:firstRow="1" w:lastRow="0" w:firstColumn="1" w:lastColumn="0" w:noHBand="0" w:noVBand="1"/>
      </w:tblPr>
      <w:tblGrid>
        <w:gridCol w:w="6279"/>
        <w:gridCol w:w="1673"/>
        <w:gridCol w:w="1533"/>
      </w:tblGrid>
      <w:tr w:rsidR="00F500DC" w:rsidRPr="00750875" w:rsidTr="00F500DC">
        <w:trPr>
          <w:jc w:val="center"/>
        </w:trPr>
        <w:tc>
          <w:tcPr>
            <w:tcW w:w="3310" w:type="pct"/>
            <w:tcBorders>
              <w:right w:val="single" w:sz="4" w:space="0" w:color="FFFFFF" w:themeColor="background1"/>
            </w:tcBorders>
            <w:shd w:val="clear" w:color="auto" w:fill="D9D9D9" w:themeFill="background1" w:themeFillShade="D9"/>
          </w:tcPr>
          <w:p w:rsidR="00F500DC" w:rsidRPr="00892C42" w:rsidRDefault="00F500DC" w:rsidP="00F500DC">
            <w:pPr>
              <w:tabs>
                <w:tab w:val="left" w:pos="9486"/>
              </w:tabs>
              <w:rPr>
                <w:b/>
                <w:sz w:val="18"/>
                <w:szCs w:val="18"/>
                <w:lang w:eastAsia="it-CH"/>
              </w:rPr>
            </w:pPr>
            <w:r w:rsidRPr="00892C42">
              <w:rPr>
                <w:b/>
                <w:sz w:val="18"/>
                <w:szCs w:val="18"/>
                <w:lang w:eastAsia="it-CH"/>
              </w:rPr>
              <w:t>Descrizione</w:t>
            </w:r>
          </w:p>
        </w:tc>
        <w:tc>
          <w:tcPr>
            <w:tcW w:w="882" w:type="pct"/>
            <w:tcBorders>
              <w:left w:val="single" w:sz="4" w:space="0" w:color="FFFFFF" w:themeColor="background1"/>
              <w:right w:val="single" w:sz="4" w:space="0" w:color="FFFFFF" w:themeColor="background1"/>
            </w:tcBorders>
            <w:shd w:val="clear" w:color="auto" w:fill="D9D9D9" w:themeFill="background1" w:themeFillShade="D9"/>
            <w:vAlign w:val="center"/>
          </w:tcPr>
          <w:p w:rsidR="00F500DC" w:rsidRPr="00892C42" w:rsidRDefault="00F500DC" w:rsidP="00F500DC">
            <w:pPr>
              <w:tabs>
                <w:tab w:val="left" w:pos="9486"/>
              </w:tabs>
              <w:jc w:val="center"/>
              <w:rPr>
                <w:b/>
                <w:sz w:val="18"/>
                <w:szCs w:val="18"/>
                <w:lang w:eastAsia="it-CH"/>
              </w:rPr>
            </w:pPr>
            <w:r w:rsidRPr="00892C42">
              <w:rPr>
                <w:b/>
                <w:sz w:val="18"/>
                <w:szCs w:val="18"/>
                <w:lang w:eastAsia="it-CH"/>
              </w:rPr>
              <w:t>Costi</w:t>
            </w:r>
          </w:p>
        </w:tc>
        <w:tc>
          <w:tcPr>
            <w:tcW w:w="808" w:type="pct"/>
            <w:tcBorders>
              <w:left w:val="single" w:sz="4" w:space="0" w:color="FFFFFF" w:themeColor="background1"/>
            </w:tcBorders>
            <w:shd w:val="clear" w:color="auto" w:fill="D9D9D9" w:themeFill="background1" w:themeFillShade="D9"/>
            <w:vAlign w:val="center"/>
          </w:tcPr>
          <w:p w:rsidR="00F500DC" w:rsidRPr="00892C42" w:rsidRDefault="00F500DC" w:rsidP="00F500DC">
            <w:pPr>
              <w:tabs>
                <w:tab w:val="left" w:pos="9486"/>
              </w:tabs>
              <w:jc w:val="center"/>
              <w:rPr>
                <w:b/>
                <w:sz w:val="18"/>
                <w:szCs w:val="18"/>
                <w:lang w:eastAsia="it-CH"/>
              </w:rPr>
            </w:pPr>
            <w:r w:rsidRPr="00892C42">
              <w:rPr>
                <w:b/>
                <w:sz w:val="18"/>
                <w:szCs w:val="18"/>
                <w:lang w:eastAsia="it-CH"/>
              </w:rPr>
              <w:t>Ricavi</w:t>
            </w:r>
          </w:p>
        </w:tc>
      </w:tr>
      <w:tr w:rsidR="00F500DC" w:rsidRPr="00750875" w:rsidTr="00F500DC">
        <w:trPr>
          <w:jc w:val="center"/>
        </w:trPr>
        <w:tc>
          <w:tcPr>
            <w:tcW w:w="3310" w:type="pct"/>
            <w:tcBorders>
              <w:bottom w:val="single" w:sz="4" w:space="0" w:color="auto"/>
              <w:right w:val="single" w:sz="4" w:space="0" w:color="auto"/>
            </w:tcBorders>
            <w:shd w:val="clear" w:color="auto" w:fill="auto"/>
          </w:tcPr>
          <w:p w:rsidR="00F500DC" w:rsidRPr="00750875" w:rsidRDefault="00F500DC" w:rsidP="00F500DC">
            <w:pPr>
              <w:tabs>
                <w:tab w:val="left" w:pos="9486"/>
              </w:tabs>
              <w:rPr>
                <w:sz w:val="18"/>
                <w:szCs w:val="18"/>
                <w:lang w:eastAsia="it-CH"/>
              </w:rPr>
            </w:pPr>
            <w:r w:rsidRPr="00750875">
              <w:rPr>
                <w:sz w:val="18"/>
                <w:szCs w:val="18"/>
                <w:lang w:eastAsia="it-CH"/>
              </w:rPr>
              <w:t>Corsi corti</w:t>
            </w:r>
          </w:p>
        </w:tc>
        <w:tc>
          <w:tcPr>
            <w:tcW w:w="882" w:type="pct"/>
            <w:tcBorders>
              <w:left w:val="single" w:sz="4" w:space="0" w:color="auto"/>
              <w:bottom w:val="single" w:sz="4" w:space="0" w:color="auto"/>
              <w:right w:val="single" w:sz="4" w:space="0" w:color="auto"/>
            </w:tcBorders>
            <w:shd w:val="clear" w:color="auto" w:fill="auto"/>
            <w:vAlign w:val="bottom"/>
          </w:tcPr>
          <w:p w:rsidR="00F500DC" w:rsidRPr="00750875" w:rsidRDefault="00F500DC" w:rsidP="00F500DC">
            <w:pPr>
              <w:tabs>
                <w:tab w:val="left" w:pos="9486"/>
              </w:tabs>
              <w:jc w:val="right"/>
              <w:rPr>
                <w:sz w:val="18"/>
                <w:szCs w:val="18"/>
                <w:lang w:eastAsia="it-CH"/>
              </w:rPr>
            </w:pPr>
            <w:r>
              <w:rPr>
                <w:sz w:val="18"/>
                <w:szCs w:val="18"/>
                <w:lang w:eastAsia="it-CH"/>
              </w:rPr>
              <w:t>190'386.13</w:t>
            </w:r>
          </w:p>
        </w:tc>
        <w:tc>
          <w:tcPr>
            <w:tcW w:w="808" w:type="pct"/>
            <w:tcBorders>
              <w:left w:val="single" w:sz="4" w:space="0" w:color="auto"/>
              <w:bottom w:val="single" w:sz="4" w:space="0" w:color="auto"/>
            </w:tcBorders>
            <w:shd w:val="clear" w:color="auto" w:fill="auto"/>
            <w:vAlign w:val="bottom"/>
          </w:tcPr>
          <w:p w:rsidR="00F500DC" w:rsidRPr="00750875" w:rsidRDefault="00F500DC" w:rsidP="00F500DC">
            <w:pPr>
              <w:tabs>
                <w:tab w:val="left" w:pos="9486"/>
              </w:tabs>
              <w:jc w:val="right"/>
              <w:rPr>
                <w:sz w:val="18"/>
                <w:szCs w:val="18"/>
                <w:lang w:eastAsia="it-CH"/>
              </w:rPr>
            </w:pPr>
          </w:p>
        </w:tc>
      </w:tr>
      <w:tr w:rsidR="00F500DC" w:rsidRPr="00750875" w:rsidTr="00F500DC">
        <w:trPr>
          <w:jc w:val="center"/>
        </w:trPr>
        <w:tc>
          <w:tcPr>
            <w:tcW w:w="3310" w:type="pct"/>
            <w:tcBorders>
              <w:top w:val="single" w:sz="4" w:space="0" w:color="auto"/>
              <w:bottom w:val="single" w:sz="4" w:space="0" w:color="auto"/>
              <w:right w:val="single" w:sz="4" w:space="0" w:color="auto"/>
            </w:tcBorders>
            <w:shd w:val="clear" w:color="auto" w:fill="auto"/>
          </w:tcPr>
          <w:p w:rsidR="00F500DC" w:rsidRPr="00750875" w:rsidRDefault="00F500DC" w:rsidP="00F500DC">
            <w:pPr>
              <w:tabs>
                <w:tab w:val="left" w:pos="9486"/>
              </w:tabs>
              <w:rPr>
                <w:sz w:val="18"/>
                <w:szCs w:val="18"/>
                <w:lang w:eastAsia="it-CH"/>
              </w:rPr>
            </w:pPr>
            <w:r w:rsidRPr="00750875">
              <w:rPr>
                <w:sz w:val="18"/>
                <w:szCs w:val="18"/>
                <w:lang w:eastAsia="it-CH"/>
              </w:rPr>
              <w:t>Corsi lunghi</w:t>
            </w:r>
          </w:p>
        </w:tc>
        <w:tc>
          <w:tcPr>
            <w:tcW w:w="882" w:type="pct"/>
            <w:tcBorders>
              <w:top w:val="single" w:sz="4" w:space="0" w:color="auto"/>
              <w:left w:val="single" w:sz="4" w:space="0" w:color="auto"/>
              <w:bottom w:val="single" w:sz="4" w:space="0" w:color="auto"/>
              <w:right w:val="single" w:sz="4" w:space="0" w:color="auto"/>
            </w:tcBorders>
            <w:shd w:val="clear" w:color="auto" w:fill="auto"/>
            <w:vAlign w:val="bottom"/>
          </w:tcPr>
          <w:p w:rsidR="00F500DC" w:rsidRPr="00750875" w:rsidRDefault="00F500DC" w:rsidP="00F500DC">
            <w:pPr>
              <w:tabs>
                <w:tab w:val="left" w:pos="9486"/>
              </w:tabs>
              <w:jc w:val="right"/>
              <w:rPr>
                <w:sz w:val="18"/>
                <w:szCs w:val="18"/>
                <w:lang w:eastAsia="it-CH"/>
              </w:rPr>
            </w:pPr>
            <w:r>
              <w:rPr>
                <w:sz w:val="18"/>
                <w:szCs w:val="18"/>
                <w:lang w:eastAsia="it-CH"/>
              </w:rPr>
              <w:t>347'434.56</w:t>
            </w:r>
          </w:p>
        </w:tc>
        <w:tc>
          <w:tcPr>
            <w:tcW w:w="808" w:type="pct"/>
            <w:tcBorders>
              <w:top w:val="single" w:sz="4" w:space="0" w:color="auto"/>
              <w:left w:val="single" w:sz="4" w:space="0" w:color="auto"/>
              <w:bottom w:val="single" w:sz="4" w:space="0" w:color="auto"/>
            </w:tcBorders>
            <w:shd w:val="clear" w:color="auto" w:fill="auto"/>
            <w:vAlign w:val="bottom"/>
          </w:tcPr>
          <w:p w:rsidR="00F500DC" w:rsidRPr="00750875" w:rsidRDefault="00F500DC" w:rsidP="00F500DC">
            <w:pPr>
              <w:tabs>
                <w:tab w:val="left" w:pos="9486"/>
              </w:tabs>
              <w:jc w:val="right"/>
              <w:rPr>
                <w:sz w:val="18"/>
                <w:szCs w:val="18"/>
                <w:lang w:eastAsia="it-CH"/>
              </w:rPr>
            </w:pPr>
          </w:p>
        </w:tc>
      </w:tr>
      <w:tr w:rsidR="00F500DC" w:rsidRPr="00750875" w:rsidTr="00F500DC">
        <w:trPr>
          <w:jc w:val="center"/>
        </w:trPr>
        <w:tc>
          <w:tcPr>
            <w:tcW w:w="3310" w:type="pct"/>
            <w:tcBorders>
              <w:top w:val="single" w:sz="4" w:space="0" w:color="auto"/>
              <w:bottom w:val="single" w:sz="4" w:space="0" w:color="auto"/>
              <w:right w:val="single" w:sz="4" w:space="0" w:color="auto"/>
            </w:tcBorders>
            <w:shd w:val="clear" w:color="auto" w:fill="auto"/>
          </w:tcPr>
          <w:p w:rsidR="00F500DC" w:rsidRPr="00750875" w:rsidRDefault="00F500DC" w:rsidP="00F500DC">
            <w:pPr>
              <w:tabs>
                <w:tab w:val="left" w:pos="9486"/>
              </w:tabs>
              <w:rPr>
                <w:sz w:val="18"/>
                <w:szCs w:val="18"/>
                <w:lang w:eastAsia="it-CH"/>
              </w:rPr>
            </w:pPr>
            <w:r w:rsidRPr="00750875">
              <w:rPr>
                <w:sz w:val="18"/>
                <w:szCs w:val="18"/>
                <w:lang w:eastAsia="it-CH"/>
              </w:rPr>
              <w:t>Amministrazione</w:t>
            </w:r>
          </w:p>
        </w:tc>
        <w:tc>
          <w:tcPr>
            <w:tcW w:w="882" w:type="pct"/>
            <w:tcBorders>
              <w:top w:val="single" w:sz="4" w:space="0" w:color="auto"/>
              <w:left w:val="single" w:sz="4" w:space="0" w:color="auto"/>
              <w:bottom w:val="single" w:sz="4" w:space="0" w:color="auto"/>
              <w:right w:val="single" w:sz="4" w:space="0" w:color="auto"/>
            </w:tcBorders>
            <w:shd w:val="clear" w:color="auto" w:fill="auto"/>
            <w:vAlign w:val="bottom"/>
          </w:tcPr>
          <w:p w:rsidR="00F500DC" w:rsidRPr="00750875" w:rsidRDefault="00F500DC" w:rsidP="00F500DC">
            <w:pPr>
              <w:tabs>
                <w:tab w:val="left" w:pos="9486"/>
              </w:tabs>
              <w:jc w:val="right"/>
              <w:rPr>
                <w:sz w:val="18"/>
                <w:szCs w:val="18"/>
                <w:lang w:eastAsia="it-CH"/>
              </w:rPr>
            </w:pPr>
            <w:r>
              <w:rPr>
                <w:sz w:val="18"/>
                <w:szCs w:val="18"/>
                <w:lang w:eastAsia="it-CH"/>
              </w:rPr>
              <w:t>354'509.90</w:t>
            </w:r>
          </w:p>
        </w:tc>
        <w:tc>
          <w:tcPr>
            <w:tcW w:w="808" w:type="pct"/>
            <w:tcBorders>
              <w:top w:val="single" w:sz="4" w:space="0" w:color="auto"/>
              <w:left w:val="single" w:sz="4" w:space="0" w:color="auto"/>
              <w:bottom w:val="single" w:sz="4" w:space="0" w:color="auto"/>
            </w:tcBorders>
            <w:shd w:val="clear" w:color="auto" w:fill="auto"/>
            <w:vAlign w:val="bottom"/>
          </w:tcPr>
          <w:p w:rsidR="00F500DC" w:rsidRPr="00750875" w:rsidRDefault="00F500DC" w:rsidP="00F500DC">
            <w:pPr>
              <w:tabs>
                <w:tab w:val="left" w:pos="9486"/>
              </w:tabs>
              <w:jc w:val="right"/>
              <w:rPr>
                <w:sz w:val="18"/>
                <w:szCs w:val="18"/>
                <w:lang w:eastAsia="it-CH"/>
              </w:rPr>
            </w:pPr>
          </w:p>
        </w:tc>
      </w:tr>
      <w:tr w:rsidR="00F500DC" w:rsidRPr="00750875" w:rsidTr="00F500DC">
        <w:trPr>
          <w:jc w:val="center"/>
        </w:trPr>
        <w:tc>
          <w:tcPr>
            <w:tcW w:w="3310" w:type="pct"/>
            <w:tcBorders>
              <w:top w:val="single" w:sz="4" w:space="0" w:color="auto"/>
              <w:bottom w:val="single" w:sz="4" w:space="0" w:color="auto"/>
              <w:right w:val="single" w:sz="4" w:space="0" w:color="auto"/>
            </w:tcBorders>
            <w:shd w:val="clear" w:color="auto" w:fill="auto"/>
          </w:tcPr>
          <w:p w:rsidR="00F500DC" w:rsidRPr="00750875" w:rsidRDefault="00F500DC" w:rsidP="00F500DC">
            <w:pPr>
              <w:tabs>
                <w:tab w:val="left" w:pos="9486"/>
              </w:tabs>
              <w:jc w:val="right"/>
              <w:rPr>
                <w:i/>
                <w:sz w:val="18"/>
                <w:szCs w:val="18"/>
                <w:lang w:eastAsia="it-CH"/>
              </w:rPr>
            </w:pPr>
            <w:r w:rsidRPr="00750875">
              <w:rPr>
                <w:i/>
                <w:sz w:val="18"/>
                <w:szCs w:val="18"/>
                <w:lang w:eastAsia="it-CH"/>
              </w:rPr>
              <w:t>di cui preparazione formazioni lunghe</w:t>
            </w:r>
          </w:p>
        </w:tc>
        <w:tc>
          <w:tcPr>
            <w:tcW w:w="882" w:type="pct"/>
            <w:tcBorders>
              <w:top w:val="single" w:sz="4" w:space="0" w:color="auto"/>
              <w:left w:val="single" w:sz="4" w:space="0" w:color="auto"/>
              <w:bottom w:val="single" w:sz="4" w:space="0" w:color="auto"/>
              <w:right w:val="single" w:sz="4" w:space="0" w:color="auto"/>
            </w:tcBorders>
            <w:shd w:val="clear" w:color="auto" w:fill="auto"/>
            <w:vAlign w:val="bottom"/>
          </w:tcPr>
          <w:p w:rsidR="00F500DC" w:rsidRPr="00750875" w:rsidRDefault="00F500DC" w:rsidP="00F500DC">
            <w:pPr>
              <w:tabs>
                <w:tab w:val="left" w:pos="9486"/>
              </w:tabs>
              <w:jc w:val="right"/>
              <w:rPr>
                <w:i/>
                <w:sz w:val="18"/>
                <w:szCs w:val="18"/>
                <w:lang w:eastAsia="it-CH"/>
              </w:rPr>
            </w:pPr>
            <w:r>
              <w:rPr>
                <w:i/>
                <w:sz w:val="18"/>
                <w:szCs w:val="18"/>
                <w:lang w:eastAsia="it-CH"/>
              </w:rPr>
              <w:t>22'653.18</w:t>
            </w:r>
          </w:p>
        </w:tc>
        <w:tc>
          <w:tcPr>
            <w:tcW w:w="808" w:type="pct"/>
            <w:tcBorders>
              <w:top w:val="single" w:sz="4" w:space="0" w:color="auto"/>
              <w:left w:val="single" w:sz="4" w:space="0" w:color="auto"/>
              <w:bottom w:val="single" w:sz="4" w:space="0" w:color="auto"/>
            </w:tcBorders>
            <w:shd w:val="clear" w:color="auto" w:fill="auto"/>
            <w:vAlign w:val="bottom"/>
          </w:tcPr>
          <w:p w:rsidR="00F500DC" w:rsidRPr="00750875" w:rsidRDefault="00F500DC" w:rsidP="00F500DC">
            <w:pPr>
              <w:tabs>
                <w:tab w:val="left" w:pos="9486"/>
              </w:tabs>
              <w:jc w:val="right"/>
              <w:rPr>
                <w:sz w:val="18"/>
                <w:szCs w:val="18"/>
                <w:lang w:eastAsia="it-CH"/>
              </w:rPr>
            </w:pPr>
          </w:p>
        </w:tc>
      </w:tr>
      <w:tr w:rsidR="00F500DC" w:rsidRPr="00750875" w:rsidTr="00F500DC">
        <w:trPr>
          <w:jc w:val="center"/>
        </w:trPr>
        <w:tc>
          <w:tcPr>
            <w:tcW w:w="3310" w:type="pct"/>
            <w:tcBorders>
              <w:top w:val="single" w:sz="4" w:space="0" w:color="auto"/>
              <w:bottom w:val="single" w:sz="4" w:space="0" w:color="auto"/>
              <w:right w:val="single" w:sz="4" w:space="0" w:color="auto"/>
            </w:tcBorders>
            <w:shd w:val="clear" w:color="auto" w:fill="auto"/>
          </w:tcPr>
          <w:p w:rsidR="00F500DC" w:rsidRPr="00750875" w:rsidRDefault="00F500DC" w:rsidP="00F500DC">
            <w:pPr>
              <w:tabs>
                <w:tab w:val="left" w:pos="9486"/>
              </w:tabs>
              <w:jc w:val="right"/>
              <w:rPr>
                <w:i/>
                <w:sz w:val="18"/>
                <w:szCs w:val="18"/>
                <w:lang w:eastAsia="it-CH"/>
              </w:rPr>
            </w:pPr>
            <w:r w:rsidRPr="00750875">
              <w:rPr>
                <w:i/>
                <w:sz w:val="18"/>
                <w:szCs w:val="18"/>
                <w:lang w:eastAsia="it-CH"/>
              </w:rPr>
              <w:t>di cui coordinamento formazioni CAS, DAS e MAS</w:t>
            </w:r>
          </w:p>
        </w:tc>
        <w:tc>
          <w:tcPr>
            <w:tcW w:w="882" w:type="pct"/>
            <w:tcBorders>
              <w:top w:val="single" w:sz="4" w:space="0" w:color="auto"/>
              <w:left w:val="single" w:sz="4" w:space="0" w:color="auto"/>
              <w:bottom w:val="single" w:sz="4" w:space="0" w:color="auto"/>
              <w:right w:val="single" w:sz="4" w:space="0" w:color="auto"/>
            </w:tcBorders>
            <w:shd w:val="clear" w:color="auto" w:fill="auto"/>
            <w:vAlign w:val="bottom"/>
          </w:tcPr>
          <w:p w:rsidR="00F500DC" w:rsidRPr="00750875" w:rsidRDefault="00F500DC" w:rsidP="00F500DC">
            <w:pPr>
              <w:tabs>
                <w:tab w:val="left" w:pos="9486"/>
              </w:tabs>
              <w:jc w:val="right"/>
              <w:rPr>
                <w:i/>
                <w:sz w:val="18"/>
                <w:szCs w:val="18"/>
                <w:lang w:eastAsia="it-CH"/>
              </w:rPr>
            </w:pPr>
            <w:r>
              <w:rPr>
                <w:i/>
                <w:sz w:val="18"/>
                <w:szCs w:val="18"/>
                <w:lang w:eastAsia="it-CH"/>
              </w:rPr>
              <w:t>67'112.64</w:t>
            </w:r>
          </w:p>
        </w:tc>
        <w:tc>
          <w:tcPr>
            <w:tcW w:w="808" w:type="pct"/>
            <w:tcBorders>
              <w:top w:val="single" w:sz="4" w:space="0" w:color="auto"/>
              <w:left w:val="single" w:sz="4" w:space="0" w:color="auto"/>
              <w:bottom w:val="single" w:sz="4" w:space="0" w:color="auto"/>
            </w:tcBorders>
            <w:shd w:val="clear" w:color="auto" w:fill="auto"/>
            <w:vAlign w:val="bottom"/>
          </w:tcPr>
          <w:p w:rsidR="00F500DC" w:rsidRPr="00750875" w:rsidRDefault="00F500DC" w:rsidP="00F500DC">
            <w:pPr>
              <w:tabs>
                <w:tab w:val="left" w:pos="9486"/>
              </w:tabs>
              <w:jc w:val="right"/>
              <w:rPr>
                <w:sz w:val="18"/>
                <w:szCs w:val="18"/>
                <w:lang w:eastAsia="it-CH"/>
              </w:rPr>
            </w:pPr>
          </w:p>
        </w:tc>
      </w:tr>
      <w:tr w:rsidR="00F500DC" w:rsidRPr="00750875" w:rsidTr="00F500DC">
        <w:trPr>
          <w:jc w:val="center"/>
        </w:trPr>
        <w:tc>
          <w:tcPr>
            <w:tcW w:w="3310" w:type="pct"/>
            <w:tcBorders>
              <w:top w:val="single" w:sz="4" w:space="0" w:color="auto"/>
              <w:bottom w:val="single" w:sz="4" w:space="0" w:color="auto"/>
              <w:right w:val="single" w:sz="4" w:space="0" w:color="auto"/>
            </w:tcBorders>
            <w:shd w:val="clear" w:color="auto" w:fill="auto"/>
          </w:tcPr>
          <w:p w:rsidR="00F500DC" w:rsidRPr="00750875" w:rsidRDefault="00F500DC" w:rsidP="00F500DC">
            <w:pPr>
              <w:tabs>
                <w:tab w:val="left" w:pos="9486"/>
              </w:tabs>
              <w:jc w:val="right"/>
              <w:rPr>
                <w:i/>
                <w:sz w:val="18"/>
                <w:szCs w:val="18"/>
                <w:lang w:eastAsia="it-CH"/>
              </w:rPr>
            </w:pPr>
            <w:r w:rsidRPr="00750875">
              <w:rPr>
                <w:i/>
                <w:sz w:val="18"/>
                <w:szCs w:val="18"/>
                <w:lang w:eastAsia="it-CH"/>
              </w:rPr>
              <w:t>di cui amministrazione</w:t>
            </w:r>
          </w:p>
        </w:tc>
        <w:tc>
          <w:tcPr>
            <w:tcW w:w="882" w:type="pct"/>
            <w:tcBorders>
              <w:top w:val="single" w:sz="4" w:space="0" w:color="auto"/>
              <w:left w:val="single" w:sz="4" w:space="0" w:color="auto"/>
              <w:bottom w:val="single" w:sz="4" w:space="0" w:color="auto"/>
              <w:right w:val="single" w:sz="4" w:space="0" w:color="auto"/>
            </w:tcBorders>
            <w:shd w:val="clear" w:color="auto" w:fill="auto"/>
            <w:vAlign w:val="bottom"/>
          </w:tcPr>
          <w:p w:rsidR="00F500DC" w:rsidRPr="00750875" w:rsidRDefault="00F500DC" w:rsidP="00F500DC">
            <w:pPr>
              <w:tabs>
                <w:tab w:val="left" w:pos="9486"/>
              </w:tabs>
              <w:jc w:val="right"/>
              <w:rPr>
                <w:i/>
                <w:sz w:val="18"/>
                <w:szCs w:val="18"/>
                <w:lang w:eastAsia="it-CH"/>
              </w:rPr>
            </w:pPr>
            <w:r>
              <w:rPr>
                <w:i/>
                <w:sz w:val="18"/>
                <w:szCs w:val="18"/>
                <w:lang w:eastAsia="it-CH"/>
              </w:rPr>
              <w:t>264'744.08</w:t>
            </w:r>
          </w:p>
        </w:tc>
        <w:tc>
          <w:tcPr>
            <w:tcW w:w="808" w:type="pct"/>
            <w:tcBorders>
              <w:top w:val="single" w:sz="4" w:space="0" w:color="auto"/>
              <w:left w:val="single" w:sz="4" w:space="0" w:color="auto"/>
              <w:bottom w:val="single" w:sz="4" w:space="0" w:color="auto"/>
            </w:tcBorders>
            <w:shd w:val="clear" w:color="auto" w:fill="auto"/>
            <w:vAlign w:val="bottom"/>
          </w:tcPr>
          <w:p w:rsidR="00F500DC" w:rsidRPr="00750875" w:rsidRDefault="00F500DC" w:rsidP="00F500DC">
            <w:pPr>
              <w:tabs>
                <w:tab w:val="left" w:pos="9486"/>
              </w:tabs>
              <w:jc w:val="right"/>
              <w:rPr>
                <w:sz w:val="18"/>
                <w:szCs w:val="18"/>
                <w:lang w:eastAsia="it-CH"/>
              </w:rPr>
            </w:pPr>
          </w:p>
        </w:tc>
      </w:tr>
      <w:tr w:rsidR="00F500DC" w:rsidRPr="00750875" w:rsidTr="00F500DC">
        <w:trPr>
          <w:jc w:val="center"/>
        </w:trPr>
        <w:tc>
          <w:tcPr>
            <w:tcW w:w="3310" w:type="pct"/>
            <w:tcBorders>
              <w:top w:val="single" w:sz="4" w:space="0" w:color="auto"/>
              <w:bottom w:val="single" w:sz="4" w:space="0" w:color="auto"/>
              <w:right w:val="single" w:sz="4" w:space="0" w:color="auto"/>
            </w:tcBorders>
            <w:shd w:val="clear" w:color="auto" w:fill="auto"/>
          </w:tcPr>
          <w:p w:rsidR="00F500DC" w:rsidRPr="00750875" w:rsidRDefault="00F500DC" w:rsidP="00F500DC">
            <w:pPr>
              <w:tabs>
                <w:tab w:val="left" w:pos="9486"/>
              </w:tabs>
              <w:rPr>
                <w:b/>
                <w:sz w:val="18"/>
                <w:szCs w:val="18"/>
                <w:lang w:eastAsia="it-CH"/>
              </w:rPr>
            </w:pPr>
            <w:r w:rsidRPr="00750875">
              <w:rPr>
                <w:b/>
                <w:sz w:val="18"/>
                <w:szCs w:val="18"/>
                <w:lang w:eastAsia="it-CH"/>
              </w:rPr>
              <w:t>Totale costi</w:t>
            </w:r>
          </w:p>
        </w:tc>
        <w:tc>
          <w:tcPr>
            <w:tcW w:w="882" w:type="pct"/>
            <w:tcBorders>
              <w:top w:val="single" w:sz="4" w:space="0" w:color="auto"/>
              <w:left w:val="single" w:sz="4" w:space="0" w:color="auto"/>
              <w:bottom w:val="single" w:sz="4" w:space="0" w:color="auto"/>
              <w:right w:val="single" w:sz="4" w:space="0" w:color="auto"/>
            </w:tcBorders>
            <w:shd w:val="clear" w:color="auto" w:fill="auto"/>
            <w:vAlign w:val="bottom"/>
          </w:tcPr>
          <w:p w:rsidR="00F500DC" w:rsidRPr="00750875" w:rsidRDefault="00F500DC" w:rsidP="00F500DC">
            <w:pPr>
              <w:tabs>
                <w:tab w:val="left" w:pos="9486"/>
              </w:tabs>
              <w:jc w:val="right"/>
              <w:rPr>
                <w:b/>
                <w:sz w:val="18"/>
                <w:szCs w:val="18"/>
                <w:lang w:eastAsia="it-CH"/>
              </w:rPr>
            </w:pPr>
            <w:r>
              <w:rPr>
                <w:b/>
                <w:sz w:val="18"/>
                <w:szCs w:val="18"/>
                <w:lang w:eastAsia="it-CH"/>
              </w:rPr>
              <w:t>892'330.59</w:t>
            </w:r>
          </w:p>
        </w:tc>
        <w:tc>
          <w:tcPr>
            <w:tcW w:w="808" w:type="pct"/>
            <w:tcBorders>
              <w:top w:val="single" w:sz="4" w:space="0" w:color="auto"/>
              <w:left w:val="single" w:sz="4" w:space="0" w:color="auto"/>
              <w:bottom w:val="single" w:sz="4" w:space="0" w:color="auto"/>
            </w:tcBorders>
            <w:shd w:val="clear" w:color="auto" w:fill="auto"/>
            <w:vAlign w:val="bottom"/>
          </w:tcPr>
          <w:p w:rsidR="00F500DC" w:rsidRPr="00750875" w:rsidRDefault="00F500DC" w:rsidP="00F500DC">
            <w:pPr>
              <w:tabs>
                <w:tab w:val="left" w:pos="9486"/>
              </w:tabs>
              <w:jc w:val="right"/>
              <w:rPr>
                <w:sz w:val="18"/>
                <w:szCs w:val="18"/>
                <w:lang w:eastAsia="it-CH"/>
              </w:rPr>
            </w:pPr>
          </w:p>
        </w:tc>
      </w:tr>
      <w:tr w:rsidR="00F500DC" w:rsidRPr="00750875" w:rsidTr="00F500DC">
        <w:trPr>
          <w:jc w:val="center"/>
        </w:trPr>
        <w:tc>
          <w:tcPr>
            <w:tcW w:w="3310" w:type="pct"/>
            <w:tcBorders>
              <w:top w:val="single" w:sz="4" w:space="0" w:color="auto"/>
              <w:bottom w:val="single" w:sz="4" w:space="0" w:color="auto"/>
              <w:right w:val="single" w:sz="4" w:space="0" w:color="auto"/>
            </w:tcBorders>
            <w:shd w:val="clear" w:color="auto" w:fill="auto"/>
          </w:tcPr>
          <w:p w:rsidR="00F500DC" w:rsidRPr="00750875" w:rsidRDefault="00F500DC" w:rsidP="00F500DC">
            <w:pPr>
              <w:tabs>
                <w:tab w:val="left" w:pos="9486"/>
              </w:tabs>
              <w:rPr>
                <w:sz w:val="18"/>
                <w:szCs w:val="18"/>
                <w:lang w:eastAsia="it-CH"/>
              </w:rPr>
            </w:pPr>
            <w:r w:rsidRPr="00750875">
              <w:rPr>
                <w:sz w:val="18"/>
                <w:szCs w:val="18"/>
                <w:lang w:eastAsia="it-CH"/>
              </w:rPr>
              <w:t>Cont</w:t>
            </w:r>
            <w:r>
              <w:rPr>
                <w:sz w:val="18"/>
                <w:szCs w:val="18"/>
                <w:lang w:eastAsia="it-CH"/>
              </w:rPr>
              <w:t>ributo di gestione 2023</w:t>
            </w:r>
          </w:p>
        </w:tc>
        <w:tc>
          <w:tcPr>
            <w:tcW w:w="882" w:type="pct"/>
            <w:tcBorders>
              <w:top w:val="single" w:sz="4" w:space="0" w:color="auto"/>
              <w:left w:val="single" w:sz="4" w:space="0" w:color="auto"/>
              <w:bottom w:val="single" w:sz="4" w:space="0" w:color="auto"/>
              <w:right w:val="single" w:sz="4" w:space="0" w:color="auto"/>
            </w:tcBorders>
            <w:shd w:val="clear" w:color="auto" w:fill="auto"/>
            <w:vAlign w:val="bottom"/>
          </w:tcPr>
          <w:p w:rsidR="00F500DC" w:rsidRPr="00750875" w:rsidRDefault="00F500DC" w:rsidP="00F500DC">
            <w:pPr>
              <w:tabs>
                <w:tab w:val="left" w:pos="9486"/>
              </w:tabs>
              <w:jc w:val="right"/>
              <w:rPr>
                <w:sz w:val="18"/>
                <w:szCs w:val="18"/>
                <w:lang w:eastAsia="it-CH"/>
              </w:rPr>
            </w:pPr>
          </w:p>
        </w:tc>
        <w:tc>
          <w:tcPr>
            <w:tcW w:w="808" w:type="pct"/>
            <w:tcBorders>
              <w:top w:val="single" w:sz="4" w:space="0" w:color="auto"/>
              <w:left w:val="single" w:sz="4" w:space="0" w:color="auto"/>
              <w:bottom w:val="single" w:sz="4" w:space="0" w:color="auto"/>
            </w:tcBorders>
            <w:shd w:val="clear" w:color="auto" w:fill="auto"/>
            <w:vAlign w:val="bottom"/>
          </w:tcPr>
          <w:p w:rsidR="00F500DC" w:rsidRPr="00750875" w:rsidRDefault="00F500DC" w:rsidP="00F500DC">
            <w:pPr>
              <w:tabs>
                <w:tab w:val="left" w:pos="9486"/>
              </w:tabs>
              <w:jc w:val="right"/>
              <w:rPr>
                <w:sz w:val="18"/>
                <w:szCs w:val="18"/>
                <w:lang w:eastAsia="it-CH"/>
              </w:rPr>
            </w:pPr>
            <w:r>
              <w:rPr>
                <w:sz w:val="18"/>
                <w:szCs w:val="18"/>
                <w:lang w:eastAsia="it-CH"/>
              </w:rPr>
              <w:t>900'000.00</w:t>
            </w:r>
          </w:p>
        </w:tc>
      </w:tr>
      <w:tr w:rsidR="00F500DC" w:rsidRPr="00750875" w:rsidTr="00F500DC">
        <w:trPr>
          <w:jc w:val="center"/>
        </w:trPr>
        <w:tc>
          <w:tcPr>
            <w:tcW w:w="3310" w:type="pct"/>
            <w:tcBorders>
              <w:top w:val="single" w:sz="4" w:space="0" w:color="auto"/>
              <w:bottom w:val="single" w:sz="4" w:space="0" w:color="auto"/>
              <w:right w:val="single" w:sz="4" w:space="0" w:color="auto"/>
            </w:tcBorders>
            <w:shd w:val="clear" w:color="auto" w:fill="auto"/>
          </w:tcPr>
          <w:p w:rsidR="00F500DC" w:rsidRPr="00750875" w:rsidRDefault="00F500DC" w:rsidP="00F500DC">
            <w:pPr>
              <w:tabs>
                <w:tab w:val="left" w:pos="9486"/>
              </w:tabs>
              <w:rPr>
                <w:sz w:val="18"/>
                <w:szCs w:val="18"/>
                <w:lang w:eastAsia="it-CH"/>
              </w:rPr>
            </w:pPr>
            <w:r>
              <w:rPr>
                <w:sz w:val="18"/>
                <w:szCs w:val="18"/>
                <w:lang w:eastAsia="it-CH"/>
              </w:rPr>
              <w:t>Riporto dal 2022</w:t>
            </w:r>
          </w:p>
        </w:tc>
        <w:tc>
          <w:tcPr>
            <w:tcW w:w="882" w:type="pct"/>
            <w:tcBorders>
              <w:top w:val="single" w:sz="4" w:space="0" w:color="auto"/>
              <w:left w:val="single" w:sz="4" w:space="0" w:color="auto"/>
              <w:bottom w:val="single" w:sz="4" w:space="0" w:color="auto"/>
              <w:right w:val="single" w:sz="4" w:space="0" w:color="auto"/>
            </w:tcBorders>
            <w:shd w:val="clear" w:color="auto" w:fill="auto"/>
            <w:vAlign w:val="bottom"/>
          </w:tcPr>
          <w:p w:rsidR="00F500DC" w:rsidRPr="00750875" w:rsidRDefault="00F500DC" w:rsidP="00F500DC">
            <w:pPr>
              <w:tabs>
                <w:tab w:val="left" w:pos="9486"/>
              </w:tabs>
              <w:jc w:val="right"/>
              <w:rPr>
                <w:sz w:val="18"/>
                <w:szCs w:val="18"/>
                <w:lang w:eastAsia="it-CH"/>
              </w:rPr>
            </w:pPr>
          </w:p>
        </w:tc>
        <w:tc>
          <w:tcPr>
            <w:tcW w:w="808" w:type="pct"/>
            <w:tcBorders>
              <w:top w:val="single" w:sz="4" w:space="0" w:color="auto"/>
              <w:left w:val="single" w:sz="4" w:space="0" w:color="auto"/>
              <w:bottom w:val="single" w:sz="4" w:space="0" w:color="auto"/>
            </w:tcBorders>
            <w:shd w:val="clear" w:color="auto" w:fill="auto"/>
            <w:vAlign w:val="bottom"/>
          </w:tcPr>
          <w:p w:rsidR="00F500DC" w:rsidRPr="00750875" w:rsidRDefault="00F500DC" w:rsidP="00F500DC">
            <w:pPr>
              <w:tabs>
                <w:tab w:val="left" w:pos="9486"/>
              </w:tabs>
              <w:jc w:val="right"/>
              <w:rPr>
                <w:sz w:val="18"/>
                <w:szCs w:val="18"/>
                <w:lang w:eastAsia="it-CH"/>
              </w:rPr>
            </w:pPr>
            <w:r>
              <w:rPr>
                <w:sz w:val="18"/>
                <w:szCs w:val="18"/>
                <w:lang w:eastAsia="it-CH"/>
              </w:rPr>
              <w:t>51'111.05</w:t>
            </w:r>
          </w:p>
        </w:tc>
      </w:tr>
      <w:tr w:rsidR="00F500DC" w:rsidRPr="00750875" w:rsidTr="00F500DC">
        <w:trPr>
          <w:jc w:val="center"/>
        </w:trPr>
        <w:tc>
          <w:tcPr>
            <w:tcW w:w="3310" w:type="pct"/>
            <w:tcBorders>
              <w:top w:val="single" w:sz="4" w:space="0" w:color="auto"/>
              <w:bottom w:val="single" w:sz="4" w:space="0" w:color="auto"/>
              <w:right w:val="single" w:sz="4" w:space="0" w:color="auto"/>
            </w:tcBorders>
            <w:shd w:val="clear" w:color="auto" w:fill="auto"/>
          </w:tcPr>
          <w:p w:rsidR="00F500DC" w:rsidRPr="00750875" w:rsidRDefault="00F500DC" w:rsidP="00F500DC">
            <w:pPr>
              <w:tabs>
                <w:tab w:val="left" w:pos="9486"/>
              </w:tabs>
              <w:rPr>
                <w:b/>
                <w:sz w:val="18"/>
                <w:szCs w:val="18"/>
                <w:lang w:eastAsia="it-CH"/>
              </w:rPr>
            </w:pPr>
            <w:r w:rsidRPr="00750875">
              <w:rPr>
                <w:b/>
                <w:sz w:val="18"/>
                <w:szCs w:val="18"/>
                <w:lang w:eastAsia="it-CH"/>
              </w:rPr>
              <w:t>Avan</w:t>
            </w:r>
            <w:r>
              <w:rPr>
                <w:b/>
                <w:sz w:val="18"/>
                <w:szCs w:val="18"/>
                <w:lang w:eastAsia="it-CH"/>
              </w:rPr>
              <w:t>zo d’esercizio – riporto al 2024</w:t>
            </w:r>
          </w:p>
        </w:tc>
        <w:tc>
          <w:tcPr>
            <w:tcW w:w="882" w:type="pct"/>
            <w:tcBorders>
              <w:top w:val="single" w:sz="4" w:space="0" w:color="auto"/>
              <w:left w:val="single" w:sz="4" w:space="0" w:color="auto"/>
              <w:bottom w:val="single" w:sz="4" w:space="0" w:color="auto"/>
              <w:right w:val="single" w:sz="4" w:space="0" w:color="auto"/>
            </w:tcBorders>
            <w:shd w:val="clear" w:color="auto" w:fill="auto"/>
            <w:vAlign w:val="bottom"/>
          </w:tcPr>
          <w:p w:rsidR="00F500DC" w:rsidRPr="00750875" w:rsidRDefault="00F500DC" w:rsidP="00F500DC">
            <w:pPr>
              <w:tabs>
                <w:tab w:val="left" w:pos="9486"/>
              </w:tabs>
              <w:jc w:val="right"/>
              <w:rPr>
                <w:b/>
                <w:sz w:val="18"/>
                <w:szCs w:val="18"/>
                <w:lang w:eastAsia="it-CH"/>
              </w:rPr>
            </w:pPr>
            <w:r>
              <w:rPr>
                <w:b/>
                <w:sz w:val="18"/>
                <w:szCs w:val="18"/>
                <w:lang w:eastAsia="it-CH"/>
              </w:rPr>
              <w:t>58'780.46</w:t>
            </w:r>
          </w:p>
        </w:tc>
        <w:tc>
          <w:tcPr>
            <w:tcW w:w="808" w:type="pct"/>
            <w:tcBorders>
              <w:top w:val="single" w:sz="4" w:space="0" w:color="auto"/>
              <w:left w:val="single" w:sz="4" w:space="0" w:color="auto"/>
              <w:bottom w:val="single" w:sz="4" w:space="0" w:color="auto"/>
            </w:tcBorders>
            <w:shd w:val="clear" w:color="auto" w:fill="auto"/>
            <w:vAlign w:val="bottom"/>
          </w:tcPr>
          <w:p w:rsidR="00F500DC" w:rsidRPr="00750875" w:rsidRDefault="00F500DC" w:rsidP="00F500DC">
            <w:pPr>
              <w:tabs>
                <w:tab w:val="left" w:pos="9486"/>
              </w:tabs>
              <w:jc w:val="right"/>
              <w:rPr>
                <w:sz w:val="18"/>
                <w:szCs w:val="18"/>
                <w:lang w:eastAsia="it-CH"/>
              </w:rPr>
            </w:pPr>
          </w:p>
        </w:tc>
      </w:tr>
      <w:tr w:rsidR="00F500DC" w:rsidRPr="00750875" w:rsidTr="00F500DC">
        <w:trPr>
          <w:jc w:val="center"/>
        </w:trPr>
        <w:tc>
          <w:tcPr>
            <w:tcW w:w="3310" w:type="pct"/>
            <w:tcBorders>
              <w:top w:val="single" w:sz="4" w:space="0" w:color="auto"/>
              <w:right w:val="single" w:sz="4" w:space="0" w:color="auto"/>
            </w:tcBorders>
            <w:shd w:val="clear" w:color="auto" w:fill="auto"/>
          </w:tcPr>
          <w:p w:rsidR="00F500DC" w:rsidRPr="00750875" w:rsidRDefault="00F500DC" w:rsidP="00F500DC">
            <w:pPr>
              <w:tabs>
                <w:tab w:val="left" w:pos="9486"/>
              </w:tabs>
              <w:rPr>
                <w:b/>
                <w:sz w:val="18"/>
                <w:szCs w:val="18"/>
                <w:lang w:eastAsia="it-CH"/>
              </w:rPr>
            </w:pPr>
            <w:r w:rsidRPr="00750875">
              <w:rPr>
                <w:b/>
                <w:sz w:val="18"/>
                <w:szCs w:val="18"/>
                <w:lang w:eastAsia="it-CH"/>
              </w:rPr>
              <w:t>Totale a pareggio</w:t>
            </w:r>
          </w:p>
        </w:tc>
        <w:tc>
          <w:tcPr>
            <w:tcW w:w="882" w:type="pct"/>
            <w:tcBorders>
              <w:top w:val="single" w:sz="4" w:space="0" w:color="auto"/>
              <w:left w:val="single" w:sz="4" w:space="0" w:color="auto"/>
              <w:right w:val="single" w:sz="4" w:space="0" w:color="auto"/>
            </w:tcBorders>
            <w:shd w:val="clear" w:color="auto" w:fill="auto"/>
            <w:vAlign w:val="bottom"/>
          </w:tcPr>
          <w:p w:rsidR="00F500DC" w:rsidRPr="00750875" w:rsidRDefault="00F500DC" w:rsidP="00F500DC">
            <w:pPr>
              <w:tabs>
                <w:tab w:val="left" w:pos="9486"/>
              </w:tabs>
              <w:jc w:val="right"/>
              <w:rPr>
                <w:b/>
                <w:sz w:val="18"/>
                <w:szCs w:val="18"/>
                <w:lang w:eastAsia="it-CH"/>
              </w:rPr>
            </w:pPr>
            <w:r>
              <w:rPr>
                <w:b/>
                <w:sz w:val="18"/>
                <w:szCs w:val="18"/>
                <w:lang w:eastAsia="it-CH"/>
              </w:rPr>
              <w:t>951'111.05</w:t>
            </w:r>
          </w:p>
        </w:tc>
        <w:tc>
          <w:tcPr>
            <w:tcW w:w="808" w:type="pct"/>
            <w:tcBorders>
              <w:top w:val="single" w:sz="4" w:space="0" w:color="auto"/>
              <w:left w:val="single" w:sz="4" w:space="0" w:color="auto"/>
            </w:tcBorders>
            <w:shd w:val="clear" w:color="auto" w:fill="auto"/>
            <w:vAlign w:val="bottom"/>
          </w:tcPr>
          <w:p w:rsidR="00F500DC" w:rsidRPr="00750875" w:rsidRDefault="00F500DC" w:rsidP="00F500DC">
            <w:pPr>
              <w:tabs>
                <w:tab w:val="left" w:pos="9486"/>
              </w:tabs>
              <w:jc w:val="right"/>
              <w:rPr>
                <w:b/>
                <w:sz w:val="18"/>
                <w:szCs w:val="18"/>
                <w:lang w:eastAsia="it-CH"/>
              </w:rPr>
            </w:pPr>
            <w:r>
              <w:rPr>
                <w:b/>
                <w:sz w:val="18"/>
                <w:szCs w:val="18"/>
                <w:lang w:eastAsia="it-CH"/>
              </w:rPr>
              <w:t>951'111.05</w:t>
            </w:r>
          </w:p>
        </w:tc>
      </w:tr>
      <w:tr w:rsidR="00F500DC" w:rsidRPr="00750875" w:rsidTr="00F500DC">
        <w:trPr>
          <w:jc w:val="center"/>
        </w:trPr>
        <w:tc>
          <w:tcPr>
            <w:tcW w:w="4192" w:type="pct"/>
            <w:gridSpan w:val="2"/>
            <w:shd w:val="clear" w:color="auto" w:fill="auto"/>
          </w:tcPr>
          <w:p w:rsidR="00F500DC" w:rsidRPr="00750875" w:rsidRDefault="00F500DC" w:rsidP="00F500DC">
            <w:pPr>
              <w:tabs>
                <w:tab w:val="left" w:pos="9486"/>
              </w:tabs>
              <w:spacing w:before="120"/>
              <w:jc w:val="left"/>
              <w:rPr>
                <w:b/>
                <w:sz w:val="18"/>
                <w:szCs w:val="18"/>
                <w:lang w:eastAsia="it-CH"/>
              </w:rPr>
            </w:pPr>
            <w:r w:rsidRPr="001551A5">
              <w:rPr>
                <w:rFonts w:asciiTheme="minorHAnsi" w:eastAsia="Times New Roman" w:hAnsiTheme="minorHAnsi" w:cstheme="minorHAnsi"/>
                <w:color w:val="000000"/>
                <w:sz w:val="18"/>
                <w:szCs w:val="18"/>
                <w:lang w:eastAsia="it-CH"/>
              </w:rPr>
              <w:t xml:space="preserve">Controllo superamento limiti </w:t>
            </w:r>
            <w:r w:rsidRPr="00D329C7">
              <w:rPr>
                <w:rFonts w:asciiTheme="minorHAnsi" w:eastAsia="Times New Roman" w:hAnsiTheme="minorHAnsi" w:cstheme="minorHAnsi"/>
                <w:color w:val="000000"/>
                <w:sz w:val="18"/>
                <w:szCs w:val="18"/>
                <w:lang w:eastAsia="it-CH"/>
              </w:rPr>
              <w:t>(art. 6 cpv. 2 della convenzione tra DECS e DFA</w:t>
            </w:r>
            <w:r>
              <w:rPr>
                <w:rFonts w:asciiTheme="minorHAnsi" w:eastAsia="Times New Roman" w:hAnsiTheme="minorHAnsi" w:cstheme="minorHAnsi"/>
                <w:color w:val="000000"/>
                <w:sz w:val="18"/>
                <w:szCs w:val="18"/>
                <w:lang w:eastAsia="it-CH"/>
              </w:rPr>
              <w:t>/ASP</w:t>
            </w:r>
            <w:r w:rsidRPr="00D329C7">
              <w:rPr>
                <w:rFonts w:asciiTheme="minorHAnsi" w:eastAsia="Times New Roman" w:hAnsiTheme="minorHAnsi" w:cstheme="minorHAnsi"/>
                <w:color w:val="000000"/>
                <w:sz w:val="18"/>
                <w:szCs w:val="18"/>
                <w:lang w:eastAsia="it-CH"/>
              </w:rPr>
              <w:t>)</w:t>
            </w:r>
          </w:p>
        </w:tc>
        <w:tc>
          <w:tcPr>
            <w:tcW w:w="808" w:type="pct"/>
            <w:shd w:val="clear" w:color="auto" w:fill="auto"/>
            <w:vAlign w:val="bottom"/>
          </w:tcPr>
          <w:p w:rsidR="00F500DC" w:rsidRPr="00750875" w:rsidRDefault="00F500DC" w:rsidP="00F500DC">
            <w:pPr>
              <w:tabs>
                <w:tab w:val="left" w:pos="9486"/>
              </w:tabs>
              <w:jc w:val="left"/>
              <w:rPr>
                <w:b/>
                <w:sz w:val="18"/>
                <w:szCs w:val="18"/>
                <w:lang w:eastAsia="it-CH"/>
              </w:rPr>
            </w:pPr>
          </w:p>
        </w:tc>
      </w:tr>
      <w:tr w:rsidR="00F500DC" w:rsidRPr="00750875" w:rsidTr="00F500DC">
        <w:trPr>
          <w:jc w:val="center"/>
        </w:trPr>
        <w:tc>
          <w:tcPr>
            <w:tcW w:w="3310" w:type="pct"/>
            <w:shd w:val="clear" w:color="auto" w:fill="auto"/>
          </w:tcPr>
          <w:p w:rsidR="00F500DC" w:rsidRPr="00750875" w:rsidRDefault="00F500DC" w:rsidP="00F500DC">
            <w:pPr>
              <w:tabs>
                <w:tab w:val="left" w:pos="9486"/>
              </w:tabs>
              <w:rPr>
                <w:b/>
                <w:sz w:val="18"/>
                <w:szCs w:val="18"/>
                <w:lang w:eastAsia="it-CH"/>
              </w:rPr>
            </w:pPr>
          </w:p>
        </w:tc>
        <w:tc>
          <w:tcPr>
            <w:tcW w:w="882" w:type="pct"/>
            <w:shd w:val="clear" w:color="auto" w:fill="auto"/>
            <w:vAlign w:val="bottom"/>
          </w:tcPr>
          <w:p w:rsidR="00F500DC" w:rsidRPr="00750875" w:rsidRDefault="00F500DC" w:rsidP="00F500DC">
            <w:pPr>
              <w:tabs>
                <w:tab w:val="left" w:pos="9486"/>
              </w:tabs>
              <w:jc w:val="right"/>
              <w:rPr>
                <w:b/>
                <w:sz w:val="18"/>
                <w:szCs w:val="18"/>
                <w:lang w:eastAsia="it-CH"/>
              </w:rPr>
            </w:pPr>
          </w:p>
        </w:tc>
        <w:tc>
          <w:tcPr>
            <w:tcW w:w="808" w:type="pct"/>
            <w:shd w:val="clear" w:color="auto" w:fill="auto"/>
            <w:vAlign w:val="bottom"/>
          </w:tcPr>
          <w:p w:rsidR="00F500DC" w:rsidRPr="00750875" w:rsidRDefault="00F500DC" w:rsidP="00F500DC">
            <w:pPr>
              <w:tabs>
                <w:tab w:val="left" w:pos="9486"/>
              </w:tabs>
              <w:jc w:val="right"/>
              <w:rPr>
                <w:b/>
                <w:sz w:val="18"/>
                <w:szCs w:val="18"/>
                <w:lang w:eastAsia="it-CH"/>
              </w:rPr>
            </w:pPr>
          </w:p>
        </w:tc>
      </w:tr>
      <w:tr w:rsidR="00F500DC" w:rsidRPr="00750875" w:rsidTr="00F500DC">
        <w:trPr>
          <w:jc w:val="center"/>
        </w:trPr>
        <w:tc>
          <w:tcPr>
            <w:tcW w:w="3310" w:type="pct"/>
            <w:tcBorders>
              <w:right w:val="single" w:sz="4" w:space="0" w:color="FFFFFF" w:themeColor="background1"/>
            </w:tcBorders>
            <w:shd w:val="clear" w:color="auto" w:fill="D9D9D9" w:themeFill="background1" w:themeFillShade="D9"/>
            <w:vAlign w:val="center"/>
          </w:tcPr>
          <w:p w:rsidR="00F500DC" w:rsidRPr="00892C42" w:rsidRDefault="00F500DC" w:rsidP="00F500DC">
            <w:pPr>
              <w:tabs>
                <w:tab w:val="left" w:pos="9486"/>
              </w:tabs>
              <w:jc w:val="left"/>
              <w:rPr>
                <w:b/>
                <w:sz w:val="18"/>
                <w:szCs w:val="18"/>
                <w:lang w:eastAsia="it-CH"/>
              </w:rPr>
            </w:pPr>
            <w:r w:rsidRPr="00892C42">
              <w:rPr>
                <w:b/>
                <w:sz w:val="18"/>
                <w:szCs w:val="18"/>
                <w:lang w:eastAsia="it-CH"/>
              </w:rPr>
              <w:t>Descrizione</w:t>
            </w:r>
          </w:p>
        </w:tc>
        <w:tc>
          <w:tcPr>
            <w:tcW w:w="882" w:type="pct"/>
            <w:tcBorders>
              <w:left w:val="single" w:sz="4" w:space="0" w:color="FFFFFF" w:themeColor="background1"/>
            </w:tcBorders>
            <w:shd w:val="clear" w:color="auto" w:fill="D9D9D9" w:themeFill="background1" w:themeFillShade="D9"/>
            <w:vAlign w:val="center"/>
          </w:tcPr>
          <w:p w:rsidR="00F500DC" w:rsidRPr="00892C42" w:rsidRDefault="00F500DC" w:rsidP="00F500DC">
            <w:pPr>
              <w:tabs>
                <w:tab w:val="left" w:pos="9486"/>
              </w:tabs>
              <w:jc w:val="center"/>
              <w:rPr>
                <w:b/>
                <w:sz w:val="18"/>
                <w:szCs w:val="18"/>
                <w:lang w:eastAsia="it-CH"/>
              </w:rPr>
            </w:pPr>
            <w:r w:rsidRPr="00892C42">
              <w:rPr>
                <w:b/>
                <w:sz w:val="18"/>
                <w:szCs w:val="18"/>
                <w:lang w:eastAsia="it-CH"/>
              </w:rPr>
              <w:t>Costi</w:t>
            </w:r>
          </w:p>
        </w:tc>
        <w:tc>
          <w:tcPr>
            <w:tcW w:w="808" w:type="pct"/>
            <w:shd w:val="clear" w:color="auto" w:fill="auto"/>
            <w:vAlign w:val="bottom"/>
          </w:tcPr>
          <w:p w:rsidR="00F500DC" w:rsidRPr="00750875" w:rsidRDefault="00F500DC" w:rsidP="00F500DC">
            <w:pPr>
              <w:tabs>
                <w:tab w:val="left" w:pos="9486"/>
              </w:tabs>
              <w:jc w:val="right"/>
              <w:rPr>
                <w:b/>
                <w:sz w:val="18"/>
                <w:szCs w:val="18"/>
                <w:lang w:eastAsia="it-CH"/>
              </w:rPr>
            </w:pPr>
          </w:p>
        </w:tc>
      </w:tr>
      <w:tr w:rsidR="00F500DC" w:rsidRPr="00750875" w:rsidTr="00F500DC">
        <w:trPr>
          <w:jc w:val="center"/>
        </w:trPr>
        <w:tc>
          <w:tcPr>
            <w:tcW w:w="3310" w:type="pct"/>
            <w:tcBorders>
              <w:bottom w:val="single" w:sz="4" w:space="0" w:color="auto"/>
              <w:right w:val="single" w:sz="4" w:space="0" w:color="auto"/>
            </w:tcBorders>
            <w:shd w:val="clear" w:color="auto" w:fill="auto"/>
          </w:tcPr>
          <w:p w:rsidR="00F500DC" w:rsidRPr="00750875" w:rsidRDefault="00F500DC" w:rsidP="00F500DC">
            <w:pPr>
              <w:tabs>
                <w:tab w:val="left" w:pos="9486"/>
              </w:tabs>
              <w:rPr>
                <w:sz w:val="18"/>
                <w:szCs w:val="18"/>
                <w:lang w:eastAsia="it-CH"/>
              </w:rPr>
            </w:pPr>
            <w:r w:rsidRPr="00750875">
              <w:rPr>
                <w:sz w:val="18"/>
                <w:szCs w:val="18"/>
                <w:lang w:eastAsia="it-CH"/>
              </w:rPr>
              <w:t>Totale costi</w:t>
            </w:r>
          </w:p>
        </w:tc>
        <w:tc>
          <w:tcPr>
            <w:tcW w:w="882" w:type="pct"/>
            <w:tcBorders>
              <w:left w:val="single" w:sz="4" w:space="0" w:color="auto"/>
              <w:bottom w:val="single" w:sz="4" w:space="0" w:color="auto"/>
            </w:tcBorders>
            <w:shd w:val="clear" w:color="auto" w:fill="auto"/>
            <w:vAlign w:val="bottom"/>
          </w:tcPr>
          <w:p w:rsidR="00F500DC" w:rsidRPr="00750875" w:rsidRDefault="00F500DC" w:rsidP="00F500DC">
            <w:pPr>
              <w:tabs>
                <w:tab w:val="left" w:pos="9486"/>
              </w:tabs>
              <w:jc w:val="right"/>
              <w:rPr>
                <w:sz w:val="18"/>
                <w:szCs w:val="18"/>
                <w:lang w:eastAsia="it-CH"/>
              </w:rPr>
            </w:pPr>
            <w:r>
              <w:rPr>
                <w:sz w:val="18"/>
                <w:szCs w:val="18"/>
                <w:lang w:eastAsia="it-CH"/>
              </w:rPr>
              <w:t>892'330.59</w:t>
            </w:r>
          </w:p>
        </w:tc>
        <w:tc>
          <w:tcPr>
            <w:tcW w:w="808" w:type="pct"/>
            <w:shd w:val="clear" w:color="auto" w:fill="auto"/>
            <w:vAlign w:val="bottom"/>
          </w:tcPr>
          <w:p w:rsidR="00F500DC" w:rsidRPr="00750875" w:rsidRDefault="00F500DC" w:rsidP="00F500DC">
            <w:pPr>
              <w:tabs>
                <w:tab w:val="left" w:pos="9486"/>
              </w:tabs>
              <w:jc w:val="right"/>
              <w:rPr>
                <w:b/>
                <w:sz w:val="18"/>
                <w:szCs w:val="18"/>
                <w:lang w:eastAsia="it-CH"/>
              </w:rPr>
            </w:pPr>
          </w:p>
        </w:tc>
      </w:tr>
      <w:tr w:rsidR="00F500DC" w:rsidRPr="00750875" w:rsidTr="00F500DC">
        <w:trPr>
          <w:jc w:val="center"/>
        </w:trPr>
        <w:tc>
          <w:tcPr>
            <w:tcW w:w="3310" w:type="pct"/>
            <w:tcBorders>
              <w:top w:val="single" w:sz="4" w:space="0" w:color="auto"/>
              <w:bottom w:val="single" w:sz="4" w:space="0" w:color="auto"/>
              <w:right w:val="single" w:sz="4" w:space="0" w:color="auto"/>
            </w:tcBorders>
            <w:shd w:val="clear" w:color="auto" w:fill="auto"/>
          </w:tcPr>
          <w:p w:rsidR="00F500DC" w:rsidRPr="00750875" w:rsidRDefault="00F500DC" w:rsidP="00F500DC">
            <w:pPr>
              <w:tabs>
                <w:tab w:val="left" w:pos="9486"/>
              </w:tabs>
              <w:rPr>
                <w:sz w:val="18"/>
                <w:szCs w:val="18"/>
                <w:lang w:eastAsia="it-CH"/>
              </w:rPr>
            </w:pPr>
            <w:r w:rsidRPr="00750875">
              <w:rPr>
                <w:sz w:val="18"/>
                <w:szCs w:val="18"/>
                <w:lang w:eastAsia="it-CH"/>
              </w:rPr>
              <w:t>Limite +10%</w:t>
            </w:r>
          </w:p>
        </w:tc>
        <w:tc>
          <w:tcPr>
            <w:tcW w:w="882" w:type="pct"/>
            <w:tcBorders>
              <w:top w:val="single" w:sz="4" w:space="0" w:color="auto"/>
              <w:left w:val="single" w:sz="4" w:space="0" w:color="auto"/>
              <w:bottom w:val="single" w:sz="4" w:space="0" w:color="auto"/>
            </w:tcBorders>
            <w:shd w:val="clear" w:color="auto" w:fill="auto"/>
            <w:vAlign w:val="bottom"/>
          </w:tcPr>
          <w:p w:rsidR="00F500DC" w:rsidRPr="00750875" w:rsidRDefault="00F500DC" w:rsidP="00F500DC">
            <w:pPr>
              <w:tabs>
                <w:tab w:val="left" w:pos="9486"/>
              </w:tabs>
              <w:jc w:val="right"/>
              <w:rPr>
                <w:sz w:val="18"/>
                <w:szCs w:val="18"/>
                <w:lang w:eastAsia="it-CH"/>
              </w:rPr>
            </w:pPr>
            <w:r w:rsidRPr="00750875">
              <w:rPr>
                <w:sz w:val="18"/>
                <w:szCs w:val="18"/>
                <w:lang w:eastAsia="it-CH"/>
              </w:rPr>
              <w:t>-990</w:t>
            </w:r>
            <w:r>
              <w:rPr>
                <w:sz w:val="18"/>
                <w:szCs w:val="18"/>
                <w:lang w:eastAsia="it-CH"/>
              </w:rPr>
              <w:t>'</w:t>
            </w:r>
            <w:r w:rsidRPr="00750875">
              <w:rPr>
                <w:sz w:val="18"/>
                <w:szCs w:val="18"/>
                <w:lang w:eastAsia="it-CH"/>
              </w:rPr>
              <w:t>000</w:t>
            </w:r>
            <w:r>
              <w:rPr>
                <w:sz w:val="18"/>
                <w:szCs w:val="18"/>
                <w:lang w:eastAsia="it-CH"/>
              </w:rPr>
              <w:t>.00</w:t>
            </w:r>
          </w:p>
        </w:tc>
        <w:tc>
          <w:tcPr>
            <w:tcW w:w="808" w:type="pct"/>
            <w:shd w:val="clear" w:color="auto" w:fill="auto"/>
            <w:vAlign w:val="bottom"/>
          </w:tcPr>
          <w:p w:rsidR="00F500DC" w:rsidRPr="00750875" w:rsidRDefault="00F500DC" w:rsidP="00F500DC">
            <w:pPr>
              <w:tabs>
                <w:tab w:val="left" w:pos="9486"/>
              </w:tabs>
              <w:jc w:val="right"/>
              <w:rPr>
                <w:b/>
                <w:sz w:val="18"/>
                <w:szCs w:val="18"/>
                <w:lang w:eastAsia="it-CH"/>
              </w:rPr>
            </w:pPr>
          </w:p>
        </w:tc>
      </w:tr>
      <w:tr w:rsidR="00F500DC" w:rsidRPr="00750875" w:rsidTr="00F500DC">
        <w:trPr>
          <w:jc w:val="center"/>
        </w:trPr>
        <w:tc>
          <w:tcPr>
            <w:tcW w:w="3310" w:type="pct"/>
            <w:tcBorders>
              <w:top w:val="single" w:sz="4" w:space="0" w:color="auto"/>
              <w:right w:val="single" w:sz="4" w:space="0" w:color="auto"/>
            </w:tcBorders>
            <w:shd w:val="clear" w:color="auto" w:fill="auto"/>
          </w:tcPr>
          <w:p w:rsidR="00F500DC" w:rsidRPr="00750875" w:rsidRDefault="00F500DC" w:rsidP="00F500DC">
            <w:pPr>
              <w:tabs>
                <w:tab w:val="left" w:pos="9486"/>
              </w:tabs>
              <w:rPr>
                <w:b/>
                <w:sz w:val="18"/>
                <w:szCs w:val="18"/>
                <w:lang w:eastAsia="it-CH"/>
              </w:rPr>
            </w:pPr>
            <w:r>
              <w:rPr>
                <w:b/>
                <w:sz w:val="18"/>
                <w:szCs w:val="18"/>
                <w:lang w:eastAsia="it-CH"/>
              </w:rPr>
              <w:t>Superamento</w:t>
            </w:r>
          </w:p>
        </w:tc>
        <w:tc>
          <w:tcPr>
            <w:tcW w:w="882" w:type="pct"/>
            <w:tcBorders>
              <w:top w:val="single" w:sz="4" w:space="0" w:color="auto"/>
              <w:left w:val="single" w:sz="4" w:space="0" w:color="auto"/>
            </w:tcBorders>
            <w:shd w:val="clear" w:color="auto" w:fill="auto"/>
            <w:vAlign w:val="bottom"/>
          </w:tcPr>
          <w:p w:rsidR="00F500DC" w:rsidRPr="00750875" w:rsidRDefault="00F500DC" w:rsidP="00F500DC">
            <w:pPr>
              <w:tabs>
                <w:tab w:val="left" w:pos="9486"/>
              </w:tabs>
              <w:jc w:val="right"/>
              <w:rPr>
                <w:b/>
                <w:sz w:val="18"/>
                <w:szCs w:val="18"/>
                <w:lang w:eastAsia="it-CH"/>
              </w:rPr>
            </w:pPr>
            <w:r>
              <w:rPr>
                <w:b/>
                <w:sz w:val="18"/>
                <w:szCs w:val="18"/>
                <w:lang w:eastAsia="it-CH"/>
              </w:rPr>
              <w:t>-</w:t>
            </w:r>
          </w:p>
        </w:tc>
        <w:tc>
          <w:tcPr>
            <w:tcW w:w="808" w:type="pct"/>
            <w:shd w:val="clear" w:color="auto" w:fill="auto"/>
            <w:vAlign w:val="bottom"/>
          </w:tcPr>
          <w:p w:rsidR="00F500DC" w:rsidRPr="00750875" w:rsidRDefault="00F500DC" w:rsidP="00F500DC">
            <w:pPr>
              <w:tabs>
                <w:tab w:val="left" w:pos="9486"/>
              </w:tabs>
              <w:jc w:val="right"/>
              <w:rPr>
                <w:b/>
                <w:sz w:val="18"/>
                <w:szCs w:val="18"/>
                <w:lang w:eastAsia="it-CH"/>
              </w:rPr>
            </w:pPr>
          </w:p>
        </w:tc>
      </w:tr>
    </w:tbl>
    <w:p w:rsidR="00F500DC" w:rsidRDefault="00F500DC" w:rsidP="00E26737">
      <w:pPr>
        <w:spacing w:before="240" w:after="240"/>
      </w:pPr>
    </w:p>
    <w:p w:rsidR="00F500DC" w:rsidRPr="00A26BAE" w:rsidRDefault="00F500DC" w:rsidP="00A26BAE">
      <w:pPr>
        <w:pStyle w:val="Titolo1"/>
        <w:tabs>
          <w:tab w:val="left" w:pos="567"/>
        </w:tabs>
        <w:suppressAutoHyphens w:val="0"/>
        <w:spacing w:before="0"/>
        <w:ind w:left="567" w:hanging="567"/>
        <w:jc w:val="both"/>
        <w:rPr>
          <w:rFonts w:eastAsia="Calibri" w:cs="Times New Roman"/>
          <w:caps/>
          <w:sz w:val="24"/>
          <w:szCs w:val="24"/>
          <w:lang w:val="it-IT" w:eastAsia="it-IT"/>
        </w:rPr>
      </w:pPr>
      <w:r w:rsidRPr="00A26BAE">
        <w:rPr>
          <w:rFonts w:eastAsia="Calibri" w:cs="Times New Roman"/>
          <w:caps/>
          <w:sz w:val="24"/>
          <w:szCs w:val="24"/>
          <w:lang w:val="it-IT" w:eastAsia="it-IT"/>
        </w:rPr>
        <w:t>CAMPUS UNIVERSITARI</w:t>
      </w:r>
    </w:p>
    <w:p w:rsidR="00F500DC" w:rsidRPr="00A26BAE" w:rsidRDefault="00F500DC" w:rsidP="00A26BAE">
      <w:pPr>
        <w:pStyle w:val="Titolo2"/>
        <w:numPr>
          <w:ilvl w:val="0"/>
          <w:numId w:val="0"/>
        </w:numPr>
        <w:tabs>
          <w:tab w:val="left" w:pos="567"/>
        </w:tabs>
        <w:suppressAutoHyphens w:val="0"/>
        <w:spacing w:before="0" w:after="120"/>
        <w:jc w:val="both"/>
        <w:rPr>
          <w:rFonts w:eastAsia="Calibri" w:cs="Times New Roman"/>
          <w:sz w:val="24"/>
          <w:lang w:val="it-IT" w:eastAsia="it-IT"/>
        </w:rPr>
      </w:pPr>
      <w:bookmarkStart w:id="28" w:name="_Toc174967765"/>
      <w:bookmarkStart w:id="29" w:name="_Toc174969935"/>
      <w:bookmarkStart w:id="30" w:name="_Toc175047350"/>
      <w:bookmarkStart w:id="31" w:name="_Toc175053290"/>
      <w:bookmarkStart w:id="32" w:name="_Toc175060386"/>
      <w:bookmarkStart w:id="33" w:name="_Toc175062308"/>
      <w:bookmarkStart w:id="34" w:name="_Toc175062440"/>
      <w:bookmarkStart w:id="35" w:name="_Toc175064431"/>
      <w:bookmarkStart w:id="36" w:name="_Toc175065288"/>
      <w:bookmarkStart w:id="37" w:name="_Toc175649095"/>
      <w:bookmarkStart w:id="38" w:name="_Toc175650675"/>
      <w:bookmarkStart w:id="39" w:name="_Toc176165432"/>
      <w:r w:rsidRPr="00A26BAE">
        <w:rPr>
          <w:rFonts w:eastAsia="Calibri" w:cs="Times New Roman"/>
          <w:sz w:val="24"/>
          <w:lang w:val="it-IT" w:eastAsia="it-IT"/>
        </w:rPr>
        <w:t>Campus USI/SUPSI a Lugano Viganello e Campus SUPSI a Mendrisio Stazione</w:t>
      </w:r>
      <w:bookmarkEnd w:id="28"/>
      <w:bookmarkEnd w:id="29"/>
      <w:bookmarkEnd w:id="30"/>
      <w:bookmarkEnd w:id="31"/>
      <w:bookmarkEnd w:id="32"/>
      <w:bookmarkEnd w:id="33"/>
      <w:bookmarkEnd w:id="34"/>
      <w:bookmarkEnd w:id="35"/>
      <w:bookmarkEnd w:id="36"/>
      <w:bookmarkEnd w:id="37"/>
      <w:bookmarkEnd w:id="38"/>
      <w:bookmarkEnd w:id="39"/>
    </w:p>
    <w:p w:rsidR="00F500DC" w:rsidRPr="003E3CD3" w:rsidRDefault="00F500DC" w:rsidP="00F500DC">
      <w:pPr>
        <w:spacing w:before="120"/>
        <w:rPr>
          <w:rFonts w:cs="Arial"/>
          <w:sz w:val="24"/>
          <w:szCs w:val="24"/>
        </w:rPr>
      </w:pPr>
      <w:r w:rsidRPr="003E3CD3">
        <w:rPr>
          <w:rFonts w:cs="Arial"/>
          <w:sz w:val="24"/>
          <w:szCs w:val="24"/>
        </w:rPr>
        <w:t>Il 2023 ha visto la chiusura finanziaria dei due progetti, con l’erogazione dei saldi del contributo cantonale per 4.51 milioni di franchi per Lugano Viganello e 1.67 milioni di franchi per SUPSI Mendrisio.</w:t>
      </w:r>
    </w:p>
    <w:p w:rsidR="00F500DC" w:rsidRPr="003E3CD3" w:rsidRDefault="00F500DC" w:rsidP="00F500DC">
      <w:pPr>
        <w:spacing w:before="120"/>
        <w:rPr>
          <w:rFonts w:cs="Arial"/>
          <w:sz w:val="24"/>
          <w:szCs w:val="24"/>
        </w:rPr>
      </w:pPr>
      <w:r w:rsidRPr="003E3CD3">
        <w:rPr>
          <w:rFonts w:cs="Arial"/>
          <w:sz w:val="24"/>
          <w:szCs w:val="24"/>
        </w:rPr>
        <w:t xml:space="preserve">Il 28 novembre 2023 la SEFRI ha emesso le decisioni di liquidazione per i due campus. Come illustrato nella </w:t>
      </w:r>
      <w:r w:rsidRPr="003E3CD3">
        <w:rPr>
          <w:rFonts w:cs="Arial"/>
          <w:sz w:val="24"/>
          <w:szCs w:val="24"/>
        </w:rPr>
        <w:fldChar w:fldCharType="begin"/>
      </w:r>
      <w:r w:rsidRPr="003E3CD3">
        <w:rPr>
          <w:rFonts w:cs="Arial"/>
          <w:sz w:val="24"/>
          <w:szCs w:val="24"/>
        </w:rPr>
        <w:instrText xml:space="preserve"> REF _Ref171934061 \h  \* MERGEFORMAT </w:instrText>
      </w:r>
      <w:r w:rsidRPr="003E3CD3">
        <w:rPr>
          <w:rFonts w:cs="Arial"/>
          <w:sz w:val="24"/>
          <w:szCs w:val="24"/>
        </w:rPr>
      </w:r>
      <w:r w:rsidRPr="003E3CD3">
        <w:rPr>
          <w:rFonts w:cs="Arial"/>
          <w:sz w:val="24"/>
          <w:szCs w:val="24"/>
        </w:rPr>
        <w:fldChar w:fldCharType="separate"/>
      </w:r>
      <w:r w:rsidR="00B63873" w:rsidRPr="00B63873">
        <w:rPr>
          <w:rFonts w:cs="Arial"/>
          <w:sz w:val="24"/>
          <w:szCs w:val="24"/>
        </w:rPr>
        <w:t xml:space="preserve">Tabella </w:t>
      </w:r>
      <w:r w:rsidR="00B63873" w:rsidRPr="00B63873">
        <w:rPr>
          <w:rFonts w:cs="Arial"/>
          <w:noProof/>
          <w:sz w:val="24"/>
          <w:szCs w:val="24"/>
        </w:rPr>
        <w:t>5</w:t>
      </w:r>
      <w:r w:rsidRPr="003E3CD3">
        <w:rPr>
          <w:rFonts w:cs="Arial"/>
          <w:sz w:val="24"/>
          <w:szCs w:val="24"/>
        </w:rPr>
        <w:fldChar w:fldCharType="end"/>
      </w:r>
      <w:r w:rsidRPr="003E3CD3">
        <w:rPr>
          <w:rFonts w:cs="Arial"/>
          <w:sz w:val="24"/>
          <w:szCs w:val="24"/>
        </w:rPr>
        <w:t xml:space="preserve">, per entrambi i progetti l’importo del contributo federale è superiore sia rispetto a quanto previsto inizialmente nel messaggio 6957 del 1 luglio 2014, sia in confronto alle decisioni di assegnazione dei contributi federali emesse dalla SEFRI nel novembre del 2016 per Lugano Viganello e nel luglio del 2017 per SUPSI Mendrisio. Sulla base di queste decisioni, tra il 2021 e il 2022 sono stati aggiornati i parametri di finanziamento dei due progetti tramite la ratifica di due apposite convenzioni per il consolidamento del prestito cantonale (RG n. 3574 del 7 luglio 2021 per il campus SUPSI Mendrisio, RG n. 1092 del 9 marzo 2022 per il campus USI-SUPSI Lugano Viganello), nelle quali sono fissati i nuovi importi massimi dei prestiti per entrambi i campus. </w:t>
      </w:r>
    </w:p>
    <w:p w:rsidR="00F500DC" w:rsidRPr="003E3CD3" w:rsidRDefault="00F500DC" w:rsidP="00F500DC">
      <w:pPr>
        <w:spacing w:before="120"/>
        <w:rPr>
          <w:rFonts w:cs="Arial"/>
          <w:sz w:val="24"/>
          <w:szCs w:val="24"/>
        </w:rPr>
      </w:pPr>
      <w:r w:rsidRPr="003E3CD3">
        <w:rPr>
          <w:rFonts w:cs="Arial"/>
          <w:sz w:val="24"/>
          <w:szCs w:val="24"/>
        </w:rPr>
        <w:t xml:space="preserve">Nel 2023, in virtù dei maggiori contributi ricevuti in via definitiva dalla Confederazione, tenuto conto anche del costo finale dei progetti, l’importo complessivo del prestito cantonale erogato per garantire il finanziamento dei due campus è stato ridotto di conseguenza. </w:t>
      </w:r>
    </w:p>
    <w:p w:rsidR="00F500DC" w:rsidRPr="003E3CD3" w:rsidRDefault="00F500DC" w:rsidP="00F500DC">
      <w:pPr>
        <w:spacing w:before="120"/>
        <w:rPr>
          <w:rFonts w:cs="Arial"/>
          <w:sz w:val="24"/>
          <w:szCs w:val="24"/>
        </w:rPr>
      </w:pPr>
      <w:r w:rsidRPr="003E3CD3">
        <w:rPr>
          <w:rFonts w:cs="Arial"/>
          <w:sz w:val="24"/>
          <w:szCs w:val="24"/>
        </w:rPr>
        <w:t xml:space="preserve">La </w:t>
      </w:r>
      <w:r w:rsidRPr="003E3CD3">
        <w:rPr>
          <w:rFonts w:cs="Arial"/>
          <w:sz w:val="24"/>
          <w:szCs w:val="24"/>
        </w:rPr>
        <w:fldChar w:fldCharType="begin"/>
      </w:r>
      <w:r w:rsidRPr="003E3CD3">
        <w:rPr>
          <w:rFonts w:cs="Arial"/>
          <w:sz w:val="24"/>
          <w:szCs w:val="24"/>
        </w:rPr>
        <w:instrText xml:space="preserve"> REF _Ref173838442 \h  \* MERGEFORMAT </w:instrText>
      </w:r>
      <w:r w:rsidRPr="003E3CD3">
        <w:rPr>
          <w:rFonts w:cs="Arial"/>
          <w:sz w:val="24"/>
          <w:szCs w:val="24"/>
        </w:rPr>
      </w:r>
      <w:r w:rsidRPr="003E3CD3">
        <w:rPr>
          <w:rFonts w:cs="Arial"/>
          <w:sz w:val="24"/>
          <w:szCs w:val="24"/>
        </w:rPr>
        <w:fldChar w:fldCharType="separate"/>
      </w:r>
      <w:r w:rsidR="00B63873" w:rsidRPr="00B63873">
        <w:rPr>
          <w:rFonts w:cs="Arial"/>
          <w:sz w:val="24"/>
          <w:szCs w:val="24"/>
        </w:rPr>
        <w:t xml:space="preserve">Tabella </w:t>
      </w:r>
      <w:r w:rsidR="00B63873" w:rsidRPr="00B63873">
        <w:rPr>
          <w:rFonts w:cs="Arial"/>
          <w:noProof/>
          <w:sz w:val="24"/>
          <w:szCs w:val="24"/>
        </w:rPr>
        <w:t>5</w:t>
      </w:r>
      <w:r w:rsidRPr="003E3CD3">
        <w:rPr>
          <w:rFonts w:cs="Arial"/>
          <w:sz w:val="24"/>
          <w:szCs w:val="24"/>
        </w:rPr>
        <w:fldChar w:fldCharType="end"/>
      </w:r>
      <w:r w:rsidRPr="003E3CD3">
        <w:rPr>
          <w:rFonts w:cs="Arial"/>
          <w:sz w:val="24"/>
          <w:szCs w:val="24"/>
        </w:rPr>
        <w:t xml:space="preserve"> mostra l’evoluzione delle fonti di finanziamento dei campus USI-SUPSI Lugano Viganello e SUPSI Mendrisio</w:t>
      </w:r>
    </w:p>
    <w:p w:rsidR="0017351D" w:rsidRDefault="0017351D">
      <w:pPr>
        <w:suppressAutoHyphens w:val="0"/>
        <w:rPr>
          <w:sz w:val="24"/>
          <w:szCs w:val="24"/>
        </w:rPr>
      </w:pPr>
      <w:r>
        <w:rPr>
          <w:sz w:val="24"/>
          <w:szCs w:val="24"/>
        </w:rPr>
        <w:br w:type="page"/>
      </w:r>
    </w:p>
    <w:p w:rsidR="00F500DC" w:rsidRPr="00374458" w:rsidRDefault="00F500DC" w:rsidP="00F500DC">
      <w:pPr>
        <w:pStyle w:val="Didascalia"/>
      </w:pPr>
      <w:bookmarkStart w:id="40" w:name="_Ref171934061"/>
      <w:bookmarkStart w:id="41" w:name="_Ref173838442"/>
      <w:r>
        <w:lastRenderedPageBreak/>
        <w:t xml:space="preserve">Tabella </w:t>
      </w:r>
      <w:r>
        <w:fldChar w:fldCharType="begin"/>
      </w:r>
      <w:r>
        <w:instrText xml:space="preserve"> SEQ Tabella \* ARABIC </w:instrText>
      </w:r>
      <w:r>
        <w:fldChar w:fldCharType="separate"/>
      </w:r>
      <w:r w:rsidR="00B63873">
        <w:t>5</w:t>
      </w:r>
      <w:r>
        <w:fldChar w:fldCharType="end"/>
      </w:r>
      <w:bookmarkEnd w:id="40"/>
      <w:bookmarkEnd w:id="41"/>
      <w:r>
        <w:t xml:space="preserve"> – </w:t>
      </w:r>
      <w:r w:rsidRPr="0037385B">
        <w:t>Evoluzione delle fonti di finanziamento dei campus USI-SUPSI Lugano Viganello e SUPSI Mendrisio, in franchi, dal 2014 al 2023 (fonte: DCSU)</w:t>
      </w:r>
    </w:p>
    <w:tbl>
      <w:tblPr>
        <w:tblStyle w:val="Grigliatabella"/>
        <w:tblW w:w="9243" w:type="dxa"/>
        <w:tblLayout w:type="fixed"/>
        <w:tblLook w:val="04A0" w:firstRow="1" w:lastRow="0" w:firstColumn="1" w:lastColumn="0" w:noHBand="0" w:noVBand="1"/>
      </w:tblPr>
      <w:tblGrid>
        <w:gridCol w:w="1912"/>
        <w:gridCol w:w="1220"/>
        <w:gridCol w:w="1221"/>
        <w:gridCol w:w="1221"/>
        <w:gridCol w:w="1221"/>
        <w:gridCol w:w="1221"/>
        <w:gridCol w:w="1227"/>
      </w:tblGrid>
      <w:tr w:rsidR="00F500DC" w:rsidRPr="0037385B" w:rsidTr="00F500DC">
        <w:trPr>
          <w:trHeight w:val="32"/>
        </w:trPr>
        <w:tc>
          <w:tcPr>
            <w:tcW w:w="1912" w:type="dxa"/>
            <w:tcBorders>
              <w:left w:val="nil"/>
              <w:bottom w:val="single" w:sz="4" w:space="0" w:color="auto"/>
            </w:tcBorders>
          </w:tcPr>
          <w:p w:rsidR="00F500DC" w:rsidRPr="0037385B" w:rsidRDefault="00F500DC" w:rsidP="00F500DC">
            <w:pPr>
              <w:spacing w:before="120"/>
              <w:jc w:val="center"/>
              <w:rPr>
                <w:sz w:val="18"/>
              </w:rPr>
            </w:pPr>
          </w:p>
        </w:tc>
        <w:tc>
          <w:tcPr>
            <w:tcW w:w="1220" w:type="dxa"/>
            <w:tcBorders>
              <w:bottom w:val="single" w:sz="4" w:space="0" w:color="auto"/>
            </w:tcBorders>
          </w:tcPr>
          <w:p w:rsidR="00F500DC" w:rsidRPr="0037385B" w:rsidRDefault="00F500DC" w:rsidP="00F500DC">
            <w:pPr>
              <w:jc w:val="center"/>
              <w:rPr>
                <w:b/>
                <w:sz w:val="18"/>
              </w:rPr>
            </w:pPr>
            <w:r w:rsidRPr="0037385B">
              <w:rPr>
                <w:b/>
                <w:sz w:val="18"/>
              </w:rPr>
              <w:t>2014</w:t>
            </w:r>
            <w:r>
              <w:rPr>
                <w:b/>
                <w:sz w:val="18"/>
              </w:rPr>
              <w:br/>
            </w:r>
            <w:r w:rsidRPr="0037385B">
              <w:rPr>
                <w:b/>
                <w:sz w:val="18"/>
              </w:rPr>
              <w:t>(msg. 6957)</w:t>
            </w:r>
          </w:p>
        </w:tc>
        <w:tc>
          <w:tcPr>
            <w:tcW w:w="1221" w:type="dxa"/>
            <w:tcBorders>
              <w:bottom w:val="single" w:sz="4" w:space="0" w:color="auto"/>
            </w:tcBorders>
          </w:tcPr>
          <w:p w:rsidR="00F500DC" w:rsidRPr="0037385B" w:rsidRDefault="00F500DC" w:rsidP="00F500DC">
            <w:pPr>
              <w:jc w:val="center"/>
              <w:rPr>
                <w:b/>
                <w:i/>
                <w:sz w:val="16"/>
              </w:rPr>
            </w:pPr>
            <w:r w:rsidRPr="0037385B">
              <w:rPr>
                <w:rFonts w:cs="Arial"/>
                <w:b/>
                <w:i/>
                <w:sz w:val="16"/>
              </w:rPr>
              <w:t>∆</w:t>
            </w:r>
            <w:r w:rsidRPr="0037385B">
              <w:rPr>
                <w:b/>
                <w:i/>
                <w:sz w:val="16"/>
              </w:rPr>
              <w:t xml:space="preserve"> 2021/22 - 2014</w:t>
            </w:r>
          </w:p>
        </w:tc>
        <w:tc>
          <w:tcPr>
            <w:tcW w:w="1221" w:type="dxa"/>
            <w:tcBorders>
              <w:bottom w:val="single" w:sz="4" w:space="0" w:color="auto"/>
            </w:tcBorders>
          </w:tcPr>
          <w:p w:rsidR="00F500DC" w:rsidRPr="0037385B" w:rsidRDefault="00F500DC" w:rsidP="00F500DC">
            <w:pPr>
              <w:jc w:val="center"/>
              <w:rPr>
                <w:b/>
                <w:sz w:val="18"/>
              </w:rPr>
            </w:pPr>
            <w:r w:rsidRPr="0037385B">
              <w:rPr>
                <w:b/>
                <w:sz w:val="18"/>
              </w:rPr>
              <w:t>2021/22 (agg</w:t>
            </w:r>
            <w:r>
              <w:rPr>
                <w:b/>
                <w:sz w:val="18"/>
              </w:rPr>
              <w:t>.</w:t>
            </w:r>
            <w:r w:rsidRPr="0037385B">
              <w:rPr>
                <w:b/>
                <w:sz w:val="18"/>
              </w:rPr>
              <w:t xml:space="preserve"> dati)</w:t>
            </w:r>
          </w:p>
        </w:tc>
        <w:tc>
          <w:tcPr>
            <w:tcW w:w="1221" w:type="dxa"/>
            <w:tcBorders>
              <w:bottom w:val="single" w:sz="4" w:space="0" w:color="auto"/>
            </w:tcBorders>
          </w:tcPr>
          <w:p w:rsidR="00F500DC" w:rsidRPr="0037385B" w:rsidRDefault="00F500DC" w:rsidP="00F500DC">
            <w:pPr>
              <w:jc w:val="center"/>
              <w:rPr>
                <w:b/>
                <w:i/>
                <w:sz w:val="16"/>
              </w:rPr>
            </w:pPr>
            <w:r w:rsidRPr="0037385B">
              <w:rPr>
                <w:rFonts w:cs="Arial"/>
                <w:b/>
                <w:i/>
                <w:sz w:val="16"/>
              </w:rPr>
              <w:t>∆</w:t>
            </w:r>
            <w:r w:rsidRPr="0037385B">
              <w:rPr>
                <w:b/>
                <w:i/>
                <w:sz w:val="16"/>
              </w:rPr>
              <w:t xml:space="preserve"> 2023 – 2021/22</w:t>
            </w:r>
          </w:p>
        </w:tc>
        <w:tc>
          <w:tcPr>
            <w:tcW w:w="1221" w:type="dxa"/>
            <w:tcBorders>
              <w:bottom w:val="single" w:sz="4" w:space="0" w:color="auto"/>
            </w:tcBorders>
          </w:tcPr>
          <w:p w:rsidR="00F500DC" w:rsidRPr="0037385B" w:rsidRDefault="00F500DC" w:rsidP="00F500DC">
            <w:pPr>
              <w:jc w:val="center"/>
              <w:rPr>
                <w:b/>
                <w:sz w:val="18"/>
              </w:rPr>
            </w:pPr>
            <w:r w:rsidRPr="0037385B">
              <w:rPr>
                <w:b/>
                <w:sz w:val="18"/>
              </w:rPr>
              <w:t>2023 (dati</w:t>
            </w:r>
            <w:r>
              <w:rPr>
                <w:b/>
                <w:sz w:val="18"/>
              </w:rPr>
              <w:t xml:space="preserve"> </w:t>
            </w:r>
            <w:r w:rsidRPr="0037385B">
              <w:rPr>
                <w:b/>
                <w:sz w:val="18"/>
              </w:rPr>
              <w:t>effettivi)</w:t>
            </w:r>
          </w:p>
        </w:tc>
        <w:tc>
          <w:tcPr>
            <w:tcW w:w="1223" w:type="dxa"/>
            <w:tcBorders>
              <w:bottom w:val="single" w:sz="4" w:space="0" w:color="auto"/>
              <w:right w:val="nil"/>
            </w:tcBorders>
          </w:tcPr>
          <w:p w:rsidR="00F500DC" w:rsidRPr="0037385B" w:rsidRDefault="00F500DC" w:rsidP="00F500DC">
            <w:pPr>
              <w:jc w:val="center"/>
              <w:rPr>
                <w:b/>
                <w:i/>
                <w:sz w:val="16"/>
              </w:rPr>
            </w:pPr>
            <w:r w:rsidRPr="0037385B">
              <w:rPr>
                <w:rFonts w:cs="Arial"/>
                <w:b/>
                <w:i/>
                <w:sz w:val="16"/>
              </w:rPr>
              <w:t>∆</w:t>
            </w:r>
            <w:r w:rsidRPr="0037385B">
              <w:rPr>
                <w:b/>
                <w:i/>
                <w:sz w:val="16"/>
              </w:rPr>
              <w:t xml:space="preserve"> 2023 - 2014</w:t>
            </w:r>
          </w:p>
        </w:tc>
      </w:tr>
      <w:tr w:rsidR="00F500DC" w:rsidRPr="0037385B" w:rsidTr="00F500DC">
        <w:trPr>
          <w:trHeight w:val="188"/>
        </w:trPr>
        <w:tc>
          <w:tcPr>
            <w:tcW w:w="9243" w:type="dxa"/>
            <w:gridSpan w:val="7"/>
            <w:tcBorders>
              <w:left w:val="nil"/>
              <w:bottom w:val="nil"/>
              <w:right w:val="nil"/>
            </w:tcBorders>
          </w:tcPr>
          <w:p w:rsidR="00F500DC" w:rsidRPr="00A17008" w:rsidRDefault="00F500DC" w:rsidP="00F500DC">
            <w:pPr>
              <w:spacing w:before="120"/>
              <w:rPr>
                <w:sz w:val="18"/>
              </w:rPr>
            </w:pPr>
            <w:r w:rsidRPr="00A17008">
              <w:rPr>
                <w:b/>
                <w:sz w:val="18"/>
              </w:rPr>
              <w:t xml:space="preserve">Campus USI-SUPSI Lugano Viganello: </w:t>
            </w:r>
          </w:p>
        </w:tc>
      </w:tr>
      <w:tr w:rsidR="00F500DC" w:rsidRPr="0037385B" w:rsidTr="00F500DC">
        <w:trPr>
          <w:trHeight w:val="112"/>
        </w:trPr>
        <w:tc>
          <w:tcPr>
            <w:tcW w:w="1912" w:type="dxa"/>
            <w:tcBorders>
              <w:top w:val="nil"/>
              <w:left w:val="nil"/>
            </w:tcBorders>
          </w:tcPr>
          <w:p w:rsidR="00F500DC" w:rsidRPr="0037385B" w:rsidRDefault="00F500DC" w:rsidP="00F500DC">
            <w:pPr>
              <w:spacing w:before="120"/>
              <w:rPr>
                <w:sz w:val="18"/>
              </w:rPr>
            </w:pPr>
            <w:r>
              <w:rPr>
                <w:sz w:val="18"/>
              </w:rPr>
              <w:t>Contributo SEFRI</w:t>
            </w:r>
          </w:p>
        </w:tc>
        <w:tc>
          <w:tcPr>
            <w:tcW w:w="1220" w:type="dxa"/>
            <w:tcBorders>
              <w:top w:val="nil"/>
            </w:tcBorders>
            <w:vAlign w:val="bottom"/>
          </w:tcPr>
          <w:p w:rsidR="00F500DC" w:rsidRPr="0037385B" w:rsidRDefault="00F500DC" w:rsidP="00F500DC">
            <w:pPr>
              <w:spacing w:before="120"/>
              <w:jc w:val="right"/>
              <w:rPr>
                <w:sz w:val="18"/>
              </w:rPr>
            </w:pPr>
            <w:r>
              <w:rPr>
                <w:sz w:val="18"/>
              </w:rPr>
              <w:t>33'480’000</w:t>
            </w:r>
          </w:p>
        </w:tc>
        <w:tc>
          <w:tcPr>
            <w:tcW w:w="1221" w:type="dxa"/>
            <w:tcBorders>
              <w:top w:val="nil"/>
            </w:tcBorders>
            <w:vAlign w:val="bottom"/>
          </w:tcPr>
          <w:p w:rsidR="00F500DC" w:rsidRPr="0037385B" w:rsidRDefault="00F500DC" w:rsidP="00F500DC">
            <w:pPr>
              <w:spacing w:before="120"/>
              <w:jc w:val="right"/>
              <w:rPr>
                <w:i/>
                <w:sz w:val="16"/>
              </w:rPr>
            </w:pPr>
            <w:r w:rsidRPr="0037385B">
              <w:rPr>
                <w:i/>
                <w:sz w:val="16"/>
              </w:rPr>
              <w:t>4'220’000</w:t>
            </w:r>
          </w:p>
        </w:tc>
        <w:tc>
          <w:tcPr>
            <w:tcW w:w="1221" w:type="dxa"/>
            <w:tcBorders>
              <w:top w:val="nil"/>
            </w:tcBorders>
            <w:vAlign w:val="bottom"/>
          </w:tcPr>
          <w:p w:rsidR="00F500DC" w:rsidRPr="0037385B" w:rsidRDefault="00F500DC" w:rsidP="00F500DC">
            <w:pPr>
              <w:spacing w:before="120"/>
              <w:jc w:val="right"/>
              <w:rPr>
                <w:sz w:val="18"/>
              </w:rPr>
            </w:pPr>
            <w:r>
              <w:rPr>
                <w:sz w:val="18"/>
              </w:rPr>
              <w:t>37'700’000</w:t>
            </w:r>
          </w:p>
        </w:tc>
        <w:tc>
          <w:tcPr>
            <w:tcW w:w="1221" w:type="dxa"/>
            <w:tcBorders>
              <w:top w:val="nil"/>
            </w:tcBorders>
            <w:vAlign w:val="bottom"/>
          </w:tcPr>
          <w:p w:rsidR="00F500DC" w:rsidRPr="0037385B" w:rsidRDefault="00F500DC" w:rsidP="00F500DC">
            <w:pPr>
              <w:spacing w:before="120"/>
              <w:jc w:val="right"/>
              <w:rPr>
                <w:i/>
                <w:sz w:val="16"/>
              </w:rPr>
            </w:pPr>
            <w:r w:rsidRPr="0037385B">
              <w:rPr>
                <w:i/>
                <w:sz w:val="16"/>
              </w:rPr>
              <w:t>2'469’744</w:t>
            </w:r>
          </w:p>
        </w:tc>
        <w:tc>
          <w:tcPr>
            <w:tcW w:w="1221" w:type="dxa"/>
            <w:tcBorders>
              <w:top w:val="nil"/>
            </w:tcBorders>
            <w:vAlign w:val="bottom"/>
          </w:tcPr>
          <w:p w:rsidR="00F500DC" w:rsidRPr="0037385B" w:rsidRDefault="00F500DC" w:rsidP="00F500DC">
            <w:pPr>
              <w:spacing w:before="120"/>
              <w:jc w:val="right"/>
              <w:rPr>
                <w:sz w:val="18"/>
              </w:rPr>
            </w:pPr>
            <w:r>
              <w:rPr>
                <w:sz w:val="18"/>
              </w:rPr>
              <w:t>40'169’744</w:t>
            </w:r>
          </w:p>
        </w:tc>
        <w:tc>
          <w:tcPr>
            <w:tcW w:w="1223" w:type="dxa"/>
            <w:tcBorders>
              <w:top w:val="nil"/>
              <w:right w:val="nil"/>
            </w:tcBorders>
            <w:vAlign w:val="bottom"/>
          </w:tcPr>
          <w:p w:rsidR="00F500DC" w:rsidRPr="0037385B" w:rsidRDefault="00F500DC" w:rsidP="00F500DC">
            <w:pPr>
              <w:spacing w:before="120"/>
              <w:jc w:val="right"/>
              <w:rPr>
                <w:i/>
                <w:sz w:val="16"/>
              </w:rPr>
            </w:pPr>
            <w:r w:rsidRPr="0037385B">
              <w:rPr>
                <w:i/>
                <w:sz w:val="16"/>
              </w:rPr>
              <w:t>6'689’744</w:t>
            </w:r>
          </w:p>
        </w:tc>
      </w:tr>
      <w:tr w:rsidR="00F500DC" w:rsidRPr="0037385B" w:rsidTr="00F500DC">
        <w:trPr>
          <w:trHeight w:val="112"/>
        </w:trPr>
        <w:tc>
          <w:tcPr>
            <w:tcW w:w="1912" w:type="dxa"/>
            <w:tcBorders>
              <w:left w:val="nil"/>
            </w:tcBorders>
          </w:tcPr>
          <w:p w:rsidR="00F500DC" w:rsidRPr="0037385B" w:rsidRDefault="00F500DC" w:rsidP="00F500DC">
            <w:pPr>
              <w:spacing w:before="120"/>
              <w:rPr>
                <w:sz w:val="18"/>
              </w:rPr>
            </w:pPr>
            <w:r>
              <w:rPr>
                <w:sz w:val="18"/>
              </w:rPr>
              <w:t>Contributo cantonale</w:t>
            </w:r>
          </w:p>
        </w:tc>
        <w:tc>
          <w:tcPr>
            <w:tcW w:w="1220" w:type="dxa"/>
            <w:vAlign w:val="bottom"/>
          </w:tcPr>
          <w:p w:rsidR="00F500DC" w:rsidRPr="0037385B" w:rsidRDefault="00F500DC" w:rsidP="00F500DC">
            <w:pPr>
              <w:spacing w:before="120"/>
              <w:jc w:val="right"/>
              <w:rPr>
                <w:sz w:val="18"/>
              </w:rPr>
            </w:pPr>
            <w:r>
              <w:rPr>
                <w:sz w:val="18"/>
              </w:rPr>
              <w:t>24'800’000</w:t>
            </w:r>
          </w:p>
        </w:tc>
        <w:tc>
          <w:tcPr>
            <w:tcW w:w="1221" w:type="dxa"/>
            <w:vAlign w:val="bottom"/>
          </w:tcPr>
          <w:p w:rsidR="00F500DC" w:rsidRPr="0037385B" w:rsidRDefault="00F500DC" w:rsidP="00F500DC">
            <w:pPr>
              <w:spacing w:before="120"/>
              <w:jc w:val="right"/>
              <w:rPr>
                <w:i/>
                <w:sz w:val="16"/>
              </w:rPr>
            </w:pPr>
            <w:r w:rsidRPr="0037385B">
              <w:rPr>
                <w:i/>
                <w:sz w:val="16"/>
              </w:rPr>
              <w:t>0</w:t>
            </w:r>
          </w:p>
        </w:tc>
        <w:tc>
          <w:tcPr>
            <w:tcW w:w="1221" w:type="dxa"/>
            <w:vAlign w:val="bottom"/>
          </w:tcPr>
          <w:p w:rsidR="00F500DC" w:rsidRPr="0037385B" w:rsidRDefault="00F500DC" w:rsidP="00F500DC">
            <w:pPr>
              <w:spacing w:before="120"/>
              <w:jc w:val="right"/>
              <w:rPr>
                <w:sz w:val="18"/>
              </w:rPr>
            </w:pPr>
            <w:r>
              <w:rPr>
                <w:sz w:val="18"/>
              </w:rPr>
              <w:t>24'800’000</w:t>
            </w:r>
          </w:p>
        </w:tc>
        <w:tc>
          <w:tcPr>
            <w:tcW w:w="1221" w:type="dxa"/>
            <w:vAlign w:val="bottom"/>
          </w:tcPr>
          <w:p w:rsidR="00F500DC" w:rsidRPr="0037385B" w:rsidRDefault="00F500DC" w:rsidP="00F500DC">
            <w:pPr>
              <w:spacing w:before="120"/>
              <w:jc w:val="right"/>
              <w:rPr>
                <w:i/>
                <w:sz w:val="16"/>
              </w:rPr>
            </w:pPr>
            <w:r w:rsidRPr="0037385B">
              <w:rPr>
                <w:i/>
                <w:sz w:val="16"/>
              </w:rPr>
              <w:t>0</w:t>
            </w:r>
          </w:p>
        </w:tc>
        <w:tc>
          <w:tcPr>
            <w:tcW w:w="1221" w:type="dxa"/>
            <w:vAlign w:val="bottom"/>
          </w:tcPr>
          <w:p w:rsidR="00F500DC" w:rsidRPr="0037385B" w:rsidRDefault="00F500DC" w:rsidP="00F500DC">
            <w:pPr>
              <w:spacing w:before="120"/>
              <w:jc w:val="right"/>
              <w:rPr>
                <w:sz w:val="18"/>
              </w:rPr>
            </w:pPr>
            <w:r>
              <w:rPr>
                <w:sz w:val="18"/>
              </w:rPr>
              <w:t>24'800’000</w:t>
            </w:r>
          </w:p>
        </w:tc>
        <w:tc>
          <w:tcPr>
            <w:tcW w:w="1223" w:type="dxa"/>
            <w:tcBorders>
              <w:right w:val="nil"/>
            </w:tcBorders>
            <w:vAlign w:val="bottom"/>
          </w:tcPr>
          <w:p w:rsidR="00F500DC" w:rsidRPr="0037385B" w:rsidRDefault="00F500DC" w:rsidP="00F500DC">
            <w:pPr>
              <w:spacing w:before="120"/>
              <w:jc w:val="right"/>
              <w:rPr>
                <w:i/>
                <w:sz w:val="16"/>
              </w:rPr>
            </w:pPr>
            <w:r w:rsidRPr="0037385B">
              <w:rPr>
                <w:i/>
                <w:sz w:val="16"/>
              </w:rPr>
              <w:t>0</w:t>
            </w:r>
          </w:p>
        </w:tc>
      </w:tr>
      <w:tr w:rsidR="00F500DC" w:rsidRPr="0037385B" w:rsidTr="00F500DC">
        <w:trPr>
          <w:trHeight w:val="116"/>
        </w:trPr>
        <w:tc>
          <w:tcPr>
            <w:tcW w:w="1912" w:type="dxa"/>
            <w:tcBorders>
              <w:left w:val="nil"/>
            </w:tcBorders>
          </w:tcPr>
          <w:p w:rsidR="00F500DC" w:rsidRPr="0037385B" w:rsidRDefault="00F500DC" w:rsidP="00F500DC">
            <w:pPr>
              <w:spacing w:before="120"/>
              <w:rPr>
                <w:sz w:val="18"/>
              </w:rPr>
            </w:pPr>
            <w:r>
              <w:rPr>
                <w:sz w:val="18"/>
              </w:rPr>
              <w:t>Prestito cantonale</w:t>
            </w:r>
          </w:p>
        </w:tc>
        <w:tc>
          <w:tcPr>
            <w:tcW w:w="1220" w:type="dxa"/>
            <w:vAlign w:val="bottom"/>
          </w:tcPr>
          <w:p w:rsidR="00F500DC" w:rsidRPr="0037385B" w:rsidRDefault="00F500DC" w:rsidP="00F500DC">
            <w:pPr>
              <w:spacing w:before="120"/>
              <w:jc w:val="right"/>
              <w:rPr>
                <w:sz w:val="18"/>
              </w:rPr>
            </w:pPr>
            <w:r>
              <w:rPr>
                <w:sz w:val="18"/>
              </w:rPr>
              <w:t>65'720’000</w:t>
            </w:r>
          </w:p>
        </w:tc>
        <w:tc>
          <w:tcPr>
            <w:tcW w:w="1221" w:type="dxa"/>
            <w:vAlign w:val="bottom"/>
          </w:tcPr>
          <w:p w:rsidR="00F500DC" w:rsidRPr="0037385B" w:rsidRDefault="00F500DC" w:rsidP="00F500DC">
            <w:pPr>
              <w:spacing w:before="120"/>
              <w:jc w:val="right"/>
              <w:rPr>
                <w:i/>
                <w:sz w:val="16"/>
              </w:rPr>
            </w:pPr>
            <w:r w:rsidRPr="0037385B">
              <w:rPr>
                <w:i/>
                <w:sz w:val="16"/>
              </w:rPr>
              <w:t>-4'220’000</w:t>
            </w:r>
          </w:p>
        </w:tc>
        <w:tc>
          <w:tcPr>
            <w:tcW w:w="1221" w:type="dxa"/>
            <w:vAlign w:val="bottom"/>
          </w:tcPr>
          <w:p w:rsidR="00F500DC" w:rsidRPr="0037385B" w:rsidRDefault="00F500DC" w:rsidP="00F500DC">
            <w:pPr>
              <w:spacing w:before="120"/>
              <w:jc w:val="right"/>
              <w:rPr>
                <w:sz w:val="18"/>
              </w:rPr>
            </w:pPr>
            <w:r>
              <w:rPr>
                <w:sz w:val="18"/>
              </w:rPr>
              <w:t>61'500’000</w:t>
            </w:r>
          </w:p>
        </w:tc>
        <w:tc>
          <w:tcPr>
            <w:tcW w:w="1221" w:type="dxa"/>
            <w:vAlign w:val="bottom"/>
          </w:tcPr>
          <w:p w:rsidR="00F500DC" w:rsidRPr="0037385B" w:rsidRDefault="00F500DC" w:rsidP="00F500DC">
            <w:pPr>
              <w:spacing w:before="120"/>
              <w:jc w:val="right"/>
              <w:rPr>
                <w:i/>
                <w:sz w:val="16"/>
              </w:rPr>
            </w:pPr>
            <w:r w:rsidRPr="0037385B">
              <w:rPr>
                <w:i/>
                <w:sz w:val="16"/>
              </w:rPr>
              <w:t>-4'250’238</w:t>
            </w:r>
          </w:p>
        </w:tc>
        <w:tc>
          <w:tcPr>
            <w:tcW w:w="1221" w:type="dxa"/>
            <w:vAlign w:val="bottom"/>
          </w:tcPr>
          <w:p w:rsidR="00F500DC" w:rsidRPr="0037385B" w:rsidRDefault="00F500DC" w:rsidP="00F500DC">
            <w:pPr>
              <w:spacing w:before="120"/>
              <w:jc w:val="right"/>
              <w:rPr>
                <w:sz w:val="18"/>
              </w:rPr>
            </w:pPr>
            <w:r>
              <w:rPr>
                <w:sz w:val="18"/>
              </w:rPr>
              <w:t>57'249’762</w:t>
            </w:r>
          </w:p>
        </w:tc>
        <w:tc>
          <w:tcPr>
            <w:tcW w:w="1223" w:type="dxa"/>
            <w:tcBorders>
              <w:right w:val="nil"/>
            </w:tcBorders>
            <w:vAlign w:val="bottom"/>
          </w:tcPr>
          <w:p w:rsidR="00F500DC" w:rsidRPr="0037385B" w:rsidRDefault="00F500DC" w:rsidP="00F500DC">
            <w:pPr>
              <w:spacing w:before="120"/>
              <w:jc w:val="right"/>
              <w:rPr>
                <w:i/>
                <w:sz w:val="16"/>
              </w:rPr>
            </w:pPr>
            <w:r w:rsidRPr="0037385B">
              <w:rPr>
                <w:i/>
                <w:sz w:val="16"/>
              </w:rPr>
              <w:t>-8'470’238</w:t>
            </w:r>
          </w:p>
        </w:tc>
      </w:tr>
      <w:tr w:rsidR="00F500DC" w:rsidRPr="0037385B" w:rsidTr="00F500DC">
        <w:trPr>
          <w:trHeight w:val="112"/>
        </w:trPr>
        <w:tc>
          <w:tcPr>
            <w:tcW w:w="1912" w:type="dxa"/>
            <w:tcBorders>
              <w:left w:val="nil"/>
              <w:bottom w:val="single" w:sz="4" w:space="0" w:color="auto"/>
            </w:tcBorders>
          </w:tcPr>
          <w:p w:rsidR="00F500DC" w:rsidRDefault="00F500DC" w:rsidP="00F500DC">
            <w:pPr>
              <w:spacing w:before="120"/>
              <w:rPr>
                <w:sz w:val="18"/>
              </w:rPr>
            </w:pPr>
            <w:r w:rsidRPr="0037385B">
              <w:rPr>
                <w:sz w:val="18"/>
              </w:rPr>
              <w:t>Costo totale progetto</w:t>
            </w:r>
          </w:p>
        </w:tc>
        <w:tc>
          <w:tcPr>
            <w:tcW w:w="1220" w:type="dxa"/>
            <w:tcBorders>
              <w:bottom w:val="single" w:sz="4" w:space="0" w:color="auto"/>
            </w:tcBorders>
            <w:vAlign w:val="bottom"/>
          </w:tcPr>
          <w:p w:rsidR="00F500DC" w:rsidRPr="0037385B" w:rsidRDefault="00F500DC" w:rsidP="00F500DC">
            <w:pPr>
              <w:spacing w:before="120"/>
              <w:jc w:val="right"/>
              <w:rPr>
                <w:sz w:val="18"/>
              </w:rPr>
            </w:pPr>
            <w:r>
              <w:rPr>
                <w:sz w:val="18"/>
              </w:rPr>
              <w:t>124'000’000</w:t>
            </w:r>
          </w:p>
        </w:tc>
        <w:tc>
          <w:tcPr>
            <w:tcW w:w="1221" w:type="dxa"/>
            <w:tcBorders>
              <w:bottom w:val="single" w:sz="4" w:space="0" w:color="auto"/>
            </w:tcBorders>
            <w:vAlign w:val="bottom"/>
          </w:tcPr>
          <w:p w:rsidR="00F500DC" w:rsidRPr="0037385B" w:rsidRDefault="00F500DC" w:rsidP="00F500DC">
            <w:pPr>
              <w:spacing w:before="120"/>
              <w:jc w:val="right"/>
              <w:rPr>
                <w:i/>
                <w:sz w:val="16"/>
              </w:rPr>
            </w:pPr>
            <w:r w:rsidRPr="0037385B">
              <w:rPr>
                <w:i/>
                <w:sz w:val="16"/>
              </w:rPr>
              <w:t>0</w:t>
            </w:r>
          </w:p>
        </w:tc>
        <w:tc>
          <w:tcPr>
            <w:tcW w:w="1221" w:type="dxa"/>
            <w:tcBorders>
              <w:bottom w:val="single" w:sz="4" w:space="0" w:color="auto"/>
            </w:tcBorders>
            <w:vAlign w:val="bottom"/>
          </w:tcPr>
          <w:p w:rsidR="00F500DC" w:rsidRPr="0037385B" w:rsidRDefault="00F500DC" w:rsidP="00F500DC">
            <w:pPr>
              <w:spacing w:before="120"/>
              <w:jc w:val="right"/>
              <w:rPr>
                <w:sz w:val="18"/>
              </w:rPr>
            </w:pPr>
            <w:r>
              <w:rPr>
                <w:sz w:val="18"/>
              </w:rPr>
              <w:t>124'000’000</w:t>
            </w:r>
          </w:p>
        </w:tc>
        <w:tc>
          <w:tcPr>
            <w:tcW w:w="1221" w:type="dxa"/>
            <w:tcBorders>
              <w:bottom w:val="single" w:sz="4" w:space="0" w:color="auto"/>
            </w:tcBorders>
            <w:vAlign w:val="bottom"/>
          </w:tcPr>
          <w:p w:rsidR="00F500DC" w:rsidRPr="0037385B" w:rsidRDefault="00F500DC" w:rsidP="00F500DC">
            <w:pPr>
              <w:spacing w:before="120"/>
              <w:jc w:val="right"/>
              <w:rPr>
                <w:i/>
                <w:sz w:val="16"/>
              </w:rPr>
            </w:pPr>
            <w:r w:rsidRPr="0037385B">
              <w:rPr>
                <w:i/>
                <w:sz w:val="16"/>
              </w:rPr>
              <w:t>-1'780’494</w:t>
            </w:r>
          </w:p>
        </w:tc>
        <w:tc>
          <w:tcPr>
            <w:tcW w:w="1221" w:type="dxa"/>
            <w:tcBorders>
              <w:bottom w:val="single" w:sz="4" w:space="0" w:color="auto"/>
            </w:tcBorders>
            <w:vAlign w:val="bottom"/>
          </w:tcPr>
          <w:p w:rsidR="00F500DC" w:rsidRPr="0037385B" w:rsidRDefault="00F500DC" w:rsidP="00F500DC">
            <w:pPr>
              <w:spacing w:before="120"/>
              <w:jc w:val="right"/>
              <w:rPr>
                <w:sz w:val="18"/>
              </w:rPr>
            </w:pPr>
            <w:r>
              <w:rPr>
                <w:sz w:val="18"/>
              </w:rPr>
              <w:t>122'219’506</w:t>
            </w:r>
          </w:p>
        </w:tc>
        <w:tc>
          <w:tcPr>
            <w:tcW w:w="1223" w:type="dxa"/>
            <w:tcBorders>
              <w:bottom w:val="single" w:sz="4" w:space="0" w:color="auto"/>
              <w:right w:val="nil"/>
            </w:tcBorders>
            <w:vAlign w:val="bottom"/>
          </w:tcPr>
          <w:p w:rsidR="00F500DC" w:rsidRPr="0037385B" w:rsidRDefault="00F500DC" w:rsidP="00F500DC">
            <w:pPr>
              <w:spacing w:before="120"/>
              <w:jc w:val="right"/>
              <w:rPr>
                <w:i/>
                <w:sz w:val="16"/>
              </w:rPr>
            </w:pPr>
            <w:r w:rsidRPr="0037385B">
              <w:rPr>
                <w:i/>
                <w:sz w:val="16"/>
              </w:rPr>
              <w:t>-1'780’494</w:t>
            </w:r>
          </w:p>
        </w:tc>
      </w:tr>
      <w:tr w:rsidR="00F500DC" w:rsidRPr="0037385B" w:rsidTr="00F500DC">
        <w:trPr>
          <w:trHeight w:val="188"/>
        </w:trPr>
        <w:tc>
          <w:tcPr>
            <w:tcW w:w="9243" w:type="dxa"/>
            <w:gridSpan w:val="7"/>
            <w:tcBorders>
              <w:left w:val="nil"/>
              <w:bottom w:val="nil"/>
              <w:right w:val="nil"/>
            </w:tcBorders>
          </w:tcPr>
          <w:p w:rsidR="00F500DC" w:rsidRPr="00A17008" w:rsidRDefault="00F500DC" w:rsidP="00F500DC">
            <w:pPr>
              <w:spacing w:before="120"/>
              <w:rPr>
                <w:b/>
                <w:sz w:val="18"/>
              </w:rPr>
            </w:pPr>
            <w:r w:rsidRPr="00A17008">
              <w:rPr>
                <w:b/>
                <w:sz w:val="18"/>
              </w:rPr>
              <w:t xml:space="preserve">Campus SUPSI Mendrisio: </w:t>
            </w:r>
          </w:p>
        </w:tc>
      </w:tr>
      <w:tr w:rsidR="00F500DC" w:rsidRPr="0037385B" w:rsidTr="00F500DC">
        <w:trPr>
          <w:trHeight w:val="112"/>
        </w:trPr>
        <w:tc>
          <w:tcPr>
            <w:tcW w:w="1912" w:type="dxa"/>
            <w:tcBorders>
              <w:top w:val="nil"/>
              <w:left w:val="nil"/>
            </w:tcBorders>
          </w:tcPr>
          <w:p w:rsidR="00F500DC" w:rsidRDefault="00F500DC" w:rsidP="00F500DC">
            <w:pPr>
              <w:spacing w:before="120"/>
              <w:rPr>
                <w:sz w:val="18"/>
              </w:rPr>
            </w:pPr>
            <w:r>
              <w:rPr>
                <w:sz w:val="18"/>
              </w:rPr>
              <w:t>Contributo SEFRI</w:t>
            </w:r>
          </w:p>
        </w:tc>
        <w:tc>
          <w:tcPr>
            <w:tcW w:w="1220" w:type="dxa"/>
            <w:tcBorders>
              <w:top w:val="nil"/>
            </w:tcBorders>
            <w:vAlign w:val="bottom"/>
          </w:tcPr>
          <w:p w:rsidR="00F500DC" w:rsidRPr="0037385B" w:rsidRDefault="00F500DC" w:rsidP="00F500DC">
            <w:pPr>
              <w:spacing w:before="120"/>
              <w:jc w:val="right"/>
              <w:rPr>
                <w:sz w:val="18"/>
              </w:rPr>
            </w:pPr>
            <w:r>
              <w:rPr>
                <w:sz w:val="18"/>
              </w:rPr>
              <w:t>19'710’000</w:t>
            </w:r>
          </w:p>
        </w:tc>
        <w:tc>
          <w:tcPr>
            <w:tcW w:w="1221" w:type="dxa"/>
            <w:tcBorders>
              <w:top w:val="nil"/>
            </w:tcBorders>
            <w:vAlign w:val="bottom"/>
          </w:tcPr>
          <w:p w:rsidR="00F500DC" w:rsidRPr="0037385B" w:rsidRDefault="00F500DC" w:rsidP="00F500DC">
            <w:pPr>
              <w:spacing w:before="120"/>
              <w:jc w:val="right"/>
              <w:rPr>
                <w:i/>
                <w:sz w:val="16"/>
              </w:rPr>
            </w:pPr>
            <w:r>
              <w:rPr>
                <w:i/>
                <w:sz w:val="16"/>
              </w:rPr>
              <w:t>5'190’000</w:t>
            </w:r>
          </w:p>
        </w:tc>
        <w:tc>
          <w:tcPr>
            <w:tcW w:w="1221" w:type="dxa"/>
            <w:tcBorders>
              <w:top w:val="nil"/>
            </w:tcBorders>
            <w:vAlign w:val="bottom"/>
          </w:tcPr>
          <w:p w:rsidR="00F500DC" w:rsidRPr="0037385B" w:rsidRDefault="00F500DC" w:rsidP="00F500DC">
            <w:pPr>
              <w:spacing w:before="120"/>
              <w:jc w:val="right"/>
              <w:rPr>
                <w:sz w:val="18"/>
              </w:rPr>
            </w:pPr>
            <w:r>
              <w:rPr>
                <w:sz w:val="18"/>
              </w:rPr>
              <w:t>24'900’000</w:t>
            </w:r>
          </w:p>
        </w:tc>
        <w:tc>
          <w:tcPr>
            <w:tcW w:w="1221" w:type="dxa"/>
            <w:tcBorders>
              <w:top w:val="nil"/>
            </w:tcBorders>
            <w:vAlign w:val="bottom"/>
          </w:tcPr>
          <w:p w:rsidR="00F500DC" w:rsidRPr="0037385B" w:rsidRDefault="00F500DC" w:rsidP="00F500DC">
            <w:pPr>
              <w:spacing w:before="120"/>
              <w:jc w:val="right"/>
              <w:rPr>
                <w:i/>
                <w:sz w:val="16"/>
              </w:rPr>
            </w:pPr>
            <w:r>
              <w:rPr>
                <w:i/>
                <w:sz w:val="16"/>
              </w:rPr>
              <w:t>1'744’117</w:t>
            </w:r>
          </w:p>
        </w:tc>
        <w:tc>
          <w:tcPr>
            <w:tcW w:w="1221" w:type="dxa"/>
            <w:tcBorders>
              <w:top w:val="nil"/>
            </w:tcBorders>
            <w:vAlign w:val="bottom"/>
          </w:tcPr>
          <w:p w:rsidR="00F500DC" w:rsidRPr="0037385B" w:rsidRDefault="00F500DC" w:rsidP="00F500DC">
            <w:pPr>
              <w:spacing w:before="120"/>
              <w:jc w:val="right"/>
              <w:rPr>
                <w:sz w:val="18"/>
              </w:rPr>
            </w:pPr>
            <w:r>
              <w:rPr>
                <w:sz w:val="18"/>
              </w:rPr>
              <w:t>26'644’117</w:t>
            </w:r>
          </w:p>
        </w:tc>
        <w:tc>
          <w:tcPr>
            <w:tcW w:w="1223" w:type="dxa"/>
            <w:tcBorders>
              <w:top w:val="nil"/>
              <w:right w:val="nil"/>
            </w:tcBorders>
            <w:vAlign w:val="bottom"/>
          </w:tcPr>
          <w:p w:rsidR="00F500DC" w:rsidRPr="0037385B" w:rsidRDefault="00F500DC" w:rsidP="00F500DC">
            <w:pPr>
              <w:spacing w:before="120"/>
              <w:jc w:val="right"/>
              <w:rPr>
                <w:i/>
                <w:sz w:val="16"/>
              </w:rPr>
            </w:pPr>
            <w:r>
              <w:rPr>
                <w:i/>
                <w:sz w:val="16"/>
              </w:rPr>
              <w:t>6'934’117</w:t>
            </w:r>
          </w:p>
        </w:tc>
      </w:tr>
      <w:tr w:rsidR="00F500DC" w:rsidRPr="0037385B" w:rsidTr="00F500DC">
        <w:trPr>
          <w:trHeight w:val="112"/>
        </w:trPr>
        <w:tc>
          <w:tcPr>
            <w:tcW w:w="1912" w:type="dxa"/>
            <w:tcBorders>
              <w:left w:val="nil"/>
            </w:tcBorders>
          </w:tcPr>
          <w:p w:rsidR="00F500DC" w:rsidRDefault="00F500DC" w:rsidP="00F500DC">
            <w:pPr>
              <w:spacing w:before="120"/>
              <w:rPr>
                <w:sz w:val="18"/>
              </w:rPr>
            </w:pPr>
            <w:r>
              <w:rPr>
                <w:sz w:val="18"/>
              </w:rPr>
              <w:t>Contributo cantonale</w:t>
            </w:r>
          </w:p>
        </w:tc>
        <w:tc>
          <w:tcPr>
            <w:tcW w:w="1220" w:type="dxa"/>
            <w:vAlign w:val="bottom"/>
          </w:tcPr>
          <w:p w:rsidR="00F500DC" w:rsidRPr="0037385B" w:rsidRDefault="00F500DC" w:rsidP="00F500DC">
            <w:pPr>
              <w:spacing w:before="120"/>
              <w:jc w:val="right"/>
              <w:rPr>
                <w:sz w:val="18"/>
              </w:rPr>
            </w:pPr>
            <w:r>
              <w:rPr>
                <w:sz w:val="18"/>
              </w:rPr>
              <w:t>14'800’000</w:t>
            </w:r>
          </w:p>
        </w:tc>
        <w:tc>
          <w:tcPr>
            <w:tcW w:w="1221" w:type="dxa"/>
            <w:vAlign w:val="bottom"/>
          </w:tcPr>
          <w:p w:rsidR="00F500DC" w:rsidRPr="0037385B" w:rsidRDefault="00F500DC" w:rsidP="00F500DC">
            <w:pPr>
              <w:spacing w:before="120"/>
              <w:jc w:val="right"/>
              <w:rPr>
                <w:i/>
                <w:sz w:val="16"/>
              </w:rPr>
            </w:pPr>
            <w:r>
              <w:rPr>
                <w:i/>
                <w:sz w:val="16"/>
              </w:rPr>
              <w:t>300’000</w:t>
            </w:r>
          </w:p>
        </w:tc>
        <w:tc>
          <w:tcPr>
            <w:tcW w:w="1221" w:type="dxa"/>
            <w:vAlign w:val="bottom"/>
          </w:tcPr>
          <w:p w:rsidR="00F500DC" w:rsidRPr="0037385B" w:rsidRDefault="00F500DC" w:rsidP="00F500DC">
            <w:pPr>
              <w:spacing w:before="120"/>
              <w:jc w:val="right"/>
              <w:rPr>
                <w:sz w:val="18"/>
              </w:rPr>
            </w:pPr>
            <w:r>
              <w:rPr>
                <w:sz w:val="18"/>
              </w:rPr>
              <w:t>15'100’000</w:t>
            </w:r>
          </w:p>
        </w:tc>
        <w:tc>
          <w:tcPr>
            <w:tcW w:w="1221" w:type="dxa"/>
            <w:vAlign w:val="bottom"/>
          </w:tcPr>
          <w:p w:rsidR="00F500DC" w:rsidRPr="0037385B" w:rsidRDefault="00F500DC" w:rsidP="00F500DC">
            <w:pPr>
              <w:spacing w:before="120"/>
              <w:jc w:val="right"/>
              <w:rPr>
                <w:i/>
                <w:sz w:val="16"/>
              </w:rPr>
            </w:pPr>
            <w:r>
              <w:rPr>
                <w:i/>
                <w:sz w:val="16"/>
              </w:rPr>
              <w:t>-300’000</w:t>
            </w:r>
          </w:p>
        </w:tc>
        <w:tc>
          <w:tcPr>
            <w:tcW w:w="1221" w:type="dxa"/>
            <w:vAlign w:val="bottom"/>
          </w:tcPr>
          <w:p w:rsidR="00F500DC" w:rsidRPr="0037385B" w:rsidRDefault="00F500DC" w:rsidP="00F500DC">
            <w:pPr>
              <w:spacing w:before="120"/>
              <w:jc w:val="right"/>
              <w:rPr>
                <w:sz w:val="18"/>
              </w:rPr>
            </w:pPr>
            <w:r>
              <w:rPr>
                <w:sz w:val="18"/>
              </w:rPr>
              <w:t>14'800’000</w:t>
            </w:r>
          </w:p>
        </w:tc>
        <w:tc>
          <w:tcPr>
            <w:tcW w:w="1223" w:type="dxa"/>
            <w:tcBorders>
              <w:right w:val="nil"/>
            </w:tcBorders>
            <w:vAlign w:val="bottom"/>
          </w:tcPr>
          <w:p w:rsidR="00F500DC" w:rsidRPr="0037385B" w:rsidRDefault="00F500DC" w:rsidP="00F500DC">
            <w:pPr>
              <w:spacing w:before="120"/>
              <w:jc w:val="right"/>
              <w:rPr>
                <w:i/>
                <w:sz w:val="16"/>
              </w:rPr>
            </w:pPr>
            <w:r>
              <w:rPr>
                <w:i/>
                <w:sz w:val="16"/>
              </w:rPr>
              <w:t>0</w:t>
            </w:r>
          </w:p>
        </w:tc>
      </w:tr>
      <w:tr w:rsidR="00F500DC" w:rsidRPr="0037385B" w:rsidTr="00F500DC">
        <w:trPr>
          <w:trHeight w:val="116"/>
        </w:trPr>
        <w:tc>
          <w:tcPr>
            <w:tcW w:w="1912" w:type="dxa"/>
            <w:tcBorders>
              <w:left w:val="nil"/>
            </w:tcBorders>
          </w:tcPr>
          <w:p w:rsidR="00F500DC" w:rsidRDefault="00F500DC" w:rsidP="00F500DC">
            <w:pPr>
              <w:spacing w:before="120"/>
              <w:rPr>
                <w:sz w:val="18"/>
              </w:rPr>
            </w:pPr>
            <w:r>
              <w:rPr>
                <w:sz w:val="18"/>
              </w:rPr>
              <w:t>Prestito cantonale</w:t>
            </w:r>
          </w:p>
        </w:tc>
        <w:tc>
          <w:tcPr>
            <w:tcW w:w="1220" w:type="dxa"/>
            <w:vAlign w:val="bottom"/>
          </w:tcPr>
          <w:p w:rsidR="00F500DC" w:rsidRPr="0037385B" w:rsidRDefault="00F500DC" w:rsidP="00F500DC">
            <w:pPr>
              <w:spacing w:before="120"/>
              <w:jc w:val="right"/>
              <w:rPr>
                <w:sz w:val="18"/>
              </w:rPr>
            </w:pPr>
            <w:r>
              <w:rPr>
                <w:sz w:val="18"/>
              </w:rPr>
              <w:t>38'490’000</w:t>
            </w:r>
          </w:p>
        </w:tc>
        <w:tc>
          <w:tcPr>
            <w:tcW w:w="1221" w:type="dxa"/>
            <w:vAlign w:val="bottom"/>
          </w:tcPr>
          <w:p w:rsidR="00F500DC" w:rsidRPr="0037385B" w:rsidRDefault="00F500DC" w:rsidP="00F500DC">
            <w:pPr>
              <w:spacing w:before="120"/>
              <w:jc w:val="right"/>
              <w:rPr>
                <w:i/>
                <w:sz w:val="16"/>
              </w:rPr>
            </w:pPr>
            <w:r>
              <w:rPr>
                <w:i/>
                <w:sz w:val="16"/>
              </w:rPr>
              <w:t>-1'990’000</w:t>
            </w:r>
          </w:p>
        </w:tc>
        <w:tc>
          <w:tcPr>
            <w:tcW w:w="1221" w:type="dxa"/>
            <w:vAlign w:val="bottom"/>
          </w:tcPr>
          <w:p w:rsidR="00F500DC" w:rsidRPr="0037385B" w:rsidRDefault="00F500DC" w:rsidP="00F500DC">
            <w:pPr>
              <w:spacing w:before="120"/>
              <w:jc w:val="right"/>
              <w:rPr>
                <w:sz w:val="18"/>
              </w:rPr>
            </w:pPr>
            <w:r>
              <w:rPr>
                <w:sz w:val="18"/>
              </w:rPr>
              <w:t>36'500’000</w:t>
            </w:r>
          </w:p>
        </w:tc>
        <w:tc>
          <w:tcPr>
            <w:tcW w:w="1221" w:type="dxa"/>
            <w:vAlign w:val="bottom"/>
          </w:tcPr>
          <w:p w:rsidR="00F500DC" w:rsidRPr="0037385B" w:rsidRDefault="00F500DC" w:rsidP="00F500DC">
            <w:pPr>
              <w:spacing w:before="120"/>
              <w:jc w:val="right"/>
              <w:rPr>
                <w:i/>
                <w:sz w:val="16"/>
              </w:rPr>
            </w:pPr>
            <w:r>
              <w:rPr>
                <w:i/>
                <w:sz w:val="16"/>
              </w:rPr>
              <w:t>-2'162’674</w:t>
            </w:r>
          </w:p>
        </w:tc>
        <w:tc>
          <w:tcPr>
            <w:tcW w:w="1221" w:type="dxa"/>
            <w:vAlign w:val="bottom"/>
          </w:tcPr>
          <w:p w:rsidR="00F500DC" w:rsidRPr="0037385B" w:rsidRDefault="00F500DC" w:rsidP="00F500DC">
            <w:pPr>
              <w:spacing w:before="120"/>
              <w:jc w:val="right"/>
              <w:rPr>
                <w:sz w:val="18"/>
              </w:rPr>
            </w:pPr>
            <w:r>
              <w:rPr>
                <w:sz w:val="18"/>
              </w:rPr>
              <w:t>34'337’326</w:t>
            </w:r>
          </w:p>
        </w:tc>
        <w:tc>
          <w:tcPr>
            <w:tcW w:w="1223" w:type="dxa"/>
            <w:tcBorders>
              <w:right w:val="nil"/>
            </w:tcBorders>
            <w:vAlign w:val="bottom"/>
          </w:tcPr>
          <w:p w:rsidR="00F500DC" w:rsidRPr="0037385B" w:rsidRDefault="00F500DC" w:rsidP="00F500DC">
            <w:pPr>
              <w:spacing w:before="120"/>
              <w:jc w:val="right"/>
              <w:rPr>
                <w:i/>
                <w:sz w:val="16"/>
              </w:rPr>
            </w:pPr>
            <w:r>
              <w:rPr>
                <w:i/>
                <w:sz w:val="16"/>
              </w:rPr>
              <w:t>-4'152’674</w:t>
            </w:r>
          </w:p>
        </w:tc>
      </w:tr>
      <w:tr w:rsidR="00F500DC" w:rsidRPr="0037385B" w:rsidTr="00F500DC">
        <w:trPr>
          <w:trHeight w:val="112"/>
        </w:trPr>
        <w:tc>
          <w:tcPr>
            <w:tcW w:w="1912" w:type="dxa"/>
            <w:tcBorders>
              <w:left w:val="nil"/>
            </w:tcBorders>
          </w:tcPr>
          <w:p w:rsidR="00F500DC" w:rsidRDefault="00F500DC" w:rsidP="00F500DC">
            <w:pPr>
              <w:spacing w:before="120"/>
              <w:rPr>
                <w:sz w:val="18"/>
              </w:rPr>
            </w:pPr>
            <w:r>
              <w:rPr>
                <w:sz w:val="18"/>
              </w:rPr>
              <w:t>Costo totale progetto</w:t>
            </w:r>
          </w:p>
        </w:tc>
        <w:tc>
          <w:tcPr>
            <w:tcW w:w="1220" w:type="dxa"/>
            <w:vAlign w:val="bottom"/>
          </w:tcPr>
          <w:p w:rsidR="00F500DC" w:rsidRPr="0037385B" w:rsidRDefault="00F500DC" w:rsidP="00F500DC">
            <w:pPr>
              <w:spacing w:before="120"/>
              <w:jc w:val="right"/>
              <w:rPr>
                <w:sz w:val="18"/>
              </w:rPr>
            </w:pPr>
            <w:r>
              <w:rPr>
                <w:sz w:val="18"/>
              </w:rPr>
              <w:t>73'000’000</w:t>
            </w:r>
          </w:p>
        </w:tc>
        <w:tc>
          <w:tcPr>
            <w:tcW w:w="1221" w:type="dxa"/>
            <w:vAlign w:val="bottom"/>
          </w:tcPr>
          <w:p w:rsidR="00F500DC" w:rsidRPr="0037385B" w:rsidRDefault="00F500DC" w:rsidP="00F500DC">
            <w:pPr>
              <w:spacing w:before="120"/>
              <w:jc w:val="right"/>
              <w:rPr>
                <w:i/>
                <w:sz w:val="16"/>
              </w:rPr>
            </w:pPr>
            <w:r>
              <w:rPr>
                <w:i/>
                <w:sz w:val="16"/>
              </w:rPr>
              <w:t>3'500’000</w:t>
            </w:r>
          </w:p>
        </w:tc>
        <w:tc>
          <w:tcPr>
            <w:tcW w:w="1221" w:type="dxa"/>
            <w:vAlign w:val="bottom"/>
          </w:tcPr>
          <w:p w:rsidR="00F500DC" w:rsidRPr="0037385B" w:rsidRDefault="00F500DC" w:rsidP="00F500DC">
            <w:pPr>
              <w:spacing w:before="120"/>
              <w:jc w:val="right"/>
              <w:rPr>
                <w:sz w:val="18"/>
              </w:rPr>
            </w:pPr>
            <w:r>
              <w:rPr>
                <w:sz w:val="18"/>
              </w:rPr>
              <w:t>76'500’000</w:t>
            </w:r>
          </w:p>
        </w:tc>
        <w:tc>
          <w:tcPr>
            <w:tcW w:w="1221" w:type="dxa"/>
            <w:vAlign w:val="bottom"/>
          </w:tcPr>
          <w:p w:rsidR="00F500DC" w:rsidRPr="0037385B" w:rsidRDefault="00F500DC" w:rsidP="00F500DC">
            <w:pPr>
              <w:spacing w:before="120"/>
              <w:jc w:val="right"/>
              <w:rPr>
                <w:i/>
                <w:sz w:val="16"/>
              </w:rPr>
            </w:pPr>
            <w:r>
              <w:rPr>
                <w:i/>
                <w:sz w:val="16"/>
              </w:rPr>
              <w:t>-718’557</w:t>
            </w:r>
          </w:p>
        </w:tc>
        <w:tc>
          <w:tcPr>
            <w:tcW w:w="1221" w:type="dxa"/>
            <w:vAlign w:val="bottom"/>
          </w:tcPr>
          <w:p w:rsidR="00F500DC" w:rsidRPr="0037385B" w:rsidRDefault="00F500DC" w:rsidP="00F500DC">
            <w:pPr>
              <w:spacing w:before="120"/>
              <w:jc w:val="right"/>
              <w:rPr>
                <w:sz w:val="18"/>
              </w:rPr>
            </w:pPr>
            <w:r>
              <w:rPr>
                <w:sz w:val="18"/>
              </w:rPr>
              <w:t>75'781’443</w:t>
            </w:r>
          </w:p>
        </w:tc>
        <w:tc>
          <w:tcPr>
            <w:tcW w:w="1223" w:type="dxa"/>
            <w:tcBorders>
              <w:right w:val="nil"/>
            </w:tcBorders>
            <w:vAlign w:val="bottom"/>
          </w:tcPr>
          <w:p w:rsidR="00F500DC" w:rsidRPr="0037385B" w:rsidRDefault="00F500DC" w:rsidP="00F500DC">
            <w:pPr>
              <w:spacing w:before="120"/>
              <w:jc w:val="right"/>
              <w:rPr>
                <w:i/>
                <w:sz w:val="16"/>
              </w:rPr>
            </w:pPr>
            <w:r>
              <w:rPr>
                <w:i/>
                <w:sz w:val="16"/>
              </w:rPr>
              <w:t>2'781’443</w:t>
            </w:r>
          </w:p>
        </w:tc>
      </w:tr>
    </w:tbl>
    <w:p w:rsidR="00F500DC" w:rsidRDefault="00F500DC" w:rsidP="00E26737">
      <w:pPr>
        <w:spacing w:before="240" w:after="240"/>
      </w:pPr>
    </w:p>
    <w:p w:rsidR="00F500DC" w:rsidRPr="00A26BAE" w:rsidRDefault="00F500DC" w:rsidP="00A26BAE">
      <w:pPr>
        <w:pStyle w:val="Titolo2"/>
        <w:numPr>
          <w:ilvl w:val="0"/>
          <w:numId w:val="0"/>
        </w:numPr>
        <w:tabs>
          <w:tab w:val="left" w:pos="567"/>
        </w:tabs>
        <w:suppressAutoHyphens w:val="0"/>
        <w:spacing w:before="0" w:after="120"/>
        <w:jc w:val="both"/>
        <w:rPr>
          <w:rFonts w:eastAsia="Calibri" w:cs="Times New Roman"/>
          <w:sz w:val="24"/>
          <w:lang w:val="it-IT" w:eastAsia="it-IT"/>
        </w:rPr>
      </w:pPr>
      <w:bookmarkStart w:id="42" w:name="_Toc174967766"/>
      <w:bookmarkStart w:id="43" w:name="_Toc174969936"/>
      <w:bookmarkStart w:id="44" w:name="_Toc175047351"/>
      <w:bookmarkStart w:id="45" w:name="_Toc175053291"/>
      <w:bookmarkStart w:id="46" w:name="_Toc175060387"/>
      <w:bookmarkStart w:id="47" w:name="_Toc175062309"/>
      <w:bookmarkStart w:id="48" w:name="_Toc175062441"/>
      <w:bookmarkStart w:id="49" w:name="_Toc175064432"/>
      <w:bookmarkStart w:id="50" w:name="_Toc175065289"/>
      <w:bookmarkStart w:id="51" w:name="_Toc175649096"/>
      <w:bookmarkStart w:id="52" w:name="_Toc175650676"/>
      <w:bookmarkStart w:id="53" w:name="_Toc176165433"/>
      <w:r w:rsidRPr="00A26BAE">
        <w:rPr>
          <w:rFonts w:eastAsia="Calibri" w:cs="Times New Roman"/>
          <w:sz w:val="24"/>
          <w:lang w:val="it-IT" w:eastAsia="it-IT"/>
        </w:rPr>
        <w:t>Campus SUPSI a Lugano Stazione</w:t>
      </w:r>
      <w:bookmarkEnd w:id="42"/>
      <w:bookmarkEnd w:id="43"/>
      <w:bookmarkEnd w:id="44"/>
      <w:bookmarkEnd w:id="45"/>
      <w:bookmarkEnd w:id="46"/>
      <w:bookmarkEnd w:id="47"/>
      <w:bookmarkEnd w:id="48"/>
      <w:bookmarkEnd w:id="49"/>
      <w:bookmarkEnd w:id="50"/>
      <w:bookmarkEnd w:id="51"/>
      <w:bookmarkEnd w:id="52"/>
      <w:bookmarkEnd w:id="53"/>
    </w:p>
    <w:p w:rsidR="00F500DC" w:rsidRDefault="00F500DC" w:rsidP="00F500DC">
      <w:pPr>
        <w:spacing w:before="120"/>
        <w:rPr>
          <w:rFonts w:cs="Arial"/>
          <w:sz w:val="24"/>
          <w:szCs w:val="24"/>
        </w:rPr>
      </w:pPr>
      <w:r w:rsidRPr="00ED4DC0">
        <w:rPr>
          <w:rFonts w:cs="Arial"/>
          <w:sz w:val="24"/>
          <w:szCs w:val="24"/>
        </w:rPr>
        <w:t>Il progetto del Campus SUPSI a Lugano Stazione (edificio 1°, Figura 6, pag. 109 del messaggio), approvato nel 2014 con il messaggio 6957, è tutt'ora in attesa di essere realizzato, a causa di ricorsi e dei necessari accordi con le FFS che non si sono rivelati agevoli. Le due varianti di Piano regolatore StazLu2 e TriMa sono state approvate a dicembre del 2023. Attualmente però sono pendenti cinque ricorsi da parte di privati.</w:t>
      </w:r>
    </w:p>
    <w:p w:rsidR="00F500DC" w:rsidRPr="001207A4" w:rsidRDefault="00F500DC" w:rsidP="00F500DC">
      <w:pPr>
        <w:spacing w:before="120"/>
        <w:rPr>
          <w:rFonts w:cs="Arial"/>
          <w:sz w:val="24"/>
          <w:szCs w:val="24"/>
        </w:rPr>
      </w:pPr>
      <w:r w:rsidRPr="001207A4">
        <w:rPr>
          <w:rFonts w:cs="Arial"/>
          <w:sz w:val="24"/>
          <w:szCs w:val="24"/>
        </w:rPr>
        <w:t>L'aggiornamento dei costi di costruzione, a quasi 10 anni dalla prima stima, unito alla necessità di superare ostacoli tecnici non rilevati inizialmente, potrebbe portare ad un incremento dei costi di circa il 25% rispetto al costo dell'opera che nel 2014 era stato stimato in 68 milioni di franchi.</w:t>
      </w:r>
    </w:p>
    <w:p w:rsidR="00F500DC" w:rsidRPr="001207A4" w:rsidRDefault="00F500DC" w:rsidP="00F500DC">
      <w:pPr>
        <w:spacing w:before="120"/>
        <w:rPr>
          <w:rFonts w:cs="Arial"/>
          <w:sz w:val="24"/>
          <w:szCs w:val="24"/>
        </w:rPr>
      </w:pPr>
      <w:r w:rsidRPr="001207A4">
        <w:rPr>
          <w:rFonts w:cs="Arial"/>
          <w:sz w:val="24"/>
          <w:szCs w:val="24"/>
        </w:rPr>
        <w:t>In termini di evoluzione del fabbisogno di spazi, il tempo intercorso dall’approvazione del messaggio e l’evoluzione dei bisogni logistici di SUPSI a seguito del significativo aumento dell’attività formativa e di ricerca, hanno determinato l’esigenza di prevedere superfici maggiori per poter accogliere a Lugano Stazione tutte le attività di SUPSI presenti a Manno (DEASS e Direzione SUPSI), tenuto conto di un ragionevole sviluppo delle attività nel prossimo decennio. Pertanto, per porvi rimedio, è stata approfondita negli ultimi anni anche l’ipotesi di uno sviluppo logistico sopra il nuovo nodo intermodale in costruzione su piazzale Besso (ex Pestalozzi) – (edificio 1B, Figura 6, pag. 109 del messaggio). In ogni caso, tale ipotesi non può essere considerata in maniera disgiunta dal Campus SUPSI Lugano Stazione.</w:t>
      </w:r>
    </w:p>
    <w:p w:rsidR="00F500DC" w:rsidRPr="003E3CD3" w:rsidRDefault="00F500DC" w:rsidP="00F500DC">
      <w:pPr>
        <w:spacing w:after="240"/>
        <w:rPr>
          <w:rFonts w:cs="Arial"/>
          <w:sz w:val="24"/>
          <w:szCs w:val="24"/>
        </w:rPr>
      </w:pPr>
      <w:r w:rsidRPr="001207A4">
        <w:rPr>
          <w:rFonts w:cs="Arial"/>
          <w:sz w:val="24"/>
          <w:szCs w:val="24"/>
        </w:rPr>
        <w:t>Viste le numerose difficoltà inerenti</w:t>
      </w:r>
      <w:r w:rsidRPr="003E3CD3">
        <w:rPr>
          <w:rFonts w:cs="Arial"/>
          <w:sz w:val="24"/>
          <w:szCs w:val="24"/>
        </w:rPr>
        <w:t xml:space="preserve"> alla negoziazione con le FFS per l’acquisto del terreno su cui dovrebbe sorgere il campus (edificio 1A), la complessità legata alla copertura della trincea di Massagno e i ricorsi ricevuti, si ritiene che la maturazione del progetto possa essere ancora lontana. Pertanto, alla luce di tale situazione che si trascina da anni, la SUPSI, in accordo con il Cantone, sta valutando soluzioni alternative sempre nel luganese.</w:t>
      </w:r>
    </w:p>
    <w:p w:rsidR="00F500DC" w:rsidRPr="003E3CD3" w:rsidDel="00BD05FF" w:rsidRDefault="00F500DC" w:rsidP="00F500DC">
      <w:pPr>
        <w:spacing w:after="240"/>
        <w:rPr>
          <w:rFonts w:cs="Arial"/>
          <w:sz w:val="24"/>
          <w:szCs w:val="24"/>
        </w:rPr>
      </w:pPr>
    </w:p>
    <w:p w:rsidR="00F500DC" w:rsidRPr="00A26BAE" w:rsidRDefault="00F500DC" w:rsidP="00A26BAE">
      <w:pPr>
        <w:pStyle w:val="Titolo2"/>
        <w:numPr>
          <w:ilvl w:val="0"/>
          <w:numId w:val="0"/>
        </w:numPr>
        <w:tabs>
          <w:tab w:val="left" w:pos="567"/>
        </w:tabs>
        <w:suppressAutoHyphens w:val="0"/>
        <w:spacing w:before="0" w:after="120"/>
        <w:jc w:val="both"/>
        <w:rPr>
          <w:rFonts w:eastAsia="Calibri" w:cs="Times New Roman"/>
          <w:sz w:val="24"/>
          <w:lang w:val="it-IT" w:eastAsia="it-IT"/>
        </w:rPr>
      </w:pPr>
      <w:bookmarkStart w:id="54" w:name="_Toc174967767"/>
      <w:bookmarkStart w:id="55" w:name="_Toc174969937"/>
      <w:bookmarkStart w:id="56" w:name="_Toc175047352"/>
      <w:bookmarkStart w:id="57" w:name="_Toc175053292"/>
      <w:bookmarkStart w:id="58" w:name="_Toc175060388"/>
      <w:bookmarkStart w:id="59" w:name="_Toc175062310"/>
      <w:bookmarkStart w:id="60" w:name="_Toc175062442"/>
      <w:bookmarkStart w:id="61" w:name="_Toc175064433"/>
      <w:bookmarkStart w:id="62" w:name="_Toc175065290"/>
      <w:bookmarkStart w:id="63" w:name="_Toc175649097"/>
      <w:bookmarkStart w:id="64" w:name="_Toc175650677"/>
      <w:bookmarkStart w:id="65" w:name="_Toc176165434"/>
      <w:bookmarkStart w:id="66" w:name="_Hlk182750986"/>
      <w:r w:rsidRPr="00A26BAE">
        <w:rPr>
          <w:rFonts w:eastAsia="Calibri" w:cs="Times New Roman"/>
          <w:sz w:val="24"/>
          <w:lang w:val="it-IT" w:eastAsia="it-IT"/>
        </w:rPr>
        <w:lastRenderedPageBreak/>
        <w:t>Campus Accademia di architettura USI Mendrisio</w:t>
      </w:r>
      <w:bookmarkEnd w:id="54"/>
      <w:bookmarkEnd w:id="55"/>
      <w:bookmarkEnd w:id="56"/>
      <w:bookmarkEnd w:id="57"/>
      <w:bookmarkEnd w:id="58"/>
      <w:bookmarkEnd w:id="59"/>
      <w:bookmarkEnd w:id="60"/>
      <w:bookmarkEnd w:id="61"/>
      <w:bookmarkEnd w:id="62"/>
      <w:bookmarkEnd w:id="63"/>
      <w:bookmarkEnd w:id="64"/>
      <w:bookmarkEnd w:id="65"/>
    </w:p>
    <w:bookmarkEnd w:id="66"/>
    <w:p w:rsidR="00F500DC" w:rsidRPr="003E3CD3" w:rsidRDefault="00F500DC" w:rsidP="00F500DC">
      <w:pPr>
        <w:spacing w:before="120"/>
        <w:rPr>
          <w:rFonts w:cs="Arial"/>
          <w:b/>
          <w:sz w:val="24"/>
          <w:szCs w:val="24"/>
        </w:rPr>
      </w:pPr>
      <w:r w:rsidRPr="003E3CD3">
        <w:rPr>
          <w:rFonts w:cs="Arial"/>
          <w:sz w:val="24"/>
          <w:szCs w:val="24"/>
        </w:rPr>
        <w:t>Il progetto di ampliamento del Campus si compone di tre elementi: il Teatro, la Biblioteca del Turconi e il nuovo stabile per atelier Turconi 2.</w:t>
      </w:r>
    </w:p>
    <w:p w:rsidR="00F500DC" w:rsidRPr="003E3CD3" w:rsidRDefault="00F500DC" w:rsidP="00F500DC">
      <w:pPr>
        <w:spacing w:before="120"/>
        <w:rPr>
          <w:rFonts w:cs="Arial"/>
          <w:sz w:val="24"/>
          <w:szCs w:val="24"/>
        </w:rPr>
      </w:pPr>
      <w:r w:rsidRPr="003E3CD3">
        <w:rPr>
          <w:rFonts w:cs="Arial"/>
          <w:sz w:val="24"/>
          <w:szCs w:val="24"/>
        </w:rPr>
        <w:t>Il Teatro è stato completato da alcuni anni e anche la Biblioteca è stata inaugurata a inizio 2021, mentre la vecchia aula di legno che dal 1997 ospitava provvisoriamente la Biblioteca, nel 2022 è stata smontata e ricostruita da un gruppo di associazioni sportive come palestra a Genestrerio.</w:t>
      </w:r>
    </w:p>
    <w:p w:rsidR="00F500DC" w:rsidRPr="003E3CD3" w:rsidRDefault="00F500DC" w:rsidP="005F35C3">
      <w:pPr>
        <w:rPr>
          <w:rFonts w:cs="Arial"/>
          <w:sz w:val="24"/>
          <w:szCs w:val="24"/>
        </w:rPr>
      </w:pPr>
      <w:r w:rsidRPr="003E3CD3">
        <w:rPr>
          <w:rFonts w:cs="Arial"/>
          <w:sz w:val="24"/>
          <w:szCs w:val="24"/>
        </w:rPr>
        <w:t xml:space="preserve">Il progetto Turconi 2 è stato invece bloccato da un ricorso che ha richiesto una successiva valutazione delle Commissioni federali dei Beni culturali e del Paesaggio. Tale valutazione è risultata sostanzialmente positiva, ma suggeriva alcune modifiche. Una nuova variante è stata pertanto sottoposta alle autorità nell’agosto 2022 e approvata nel corso del 2023. È quindi stato erogato un ulteriore acconto di </w:t>
      </w:r>
      <w:r w:rsidRPr="004070D4">
        <w:rPr>
          <w:rFonts w:cs="Arial"/>
          <w:sz w:val="24"/>
          <w:szCs w:val="24"/>
        </w:rPr>
        <w:t>1'192'000 franchi per un totale di contributo versato di 6’117'000 franchi, a</w:t>
      </w:r>
      <w:r w:rsidRPr="003E3CD3">
        <w:rPr>
          <w:rFonts w:cs="Arial"/>
          <w:sz w:val="24"/>
          <w:szCs w:val="24"/>
        </w:rPr>
        <w:t xml:space="preserve"> fronte di un credito votato (messaggio 7575 del 5 settembre 2018) di 16 milioni di franchi.</w:t>
      </w:r>
    </w:p>
    <w:p w:rsidR="00F500DC" w:rsidRDefault="00F500DC" w:rsidP="005F35C3">
      <w:pPr>
        <w:rPr>
          <w:rFonts w:cs="Arial"/>
          <w:sz w:val="24"/>
          <w:szCs w:val="24"/>
        </w:rPr>
      </w:pPr>
    </w:p>
    <w:p w:rsidR="005F35C3" w:rsidRPr="003E3CD3" w:rsidRDefault="005F35C3" w:rsidP="005F35C3">
      <w:pPr>
        <w:rPr>
          <w:rFonts w:cs="Arial"/>
          <w:sz w:val="24"/>
          <w:szCs w:val="24"/>
        </w:rPr>
      </w:pPr>
    </w:p>
    <w:p w:rsidR="00F500DC" w:rsidRPr="00A26BAE" w:rsidRDefault="00F500DC" w:rsidP="005F35C3">
      <w:pPr>
        <w:pStyle w:val="Titolo1"/>
        <w:tabs>
          <w:tab w:val="left" w:pos="567"/>
        </w:tabs>
        <w:suppressAutoHyphens w:val="0"/>
        <w:spacing w:before="0" w:after="0"/>
        <w:ind w:left="567" w:hanging="567"/>
        <w:jc w:val="both"/>
        <w:rPr>
          <w:rFonts w:eastAsia="Calibri" w:cs="Times New Roman"/>
          <w:caps/>
          <w:sz w:val="24"/>
          <w:szCs w:val="24"/>
          <w:lang w:val="it-IT" w:eastAsia="it-IT"/>
        </w:rPr>
      </w:pPr>
      <w:r w:rsidRPr="00A26BAE">
        <w:rPr>
          <w:rFonts w:eastAsia="Calibri" w:cs="Times New Roman"/>
          <w:caps/>
          <w:sz w:val="24"/>
          <w:szCs w:val="24"/>
          <w:lang w:val="it-IT" w:eastAsia="it-IT"/>
        </w:rPr>
        <w:t>PROGETTI DI COLLABORAZIONE TRA USI E SUPSI</w:t>
      </w:r>
    </w:p>
    <w:p w:rsidR="00F500DC" w:rsidRPr="003E3CD3" w:rsidRDefault="00F500DC" w:rsidP="00F500DC">
      <w:pPr>
        <w:spacing w:before="120"/>
        <w:rPr>
          <w:rFonts w:cs="Arial"/>
          <w:sz w:val="24"/>
          <w:szCs w:val="24"/>
        </w:rPr>
      </w:pPr>
      <w:r w:rsidRPr="003E3CD3">
        <w:rPr>
          <w:rFonts w:cs="Arial"/>
          <w:sz w:val="24"/>
          <w:szCs w:val="24"/>
        </w:rPr>
        <w:t>La LSU prevede all’art. 1 cpv. 5 che USI e SUPSI collaborino secondo il principio della complementarità e dell’efficienza. La stretta collaborazione tra i due istituti è incentivata a livello istituzionale con la convocazione periodica della Commissione permanente di coordinamento universitario (art. 2 cpv. 4 della LSU), composta dal Direttore del Dipartimento competente (DECS) e dai Presidenti dei consigli dell’USI e della SUPSI. La Commissione ha lo scopo di coordinare le linee strategiche della politica universitaria cantonale, nel rispetto delle competenze e dell’autonomia dei rispettivi organi decisionali (art. 3 del Regolamento della LSU).</w:t>
      </w:r>
    </w:p>
    <w:p w:rsidR="00F500DC" w:rsidRDefault="00F500DC" w:rsidP="00A26BAE">
      <w:pPr>
        <w:rPr>
          <w:rFonts w:cs="Arial"/>
          <w:sz w:val="24"/>
          <w:szCs w:val="24"/>
        </w:rPr>
      </w:pPr>
      <w:r w:rsidRPr="003E3CD3">
        <w:rPr>
          <w:rFonts w:cs="Arial"/>
          <w:sz w:val="24"/>
          <w:szCs w:val="24"/>
        </w:rPr>
        <w:t xml:space="preserve">Nell’allegato </w:t>
      </w:r>
      <w:r w:rsidRPr="001207A4">
        <w:rPr>
          <w:rFonts w:cs="Arial"/>
          <w:sz w:val="24"/>
          <w:szCs w:val="24"/>
        </w:rPr>
        <w:t>11 del messaggio</w:t>
      </w:r>
      <w:r w:rsidRPr="003E3CD3">
        <w:rPr>
          <w:rFonts w:cs="Arial"/>
          <w:sz w:val="24"/>
          <w:szCs w:val="24"/>
        </w:rPr>
        <w:t xml:space="preserve"> consultabile sul sito del cantone sono presentati, seppur in modo non esaustivo, i progetti attuati in collaborazione tra le due istituzioni accademiche.</w:t>
      </w:r>
    </w:p>
    <w:p w:rsidR="00F500DC" w:rsidRDefault="00F500DC" w:rsidP="00A26BAE">
      <w:pPr>
        <w:rPr>
          <w:rFonts w:cs="Arial"/>
          <w:sz w:val="24"/>
          <w:szCs w:val="24"/>
        </w:rPr>
      </w:pPr>
    </w:p>
    <w:p w:rsidR="00CD6E32" w:rsidRPr="003E3CD3" w:rsidRDefault="00CD6E32" w:rsidP="00A26BAE">
      <w:pPr>
        <w:rPr>
          <w:rFonts w:cs="Arial"/>
          <w:sz w:val="24"/>
          <w:szCs w:val="24"/>
        </w:rPr>
      </w:pPr>
    </w:p>
    <w:p w:rsidR="00F500DC" w:rsidRPr="00A26BAE" w:rsidRDefault="00F500DC" w:rsidP="00A26BAE">
      <w:pPr>
        <w:pStyle w:val="Titolo1"/>
        <w:tabs>
          <w:tab w:val="left" w:pos="0"/>
        </w:tabs>
        <w:suppressAutoHyphens w:val="0"/>
        <w:spacing w:before="0"/>
        <w:jc w:val="both"/>
        <w:rPr>
          <w:rFonts w:eastAsia="Calibri" w:cs="Times New Roman"/>
          <w:caps/>
          <w:sz w:val="24"/>
          <w:szCs w:val="24"/>
          <w:lang w:val="it-IT" w:eastAsia="it-IT"/>
        </w:rPr>
      </w:pPr>
      <w:r w:rsidRPr="00A26BAE">
        <w:rPr>
          <w:rFonts w:eastAsia="Calibri" w:cs="Times New Roman"/>
          <w:caps/>
          <w:sz w:val="24"/>
          <w:szCs w:val="24"/>
          <w:lang w:val="it-IT" w:eastAsia="it-IT"/>
        </w:rPr>
        <w:t>MISURE INTRAPRESE NEL 2023 IN RELAZIONE ALLE CONSIDERAZIONI FATTE DALLA COMMISSIONE DI CONTROLLO SU USI E SUPSI SUL MESSAGGIO 21 GIUGNO 2023</w:t>
      </w:r>
    </w:p>
    <w:p w:rsidR="00F500DC" w:rsidRPr="00A26BAE" w:rsidRDefault="00F500DC" w:rsidP="00A26BAE">
      <w:pPr>
        <w:pStyle w:val="Titolo2"/>
        <w:numPr>
          <w:ilvl w:val="0"/>
          <w:numId w:val="0"/>
        </w:numPr>
        <w:tabs>
          <w:tab w:val="left" w:pos="567"/>
        </w:tabs>
        <w:suppressAutoHyphens w:val="0"/>
        <w:spacing w:before="0" w:after="120"/>
        <w:jc w:val="both"/>
        <w:rPr>
          <w:rFonts w:eastAsia="Calibri" w:cs="Times New Roman"/>
          <w:sz w:val="24"/>
          <w:lang w:val="it-IT" w:eastAsia="it-IT"/>
        </w:rPr>
      </w:pPr>
      <w:r w:rsidRPr="00A26BAE">
        <w:rPr>
          <w:rFonts w:eastAsia="Calibri" w:cs="Times New Roman"/>
          <w:sz w:val="24"/>
          <w:lang w:val="it-IT" w:eastAsia="it-IT"/>
        </w:rPr>
        <w:t>Collaborazione tra USI e SUPSI in generale</w:t>
      </w:r>
    </w:p>
    <w:p w:rsidR="00F500DC" w:rsidRPr="003E3CD3"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Nel 2023, la stretta collaborazione tra USI e SUPSI è stata ulteriormente incentivata a livello istituzionale grazie al lavoro della Commissione permanente di coordinamento universitario (art. 2 cpv. 4 della LSU), composta dal Direttore del Dipartimento competente (DECS) e dai Presidenti dei consigli dell’USI e della SUPSI, che ha quale scopo di coordinare le linee strategiche della politica universitaria cantonale, nel rispetto delle reciproche competenze (art. 3 Regolamento della LSU). Questa collaborazione ha fatto sì che nelle pianificazioni strategiche per il quadriennio 2025-2028 di entrambi gli istituti, così come nel messaggio di politica universitaria cantonale 2025-2028 (msg. 8438 del 5 giugno 2024) approvato dal Parlamento nella seduta del 4 novembre 2024, è previsto un rafforzamento delle sinergie e delle collaborazioni nei seguenti ambiti tematici, identificati grazie al lavoro congiunto delle due Direzioni, promosso dalla Commissione permanente di coordinamento universitario: </w:t>
      </w:r>
    </w:p>
    <w:p w:rsidR="00F500DC" w:rsidRPr="003E3CD3" w:rsidRDefault="00F500DC" w:rsidP="00CD6E32">
      <w:pPr>
        <w:suppressAutoHyphens w:val="0"/>
        <w:autoSpaceDE w:val="0"/>
        <w:autoSpaceDN w:val="0"/>
        <w:adjustRightInd w:val="0"/>
        <w:spacing w:before="6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 collaborazione amministrativa istituzionale (relazioni con swissuniversities); </w:t>
      </w:r>
    </w:p>
    <w:p w:rsidR="00F500DC" w:rsidRPr="003E3CD3" w:rsidRDefault="00F500DC" w:rsidP="00CD6E32">
      <w:pPr>
        <w:suppressAutoHyphens w:val="0"/>
        <w:autoSpaceDE w:val="0"/>
        <w:autoSpaceDN w:val="0"/>
        <w:adjustRightInd w:val="0"/>
        <w:spacing w:before="6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 collaborazione amministrativa nei servizi; </w:t>
      </w:r>
    </w:p>
    <w:p w:rsidR="00F500DC" w:rsidRPr="003E3CD3" w:rsidRDefault="00F500DC" w:rsidP="00CD6E32">
      <w:pPr>
        <w:suppressAutoHyphens w:val="0"/>
        <w:autoSpaceDE w:val="0"/>
        <w:autoSpaceDN w:val="0"/>
        <w:adjustRightInd w:val="0"/>
        <w:spacing w:before="6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lastRenderedPageBreak/>
        <w:t xml:space="preserve">- formazione di base; </w:t>
      </w:r>
    </w:p>
    <w:p w:rsidR="00F500DC" w:rsidRPr="003E3CD3" w:rsidRDefault="00F500DC" w:rsidP="00CD6E32">
      <w:pPr>
        <w:suppressAutoHyphens w:val="0"/>
        <w:autoSpaceDE w:val="0"/>
        <w:autoSpaceDN w:val="0"/>
        <w:adjustRightInd w:val="0"/>
        <w:spacing w:before="6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 formazione continua; </w:t>
      </w:r>
    </w:p>
    <w:p w:rsidR="00F500DC" w:rsidRPr="003E3CD3" w:rsidRDefault="00F500DC" w:rsidP="00CD6E32">
      <w:pPr>
        <w:suppressAutoHyphens w:val="0"/>
        <w:autoSpaceDE w:val="0"/>
        <w:autoSpaceDN w:val="0"/>
        <w:adjustRightInd w:val="0"/>
        <w:spacing w:before="6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 trasferimento delle conoscenze e imprenditorialità; </w:t>
      </w:r>
    </w:p>
    <w:p w:rsidR="00F500DC" w:rsidRPr="003E3CD3" w:rsidRDefault="00F500DC" w:rsidP="00CD6E32">
      <w:pPr>
        <w:suppressAutoHyphens w:val="0"/>
        <w:autoSpaceDE w:val="0"/>
        <w:autoSpaceDN w:val="0"/>
        <w:adjustRightInd w:val="0"/>
        <w:spacing w:before="6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 cultura della costruzione; </w:t>
      </w:r>
    </w:p>
    <w:p w:rsidR="00F500DC" w:rsidRPr="003E3CD3" w:rsidRDefault="00F500DC" w:rsidP="00CD6E32">
      <w:pPr>
        <w:suppressAutoHyphens w:val="0"/>
        <w:autoSpaceDE w:val="0"/>
        <w:autoSpaceDN w:val="0"/>
        <w:adjustRightInd w:val="0"/>
        <w:spacing w:before="6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 intelligenza artificiale e robotica; </w:t>
      </w:r>
    </w:p>
    <w:p w:rsidR="00F500DC" w:rsidRPr="003E3CD3" w:rsidRDefault="00F500DC" w:rsidP="00CD6E32">
      <w:pPr>
        <w:suppressAutoHyphens w:val="0"/>
        <w:autoSpaceDE w:val="0"/>
        <w:autoSpaceDN w:val="0"/>
        <w:adjustRightInd w:val="0"/>
        <w:spacing w:before="6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 politica sanitaria e salute pubblica; </w:t>
      </w:r>
    </w:p>
    <w:p w:rsidR="00F500DC" w:rsidRPr="003E3CD3" w:rsidRDefault="00F500DC" w:rsidP="00CD6E32">
      <w:pPr>
        <w:suppressAutoHyphens w:val="0"/>
        <w:autoSpaceDE w:val="0"/>
        <w:autoSpaceDN w:val="0"/>
        <w:adjustRightInd w:val="0"/>
        <w:spacing w:before="6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 diritto; </w:t>
      </w:r>
    </w:p>
    <w:p w:rsidR="00F500DC" w:rsidRPr="003E3CD3" w:rsidRDefault="00F500DC" w:rsidP="00CD6E32">
      <w:pPr>
        <w:suppressAutoHyphens w:val="0"/>
        <w:autoSpaceDE w:val="0"/>
        <w:autoSpaceDN w:val="0"/>
        <w:adjustRightInd w:val="0"/>
        <w:spacing w:before="6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 possibile creazione di un polo per le scienze audiovisive a Locarno. </w:t>
      </w:r>
    </w:p>
    <w:p w:rsidR="00F500DC" w:rsidRPr="003E3CD3" w:rsidRDefault="00F500DC" w:rsidP="00F500DC">
      <w:pPr>
        <w:suppressAutoHyphens w:val="0"/>
        <w:autoSpaceDE w:val="0"/>
        <w:autoSpaceDN w:val="0"/>
        <w:adjustRightInd w:val="0"/>
        <w:jc w:val="left"/>
        <w:rPr>
          <w:rFonts w:eastAsiaTheme="minorEastAsia" w:cs="Arial"/>
          <w:color w:val="000000"/>
          <w:sz w:val="24"/>
          <w:szCs w:val="24"/>
          <w:lang w:eastAsia="ko-KR" w:bidi="he-IL"/>
          <w14:ligatures w14:val="standardContextual"/>
        </w:rPr>
      </w:pPr>
    </w:p>
    <w:p w:rsidR="00F500DC" w:rsidRPr="003E3CD3"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Per ogni ambito è stato nominato un referente per ciascuna delle due istituzioni. Sono inoltre previsti incontri regolari tra le due direzioni al fine di valutare l’opportunità di rafforzare le collaborazioni o trovare possibili sinergie nei vari ambiti. </w:t>
      </w:r>
    </w:p>
    <w:p w:rsidR="00F500DC" w:rsidRPr="00A26BAE" w:rsidRDefault="00F500DC" w:rsidP="00A26BAE">
      <w:pPr>
        <w:suppressAutoHyphens w:val="0"/>
        <w:autoSpaceDE w:val="0"/>
        <w:autoSpaceDN w:val="0"/>
        <w:adjustRightInd w:val="0"/>
        <w:spacing w:after="24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Lo scorso 25 giugno 2024 i Presidenti dei Consigli USI e SUPSI hanno convocato una riunione per discutere delle modalità operative da prevedere per sviluppare le collaborazioni tra i due istituti e per assicurarne l’adeguato monitoraggio e rendicontazione. In quell’occasione è stato attivato un gruppo di lavoro permanente, costituito dalla Rettrice, dal direttore operativo e dal segretario generale dell’USI e dal direttore generale, dal direttore amministrativo e dalla responsabile dei servizi della direzione generale della SUPSI, che avrà il compito di incontrarsi regolarmente e di elaborare documenti di sintesi all’attenzione della Commissione permanente di coordinamento universitario. Questa reportistica delle attività permetterà anche alla Commissione di controllo e al Parlamento, in sede di rendicontazione annuale, di apprezzare gli effettivi sviluppi nei diversificati ambiti di azione.</w:t>
      </w:r>
    </w:p>
    <w:p w:rsidR="00F500DC" w:rsidRPr="00A26BAE" w:rsidRDefault="00F500DC" w:rsidP="00A26BAE">
      <w:pPr>
        <w:pStyle w:val="Titolo2"/>
        <w:numPr>
          <w:ilvl w:val="0"/>
          <w:numId w:val="0"/>
        </w:numPr>
        <w:tabs>
          <w:tab w:val="left" w:pos="567"/>
        </w:tabs>
        <w:suppressAutoHyphens w:val="0"/>
        <w:spacing w:before="0" w:after="120"/>
        <w:jc w:val="both"/>
        <w:rPr>
          <w:rFonts w:eastAsia="Calibri" w:cs="Times New Roman"/>
          <w:sz w:val="24"/>
          <w:lang w:val="it-IT" w:eastAsia="it-IT"/>
        </w:rPr>
      </w:pPr>
      <w:r w:rsidRPr="00A26BAE">
        <w:rPr>
          <w:rFonts w:eastAsia="Calibri" w:cs="Times New Roman"/>
          <w:sz w:val="24"/>
          <w:lang w:val="it-IT" w:eastAsia="it-IT"/>
        </w:rPr>
        <w:t>Collaborazione con SUFFP per la formazione docenti</w:t>
      </w:r>
    </w:p>
    <w:p w:rsidR="00F500DC" w:rsidRPr="003E3CD3"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1207A4">
        <w:rPr>
          <w:rFonts w:eastAsiaTheme="minorEastAsia" w:cs="Arial"/>
          <w:color w:val="000000"/>
          <w:sz w:val="24"/>
          <w:szCs w:val="24"/>
          <w:lang w:eastAsia="ko-KR" w:bidi="he-IL"/>
          <w14:ligatures w14:val="standardContextual"/>
        </w:rPr>
        <w:t>Nello scorso rapporto avevamo notato una mancanza di collaborazione.</w:t>
      </w:r>
    </w:p>
    <w:p w:rsidR="00F500DC" w:rsidRPr="003E3CD3"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Per favorire lo sviluppo di collaborazioni regolari tra i due istituti è stato richiesto alla SUFFP di identificare una persona che la potesse rappresentare nella commissione consultiva del DFA/ASP (https://www.supsi.ch/it/web/dfa/organizzazione)</w:t>
      </w:r>
      <w:r w:rsidRPr="006A5368">
        <w:rPr>
          <w:rFonts w:eastAsiaTheme="minorEastAsia" w:cs="Arial"/>
          <w:color w:val="000000"/>
          <w:sz w:val="24"/>
          <w:szCs w:val="24"/>
          <w:lang w:eastAsia="ko-KR" w:bidi="he-IL"/>
          <w14:ligatures w14:val="standardContextual"/>
        </w:rPr>
        <w:t>.</w:t>
      </w:r>
      <w:r>
        <w:rPr>
          <w:rFonts w:eastAsiaTheme="minorEastAsia" w:cs="Arial"/>
          <w:color w:val="000000"/>
          <w:sz w:val="24"/>
          <w:szCs w:val="24"/>
          <w:lang w:eastAsia="ko-KR" w:bidi="he-IL"/>
          <w14:ligatures w14:val="standardContextual"/>
        </w:rPr>
        <w:t xml:space="preserve"> </w:t>
      </w:r>
    </w:p>
    <w:p w:rsidR="00F500DC" w:rsidRPr="003E3CD3"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Collaborazioni più puntuali tra i due istituti sono per contro già in atto. Negli ultimi anni infatti SUFFP e SUPSI hanno collaborato nell’ambito dell’innovazione didattica</w:t>
      </w:r>
      <w:r w:rsidRPr="006A5368">
        <w:rPr>
          <w:rFonts w:eastAsiaTheme="minorEastAsia" w:cs="Arial"/>
          <w:color w:val="000000"/>
          <w:sz w:val="24"/>
          <w:szCs w:val="24"/>
          <w:lang w:eastAsia="ko-KR" w:bidi="he-IL"/>
          <w14:ligatures w14:val="standardContextual"/>
        </w:rPr>
        <w:t>.</w:t>
      </w:r>
      <w:r>
        <w:rPr>
          <w:rFonts w:eastAsiaTheme="minorEastAsia" w:cs="Arial"/>
          <w:color w:val="000000"/>
          <w:sz w:val="24"/>
          <w:szCs w:val="24"/>
          <w:lang w:eastAsia="ko-KR" w:bidi="he-IL"/>
          <w14:ligatures w14:val="standardContextual"/>
        </w:rPr>
        <w:t xml:space="preserve"> </w:t>
      </w:r>
    </w:p>
    <w:p w:rsidR="00F500DC" w:rsidRPr="003E3CD3"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Nel corso del 2024 la SUFFP e il DFA/ASP hanno organizzato insieme il convegno nazionale della Società svizzera di ricerca in educazione (https://www.ssre2024.ch/). </w:t>
      </w:r>
    </w:p>
    <w:p w:rsidR="00F500DC" w:rsidRPr="003E3CD3"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SUFFP e DFA/ASP sono entrambe presenti nel gruppo di lavoro promosso dal DECS sull’intelligenza artificiale. </w:t>
      </w:r>
    </w:p>
    <w:p w:rsidR="00F500DC" w:rsidRPr="00A26BAE" w:rsidRDefault="00F500DC" w:rsidP="00F500DC">
      <w:pPr>
        <w:spacing w:after="24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Si segnala infine che nella seduta di ottobre 2024 del gruppo di coordinamento DECS-DFA/ASP è stato concordato di valutare con la SUFFP la possibilità di creare maggiori sinergie per quanto riguarda la formazione dei docenti del settore secondario II.</w:t>
      </w:r>
    </w:p>
    <w:p w:rsidR="00F500DC" w:rsidRPr="00A26BAE" w:rsidRDefault="00F500DC" w:rsidP="00A26BAE">
      <w:pPr>
        <w:pStyle w:val="Titolo2"/>
        <w:numPr>
          <w:ilvl w:val="0"/>
          <w:numId w:val="0"/>
        </w:numPr>
        <w:tabs>
          <w:tab w:val="left" w:pos="567"/>
        </w:tabs>
        <w:suppressAutoHyphens w:val="0"/>
        <w:spacing w:before="0" w:after="120"/>
        <w:jc w:val="both"/>
        <w:rPr>
          <w:rFonts w:eastAsia="Calibri" w:cs="Times New Roman"/>
          <w:sz w:val="24"/>
          <w:lang w:val="it-IT" w:eastAsia="it-IT"/>
        </w:rPr>
      </w:pPr>
      <w:r w:rsidRPr="00A26BAE">
        <w:rPr>
          <w:rFonts w:eastAsia="Calibri" w:cs="Times New Roman"/>
          <w:sz w:val="24"/>
          <w:lang w:val="it-IT" w:eastAsia="it-IT"/>
        </w:rPr>
        <w:t>Potenziamento della collaborazione WSL</w:t>
      </w:r>
    </w:p>
    <w:p w:rsidR="00F500DC"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Il Campus di ricerca di Cadenazzo ospita al suo interno l’Istituto federale di ricerca per la foresta, la neve e il paesaggio (WSL), Agroscope, il Servizio fitosanitario federale e Agridea. </w:t>
      </w:r>
    </w:p>
    <w:p w:rsidR="005F35C3" w:rsidRPr="003E3CD3" w:rsidRDefault="005F35C3" w:rsidP="00F500DC">
      <w:pPr>
        <w:suppressAutoHyphens w:val="0"/>
        <w:autoSpaceDE w:val="0"/>
        <w:autoSpaceDN w:val="0"/>
        <w:adjustRightInd w:val="0"/>
        <w:rPr>
          <w:rFonts w:eastAsiaTheme="minorEastAsia" w:cs="Arial"/>
          <w:color w:val="000000"/>
          <w:sz w:val="24"/>
          <w:szCs w:val="24"/>
          <w:lang w:eastAsia="ko-KR" w:bidi="he-IL"/>
          <w14:ligatures w14:val="standardContextual"/>
        </w:rPr>
      </w:pPr>
    </w:p>
    <w:p w:rsidR="00F500DC" w:rsidRPr="003E3CD3" w:rsidRDefault="00F500DC" w:rsidP="00F500DC">
      <w:pPr>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La collaborazione tra USI e WSL non ha visto passi avanti nel 2023, principalmente perché l’anno oggetto del rapporto commissionale è stato particolarmente impegnativo per l’USI dal punto di vista organizzativo e istituzionale, con l’insediamento della nuova Rettrice, la </w:t>
      </w:r>
      <w:r w:rsidRPr="003E3CD3">
        <w:rPr>
          <w:rFonts w:eastAsiaTheme="minorEastAsia" w:cs="Arial"/>
          <w:color w:val="000000"/>
          <w:sz w:val="24"/>
          <w:szCs w:val="24"/>
          <w:lang w:eastAsia="ko-KR" w:bidi="he-IL"/>
          <w14:ligatures w14:val="standardContextual"/>
        </w:rPr>
        <w:lastRenderedPageBreak/>
        <w:t>fine del periodo di transizione e l’elaborazione della pianificazione strategica 2025-2028. Inoltre le tematiche di ricerca di pertinenza del WSL non sono facilmente collegabili alle competenze attualmente sviluppate dall’USI. Pertanto il focus è stato</w:t>
      </w:r>
      <w:r>
        <w:rPr>
          <w:rFonts w:eastAsiaTheme="minorEastAsia" w:cs="Arial"/>
          <w:color w:val="000000"/>
          <w:sz w:val="24"/>
          <w:szCs w:val="24"/>
          <w:lang w:eastAsia="ko-KR" w:bidi="he-IL"/>
          <w14:ligatures w14:val="standardContextual"/>
        </w:rPr>
        <w:t xml:space="preserve"> </w:t>
      </w:r>
      <w:r w:rsidRPr="003E3CD3">
        <w:rPr>
          <w:rFonts w:eastAsiaTheme="minorEastAsia" w:cs="Arial"/>
          <w:color w:val="000000"/>
          <w:sz w:val="24"/>
          <w:szCs w:val="24"/>
          <w:lang w:eastAsia="ko-KR" w:bidi="he-IL"/>
          <w14:ligatures w14:val="standardContextual"/>
        </w:rPr>
        <w:t xml:space="preserve">fissato prioritariamente sul consolidamento del già ricco panorama di ricerca dell’Università. Tuttavia non è escluso che in futuro vengano approfondite delle collaborazioni con il WSL. </w:t>
      </w:r>
    </w:p>
    <w:p w:rsidR="00F500DC" w:rsidRPr="003E3CD3"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Vi sono per contro maggiori similitudini tra le attività svolte a Cadenazzo e i centri di competenza della SUPSI, in particolare quelli del DACD (Centro competenze cambiamento climatico e territorio, Istituto scienze della Terra e Istituto microbiologia). </w:t>
      </w:r>
    </w:p>
    <w:p w:rsidR="00F500DC" w:rsidRPr="003E3CD3"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Per ragioni di natura strutturale, Agroscope e WSL hanno una politica di centralizzazione dei temi a livello svizzero con il Dipartimento federale dell’economia della formazione e della ricerca (DEFR). Per questo motivo, collaborazioni con SUPSI non sono sempre possibili. </w:t>
      </w:r>
    </w:p>
    <w:p w:rsidR="00F500DC" w:rsidRPr="003E3CD3"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Interazioni regolari tra SUPSI e gli enti attivi nel campus di Cadenazzo nel contesto di singoli eventi sono per contro già concrete. A titolo di esempio si citano: </w:t>
      </w:r>
    </w:p>
    <w:p w:rsidR="00F500DC" w:rsidRPr="00CD6E32" w:rsidRDefault="00F500DC" w:rsidP="00CD6E32">
      <w:pPr>
        <w:pStyle w:val="Paragrafoelenco"/>
        <w:numPr>
          <w:ilvl w:val="0"/>
          <w:numId w:val="20"/>
        </w:numPr>
        <w:suppressAutoHyphens w:val="0"/>
        <w:autoSpaceDE w:val="0"/>
        <w:autoSpaceDN w:val="0"/>
        <w:adjustRightInd w:val="0"/>
        <w:spacing w:before="80"/>
        <w:ind w:left="284" w:hanging="284"/>
        <w:contextualSpacing w:val="0"/>
        <w:rPr>
          <w:rFonts w:eastAsiaTheme="minorEastAsia" w:cs="Arial"/>
          <w:color w:val="000000"/>
          <w:sz w:val="24"/>
          <w:szCs w:val="24"/>
          <w:lang w:eastAsia="ko-KR" w:bidi="he-IL"/>
          <w14:ligatures w14:val="standardContextual"/>
        </w:rPr>
      </w:pPr>
      <w:r w:rsidRPr="00CD6E32">
        <w:rPr>
          <w:rFonts w:eastAsiaTheme="minorEastAsia" w:cs="Arial"/>
          <w:color w:val="000000"/>
          <w:sz w:val="24"/>
          <w:szCs w:val="24"/>
          <w:lang w:eastAsia="ko-KR" w:bidi="he-IL"/>
          <w14:ligatures w14:val="standardContextual"/>
        </w:rPr>
        <w:t xml:space="preserve">lo Swiss Microbial Ecology Meeting (SME) 2023 tenutosi dal 18 al 20 gennaio 2023 a Mendrisio. </w:t>
      </w:r>
    </w:p>
    <w:p w:rsidR="00F500DC" w:rsidRPr="00CD6E32" w:rsidRDefault="00F500DC" w:rsidP="00CD6E32">
      <w:pPr>
        <w:pStyle w:val="Paragrafoelenco"/>
        <w:numPr>
          <w:ilvl w:val="0"/>
          <w:numId w:val="20"/>
        </w:numPr>
        <w:suppressAutoHyphens w:val="0"/>
        <w:autoSpaceDE w:val="0"/>
        <w:autoSpaceDN w:val="0"/>
        <w:adjustRightInd w:val="0"/>
        <w:spacing w:before="80"/>
        <w:ind w:left="284" w:hanging="284"/>
        <w:contextualSpacing w:val="0"/>
        <w:rPr>
          <w:rFonts w:eastAsiaTheme="minorEastAsia" w:cs="Arial"/>
          <w:color w:val="000000"/>
          <w:sz w:val="24"/>
          <w:szCs w:val="24"/>
          <w:lang w:eastAsia="ko-KR" w:bidi="he-IL"/>
          <w14:ligatures w14:val="standardContextual"/>
        </w:rPr>
      </w:pPr>
      <w:r w:rsidRPr="00CD6E32">
        <w:rPr>
          <w:rFonts w:eastAsiaTheme="minorEastAsia" w:cs="Arial"/>
          <w:color w:val="000000"/>
          <w:sz w:val="24"/>
          <w:szCs w:val="24"/>
          <w:lang w:eastAsia="ko-KR" w:bidi="he-IL"/>
          <w14:ligatures w14:val="standardContextual"/>
        </w:rPr>
        <w:t xml:space="preserve">il progetto “Centena: nuovo modello di topofilia applicata per la fruizione e la valorizzazione sostenibile del territorio”, che vede la collaborazione di alcuni istituti della SUPSI, il WSL e altri partner esterni e ha come obiettivo il rilancio e la valorizzazione del territorio basato sull’approfondimento della conoscenza naturalistica, storico-etnografica, biologica e geologica nel quale i grotti di Lostallo assumono la funzione di mediazione culturale e di educazione al territorio. Dopo la devastante alluvione dello scorso 21 giugno 2024, questo progetto propone una proiezione nel futuro per un rilancio sostenibile del comprensorio naturalistico mesolcinese a favore della popolazione, delle scuole e dei fruitori dei grotti. </w:t>
      </w:r>
    </w:p>
    <w:p w:rsidR="00F500DC" w:rsidRPr="003E3CD3"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p>
    <w:p w:rsidR="00F500DC" w:rsidRPr="003E3CD3" w:rsidRDefault="00F500DC" w:rsidP="00E26737">
      <w:pPr>
        <w:spacing w:after="240"/>
        <w:rPr>
          <w:rFonts w:cs="Arial"/>
          <w:b/>
          <w:bCs/>
          <w:sz w:val="24"/>
          <w:szCs w:val="24"/>
        </w:rPr>
      </w:pPr>
      <w:r w:rsidRPr="003E3CD3">
        <w:rPr>
          <w:rFonts w:eastAsiaTheme="minorEastAsia" w:cs="Arial"/>
          <w:color w:val="000000"/>
          <w:sz w:val="24"/>
          <w:szCs w:val="24"/>
          <w:lang w:eastAsia="ko-KR" w:bidi="he-IL"/>
          <w14:ligatures w14:val="standardContextual"/>
        </w:rPr>
        <w:t>Nei prossimi anni SUPSI auspica di individuare ulteriori punti di convergenza per instaurare collaborazioni durature con il campus di Cadenazzo, ad esempio nel campo della genomica molecolare trattata presso l’Istituto microbiologia.</w:t>
      </w:r>
    </w:p>
    <w:p w:rsidR="00F500DC" w:rsidRPr="00A26BAE" w:rsidRDefault="00F500DC" w:rsidP="00A26BAE">
      <w:pPr>
        <w:pStyle w:val="Titolo2"/>
        <w:numPr>
          <w:ilvl w:val="0"/>
          <w:numId w:val="0"/>
        </w:numPr>
        <w:tabs>
          <w:tab w:val="left" w:pos="567"/>
        </w:tabs>
        <w:suppressAutoHyphens w:val="0"/>
        <w:spacing w:before="0" w:after="120"/>
        <w:jc w:val="both"/>
        <w:rPr>
          <w:rFonts w:eastAsia="Calibri" w:cs="Times New Roman"/>
          <w:sz w:val="24"/>
          <w:lang w:val="it-IT" w:eastAsia="it-IT"/>
        </w:rPr>
      </w:pPr>
      <w:r w:rsidRPr="00A26BAE">
        <w:rPr>
          <w:rFonts w:eastAsia="Calibri" w:cs="Times New Roman"/>
          <w:sz w:val="24"/>
          <w:lang w:val="it-IT" w:eastAsia="it-IT"/>
        </w:rPr>
        <w:t>Ricerca</w:t>
      </w:r>
    </w:p>
    <w:p w:rsidR="00F500DC" w:rsidRPr="003E3CD3"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Sebbene le trattative tra la Svizzera e l’Unione europea (UE) siano attualmente ancora in corso, con l’avvio dei negoziati è stato raggiunto un accordo transitorio che permette la riammissione dei ricercatori stabiliti in Svizzera ai bandi dei progetti del Consiglio Europeo della Ricerca (ERC) per il 2024 (ERC Advanced Grants 2024) e il 2025 (ERC Starting Grant 2025, ERC Synergy Grant 2025 ed ERC Consolidator Grant 2025). Questa è un’ottima notizia per tutta la ricerca condotta nelle scuole universitarie svizzere. </w:t>
      </w:r>
    </w:p>
    <w:p w:rsidR="00F500DC" w:rsidRPr="003E3CD3"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Per gli altri bandi invece le condizioni di partecipazione sono rimaste invariate: infatti la Svizzera può attualmente partecipare solo ai bandi Horizon Europe in cui è possibile prendere parte come paese terzo non associato al programma. </w:t>
      </w:r>
    </w:p>
    <w:p w:rsidR="00F500DC" w:rsidRDefault="00F500DC" w:rsidP="00F500DC">
      <w:pPr>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Attualmente dunque i ricercatori di istituti elvetici possono partecipare come “beneficiari” ai bandi ERC menzionati ed essere finanziati dall’UE o dalla Confederazione a dipendenza della situazione dell’associazione della Svizzera al programma Horizon Europe al momento del Grant Agreement.</w:t>
      </w:r>
    </w:p>
    <w:p w:rsidR="005F35C3" w:rsidRPr="003E3CD3" w:rsidRDefault="005F35C3" w:rsidP="00F500DC">
      <w:pPr>
        <w:rPr>
          <w:rFonts w:cs="Arial"/>
          <w:sz w:val="24"/>
          <w:szCs w:val="24"/>
        </w:rPr>
      </w:pPr>
    </w:p>
    <w:p w:rsidR="00F500DC"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Swissuniversities, come ribadito nella presa di posizione del 4 luglio 2024 (v. https://www.swissuniversities.ch/fr/actualite/swissuniversities-salue-les-avancees-pour-la-participation-a-horizon-europe), sostiene pienamente il desiderio del Consiglio federale </w:t>
      </w:r>
      <w:r w:rsidRPr="003E3CD3">
        <w:rPr>
          <w:rFonts w:eastAsiaTheme="minorEastAsia" w:cs="Arial"/>
          <w:color w:val="000000"/>
          <w:sz w:val="24"/>
          <w:szCs w:val="24"/>
          <w:lang w:eastAsia="ko-KR" w:bidi="he-IL"/>
          <w14:ligatures w14:val="standardContextual"/>
        </w:rPr>
        <w:lastRenderedPageBreak/>
        <w:t xml:space="preserve">di associare la Svizzera quanto prima e in modo pieno al resto degli accordi con l’UE (Horizon ed Erasmus+). </w:t>
      </w:r>
    </w:p>
    <w:p w:rsidR="005F35C3" w:rsidRPr="003E3CD3" w:rsidRDefault="005F35C3" w:rsidP="00F500DC">
      <w:pPr>
        <w:suppressAutoHyphens w:val="0"/>
        <w:autoSpaceDE w:val="0"/>
        <w:autoSpaceDN w:val="0"/>
        <w:adjustRightInd w:val="0"/>
        <w:rPr>
          <w:rFonts w:eastAsiaTheme="minorEastAsia" w:cs="Arial"/>
          <w:color w:val="000000"/>
          <w:sz w:val="24"/>
          <w:szCs w:val="24"/>
          <w:lang w:eastAsia="ko-KR" w:bidi="he-IL"/>
          <w14:ligatures w14:val="standardContextual"/>
        </w:rPr>
      </w:pPr>
    </w:p>
    <w:p w:rsidR="00F500DC" w:rsidRDefault="00F500DC" w:rsidP="005F35C3">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La partecipazione ai programmi di ricerca dell’Unione europea è molto importante sia per USI che per SUPSI, come sottolineato pubblicamente anche dagli stessi istituti (</w:t>
      </w:r>
      <w:r w:rsidRPr="002E17BD">
        <w:rPr>
          <w:rFonts w:eastAsiaTheme="minorEastAsia" w:cs="Arial"/>
          <w:i/>
          <w:iCs/>
          <w:color w:val="000000"/>
          <w:sz w:val="24"/>
          <w:szCs w:val="24"/>
          <w:lang w:eastAsia="ko-KR" w:bidi="he-IL"/>
          <w14:ligatures w14:val="standardContextual"/>
        </w:rPr>
        <w:t>https://www.supsi.ch/la-svizzera-e-l-esclusione-da-horizon-europe-due-anni-dopo#:~:text=SUPSI%20Article%20Header&amp;text=Dal%2026%20maggio%202021%2C%20con,finanziamento%20previsti%20da%20Horizon%20Europe, https://www.usi.ch/it/feeds/25523</w:t>
      </w:r>
      <w:r w:rsidRPr="003E3CD3">
        <w:rPr>
          <w:rFonts w:eastAsiaTheme="minorEastAsia" w:cs="Arial"/>
          <w:i/>
          <w:iCs/>
          <w:color w:val="000000"/>
          <w:sz w:val="24"/>
          <w:szCs w:val="24"/>
          <w:lang w:eastAsia="ko-KR" w:bidi="he-IL"/>
          <w14:ligatures w14:val="standardContextual"/>
        </w:rPr>
        <w:t>)</w:t>
      </w:r>
      <w:r w:rsidRPr="003E3CD3">
        <w:rPr>
          <w:rFonts w:eastAsiaTheme="minorEastAsia" w:cs="Arial"/>
          <w:color w:val="000000"/>
          <w:sz w:val="24"/>
          <w:szCs w:val="24"/>
          <w:lang w:eastAsia="ko-KR" w:bidi="he-IL"/>
          <w14:ligatures w14:val="standardContextual"/>
        </w:rPr>
        <w:t xml:space="preserve">. </w:t>
      </w:r>
    </w:p>
    <w:p w:rsidR="005F35C3" w:rsidRPr="003E3CD3" w:rsidRDefault="005F35C3" w:rsidP="005F35C3">
      <w:pPr>
        <w:suppressAutoHyphens w:val="0"/>
        <w:autoSpaceDE w:val="0"/>
        <w:autoSpaceDN w:val="0"/>
        <w:adjustRightInd w:val="0"/>
        <w:rPr>
          <w:rFonts w:eastAsiaTheme="minorEastAsia" w:cs="Arial"/>
          <w:color w:val="000000"/>
          <w:sz w:val="24"/>
          <w:szCs w:val="24"/>
          <w:lang w:eastAsia="ko-KR" w:bidi="he-IL"/>
          <w14:ligatures w14:val="standardContextual"/>
        </w:rPr>
      </w:pPr>
    </w:p>
    <w:p w:rsidR="00F500DC" w:rsidRDefault="00F500DC" w:rsidP="005F35C3">
      <w:pPr>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USI, SUPSI e tutto il polo svizzero della conoscenza e della ricerca necessitano di condizioni quadro a lungo termine, regolamentate e stabili per la cooperazione nel campo della ricerca e della formazione con l’UE. Questa parziale e temporanea riammissione della Svizzera ai progetti ERC è un primo importante passo nella giusta direzione, ma molto degli sviluppi futuri dipenderà dall’evoluzione dei negoziati in corso</w:t>
      </w:r>
      <w:r w:rsidRPr="00EB4348">
        <w:rPr>
          <w:rFonts w:eastAsiaTheme="minorEastAsia" w:cs="Arial"/>
          <w:color w:val="000000"/>
          <w:sz w:val="24"/>
          <w:szCs w:val="24"/>
          <w:lang w:eastAsia="ko-KR" w:bidi="he-IL"/>
          <w14:ligatures w14:val="standardContextual"/>
        </w:rPr>
        <w:t>.</w:t>
      </w:r>
    </w:p>
    <w:p w:rsidR="00F500DC" w:rsidRDefault="00F500DC" w:rsidP="005F35C3"/>
    <w:p w:rsidR="005F35C3" w:rsidRPr="00EB4348" w:rsidRDefault="005F35C3" w:rsidP="005F35C3"/>
    <w:p w:rsidR="00F500DC" w:rsidRPr="00A26BAE" w:rsidRDefault="00F500DC" w:rsidP="00A26BAE">
      <w:pPr>
        <w:pStyle w:val="Titolo2"/>
        <w:numPr>
          <w:ilvl w:val="0"/>
          <w:numId w:val="0"/>
        </w:numPr>
        <w:tabs>
          <w:tab w:val="left" w:pos="567"/>
        </w:tabs>
        <w:suppressAutoHyphens w:val="0"/>
        <w:spacing w:before="0" w:after="120"/>
        <w:jc w:val="both"/>
        <w:rPr>
          <w:rFonts w:eastAsia="Calibri" w:cs="Times New Roman"/>
          <w:sz w:val="24"/>
          <w:lang w:val="it-IT" w:eastAsia="it-IT"/>
        </w:rPr>
      </w:pPr>
      <w:r w:rsidRPr="00A26BAE">
        <w:rPr>
          <w:rFonts w:eastAsia="Calibri" w:cs="Times New Roman"/>
          <w:sz w:val="24"/>
          <w:lang w:val="it-IT" w:eastAsia="it-IT"/>
        </w:rPr>
        <w:t>Tema della difficoltà ad avere studenti confederati nelle nostre istituzioni universitarie – tema della lingua d’insegnamento</w:t>
      </w:r>
    </w:p>
    <w:p w:rsidR="00F500DC"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1207A4">
        <w:rPr>
          <w:rFonts w:eastAsiaTheme="minorEastAsia" w:cs="Arial"/>
          <w:color w:val="000000"/>
          <w:sz w:val="24"/>
          <w:szCs w:val="24"/>
          <w:lang w:eastAsia="ko-KR" w:bidi="he-IL"/>
          <w14:ligatures w14:val="standardContextual"/>
        </w:rPr>
        <w:t>Siamo coscienti della contrapposizione in cui si trovano a lavorare i nostri atenei, da una parte la richiesta di attirare nuovi studenti internazionali e da fuori cantone e da una parte trovare un equilibrio per mantenere la cultura della lingua italiana.</w:t>
      </w:r>
    </w:p>
    <w:p w:rsidR="005F35C3" w:rsidRPr="003E3CD3" w:rsidRDefault="005F35C3" w:rsidP="00F500DC">
      <w:pPr>
        <w:suppressAutoHyphens w:val="0"/>
        <w:autoSpaceDE w:val="0"/>
        <w:autoSpaceDN w:val="0"/>
        <w:adjustRightInd w:val="0"/>
        <w:rPr>
          <w:rFonts w:eastAsiaTheme="minorEastAsia" w:cs="Arial"/>
          <w:color w:val="000000"/>
          <w:sz w:val="24"/>
          <w:szCs w:val="24"/>
          <w:lang w:eastAsia="ko-KR" w:bidi="he-IL"/>
          <w14:ligatures w14:val="standardContextual"/>
        </w:rPr>
      </w:pPr>
    </w:p>
    <w:p w:rsidR="00F500DC"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Per quanto concerne l’USI, con la RG 5997 del 06.12.23 il Consiglio di Stato ha autorizzato il seguente stato dell’arte: su un totale di 32 programmi formativi di base (7 bachelor, 25 master), 4 bachelor sono erogati in italiano (uno dei quali offrirà un percorso in inglese), 1 in tedesco e 2 in inglese, 6 master si svolgono in italiano e 19 in inglese. L’USI per i bachelor offre 167 corsi in lingua italiana (per 764 ECTS) e 74 corsi in lingua inglese (375 ECTS); al master sono offerti 107 corsi in lingua italiana (577 ECTS) e 319 in lingua inglese (1388 ECTS). I corsi in lingua italiana sono in media più lunghi rispetto a quelli in lingua inglese (4</w:t>
      </w:r>
      <w:r w:rsidR="00C176D3">
        <w:rPr>
          <w:rFonts w:eastAsiaTheme="minorEastAsia" w:cs="Arial"/>
          <w:color w:val="000000"/>
          <w:sz w:val="24"/>
          <w:szCs w:val="24"/>
          <w:lang w:eastAsia="ko-KR" w:bidi="he-IL"/>
          <w14:ligatures w14:val="standardContextual"/>
        </w:rPr>
        <w:t>.</w:t>
      </w:r>
      <w:r w:rsidRPr="003E3CD3">
        <w:rPr>
          <w:rFonts w:eastAsiaTheme="minorEastAsia" w:cs="Arial"/>
          <w:color w:val="000000"/>
          <w:sz w:val="24"/>
          <w:szCs w:val="24"/>
          <w:lang w:eastAsia="ko-KR" w:bidi="he-IL"/>
          <w14:ligatures w14:val="standardContextual"/>
        </w:rPr>
        <w:t>9 ECTS in media contro 4</w:t>
      </w:r>
      <w:r w:rsidR="00C176D3">
        <w:rPr>
          <w:rFonts w:eastAsiaTheme="minorEastAsia" w:cs="Arial"/>
          <w:color w:val="000000"/>
          <w:sz w:val="24"/>
          <w:szCs w:val="24"/>
          <w:lang w:eastAsia="ko-KR" w:bidi="he-IL"/>
          <w14:ligatures w14:val="standardContextual"/>
        </w:rPr>
        <w:t>.</w:t>
      </w:r>
      <w:r w:rsidRPr="003E3CD3">
        <w:rPr>
          <w:rFonts w:eastAsiaTheme="minorEastAsia" w:cs="Arial"/>
          <w:color w:val="000000"/>
          <w:sz w:val="24"/>
          <w:szCs w:val="24"/>
          <w:lang w:eastAsia="ko-KR" w:bidi="he-IL"/>
          <w14:ligatures w14:val="standardContextual"/>
        </w:rPr>
        <w:t>5 ECTS). Inoltre, i corsi in lingua italiana sono maggioritari nei programmi di bachelor: infatti il 56</w:t>
      </w:r>
      <w:r w:rsidR="00C176D3">
        <w:rPr>
          <w:rFonts w:eastAsiaTheme="minorEastAsia" w:cs="Arial"/>
          <w:color w:val="000000"/>
          <w:sz w:val="24"/>
          <w:szCs w:val="24"/>
          <w:lang w:eastAsia="ko-KR" w:bidi="he-IL"/>
          <w14:ligatures w14:val="standardContextual"/>
        </w:rPr>
        <w:t>.</w:t>
      </w:r>
      <w:r w:rsidRPr="003E3CD3">
        <w:rPr>
          <w:rFonts w:eastAsiaTheme="minorEastAsia" w:cs="Arial"/>
          <w:color w:val="000000"/>
          <w:sz w:val="24"/>
          <w:szCs w:val="24"/>
          <w:lang w:eastAsia="ko-KR" w:bidi="he-IL"/>
          <w14:ligatures w14:val="standardContextual"/>
        </w:rPr>
        <w:t xml:space="preserve">3% degli studenti segue un programma in lingua italiana, rispetto al 42.5% che segue un programma in lingua inglese (l’1.2% frequenta il Bachelor di Medicina in lingua tedesca). </w:t>
      </w:r>
    </w:p>
    <w:p w:rsidR="005F35C3" w:rsidRPr="003E3CD3" w:rsidRDefault="005F35C3" w:rsidP="00F500DC">
      <w:pPr>
        <w:suppressAutoHyphens w:val="0"/>
        <w:autoSpaceDE w:val="0"/>
        <w:autoSpaceDN w:val="0"/>
        <w:adjustRightInd w:val="0"/>
        <w:rPr>
          <w:rFonts w:eastAsiaTheme="minorEastAsia" w:cs="Arial"/>
          <w:color w:val="000000"/>
          <w:sz w:val="24"/>
          <w:szCs w:val="24"/>
          <w:lang w:eastAsia="ko-KR" w:bidi="he-IL"/>
          <w14:ligatures w14:val="standardContextual"/>
        </w:rPr>
      </w:pPr>
    </w:p>
    <w:p w:rsidR="00F500DC" w:rsidRPr="003E3CD3"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L’USI ha un ruolo di importante attore nella promozione della lingua e della cultura italiana in Svizzera, lavorando per questo scopo a diversi livelli sia nella ricerca che nell’insegnamento. Sarà da valutare la possibilità di disporre maggiore libertà d’azione, evidentemente in accordo con il Consiglio di Stato, rispetto all’insegnamento in lingua inglese, per almeno tre ragioni: </w:t>
      </w:r>
    </w:p>
    <w:p w:rsidR="00F500DC" w:rsidRPr="005F35C3" w:rsidRDefault="00F500DC" w:rsidP="005F35C3">
      <w:pPr>
        <w:pStyle w:val="Paragrafoelenco"/>
        <w:numPr>
          <w:ilvl w:val="0"/>
          <w:numId w:val="21"/>
        </w:numPr>
        <w:suppressAutoHyphens w:val="0"/>
        <w:autoSpaceDE w:val="0"/>
        <w:autoSpaceDN w:val="0"/>
        <w:adjustRightInd w:val="0"/>
        <w:spacing w:before="80"/>
        <w:ind w:left="284" w:hanging="284"/>
        <w:contextualSpacing w:val="0"/>
        <w:rPr>
          <w:rFonts w:eastAsiaTheme="minorEastAsia" w:cs="Arial"/>
          <w:color w:val="000000"/>
          <w:sz w:val="24"/>
          <w:szCs w:val="24"/>
          <w:lang w:eastAsia="ko-KR" w:bidi="he-IL"/>
          <w14:ligatures w14:val="standardContextual"/>
        </w:rPr>
      </w:pPr>
      <w:r w:rsidRPr="005F35C3">
        <w:rPr>
          <w:rFonts w:eastAsiaTheme="minorEastAsia" w:cs="Arial"/>
          <w:color w:val="000000"/>
          <w:sz w:val="24"/>
          <w:szCs w:val="24"/>
          <w:lang w:eastAsia="ko-KR" w:bidi="he-IL"/>
          <w14:ligatures w14:val="standardContextual"/>
        </w:rPr>
        <w:t xml:space="preserve">si tratta di uno dei prerequisiti essenziali per poter attrarre un adeguato numero di studenti svizzeri, adempiendo così all’obiettivo previsto dal contratto di prestazione); </w:t>
      </w:r>
    </w:p>
    <w:p w:rsidR="00F500DC" w:rsidRPr="005F35C3" w:rsidRDefault="00F500DC" w:rsidP="005F35C3">
      <w:pPr>
        <w:pStyle w:val="Paragrafoelenco"/>
        <w:numPr>
          <w:ilvl w:val="0"/>
          <w:numId w:val="21"/>
        </w:numPr>
        <w:suppressAutoHyphens w:val="0"/>
        <w:autoSpaceDE w:val="0"/>
        <w:autoSpaceDN w:val="0"/>
        <w:adjustRightInd w:val="0"/>
        <w:spacing w:before="80"/>
        <w:ind w:left="284" w:hanging="284"/>
        <w:contextualSpacing w:val="0"/>
        <w:rPr>
          <w:rFonts w:eastAsiaTheme="minorEastAsia" w:cs="Arial"/>
          <w:color w:val="000000"/>
          <w:sz w:val="24"/>
          <w:szCs w:val="24"/>
          <w:lang w:eastAsia="ko-KR" w:bidi="he-IL"/>
          <w14:ligatures w14:val="standardContextual"/>
        </w:rPr>
      </w:pPr>
      <w:r w:rsidRPr="005F35C3">
        <w:rPr>
          <w:rFonts w:eastAsiaTheme="minorEastAsia" w:cs="Arial"/>
          <w:color w:val="000000"/>
          <w:sz w:val="24"/>
          <w:szCs w:val="24"/>
          <w:lang w:eastAsia="ko-KR" w:bidi="he-IL"/>
          <w14:ligatures w14:val="standardContextual"/>
        </w:rPr>
        <w:t xml:space="preserve">offrire corsi di master in lingua inglese permette di aderire a quanto sancito dalla riforma di Bologna, al fine di sostenere quanto più possibile la mobilità all’interno del percorso bachelor-master; </w:t>
      </w:r>
    </w:p>
    <w:p w:rsidR="00F500DC" w:rsidRDefault="00F500DC" w:rsidP="005F35C3">
      <w:pPr>
        <w:pStyle w:val="Paragrafoelenco"/>
        <w:numPr>
          <w:ilvl w:val="0"/>
          <w:numId w:val="21"/>
        </w:numPr>
        <w:suppressAutoHyphens w:val="0"/>
        <w:autoSpaceDE w:val="0"/>
        <w:autoSpaceDN w:val="0"/>
        <w:adjustRightInd w:val="0"/>
        <w:spacing w:before="80"/>
        <w:ind w:left="284" w:hanging="284"/>
        <w:contextualSpacing w:val="0"/>
        <w:rPr>
          <w:rFonts w:eastAsiaTheme="minorEastAsia" w:cs="Arial"/>
          <w:color w:val="000000"/>
          <w:sz w:val="24"/>
          <w:szCs w:val="24"/>
          <w:lang w:eastAsia="ko-KR" w:bidi="he-IL"/>
          <w14:ligatures w14:val="standardContextual"/>
        </w:rPr>
      </w:pPr>
      <w:r w:rsidRPr="005F35C3">
        <w:rPr>
          <w:rFonts w:eastAsiaTheme="minorEastAsia" w:cs="Arial"/>
          <w:color w:val="000000"/>
          <w:sz w:val="24"/>
          <w:szCs w:val="24"/>
          <w:lang w:eastAsia="ko-KR" w:bidi="he-IL"/>
          <w14:ligatures w14:val="standardContextual"/>
        </w:rPr>
        <w:t xml:space="preserve">un’adeguata offerta in lingua inglese costituisce un elemento essenziale per una formazione davvero di qualità, aprendo a carriere internazionali. </w:t>
      </w:r>
    </w:p>
    <w:p w:rsidR="005F35C3" w:rsidRPr="005F35C3" w:rsidRDefault="005F35C3" w:rsidP="005F35C3">
      <w:pPr>
        <w:pStyle w:val="Paragrafoelenco"/>
        <w:suppressAutoHyphens w:val="0"/>
        <w:autoSpaceDE w:val="0"/>
        <w:autoSpaceDN w:val="0"/>
        <w:adjustRightInd w:val="0"/>
        <w:ind w:left="284"/>
        <w:contextualSpacing w:val="0"/>
        <w:rPr>
          <w:rFonts w:eastAsiaTheme="minorEastAsia" w:cs="Arial"/>
          <w:color w:val="000000"/>
          <w:sz w:val="24"/>
          <w:szCs w:val="24"/>
          <w:lang w:eastAsia="ko-KR" w:bidi="he-IL"/>
          <w14:ligatures w14:val="standardContextual"/>
        </w:rPr>
      </w:pPr>
    </w:p>
    <w:p w:rsidR="005F35C3"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lastRenderedPageBreak/>
        <w:t>Attrarre studenti dal resto della Confederazione è uno degli obiettivi più importanti della pianificazione strategica 2025-2028 dell’USI: oltre alla consolidata disponibilità di borse di studio dedicate a questo scopo, nel corso del 2025 saranno attuate varie iniziative accademiche e promozionali rivolte espressamente a potenziali studenti confederati.</w:t>
      </w:r>
    </w:p>
    <w:p w:rsidR="00F500DC" w:rsidRPr="003E3CD3"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 </w:t>
      </w:r>
    </w:p>
    <w:p w:rsidR="00F500DC"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Le misure intraprese da SUPSI per attirare maggiormente gli studenti confederati comprendono: l’ampliamento dell’offerta formativa Master con prodotti specifici e differenziati (si citano a titolo di esempio il Master in Interaction Design, i nuovi profili di studio del Master in Engineering legati all’ingegneria civile e ad opzioni specifiche nell’ambito delle tecnologie innovative), e l’intensificazione delle azioni promozionali condotte Oltralpe nel 2022 e nel 2023 (partecipazione a fiere e saloni dell’orientamento quali la Master Messe di Zurigo o il Forum Horizon di Losanna, la pubblicazione di publiredazionali su riviste specializzate, annunci pubblicitari in quotidiani e settimanali con sezioni dedicate alla formazione, inserzioni sui social media e canali online e la presenza nei licei durante eventi specifici). </w:t>
      </w:r>
    </w:p>
    <w:p w:rsidR="005F35C3" w:rsidRPr="003E3CD3" w:rsidRDefault="005F35C3" w:rsidP="00F500DC">
      <w:pPr>
        <w:suppressAutoHyphens w:val="0"/>
        <w:autoSpaceDE w:val="0"/>
        <w:autoSpaceDN w:val="0"/>
        <w:adjustRightInd w:val="0"/>
        <w:rPr>
          <w:rFonts w:eastAsiaTheme="minorEastAsia" w:cs="Arial"/>
          <w:color w:val="000000"/>
          <w:sz w:val="24"/>
          <w:szCs w:val="24"/>
          <w:lang w:eastAsia="ko-KR" w:bidi="he-IL"/>
          <w14:ligatures w14:val="standardContextual"/>
        </w:rPr>
      </w:pPr>
    </w:p>
    <w:p w:rsidR="00F500DC" w:rsidRPr="003E3CD3" w:rsidRDefault="00F500DC" w:rsidP="00F500DC">
      <w:pPr>
        <w:suppressAutoHyphens w:val="0"/>
        <w:autoSpaceDE w:val="0"/>
        <w:autoSpaceDN w:val="0"/>
        <w:adjustRightInd w:val="0"/>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Il Bachelor Data Science and Artificial Intelligence attira studenti da oltre Gottardo non soltanto perché è offerto in lingua inglese, bensì anche perché l’inglese rappresenta la lingua maggiormente utilizzata in questo specifico settore, per i suoi tratti distintivi rispetto ad altri Bachelor offerti nelle altre SUP e per la vicinanza con l’IDSIA</w:t>
      </w:r>
      <w:r w:rsidRPr="006A5368">
        <w:rPr>
          <w:rFonts w:eastAsiaTheme="minorEastAsia" w:cs="Arial"/>
          <w:color w:val="000000"/>
          <w:sz w:val="24"/>
          <w:szCs w:val="24"/>
          <w:lang w:eastAsia="ko-KR" w:bidi="he-IL"/>
          <w14:ligatures w14:val="standardContextual"/>
        </w:rPr>
        <w:t>.</w:t>
      </w:r>
      <w:r>
        <w:rPr>
          <w:rFonts w:eastAsiaTheme="minorEastAsia" w:cs="Arial"/>
          <w:color w:val="000000"/>
          <w:sz w:val="24"/>
          <w:szCs w:val="24"/>
          <w:lang w:eastAsia="ko-KR" w:bidi="he-IL"/>
          <w14:ligatures w14:val="standardContextual"/>
        </w:rPr>
        <w:t xml:space="preserve"> </w:t>
      </w:r>
    </w:p>
    <w:p w:rsidR="00F500DC" w:rsidRDefault="00F500DC" w:rsidP="00F500DC">
      <w:pPr>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 xml:space="preserve">Per la creazione di altri corsi di laurea che possano attirare un buon numero di studenti confederati vanno valutate attentamente tutte le dimensioni di attrattiva e di distintività rispetto all’offerta esistente nelle altre regioni svizzere. </w:t>
      </w:r>
    </w:p>
    <w:p w:rsidR="005F35C3" w:rsidRPr="003E3CD3" w:rsidRDefault="005F35C3" w:rsidP="00F500DC">
      <w:pPr>
        <w:rPr>
          <w:rFonts w:eastAsiaTheme="minorEastAsia" w:cs="Arial"/>
          <w:color w:val="000000"/>
          <w:sz w:val="24"/>
          <w:szCs w:val="24"/>
          <w:lang w:eastAsia="ko-KR" w:bidi="he-IL"/>
          <w14:ligatures w14:val="standardContextual"/>
        </w:rPr>
      </w:pPr>
    </w:p>
    <w:p w:rsidR="00F500DC" w:rsidRDefault="00F500DC" w:rsidP="00A26BAE">
      <w:pPr>
        <w:rPr>
          <w:rFonts w:eastAsiaTheme="minorEastAsia" w:cs="Arial"/>
          <w:color w:val="000000"/>
          <w:sz w:val="24"/>
          <w:szCs w:val="24"/>
          <w:lang w:eastAsia="ko-KR" w:bidi="he-IL"/>
          <w14:ligatures w14:val="standardContextual"/>
        </w:rPr>
      </w:pPr>
      <w:r w:rsidRPr="003E3CD3">
        <w:rPr>
          <w:rFonts w:eastAsiaTheme="minorEastAsia" w:cs="Arial"/>
          <w:color w:val="000000"/>
          <w:sz w:val="24"/>
          <w:szCs w:val="24"/>
          <w:lang w:eastAsia="ko-KR" w:bidi="he-IL"/>
          <w14:ligatures w14:val="standardContextual"/>
        </w:rPr>
        <w:t>Si precisa infine che in SUPSI i corsi di lingua sono offerti dall’area LIST (</w:t>
      </w:r>
      <w:r w:rsidRPr="003E3CD3">
        <w:rPr>
          <w:rFonts w:eastAsiaTheme="minorEastAsia" w:cs="Arial"/>
          <w:i/>
          <w:iCs/>
          <w:color w:val="000000"/>
          <w:sz w:val="24"/>
          <w:szCs w:val="24"/>
          <w:lang w:eastAsia="ko-KR" w:bidi="he-IL"/>
          <w14:ligatures w14:val="standardContextual"/>
        </w:rPr>
        <w:t>https://www.supsi.ch/list</w:t>
      </w:r>
      <w:r w:rsidRPr="003E3CD3">
        <w:rPr>
          <w:rFonts w:eastAsiaTheme="minorEastAsia" w:cs="Arial"/>
          <w:color w:val="000000"/>
          <w:sz w:val="24"/>
          <w:szCs w:val="24"/>
          <w:lang w:eastAsia="ko-KR" w:bidi="he-IL"/>
          <w14:ligatures w14:val="standardContextual"/>
        </w:rPr>
        <w:t xml:space="preserve">) del Dipartimento DFA/ASP, che eroga corsi per studenti e collaboratori di tutti i dipartimenti e tutte le aree disciplinari. Oltre ai corsi previsti nel piano di studio, spesso declinati alle specificità dei singoli ambiti disciplinari, l’area LIST </w:t>
      </w:r>
      <w:r w:rsidRPr="001207A4">
        <w:rPr>
          <w:rFonts w:eastAsiaTheme="minorEastAsia" w:cs="Arial"/>
          <w:color w:val="000000"/>
          <w:sz w:val="24"/>
          <w:szCs w:val="24"/>
          <w:lang w:eastAsia="ko-KR" w:bidi="he-IL"/>
          <w14:ligatures w14:val="standardContextual"/>
        </w:rPr>
        <w:t>si</w:t>
      </w:r>
      <w:r w:rsidRPr="003E3CD3">
        <w:rPr>
          <w:rFonts w:eastAsiaTheme="minorEastAsia" w:cs="Arial"/>
          <w:color w:val="000000"/>
          <w:sz w:val="24"/>
          <w:szCs w:val="24"/>
          <w:lang w:eastAsia="ko-KR" w:bidi="he-IL"/>
          <w14:ligatures w14:val="standardContextual"/>
        </w:rPr>
        <w:t xml:space="preserve"> occupa anche degli esami di lingua in entrata, della preparazione alle certificazioni e dell’offerta di corsi intensivi. È inoltre attiva in progetti di ricerca e di aggiornamento sui temi legati alla didattica delle lingue.</w:t>
      </w:r>
    </w:p>
    <w:p w:rsidR="00A26BAE" w:rsidRDefault="00A26BAE" w:rsidP="00A26BAE">
      <w:pPr>
        <w:rPr>
          <w:rFonts w:eastAsiaTheme="minorEastAsia" w:cs="Arial"/>
          <w:color w:val="000000"/>
          <w:sz w:val="24"/>
          <w:szCs w:val="24"/>
          <w:lang w:eastAsia="ko-KR" w:bidi="he-IL"/>
          <w14:ligatures w14:val="standardContextual"/>
        </w:rPr>
      </w:pPr>
    </w:p>
    <w:p w:rsidR="00A26BAE" w:rsidRPr="00A26BAE" w:rsidRDefault="00A26BAE" w:rsidP="00A26BAE">
      <w:pPr>
        <w:rPr>
          <w:rFonts w:eastAsiaTheme="minorEastAsia" w:cs="Arial"/>
          <w:color w:val="000000"/>
          <w:sz w:val="24"/>
          <w:szCs w:val="24"/>
          <w:lang w:eastAsia="ko-KR" w:bidi="he-IL"/>
          <w14:ligatures w14:val="standardContextual"/>
        </w:rPr>
      </w:pPr>
    </w:p>
    <w:p w:rsidR="00F500DC" w:rsidRPr="00A26BAE" w:rsidRDefault="00F500DC" w:rsidP="00A26BAE">
      <w:pPr>
        <w:pStyle w:val="Titolo2"/>
        <w:numPr>
          <w:ilvl w:val="0"/>
          <w:numId w:val="0"/>
        </w:numPr>
        <w:tabs>
          <w:tab w:val="left" w:pos="567"/>
        </w:tabs>
        <w:suppressAutoHyphens w:val="0"/>
        <w:spacing w:before="0" w:after="120"/>
        <w:jc w:val="both"/>
        <w:rPr>
          <w:rFonts w:eastAsia="Calibri" w:cs="Times New Roman"/>
          <w:sz w:val="24"/>
          <w:lang w:val="it-IT" w:eastAsia="it-IT"/>
        </w:rPr>
      </w:pPr>
      <w:r w:rsidRPr="00A26BAE">
        <w:rPr>
          <w:rFonts w:eastAsia="Calibri" w:cs="Times New Roman"/>
          <w:sz w:val="24"/>
          <w:lang w:val="it-IT" w:eastAsia="it-IT"/>
        </w:rPr>
        <w:t>RIFLESSIONI IN PROSPETTIVA</w:t>
      </w:r>
    </w:p>
    <w:p w:rsidR="00F500DC" w:rsidRPr="00A26BAE" w:rsidRDefault="00F500DC" w:rsidP="00A26BAE">
      <w:pPr>
        <w:pStyle w:val="Titolo2"/>
        <w:numPr>
          <w:ilvl w:val="0"/>
          <w:numId w:val="0"/>
        </w:numPr>
        <w:tabs>
          <w:tab w:val="left" w:pos="567"/>
        </w:tabs>
        <w:suppressAutoHyphens w:val="0"/>
        <w:spacing w:before="0" w:after="120"/>
        <w:jc w:val="both"/>
        <w:rPr>
          <w:rFonts w:eastAsia="Calibri" w:cs="Times New Roman"/>
          <w:sz w:val="24"/>
          <w:lang w:val="it-IT" w:eastAsia="it-IT"/>
        </w:rPr>
      </w:pPr>
      <w:r w:rsidRPr="00A26BAE">
        <w:rPr>
          <w:rFonts w:eastAsia="Calibri" w:cs="Times New Roman"/>
          <w:sz w:val="24"/>
          <w:lang w:val="it-IT" w:eastAsia="it-IT"/>
        </w:rPr>
        <w:t>Proporre gli scambi linguistici anche per studenti bachelor della SUPSI</w:t>
      </w:r>
    </w:p>
    <w:p w:rsidR="00F500DC" w:rsidRPr="003E3CD3" w:rsidRDefault="00F500DC" w:rsidP="00F500DC">
      <w:pPr>
        <w:rPr>
          <w:rFonts w:cs="Arial"/>
          <w:sz w:val="24"/>
          <w:szCs w:val="24"/>
        </w:rPr>
      </w:pPr>
      <w:r w:rsidRPr="003E3CD3">
        <w:rPr>
          <w:rFonts w:cs="Arial"/>
          <w:sz w:val="24"/>
          <w:szCs w:val="24"/>
        </w:rPr>
        <w:t xml:space="preserve">Il tema della mobilità degli studenti è parte integrante della pianificazione strategica di SUPSI per il quadriennio 2025-28 ed è descritto in particolare alla Linea progettuale 5. </w:t>
      </w:r>
    </w:p>
    <w:p w:rsidR="00F500DC" w:rsidRDefault="00F500DC" w:rsidP="00F500DC">
      <w:pPr>
        <w:rPr>
          <w:rFonts w:cs="Arial"/>
          <w:sz w:val="24"/>
          <w:szCs w:val="24"/>
        </w:rPr>
      </w:pPr>
      <w:r w:rsidRPr="003E3CD3">
        <w:rPr>
          <w:rFonts w:cs="Arial"/>
          <w:sz w:val="24"/>
          <w:szCs w:val="24"/>
        </w:rPr>
        <w:t xml:space="preserve">Il Piano di azione della formazione di base SUPSI prevede per il periodo 2025-28 il potenziamento delle attività volte a preparare i propri diplomati ad agire in un contesto sempre più complesso, multiculturale e globale. Per fare ciò si prevedono attività sia a livello bachelor, sia a livello master (dove già oggi, oltre al Master in Engineering vi sono delle opportunità di scambio anche per il Master in Business Administration, dove gli studenti possono frequentare dei moduli presso la FFHS), promuovendo forme virtuali di scambio, attivando ulteriori misure a favore della mobilità del corpo studentesco e intervenendo sull’architettura formativa dei corsi di laurea per favorire la mobilità studentesca in entrata e in uscita. </w:t>
      </w:r>
    </w:p>
    <w:p w:rsidR="005F35C3" w:rsidRPr="003E3CD3" w:rsidRDefault="005F35C3" w:rsidP="00F500DC">
      <w:pPr>
        <w:rPr>
          <w:rFonts w:cs="Arial"/>
          <w:sz w:val="24"/>
          <w:szCs w:val="24"/>
        </w:rPr>
      </w:pPr>
    </w:p>
    <w:p w:rsidR="005F35C3" w:rsidRDefault="005F35C3">
      <w:pPr>
        <w:suppressAutoHyphens w:val="0"/>
        <w:rPr>
          <w:rFonts w:cs="Arial"/>
          <w:sz w:val="24"/>
          <w:szCs w:val="24"/>
        </w:rPr>
      </w:pPr>
      <w:r>
        <w:rPr>
          <w:rFonts w:cs="Arial"/>
          <w:sz w:val="24"/>
          <w:szCs w:val="24"/>
        </w:rPr>
        <w:br w:type="page"/>
      </w:r>
    </w:p>
    <w:p w:rsidR="00F500DC" w:rsidRPr="003E3CD3" w:rsidRDefault="00F500DC" w:rsidP="00F500DC">
      <w:pPr>
        <w:rPr>
          <w:rFonts w:cs="Arial"/>
          <w:sz w:val="24"/>
          <w:szCs w:val="24"/>
        </w:rPr>
      </w:pPr>
      <w:r w:rsidRPr="003E3CD3">
        <w:rPr>
          <w:rFonts w:cs="Arial"/>
          <w:sz w:val="24"/>
          <w:szCs w:val="24"/>
        </w:rPr>
        <w:lastRenderedPageBreak/>
        <w:t>L’intento di SUPSI è di stimolare l’offerta di percorsi in collaborazione con altre SUP, lavorando al contempo per ridurre, in particolare a livello dei programmi bachelor, le principali barriere esistenti alla mobilità: la rigidità dell’architettura formativa (soprattutto per i corsi di laurea che prevedono degli stage e/o che vincolano l’avanzamento negli studi alla certificazione di alcuni moduli specifici, riducendo così la flessibilità del percorso e l’accessibilità anche per studenti provenienti da altre SUP), le competenze linguistiche degli studenti e gli impegni lavorativi/personali che non sempre permettono agli studenti di spostarsi per un semestre in regioni lontane dal proprio domicilio. Per questi motivi, oltre alle citate misure, si prevedono nei prossimi anni una rivisitazione dell’insegnamento delle lingue straniere e l’attivazione di attività a sostegno degli scambi e della mobilità anche virtuale.</w:t>
      </w:r>
    </w:p>
    <w:p w:rsidR="00F500DC" w:rsidRDefault="00F500DC" w:rsidP="00F500DC">
      <w:pPr>
        <w:rPr>
          <w:rFonts w:cs="Arial"/>
          <w:sz w:val="24"/>
          <w:szCs w:val="24"/>
          <w:highlight w:val="yellow"/>
        </w:rPr>
      </w:pPr>
    </w:p>
    <w:p w:rsidR="00F500DC" w:rsidRPr="003E3CD3" w:rsidRDefault="00F500DC" w:rsidP="005F35C3">
      <w:pPr>
        <w:rPr>
          <w:rFonts w:cs="Arial"/>
          <w:sz w:val="24"/>
          <w:szCs w:val="24"/>
        </w:rPr>
      </w:pPr>
      <w:r w:rsidRPr="001207A4">
        <w:rPr>
          <w:rFonts w:cs="Arial"/>
          <w:sz w:val="24"/>
          <w:szCs w:val="24"/>
        </w:rPr>
        <w:t>In merito a questa tematica si rimanda alla pubblicazione</w:t>
      </w:r>
      <w:r>
        <w:rPr>
          <w:rFonts w:cs="Arial"/>
          <w:sz w:val="24"/>
          <w:szCs w:val="24"/>
        </w:rPr>
        <w:t xml:space="preserve"> </w:t>
      </w:r>
      <w:r w:rsidRPr="00ED4DC0">
        <w:rPr>
          <w:rFonts w:cs="Arial"/>
          <w:sz w:val="24"/>
          <w:szCs w:val="24"/>
        </w:rPr>
        <w:t xml:space="preserve">del 2024 “La mobilità degli studenti universitari. Dati e riflessioni sul Cantone Ticino” a cura dell’Ufficio del controlling e degli studi universitari, disponibile al seguente link presso </w:t>
      </w:r>
      <w:hyperlink r:id="rId11" w:history="1">
        <w:r w:rsidRPr="00ED4DC0">
          <w:rPr>
            <w:rStyle w:val="Collegamentoipertestuale"/>
            <w:rFonts w:cs="Arial"/>
            <w:sz w:val="24"/>
            <w:szCs w:val="24"/>
          </w:rPr>
          <w:t>Biblioteca digitale</w:t>
        </w:r>
      </w:hyperlink>
      <w:r w:rsidRPr="00ED4DC0">
        <w:rPr>
          <w:rFonts w:cs="Arial"/>
          <w:sz w:val="24"/>
          <w:szCs w:val="24"/>
        </w:rPr>
        <w:t>.</w:t>
      </w:r>
    </w:p>
    <w:p w:rsidR="00F500DC" w:rsidRDefault="00F500DC" w:rsidP="005F35C3">
      <w:pPr>
        <w:rPr>
          <w:rFonts w:cs="Arial"/>
          <w:b/>
          <w:bCs/>
          <w:sz w:val="24"/>
          <w:szCs w:val="24"/>
        </w:rPr>
      </w:pPr>
    </w:p>
    <w:p w:rsidR="005F35C3" w:rsidRPr="003E3CD3" w:rsidRDefault="005F35C3" w:rsidP="005F35C3">
      <w:pPr>
        <w:rPr>
          <w:rFonts w:cs="Arial"/>
          <w:b/>
          <w:bCs/>
          <w:sz w:val="24"/>
          <w:szCs w:val="24"/>
        </w:rPr>
      </w:pPr>
    </w:p>
    <w:p w:rsidR="00F500DC" w:rsidRPr="003E3CD3" w:rsidRDefault="00F500DC" w:rsidP="005F35C3">
      <w:pPr>
        <w:spacing w:after="120"/>
        <w:rPr>
          <w:rFonts w:cs="Arial"/>
          <w:b/>
          <w:bCs/>
          <w:sz w:val="24"/>
          <w:szCs w:val="24"/>
        </w:rPr>
      </w:pPr>
      <w:r w:rsidRPr="003E3CD3">
        <w:rPr>
          <w:rFonts w:cs="Arial"/>
          <w:b/>
          <w:bCs/>
          <w:sz w:val="24"/>
          <w:szCs w:val="24"/>
        </w:rPr>
        <w:t>CONCLUSIONI</w:t>
      </w:r>
    </w:p>
    <w:p w:rsidR="00F500DC" w:rsidRDefault="00F500DC" w:rsidP="00F500DC">
      <w:pPr>
        <w:rPr>
          <w:rFonts w:cs="Arial"/>
          <w:sz w:val="24"/>
          <w:szCs w:val="24"/>
        </w:rPr>
      </w:pPr>
      <w:r w:rsidRPr="003E3CD3">
        <w:rPr>
          <w:rFonts w:cs="Arial"/>
          <w:sz w:val="24"/>
          <w:szCs w:val="24"/>
        </w:rPr>
        <w:t xml:space="preserve">Consapevoli del fatto che il polo universitario è un fattore chiave per lo sviluppo economico, ma anche culturale del nostro Cantone, la Commissione raccomanda di approvare la proposta di decreto legislativo allegata al messaggio in oggetto che </w:t>
      </w:r>
      <w:r w:rsidRPr="001207A4">
        <w:rPr>
          <w:rFonts w:cs="Arial"/>
          <w:sz w:val="24"/>
          <w:szCs w:val="24"/>
        </w:rPr>
        <w:t>ratifica</w:t>
      </w:r>
      <w:r w:rsidRPr="003E3CD3">
        <w:rPr>
          <w:rFonts w:cs="Arial"/>
          <w:sz w:val="24"/>
          <w:szCs w:val="24"/>
        </w:rPr>
        <w:t xml:space="preserve"> l’utilizzo dei contributi di gestione riferiti all’anno 2023 in relazione ai cdp con USI, SUPSI rispettivamente il DFA/ASP.</w:t>
      </w:r>
    </w:p>
    <w:p w:rsidR="00F500DC" w:rsidRDefault="00F500DC" w:rsidP="00F500DC">
      <w:pPr>
        <w:rPr>
          <w:rFonts w:cs="Arial"/>
          <w:sz w:val="24"/>
          <w:szCs w:val="24"/>
        </w:rPr>
      </w:pPr>
    </w:p>
    <w:p w:rsidR="00F500DC" w:rsidRDefault="00F500DC" w:rsidP="00F500DC">
      <w:pPr>
        <w:rPr>
          <w:rFonts w:cs="Arial"/>
          <w:sz w:val="24"/>
          <w:szCs w:val="24"/>
        </w:rPr>
      </w:pPr>
    </w:p>
    <w:p w:rsidR="00F500DC" w:rsidRPr="002F33BF" w:rsidRDefault="00F500DC" w:rsidP="00F500DC">
      <w:pPr>
        <w:pStyle w:val="StandardRisoluzionedelConsigliodiStato"/>
        <w:ind w:right="-1"/>
        <w:rPr>
          <w:szCs w:val="24"/>
        </w:rPr>
      </w:pPr>
      <w:r w:rsidRPr="002F33BF">
        <w:rPr>
          <w:szCs w:val="24"/>
        </w:rPr>
        <w:t>Andrea Sanvido, relatore</w:t>
      </w:r>
    </w:p>
    <w:p w:rsidR="005F35C3" w:rsidRDefault="00F500DC" w:rsidP="00F500DC">
      <w:pPr>
        <w:rPr>
          <w:sz w:val="24"/>
          <w:szCs w:val="24"/>
        </w:rPr>
      </w:pPr>
      <w:r w:rsidRPr="002F33BF">
        <w:rPr>
          <w:sz w:val="24"/>
          <w:szCs w:val="24"/>
        </w:rPr>
        <w:t xml:space="preserve">Canetta - Ermotti-Lepori </w:t>
      </w:r>
      <w:r w:rsidR="005F35C3">
        <w:rPr>
          <w:sz w:val="24"/>
          <w:szCs w:val="24"/>
        </w:rPr>
        <w:t>-</w:t>
      </w:r>
      <w:r w:rsidRPr="002F33BF">
        <w:rPr>
          <w:sz w:val="24"/>
          <w:szCs w:val="24"/>
        </w:rPr>
        <w:t xml:space="preserve"> Giudici</w:t>
      </w:r>
      <w:r w:rsidR="005F35C3">
        <w:rPr>
          <w:sz w:val="24"/>
          <w:szCs w:val="24"/>
        </w:rPr>
        <w:t xml:space="preserve"> - </w:t>
      </w:r>
    </w:p>
    <w:p w:rsidR="00F500DC" w:rsidRPr="002F33BF" w:rsidRDefault="00F500DC" w:rsidP="00F500DC">
      <w:pPr>
        <w:rPr>
          <w:sz w:val="24"/>
          <w:szCs w:val="24"/>
        </w:rPr>
      </w:pPr>
      <w:r w:rsidRPr="002F33BF">
        <w:rPr>
          <w:sz w:val="24"/>
          <w:szCs w:val="24"/>
        </w:rPr>
        <w:t>Tenconi - Valsangiacomo</w:t>
      </w:r>
    </w:p>
    <w:p w:rsidR="00F500DC" w:rsidRDefault="00F500DC" w:rsidP="00F500DC"/>
    <w:p w:rsidR="00F500DC" w:rsidRPr="003E3CD3" w:rsidRDefault="00F500DC" w:rsidP="00F500DC">
      <w:pPr>
        <w:rPr>
          <w:rFonts w:cs="Arial"/>
          <w:sz w:val="24"/>
          <w:szCs w:val="24"/>
        </w:rPr>
      </w:pPr>
    </w:p>
    <w:p w:rsidR="008F52AF" w:rsidRPr="00F500DC" w:rsidRDefault="008F52AF" w:rsidP="00D33940">
      <w:pPr>
        <w:pStyle w:val="StandardRisoluzionedelConsigliodiStato"/>
        <w:ind w:right="-1"/>
      </w:pPr>
    </w:p>
    <w:p w:rsidR="00D649A8" w:rsidRPr="00F500DC" w:rsidRDefault="00D649A8" w:rsidP="00D33940">
      <w:pPr>
        <w:pStyle w:val="StandardRisoluzionedelConsigliodiStato"/>
        <w:ind w:right="-1"/>
      </w:pPr>
    </w:p>
    <w:p w:rsidR="00D649A8" w:rsidRPr="00F500DC" w:rsidRDefault="00D649A8" w:rsidP="00D33940">
      <w:pPr>
        <w:pStyle w:val="StandardRisoluzionedelConsigliodiStato"/>
        <w:ind w:right="-1"/>
      </w:pPr>
    </w:p>
    <w:sectPr w:rsidR="00D649A8" w:rsidRPr="00F500DC" w:rsidSect="00F500DC">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0DC" w:rsidRDefault="00F500DC" w:rsidP="00F657BF">
      <w:r>
        <w:separator/>
      </w:r>
    </w:p>
  </w:endnote>
  <w:endnote w:type="continuationSeparator" w:id="0">
    <w:p w:rsidR="00F500DC" w:rsidRDefault="00F500DC"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C3" w:rsidRDefault="005F35C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F500DC" w:rsidRPr="003D1008" w:rsidTr="00F500DC">
      <w:trPr>
        <w:trHeight w:hRule="exact" w:val="737"/>
      </w:trPr>
      <w:tc>
        <w:tcPr>
          <w:tcW w:w="4695" w:type="dxa"/>
        </w:tcPr>
        <w:p w:rsidR="00F500DC" w:rsidRPr="003D1008" w:rsidRDefault="00F500DC" w:rsidP="00F500DC">
          <w:pPr>
            <w:tabs>
              <w:tab w:val="center" w:pos="2382"/>
            </w:tabs>
          </w:pPr>
        </w:p>
      </w:tc>
      <w:tc>
        <w:tcPr>
          <w:tcW w:w="721" w:type="dxa"/>
        </w:tcPr>
        <w:p w:rsidR="00F500DC" w:rsidRPr="003D1008" w:rsidRDefault="00F500DC" w:rsidP="00F500DC">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F500DC" w:rsidRPr="003D1008" w:rsidRDefault="00F500DC" w:rsidP="00F500DC">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F500DC" w:rsidRPr="003D1008" w:rsidRDefault="00F500DC" w:rsidP="00F500DC"/>
      </w:tc>
    </w:tr>
  </w:tbl>
  <w:p w:rsidR="00F500DC" w:rsidRDefault="00F500DC" w:rsidP="00F500DC">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DC" w:rsidRDefault="00F500DC">
    <w:pPr>
      <w:pStyle w:val="Pidipagina"/>
      <w:jc w:val="center"/>
    </w:pPr>
  </w:p>
  <w:p w:rsidR="00F500DC" w:rsidRPr="008C6C46" w:rsidRDefault="00F500DC" w:rsidP="00F500DC">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0DC" w:rsidRDefault="00F500DC" w:rsidP="00F657BF">
      <w:r>
        <w:separator/>
      </w:r>
    </w:p>
  </w:footnote>
  <w:footnote w:type="continuationSeparator" w:id="0">
    <w:p w:rsidR="00F500DC" w:rsidRDefault="00F500DC" w:rsidP="00F657BF">
      <w:r>
        <w:continuationSeparator/>
      </w:r>
    </w:p>
  </w:footnote>
  <w:footnote w:id="1">
    <w:p w:rsidR="00F500DC" w:rsidRPr="008A02D5" w:rsidRDefault="00F500DC" w:rsidP="00F500DC">
      <w:pPr>
        <w:pStyle w:val="Pidipagina"/>
        <w:rPr>
          <w:rFonts w:cs="Arial"/>
          <w:szCs w:val="20"/>
          <w:lang w:val="it-CH"/>
        </w:rPr>
      </w:pPr>
      <w:r w:rsidRPr="008A02D5">
        <w:rPr>
          <w:rStyle w:val="Rimandonotaapidipagina"/>
          <w:rFonts w:cs="Arial"/>
          <w:szCs w:val="20"/>
        </w:rPr>
        <w:footnoteRef/>
      </w:r>
      <w:r w:rsidRPr="008A02D5">
        <w:rPr>
          <w:rFonts w:cs="Arial"/>
          <w:szCs w:val="20"/>
          <w:lang w:val="it-CH"/>
        </w:rPr>
        <w:t xml:space="preserve"> </w:t>
      </w:r>
      <w:r w:rsidRPr="005F35C3">
        <w:rPr>
          <w:rFonts w:cs="Arial"/>
          <w:sz w:val="20"/>
          <w:szCs w:val="20"/>
          <w:lang w:val="it-CH"/>
        </w:rPr>
        <w:t>Dal 2013 sotto questa voce si indica il contributo di 500'000 franchi per l’Archivio del Moderno.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C3" w:rsidRDefault="005F35C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F500DC" w:rsidRPr="002747E7" w:rsidTr="00F500DC">
      <w:trPr>
        <w:trHeight w:val="562"/>
      </w:trPr>
      <w:tc>
        <w:tcPr>
          <w:tcW w:w="8383" w:type="dxa"/>
          <w:tcBorders>
            <w:left w:val="single" w:sz="4" w:space="0" w:color="auto"/>
            <w:bottom w:val="single" w:sz="4" w:space="0" w:color="auto"/>
          </w:tcBorders>
          <w:tcMar>
            <w:left w:w="142" w:type="dxa"/>
          </w:tcMar>
          <w:vAlign w:val="bottom"/>
        </w:tcPr>
        <w:p w:rsidR="00F500DC" w:rsidRDefault="00A530AA" w:rsidP="00F500DC">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626A9556-38AB-4332-B7B2-4CFF586EC367}"/>
              <w:text w:multiLine="1"/>
            </w:sdtPr>
            <w:sdtEndPr/>
            <w:sdtContent>
              <w:r w:rsidR="00F500DC">
                <w:rPr>
                  <w:rFonts w:ascii="Gill Alt One MT Light" w:hAnsi="Gill Alt One MT Light"/>
                  <w:sz w:val="16"/>
                  <w:szCs w:val="16"/>
                </w:rPr>
                <w:t>Repubblica e Cantone Ticino</w:t>
              </w:r>
            </w:sdtContent>
          </w:sdt>
        </w:p>
        <w:p w:rsidR="00F500DC" w:rsidRPr="00E8185F" w:rsidRDefault="00A530AA" w:rsidP="00F500DC">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626A9556-38AB-4332-B7B2-4CFF586EC367}"/>
              <w:text w:multiLine="1"/>
            </w:sdtPr>
            <w:sdtEndPr/>
            <w:sdtContent>
              <w:r w:rsidR="00F500DC">
                <w:rPr>
                  <w:rFonts w:ascii="Gill Alt One MT Light" w:hAnsi="Gill Alt One MT Light"/>
                  <w:sz w:val="16"/>
                  <w:szCs w:val="16"/>
                </w:rPr>
                <w:t>Dipartimento dell’educazione, della cultura e dello sport</w:t>
              </w:r>
            </w:sdtContent>
          </w:sdt>
        </w:p>
      </w:tc>
      <w:tc>
        <w:tcPr>
          <w:tcW w:w="1710" w:type="dxa"/>
          <w:tcBorders>
            <w:bottom w:val="single" w:sz="4" w:space="0" w:color="auto"/>
          </w:tcBorders>
          <w:vAlign w:val="bottom"/>
        </w:tcPr>
        <w:p w:rsidR="00F500DC" w:rsidRPr="004204CB" w:rsidRDefault="00F500DC" w:rsidP="00F500DC">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B63873">
            <w:rPr>
              <w:noProof/>
              <w:sz w:val="24"/>
            </w:rPr>
            <w:t>18</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B63873">
            <w:rPr>
              <w:noProof/>
              <w:sz w:val="24"/>
            </w:rPr>
            <w:t>18</w:t>
          </w:r>
          <w:r w:rsidRPr="004204CB">
            <w:rPr>
              <w:noProof/>
              <w:sz w:val="24"/>
            </w:rPr>
            <w:fldChar w:fldCharType="end"/>
          </w:r>
        </w:p>
      </w:tc>
    </w:tr>
    <w:tr w:rsidR="00F500DC" w:rsidRPr="009E444B" w:rsidTr="00F500DC">
      <w:trPr>
        <w:trHeight w:val="334"/>
      </w:trPr>
      <w:sdt>
        <w:sdtPr>
          <w:rPr>
            <w:rFonts w:ascii="Gill Sans Display MT Pro BdCn" w:hAnsi="Gill Sans Display MT Pro BdCn"/>
            <w:sz w:val="18"/>
            <w:szCs w:val="18"/>
          </w:rPr>
          <w:alias w:val="CustomElements.Fields.Titolo2"/>
          <w:id w:val="48588533"/>
          <w:dataBinding w:xpath="//Text[@id='CustomElements.Fields.Titolo2']" w:storeItemID="{626A9556-38AB-4332-B7B2-4CFF586EC367}"/>
          <w:text w:multiLine="1"/>
        </w:sdtPr>
        <w:sdtEndPr/>
        <w:sdtContent>
          <w:tc>
            <w:tcPr>
              <w:tcW w:w="8383" w:type="dxa"/>
              <w:tcBorders>
                <w:left w:val="single" w:sz="4" w:space="0" w:color="auto"/>
              </w:tcBorders>
              <w:tcMar>
                <w:top w:w="0" w:type="dxa"/>
                <w:left w:w="142" w:type="dxa"/>
              </w:tcMar>
            </w:tcPr>
            <w:p w:rsidR="00F500DC" w:rsidRPr="005F35C3" w:rsidRDefault="005F35C3" w:rsidP="00F500DC">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8482 R del 20 gennaio 2025</w:t>
              </w:r>
            </w:p>
          </w:tc>
        </w:sdtContent>
      </w:sdt>
      <w:tc>
        <w:tcPr>
          <w:tcW w:w="1710" w:type="dxa"/>
          <w:tcBorders>
            <w:top w:val="single" w:sz="4" w:space="0" w:color="auto"/>
          </w:tcBorders>
        </w:tcPr>
        <w:p w:rsidR="00F500DC" w:rsidRPr="005F35C3" w:rsidRDefault="00F500DC" w:rsidP="00F500DC">
          <w:pPr>
            <w:pStyle w:val="InvisibleLine"/>
            <w:rPr>
              <w:lang w:val="it-CH"/>
            </w:rPr>
          </w:pPr>
        </w:p>
      </w:tc>
    </w:tr>
  </w:tbl>
  <w:p w:rsidR="00F500DC" w:rsidRPr="00980362" w:rsidRDefault="00F500DC" w:rsidP="00F500DC">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626A9556-38AB-4332-B7B2-4CFF586EC367}"/>
                            <w:text w:multiLine="1"/>
                          </w:sdtPr>
                          <w:sdtEndPr/>
                          <w:sdtContent>
                            <w:p w:rsidR="00F500DC" w:rsidRPr="00411371" w:rsidRDefault="00F500DC" w:rsidP="00F500DC">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9C8B83DC-445A-4594-BEC0-E851150BE3FF}"/>
                      <w:text w:multiLine="1"/>
                    </w:sdtPr>
                    <w:sdtEndPr/>
                    <w:sdtContent>
                      <w:p w:rsidR="00F500DC" w:rsidRPr="00411371" w:rsidRDefault="00F500DC" w:rsidP="00F500DC">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F500DC" w:rsidRPr="0004624C" w:rsidTr="00F500DC">
      <w:trPr>
        <w:trHeight w:hRule="exact" w:val="584"/>
      </w:trPr>
      <w:tc>
        <w:tcPr>
          <w:tcW w:w="2440" w:type="pct"/>
          <w:gridSpan w:val="3"/>
          <w:tcBorders>
            <w:top w:val="nil"/>
            <w:left w:val="nil"/>
            <w:bottom w:val="single" w:sz="4" w:space="0" w:color="auto"/>
          </w:tcBorders>
        </w:tcPr>
        <w:p w:rsidR="00F500DC" w:rsidRDefault="00F500DC" w:rsidP="00F500DC">
          <w:pPr>
            <w:pStyle w:val="InvisibleLine"/>
            <w:spacing w:line="240" w:lineRule="auto"/>
            <w:ind w:left="15"/>
            <w:rPr>
              <w:rFonts w:ascii="Gill Alt One MT Light" w:hAnsi="Gill Alt One MT Light"/>
              <w:sz w:val="16"/>
              <w:lang w:val="it-CH"/>
            </w:rPr>
          </w:pPr>
        </w:p>
        <w:p w:rsidR="00F500DC" w:rsidRDefault="00F500DC" w:rsidP="00F500DC">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F500DC" w:rsidRPr="008966E7" w:rsidRDefault="00F500DC" w:rsidP="00F500DC">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F500DC" w:rsidRPr="003108C0" w:rsidRDefault="00F500DC" w:rsidP="00F500DC">
          <w:pPr>
            <w:pStyle w:val="Level"/>
            <w:ind w:left="150"/>
            <w:rPr>
              <w:sz w:val="16"/>
            </w:rPr>
          </w:pPr>
        </w:p>
      </w:tc>
      <w:tc>
        <w:tcPr>
          <w:tcW w:w="209" w:type="pct"/>
          <w:tcBorders>
            <w:top w:val="nil"/>
            <w:bottom w:val="single" w:sz="4" w:space="0" w:color="auto"/>
          </w:tcBorders>
        </w:tcPr>
        <w:p w:rsidR="00F500DC" w:rsidRDefault="00F500DC" w:rsidP="00F500DC">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91941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F500DC" w:rsidRPr="004204CB" w:rsidRDefault="00F500DC" w:rsidP="00F500DC">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B63873">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B63873">
            <w:rPr>
              <w:rFonts w:asciiTheme="minorHAnsi" w:hAnsiTheme="minorHAnsi" w:cstheme="minorHAnsi"/>
              <w:noProof/>
              <w:sz w:val="24"/>
            </w:rPr>
            <w:t>18</w:t>
          </w:r>
          <w:r w:rsidRPr="004204CB">
            <w:rPr>
              <w:rFonts w:asciiTheme="minorHAnsi" w:hAnsiTheme="minorHAnsi" w:cstheme="minorHAnsi"/>
              <w:noProof/>
              <w:sz w:val="24"/>
            </w:rPr>
            <w:fldChar w:fldCharType="end"/>
          </w:r>
        </w:p>
      </w:tc>
    </w:tr>
    <w:tr w:rsidR="00F500DC" w:rsidRPr="0004624C" w:rsidTr="00F500DC">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626A9556-38AB-4332-B7B2-4CFF586EC367}"/>
          <w:text w:multiLine="1"/>
        </w:sdtPr>
        <w:sdtEndPr/>
        <w:sdtContent>
          <w:tc>
            <w:tcPr>
              <w:tcW w:w="5000" w:type="pct"/>
              <w:gridSpan w:val="6"/>
              <w:tcBorders>
                <w:left w:val="nil"/>
                <w:right w:val="nil"/>
              </w:tcBorders>
              <w:noWrap/>
              <w:tcMar>
                <w:top w:w="0" w:type="dxa"/>
              </w:tcMar>
              <w:vAlign w:val="bottom"/>
            </w:tcPr>
            <w:p w:rsidR="00F500DC" w:rsidRPr="008C03B5" w:rsidRDefault="005F35C3" w:rsidP="00F500DC">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F500DC" w:rsidRPr="0004624C" w:rsidTr="00F500DC">
      <w:trPr>
        <w:trHeight w:hRule="exact" w:val="306"/>
      </w:trPr>
      <w:tc>
        <w:tcPr>
          <w:tcW w:w="670" w:type="pct"/>
          <w:tcBorders>
            <w:left w:val="nil"/>
            <w:bottom w:val="nil"/>
          </w:tcBorders>
          <w:noWrap/>
          <w:tcMar>
            <w:top w:w="57" w:type="dxa"/>
            <w:left w:w="142" w:type="dxa"/>
          </w:tcMar>
        </w:tcPr>
        <w:p w:rsidR="00F500DC" w:rsidRPr="00C7320A" w:rsidRDefault="00F500DC" w:rsidP="00F500DC">
          <w:pPr>
            <w:pStyle w:val="Level"/>
            <w:spacing w:before="60"/>
            <w:rPr>
              <w:rFonts w:ascii="Gill Alt One MT Light" w:hAnsi="Gill Alt One MT Light"/>
              <w:sz w:val="16"/>
            </w:rPr>
          </w:pPr>
          <w:r w:rsidRPr="00C7320A">
            <w:rPr>
              <w:rFonts w:ascii="Gill Alt One MT Light" w:hAnsi="Gill Alt One MT Light"/>
              <w:sz w:val="16"/>
            </w:rPr>
            <w:t>numero</w:t>
          </w:r>
        </w:p>
        <w:p w:rsidR="00F500DC" w:rsidRPr="00C7320A" w:rsidRDefault="00F500DC" w:rsidP="00F500DC">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F500DC" w:rsidRPr="00C7320A" w:rsidRDefault="00F500DC" w:rsidP="00F500DC">
          <w:pPr>
            <w:pStyle w:val="Level"/>
            <w:spacing w:before="60"/>
            <w:rPr>
              <w:rFonts w:ascii="Gill Alt One MT Light" w:hAnsi="Gill Alt One MT Light"/>
              <w:sz w:val="16"/>
            </w:rPr>
          </w:pPr>
          <w:r w:rsidRPr="00C7320A">
            <w:rPr>
              <w:rFonts w:ascii="Gill Alt One MT Light" w:hAnsi="Gill Alt One MT Light"/>
              <w:sz w:val="16"/>
            </w:rPr>
            <w:t>data</w:t>
          </w:r>
        </w:p>
        <w:p w:rsidR="00F500DC" w:rsidRPr="00C7320A" w:rsidRDefault="00F500DC" w:rsidP="00F500DC">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F500DC" w:rsidRPr="00C7320A" w:rsidRDefault="00F500DC" w:rsidP="00F500DC">
          <w:pPr>
            <w:pStyle w:val="Level"/>
            <w:spacing w:before="60"/>
            <w:rPr>
              <w:rFonts w:ascii="Gill Alt One MT Light" w:hAnsi="Gill Alt One MT Light"/>
              <w:sz w:val="16"/>
            </w:rPr>
          </w:pPr>
          <w:r>
            <w:rPr>
              <w:rFonts w:ascii="Gill Alt One MT Light" w:hAnsi="Gill Alt One MT Light"/>
              <w:sz w:val="16"/>
            </w:rPr>
            <w:t>competenza</w:t>
          </w:r>
        </w:p>
        <w:p w:rsidR="00F500DC" w:rsidRPr="008C03B5" w:rsidRDefault="00F500DC" w:rsidP="00F500DC">
          <w:pPr>
            <w:pStyle w:val="Level"/>
            <w:spacing w:before="60" w:line="240" w:lineRule="auto"/>
            <w:rPr>
              <w:rFonts w:ascii="Gill Alt One MT Light" w:hAnsi="Gill Alt One MT Light"/>
              <w:sz w:val="16"/>
            </w:rPr>
          </w:pPr>
        </w:p>
      </w:tc>
    </w:tr>
    <w:tr w:rsidR="00F500DC" w:rsidRPr="0004624C" w:rsidTr="00F500DC">
      <w:trPr>
        <w:trHeight w:hRule="exact" w:val="699"/>
      </w:trPr>
      <w:tc>
        <w:tcPr>
          <w:tcW w:w="670" w:type="pct"/>
          <w:tcBorders>
            <w:top w:val="nil"/>
            <w:left w:val="nil"/>
            <w:bottom w:val="single" w:sz="4" w:space="0" w:color="auto"/>
            <w:right w:val="nil"/>
          </w:tcBorders>
          <w:noWrap/>
          <w:tcMar>
            <w:top w:w="0" w:type="dxa"/>
          </w:tcMar>
        </w:tcPr>
        <w:p w:rsidR="00F500DC" w:rsidRPr="00BE22A2" w:rsidRDefault="00A530AA" w:rsidP="00F500DC">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626A9556-38AB-4332-B7B2-4CFF586EC367}"/>
              <w:text w:multiLine="1"/>
            </w:sdtPr>
            <w:sdtEndPr/>
            <w:sdtContent>
              <w:r w:rsidR="005F35C3">
                <w:rPr>
                  <w:rFonts w:cstheme="minorHAnsi"/>
                  <w:b/>
                  <w:sz w:val="24"/>
                  <w:szCs w:val="24"/>
                </w:rPr>
                <w:t>8482 R</w:t>
              </w:r>
            </w:sdtContent>
          </w:sdt>
        </w:p>
      </w:tc>
      <w:sdt>
        <w:sdtPr>
          <w:rPr>
            <w:sz w:val="24"/>
          </w:rPr>
          <w:alias w:val="DocParam.Date"/>
          <w:id w:val="-464426178"/>
          <w:dataBinding w:xpath="//DateTime[@id='DocParam.Date']" w:storeItemID="{626A9556-38AB-4332-B7B2-4CFF586EC367}"/>
          <w:date w:fullDate="2025-01-20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F500DC" w:rsidRPr="002A0371" w:rsidRDefault="005F35C3" w:rsidP="00F500DC">
              <w:pPr>
                <w:pStyle w:val="Data"/>
              </w:pPr>
              <w:r>
                <w:rPr>
                  <w:sz w:val="24"/>
                </w:rPr>
                <w:t>20 gennaio 2025</w:t>
              </w:r>
            </w:p>
          </w:tc>
        </w:sdtContent>
      </w:sdt>
      <w:tc>
        <w:tcPr>
          <w:tcW w:w="3218" w:type="pct"/>
          <w:gridSpan w:val="4"/>
          <w:tcBorders>
            <w:top w:val="nil"/>
            <w:left w:val="nil"/>
            <w:bottom w:val="nil"/>
            <w:right w:val="nil"/>
          </w:tcBorders>
        </w:tcPr>
        <w:p w:rsidR="00F500DC" w:rsidRPr="00BE22A2" w:rsidRDefault="00A530AA" w:rsidP="00F500DC">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626A9556-38AB-4332-B7B2-4CFF586EC367}"/>
              <w:text w:multiLine="1"/>
            </w:sdtPr>
            <w:sdtEndPr/>
            <w:sdtContent>
              <w:r w:rsidR="00F500DC">
                <w:rPr>
                  <w:smallCaps/>
                  <w:sz w:val="23"/>
                  <w:szCs w:val="23"/>
                </w:rPr>
                <w:t>Dipartimento dell’educazione, della cultura e dello sport</w:t>
              </w:r>
            </w:sdtContent>
          </w:sdt>
        </w:p>
      </w:tc>
    </w:tr>
    <w:tr w:rsidR="00F500DC" w:rsidRPr="00C63927" w:rsidTr="00F500DC">
      <w:trPr>
        <w:trHeight w:hRule="exact" w:val="198"/>
      </w:trPr>
      <w:tc>
        <w:tcPr>
          <w:tcW w:w="5000" w:type="pct"/>
          <w:gridSpan w:val="6"/>
          <w:tcBorders>
            <w:left w:val="nil"/>
            <w:bottom w:val="nil"/>
            <w:right w:val="nil"/>
          </w:tcBorders>
          <w:noWrap/>
          <w:tcMar>
            <w:top w:w="57" w:type="dxa"/>
            <w:left w:w="85" w:type="dxa"/>
            <w:bottom w:w="170" w:type="dxa"/>
          </w:tcMar>
        </w:tcPr>
        <w:p w:rsidR="00F500DC" w:rsidRPr="00C7320A" w:rsidRDefault="00F500DC" w:rsidP="00F500DC">
          <w:pPr>
            <w:pStyle w:val="Level"/>
            <w:ind w:left="150"/>
            <w:rPr>
              <w:rFonts w:ascii="Gill Alt One MT Light" w:hAnsi="Gill Alt One MT Light"/>
              <w:sz w:val="16"/>
              <w:szCs w:val="16"/>
            </w:rPr>
          </w:pPr>
        </w:p>
      </w:tc>
    </w:tr>
  </w:tbl>
  <w:p w:rsidR="00F500DC" w:rsidRPr="00DA2879" w:rsidRDefault="00F500DC" w:rsidP="00F500DC">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66026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626A9556-38AB-4332-B7B2-4CFF586EC367}"/>
                            <w:text w:multiLine="1"/>
                          </w:sdtPr>
                          <w:sdtEndPr/>
                          <w:sdtContent>
                            <w:p w:rsidR="00F500DC" w:rsidRPr="00411371" w:rsidRDefault="00F500DC" w:rsidP="00F500DC">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9C8B83DC-445A-4594-BEC0-E851150BE3FF}"/>
                      <w:text w:multiLine="1"/>
                    </w:sdtPr>
                    <w:sdtEndPr/>
                    <w:sdtContent>
                      <w:p w:rsidR="00F500DC" w:rsidRPr="00411371" w:rsidRDefault="00F500DC" w:rsidP="00F500DC">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54028"/>
    <w:multiLevelType w:val="hybridMultilevel"/>
    <w:tmpl w:val="E6281240"/>
    <w:lvl w:ilvl="0" w:tplc="D59C457A">
      <w:start w:val="1"/>
      <w:numFmt w:val="decimal"/>
      <w:lvlText w:val="%1."/>
      <w:lvlJc w:val="left"/>
      <w:pPr>
        <w:ind w:left="720" w:hanging="360"/>
      </w:pPr>
      <w:rPr>
        <w:rFonts w:hint="default"/>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E741CB6"/>
    <w:multiLevelType w:val="hybridMultilevel"/>
    <w:tmpl w:val="13145A82"/>
    <w:lvl w:ilvl="0" w:tplc="9932A72E">
      <w:numFmt w:val="bullet"/>
      <w:lvlText w:val="-"/>
      <w:lvlJc w:val="left"/>
      <w:pPr>
        <w:ind w:left="720" w:hanging="360"/>
      </w:pPr>
      <w:rPr>
        <w:rFonts w:ascii="Arial" w:eastAsiaTheme="minorEastAsia"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8483E81"/>
    <w:multiLevelType w:val="hybridMultilevel"/>
    <w:tmpl w:val="50E2771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8DC454C"/>
    <w:multiLevelType w:val="hybridMultilevel"/>
    <w:tmpl w:val="82E2AB52"/>
    <w:lvl w:ilvl="0" w:tplc="5E624756">
      <w:numFmt w:val="bullet"/>
      <w:lvlText w:val="-"/>
      <w:lvlJc w:val="left"/>
      <w:pPr>
        <w:ind w:left="720" w:hanging="360"/>
      </w:pPr>
      <w:rPr>
        <w:rFonts w:ascii="Calibri" w:eastAsia="Times New Roman" w:hAnsi="Calibri" w:cs="Calibr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49D524CC"/>
    <w:multiLevelType w:val="multilevel"/>
    <w:tmpl w:val="953CA1B2"/>
    <w:numStyleLink w:val="HeadingList"/>
  </w:abstractNum>
  <w:num w:numId="1">
    <w:abstractNumId w:val="14"/>
  </w:num>
  <w:num w:numId="2">
    <w:abstractNumId w:val="20"/>
    <w:lvlOverride w:ilvl="0">
      <w:lvl w:ilvl="0">
        <w:start w:val="1"/>
        <w:numFmt w:val="decimal"/>
        <w:lvlText w:val="%1"/>
        <w:lvlJc w:val="left"/>
        <w:pPr>
          <w:ind w:left="363" w:hanging="363"/>
        </w:pPr>
        <w:rPr>
          <w:rFonts w:ascii="Arial" w:hAnsi="Arial" w:cs="Arial" w:hint="default"/>
        </w:rPr>
      </w:lvl>
    </w:lvlOverride>
  </w:num>
  <w:num w:numId="3">
    <w:abstractNumId w:val="12"/>
  </w:num>
  <w:num w:numId="4">
    <w:abstractNumId w:val="19"/>
  </w:num>
  <w:num w:numId="5">
    <w:abstractNumId w:val="18"/>
  </w:num>
  <w:num w:numId="6">
    <w:abstractNumId w:val="15"/>
  </w:num>
  <w:num w:numId="7">
    <w:abstractNumId w:val="17"/>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13"/>
  </w:num>
  <w:num w:numId="20">
    <w:abstractNumId w:val="11"/>
  </w:num>
  <w:num w:numId="2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DC"/>
    <w:rsid w:val="000B26CE"/>
    <w:rsid w:val="000E6445"/>
    <w:rsid w:val="0013438D"/>
    <w:rsid w:val="0017351D"/>
    <w:rsid w:val="00191BCF"/>
    <w:rsid w:val="001C24C8"/>
    <w:rsid w:val="001C7542"/>
    <w:rsid w:val="00242CAD"/>
    <w:rsid w:val="00247A52"/>
    <w:rsid w:val="00274F17"/>
    <w:rsid w:val="00277185"/>
    <w:rsid w:val="002B5D9F"/>
    <w:rsid w:val="002C12A5"/>
    <w:rsid w:val="002E17BD"/>
    <w:rsid w:val="002F3DA6"/>
    <w:rsid w:val="003730D6"/>
    <w:rsid w:val="003B14D3"/>
    <w:rsid w:val="003B756D"/>
    <w:rsid w:val="00403ADB"/>
    <w:rsid w:val="004070D4"/>
    <w:rsid w:val="0041604A"/>
    <w:rsid w:val="0043420E"/>
    <w:rsid w:val="00473809"/>
    <w:rsid w:val="004D7CE0"/>
    <w:rsid w:val="004F08FE"/>
    <w:rsid w:val="005248E1"/>
    <w:rsid w:val="00572FD3"/>
    <w:rsid w:val="00580CF7"/>
    <w:rsid w:val="00581C9A"/>
    <w:rsid w:val="005874C8"/>
    <w:rsid w:val="005F35C3"/>
    <w:rsid w:val="006E4ECC"/>
    <w:rsid w:val="006F13DC"/>
    <w:rsid w:val="00761AA3"/>
    <w:rsid w:val="007E6C16"/>
    <w:rsid w:val="00843834"/>
    <w:rsid w:val="008720C4"/>
    <w:rsid w:val="008A2314"/>
    <w:rsid w:val="008F2C1F"/>
    <w:rsid w:val="008F52AF"/>
    <w:rsid w:val="00925E15"/>
    <w:rsid w:val="00936EA6"/>
    <w:rsid w:val="00962257"/>
    <w:rsid w:val="009C5E5A"/>
    <w:rsid w:val="009F0A92"/>
    <w:rsid w:val="00A26BAE"/>
    <w:rsid w:val="00A530AA"/>
    <w:rsid w:val="00A823B9"/>
    <w:rsid w:val="00A85C8A"/>
    <w:rsid w:val="00AF0268"/>
    <w:rsid w:val="00B34497"/>
    <w:rsid w:val="00B440AD"/>
    <w:rsid w:val="00B63873"/>
    <w:rsid w:val="00B75902"/>
    <w:rsid w:val="00BA351D"/>
    <w:rsid w:val="00BE568B"/>
    <w:rsid w:val="00BF0A1F"/>
    <w:rsid w:val="00C176D3"/>
    <w:rsid w:val="00C31A61"/>
    <w:rsid w:val="00C96F77"/>
    <w:rsid w:val="00CD6E32"/>
    <w:rsid w:val="00D33940"/>
    <w:rsid w:val="00D600FD"/>
    <w:rsid w:val="00D649A8"/>
    <w:rsid w:val="00DA2D5F"/>
    <w:rsid w:val="00DA63F5"/>
    <w:rsid w:val="00DB15C7"/>
    <w:rsid w:val="00DB1DEB"/>
    <w:rsid w:val="00E26737"/>
    <w:rsid w:val="00E333A9"/>
    <w:rsid w:val="00E559D1"/>
    <w:rsid w:val="00EB088A"/>
    <w:rsid w:val="00EC6D77"/>
    <w:rsid w:val="00F12D2B"/>
    <w:rsid w:val="00F257DD"/>
    <w:rsid w:val="00F31169"/>
    <w:rsid w:val="00F42048"/>
    <w:rsid w:val="00F500DC"/>
    <w:rsid w:val="00F657BF"/>
    <w:rsid w:val="00F94267"/>
    <w:rsid w:val="00F97037"/>
    <w:rsid w:val="00FB32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F6BABF"/>
  <w15:docId w15:val="{3F2A60A2-FB40-4936-8B52-EBE53EC8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00DC"/>
    <w:pPr>
      <w:suppressAutoHyphens/>
    </w:pPr>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qFormat/>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qFormat/>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Citazione">
    <w:name w:val="Quote"/>
    <w:basedOn w:val="Normale"/>
    <w:next w:val="Normale"/>
    <w:link w:val="CitazioneCarattere"/>
    <w:uiPriority w:val="29"/>
    <w:qFormat/>
    <w:rsid w:val="00F500D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500DC"/>
    <w:rPr>
      <w:rFonts w:ascii="Arial" w:hAnsi="Arial"/>
      <w:i/>
      <w:iCs/>
      <w:color w:val="404040" w:themeColor="text1" w:themeTint="BF"/>
      <w:lang w:val="it-CH"/>
    </w:rPr>
  </w:style>
  <w:style w:type="paragraph" w:styleId="Citazioneintensa">
    <w:name w:val="Intense Quote"/>
    <w:basedOn w:val="Normale"/>
    <w:next w:val="Normale"/>
    <w:link w:val="CitazioneintensaCarattere"/>
    <w:uiPriority w:val="30"/>
    <w:qFormat/>
    <w:rsid w:val="00F500D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500DC"/>
    <w:rPr>
      <w:rFonts w:ascii="Arial" w:hAnsi="Arial"/>
      <w:i/>
      <w:iCs/>
      <w:color w:val="365F91" w:themeColor="accent1" w:themeShade="BF"/>
      <w:lang w:val="it-CH"/>
    </w:rPr>
  </w:style>
  <w:style w:type="character" w:styleId="Riferimentointenso">
    <w:name w:val="Intense Reference"/>
    <w:basedOn w:val="Carpredefinitoparagrafo"/>
    <w:uiPriority w:val="32"/>
    <w:qFormat/>
    <w:rsid w:val="00F500DC"/>
    <w:rPr>
      <w:b/>
      <w:bCs/>
      <w:smallCaps/>
      <w:color w:val="365F91" w:themeColor="accent1" w:themeShade="BF"/>
      <w:spacing w:val="5"/>
    </w:rPr>
  </w:style>
  <w:style w:type="paragraph" w:styleId="Didascalia">
    <w:name w:val="caption"/>
    <w:basedOn w:val="Normale"/>
    <w:next w:val="Normale"/>
    <w:autoRedefine/>
    <w:uiPriority w:val="35"/>
    <w:unhideWhenUsed/>
    <w:qFormat/>
    <w:rsid w:val="00F500DC"/>
    <w:pPr>
      <w:keepNext/>
      <w:tabs>
        <w:tab w:val="left" w:pos="9486"/>
      </w:tabs>
      <w:suppressAutoHyphens w:val="0"/>
      <w:spacing w:before="80" w:after="80" w:line="276" w:lineRule="auto"/>
      <w:ind w:right="-6"/>
    </w:pPr>
    <w:rPr>
      <w:rFonts w:eastAsia="Arial" w:cstheme="minorHAnsi"/>
      <w:b/>
      <w:bCs/>
      <w:noProof/>
      <w:sz w:val="20"/>
      <w:szCs w:val="20"/>
      <w:lang w:eastAsia="it-IT"/>
    </w:rPr>
  </w:style>
  <w:style w:type="paragraph" w:customStyle="1" w:styleId="Default">
    <w:name w:val="Default"/>
    <w:rsid w:val="00F500DC"/>
    <w:pPr>
      <w:autoSpaceDE w:val="0"/>
      <w:autoSpaceDN w:val="0"/>
      <w:adjustRightInd w:val="0"/>
      <w:jc w:val="left"/>
    </w:pPr>
    <w:rPr>
      <w:rFonts w:ascii="Arial" w:hAnsi="Arial" w:cs="Arial"/>
      <w:color w:val="000000"/>
      <w:sz w:val="24"/>
      <w:szCs w:val="24"/>
      <w:lang w:val="it-CH"/>
    </w:rPr>
  </w:style>
  <w:style w:type="table" w:styleId="Grigliatabella">
    <w:name w:val="Table Grid"/>
    <w:basedOn w:val="Tabellanormale"/>
    <w:uiPriority w:val="39"/>
    <w:rsid w:val="00F500DC"/>
    <w:pPr>
      <w:jc w:val="left"/>
    </w:pPr>
    <w:rPr>
      <w:rFonts w:ascii="Times New Roman" w:eastAsia="Times New Roman" w:hAnsi="Times New Roman" w:cs="Times New Roman"/>
      <w:sz w:val="20"/>
      <w:szCs w:val="20"/>
      <w:lang w:val="it-CH"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500DC"/>
    <w:rPr>
      <w:color w:val="0000FF" w:themeColor="hyperlink"/>
      <w:u w:val="single"/>
    </w:rPr>
  </w:style>
  <w:style w:type="character" w:styleId="Collegamentovisitato">
    <w:name w:val="FollowedHyperlink"/>
    <w:basedOn w:val="Carpredefinitoparagrafo"/>
    <w:uiPriority w:val="99"/>
    <w:semiHidden/>
    <w:unhideWhenUsed/>
    <w:rsid w:val="00F500DC"/>
    <w:rPr>
      <w:color w:val="800080" w:themeColor="followedHyperlink"/>
      <w:u w:val="single"/>
    </w:rPr>
  </w:style>
  <w:style w:type="paragraph" w:styleId="Testofumetto">
    <w:name w:val="Balloon Text"/>
    <w:basedOn w:val="Normale"/>
    <w:link w:val="TestofumettoCarattere"/>
    <w:uiPriority w:val="99"/>
    <w:semiHidden/>
    <w:unhideWhenUsed/>
    <w:rsid w:val="00A85C8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5C8A"/>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bliotecadigitale.ti.ch/primo-explore/fulldisplay?docid=41CSI_CUMULUS_LBD_QUADERNI_DCSU1444&amp;context=L&amp;vid=41CSI_BD_V1&amp;lang=it_IT&amp;search_scope=41CSI_CUMULUS_LBD_QUADERNI_DCSU&amp;adaptor=Local%20Search%20Engine&amp;tab=default_tab&amp;query=any%2Ccontains%2Cmobilit%C3%A0&amp;offset=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38596\AppData\Local\Temp\OneOffixx\generated\db646081-9934-478d-a9e4-36aabbadf1ae.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919414957</Id>
      <Width>0</Width>
      <Height>0</Height>
      <XPath>//Image[@id='Profile.Org.WappenSW']</XPath>
      <ImageHash>02f1c0cdac6aeac316213b2e7cb733a0</ImageHash>
    </ImageSizeDefinition>
    <ImageSizeDefinition>
      <Id>66026119</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f 6 3 1 f 9 3 4 - d 7 4 f - 4 5 b 0 - a 4 1 2 - 0 4 d 0 f 1 0 9 9 a 4 1 "   t I d = " a 3 6 2 a 5 d 4 - 9 5 8 9 - 4 1 b f - a 4 e 6 - 4 f 8 7 c 4 e 4 1 2 3 9 "   i n t e r n a l T I d = " 9 0 6 4 c c 7 f - 3 1 6 d - 4 6 b 1 - a 4 a c - 7 4 8 6 0 c 3 f 8 a 5 b "   m t I d = " 2 7 5 a f 3 2 e - b c 4 0 - 4 5 c 2 - 8 5 b 7 - a f b 1 c 0 3 8 2 6 5 3 "   r e v i s i o n = " 0 "   c r e a t e d m a j o r v e r s i o n = " 0 "   c r e a t e d m i n o r v e r s i o n = " 0 "   c r e a t e d = " 2 0 2 5 - 0 1 - 2 7 T 1 3 : 3 9 : 2 6 . 9 2 1 9 1 9 Z "   m o d i f i e d m a j o r v e r s i o n = " 0 "   m o d i f i e d m i n o r v e r s i o n = " 0 "   m o d i f i e d = " 0 0 0 1 - 0 1 - 0 1 T 0 0 : 0 0 : 0 0 "   p r o f i l e = " a 6 9 4 f 4 0 2 - 2 f 9 7 - 4 5 a 3 - a 1 a 1 - 6 0 0 2 0 7 f 4 8 d e 0 "   m o d e = " S a v e d D o c u m e n t "   c o l o r m o d e = " C o l o r "   l c i d = " 2 0 6 4 "   x m l n s = " h t t p : / / s c h e m a . o n e o f f i x x . c o m / O n e O f f i x x D o c u m e n t P a r t / 1 " >  
     < C o n t e n t >  
         < D a t a M o d e l   x m l n s = " " >  
             < P r o f i l e >  
                 < T e x t   i d = " P r o f i l e . I d "   l a b e l = " P r o f i l e . I d " > < ! [ C D A T A [ a 6 9 4 f 4 0 2 - 2 f 9 7 - 4 5 a 3 - a 1 a 1 - 6 0 0 2 0 7 f 4 8 d e 0 ] ] > < / 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s t e f a n o . b e t t e l i n i @ t i . c h ] ] > < / T e x t >  
                 < T e x t   i d = " P r o f i l e . U s e r . F i r s t N a m e "   l a b e l = " P r o f i l e . U s e r . F i r s t N a m e " > < ! [ C D A T A [ S t e f a n o ] ] > < / T e x t >  
                 < T e x t   i d = " P r o f i l e . U s e r . F u n c t i o n "   l a b e l = " P r o f i l e . U s e r . F u n c t i o n " > < ! [ C D A T A [ S G C ] ] > < / T e x t >  
                 < T e x t   i d = " P r o f i l e . U s e r . L a s t N a m e "   l a b e l = " P r o f i l e . U s e r . L a s t N a m e " > < ! [ C D A T A [ B e t t e l i n i ] ] > < / T e x t >  
                 < T e x t   i d = " P r o f i l e . U s e r . M o b i l e "   l a b e l = " P r o f i l e . U s e r . M o b i l e " > < ! [ C D A T A [   ] ] > < / T e x t >  
                 < T e x t   i d = " P r o f i l e . U s e r . P h o n e "   l a b e l = " P r o f i l e . U s e r . P h o n e " > < ! [ C D A T A [ + 4 1 9 1 8 1 4 4 3 3 4 ] ] > < / 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s t e f a n o . b e t t e l i n i @ t i . c h ] ] > < / T e x t >  
                 < T e x t   i d = " A u t h o r . U s e r . F i r s t N a m e "   l a b e l = " A u t h o r . U s e r . F i r s t N a m e " > < ! [ C D A T A [ S t e f a n o ] ] > < / T e x t >  
                 < T e x t   i d = " A u t h o r . U s e r . F u n c t i o n "   l a b e l = " A u t h o r . U s e r . F u n c t i o n " > < ! [ C D A T A [ S G C ] ] > < / T e x t >  
                 < T e x t   i d = " A u t h o r . U s e r . L a s t N a m e "   l a b e l = " A u t h o r . U s e r . L a s t N a m e " > < ! [ C D A T A [ B e t t e l i n i ] ] > < / T e x t >  
                 < T e x t   i d = " A u t h o r . U s e r . M o b i l e "   l a b e l = " A u t h o r . U s e r . M o b i l e " > < ! [ C D A T A [   ] ] > < / T e x t >  
                 < T e x t   i d = " A u t h o r . U s e r . P h o n e "   l a b e l = " A u t h o r . U s e r . P h o n e " > < ! [ C D A T A [ + 4 1 9 1 8 1 4 4 3 3 4 ] ] > < / 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S c r i p t i n g >  
                 < T e x t   i d = " C u s t o m E l e m e n t s . S u b T e m p l a t e . L a n d s c a p e . H e a d e r . O r g I n f o s "   l a b e l = " C u s t o m E l e m e n t s . S u b T e m p l a t e . L a n d s c a p e . H e a d e r . O r g I n f o s " > < ! [ C D A T A [ R e p u b b l i c a   e   C a n t o n e   T i c i n o  
 D i p a r t i m e n t o   d e l l  e d u c a z i o n e ,   d e l l a   c u l t u r a   e   d e l l o   s p o r t ] ] > < / T e x t >  
                 < T e x t   i d = " C u s t o m E l e m e n t s . S u b T e m p l a t e . L a n d s c a p e . H e a d e r . T i t o l o "   l a b e l = " C u s t o m E l e m e n t s . S u b T e m p l a t e . L a n d s c a p e . H e a d e r . T i t o l o " > < ! [ C D A T A [ R a p p o r t o   n .   8 4 8 2   R   d e l   2 0   g e n n a i o   2 0 2 5 ] ] > < / 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T e x t >  
                 < T e x t   i d = " C u s t o m E l e m e n t s . F i e l d s . T i t o l o 2 "   l a b e l = " C u s t o m E l e m e n t s . F i e l d s . T i t o l o 2 " > < ! [ C D A T A [ R a p p o r t o   n .   8 4 8 2   R   d e l   2 0   g e n n a i o   2 0 2 5 ] ] > < / T e x t >  
                 < T e x t   i d = " C u s t o m E l e m e n t s . F i e l d s . O r g L i v e l l o 1 "   l a b e l = " C u s t o m E l e m e n t s . F i e l d s . O r g L i v e l l o 1 " > < ! [ C D A T A [ R e p u b b l i c a   e   C a n t o n e   T i c i n o ] ] > < / T e x t >  
             < / S c r i p t i n g > 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 2 0 2 5 - 0 1 - 2 0 T 0 0 : 0 0 : 0 0 Z < / D a t e T i m e >  
                 < T e x t   i d = " D o c P a r a m . N u m b e r " > < ! [ C D A T A [ 8 4 8 2   R ] ] > < / T e x t >  
                 < T e x t   i d = " D o c P a r a m . D o c u m e n t o " > < ! [ C D A T A [ R a p p o r t o ] ] > < / T e x t >  
                 < T e x t   i d = " D o c P a r a m . A g g i u n t a D o c "   t o o l t i p = " ( e s .   b i s ,   a g g i u n t i v o ,   a g g i u n t i v o   b i s ,   1 ,   2   e c c . ) " > < ! [ C D A T A [   ] ] > < / T e x t >  
                 < T e x t   i d = " D o c P a r a m . D i p a r t i m e n t i " > < ! [ C D A T A [ D i p a r t i m e n t o   d e l l  e d u c a z i o n e ,   d e l l a   c u l t u r a   e   d e l l o   s p o r 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4D5E0DBE-6C07-4165-ABD5-4DD76B7D3649}">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626A9556-38AB-4332-B7B2-4CFF586EC367}">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db646081-9934-478d-a9e4-36aabbadf1ae.dotx</Template>
  <TotalTime>269</TotalTime>
  <Pages>18</Pages>
  <Words>8300</Words>
  <Characters>47313</Characters>
  <Application>Microsoft Office Word</Application>
  <DocSecurity>0</DocSecurity>
  <Lines>394</Lines>
  <Paragraphs>111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Bettelini Stefano / t138596</dc:creator>
  <cp:lastModifiedBy>Venturi Luca</cp:lastModifiedBy>
  <cp:revision>66</cp:revision>
  <cp:lastPrinted>2025-02-11T08:02:00Z</cp:lastPrinted>
  <dcterms:created xsi:type="dcterms:W3CDTF">2025-01-27T13:39:00Z</dcterms:created>
  <dcterms:modified xsi:type="dcterms:W3CDTF">2025-02-11T08:04:00Z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