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3274A" w14:textId="77777777" w:rsidR="008F52AF" w:rsidRPr="00530C11" w:rsidRDefault="00530C11" w:rsidP="00D33940">
      <w:pPr>
        <w:pStyle w:val="StandardRisoluzionedelConsigliodiStato"/>
        <w:ind w:right="-1"/>
        <w:rPr>
          <w:b/>
          <w:sz w:val="28"/>
          <w:szCs w:val="28"/>
        </w:rPr>
      </w:pPr>
      <w:bookmarkStart w:id="0" w:name="_Hlk197651577"/>
      <w:bookmarkEnd w:id="0"/>
      <w:r w:rsidRPr="00530C11">
        <w:rPr>
          <w:b/>
          <w:sz w:val="28"/>
          <w:szCs w:val="28"/>
        </w:rPr>
        <w:t>della Commissione gestione e finanze</w:t>
      </w:r>
    </w:p>
    <w:p w14:paraId="43B6F61C" w14:textId="77777777" w:rsidR="00530C11" w:rsidRDefault="00530C11" w:rsidP="00D33940">
      <w:pPr>
        <w:pStyle w:val="StandardRisoluzionedelConsigliodiStato"/>
        <w:ind w:right="-1"/>
        <w:rPr>
          <w:b/>
          <w:sz w:val="28"/>
          <w:szCs w:val="28"/>
        </w:rPr>
      </w:pPr>
      <w:r w:rsidRPr="00530C11">
        <w:rPr>
          <w:b/>
          <w:sz w:val="28"/>
          <w:szCs w:val="28"/>
        </w:rPr>
        <w:t>sul messaggio</w:t>
      </w:r>
      <w:r>
        <w:rPr>
          <w:b/>
          <w:sz w:val="28"/>
          <w:szCs w:val="28"/>
        </w:rPr>
        <w:t xml:space="preserve"> </w:t>
      </w:r>
      <w:r w:rsidR="00A52F92">
        <w:rPr>
          <w:b/>
          <w:sz w:val="28"/>
          <w:szCs w:val="28"/>
        </w:rPr>
        <w:t xml:space="preserve">9 aprile </w:t>
      </w:r>
      <w:r>
        <w:rPr>
          <w:b/>
          <w:sz w:val="28"/>
          <w:szCs w:val="28"/>
        </w:rPr>
        <w:t>202</w:t>
      </w:r>
      <w:r w:rsidR="00A52F92">
        <w:rPr>
          <w:b/>
          <w:sz w:val="28"/>
          <w:szCs w:val="28"/>
        </w:rPr>
        <w:t>5</w:t>
      </w:r>
      <w:r>
        <w:rPr>
          <w:b/>
          <w:sz w:val="28"/>
          <w:szCs w:val="28"/>
        </w:rPr>
        <w:t xml:space="preserve"> concernente il Consuntivo 202</w:t>
      </w:r>
      <w:r w:rsidR="00A52F92">
        <w:rPr>
          <w:b/>
          <w:sz w:val="28"/>
          <w:szCs w:val="28"/>
        </w:rPr>
        <w:t>4</w:t>
      </w:r>
    </w:p>
    <w:p w14:paraId="5D0C5ACD" w14:textId="77777777" w:rsidR="00530C11" w:rsidRPr="00AC1D16" w:rsidRDefault="00530C11" w:rsidP="00D33940">
      <w:pPr>
        <w:pStyle w:val="StandardRisoluzionedelConsigliodiStato"/>
        <w:ind w:right="-1"/>
        <w:rPr>
          <w:szCs w:val="24"/>
        </w:rPr>
      </w:pPr>
    </w:p>
    <w:p w14:paraId="3E044104" w14:textId="77777777" w:rsidR="00B77BB3" w:rsidRPr="00AC1D16" w:rsidRDefault="00B77BB3">
      <w:pPr>
        <w:rPr>
          <w:sz w:val="24"/>
          <w:szCs w:val="24"/>
        </w:rPr>
      </w:pPr>
    </w:p>
    <w:sdt>
      <w:sdtPr>
        <w:rPr>
          <w:rFonts w:ascii="Arial" w:hAnsi="Arial"/>
          <w:b w:val="0"/>
          <w:sz w:val="24"/>
          <w:szCs w:val="24"/>
          <w:lang w:val="it-IT"/>
        </w:rPr>
        <w:id w:val="1842508988"/>
        <w:docPartObj>
          <w:docPartGallery w:val="Table of Contents"/>
          <w:docPartUnique/>
        </w:docPartObj>
      </w:sdtPr>
      <w:sdtEndPr>
        <w:rPr>
          <w:bCs/>
        </w:rPr>
      </w:sdtEndPr>
      <w:sdtContent>
        <w:p w14:paraId="443F086D" w14:textId="77777777" w:rsidR="00756DA4" w:rsidRPr="008B0ED1" w:rsidRDefault="00756DA4">
          <w:pPr>
            <w:pStyle w:val="Titolosommario"/>
            <w:rPr>
              <w:rFonts w:asciiTheme="minorHAnsi" w:hAnsiTheme="minorHAnsi" w:cstheme="minorHAnsi"/>
              <w:sz w:val="24"/>
              <w:szCs w:val="24"/>
            </w:rPr>
          </w:pPr>
          <w:r w:rsidRPr="008B0ED1">
            <w:rPr>
              <w:rFonts w:asciiTheme="minorHAnsi" w:hAnsiTheme="minorHAnsi" w:cstheme="minorHAnsi"/>
              <w:sz w:val="24"/>
              <w:szCs w:val="24"/>
              <w:lang w:val="it-IT"/>
            </w:rPr>
            <w:t>INDICE</w:t>
          </w:r>
        </w:p>
        <w:p w14:paraId="28BDBDDD" w14:textId="3082B015" w:rsidR="008B0ED1" w:rsidRPr="008B0ED1" w:rsidRDefault="00756DA4">
          <w:pPr>
            <w:pStyle w:val="Sommario1"/>
            <w:rPr>
              <w:rFonts w:asciiTheme="minorHAnsi" w:eastAsiaTheme="minorEastAsia" w:hAnsiTheme="minorHAnsi"/>
              <w:b w:val="0"/>
              <w:noProof/>
              <w:sz w:val="24"/>
              <w:szCs w:val="24"/>
              <w:lang w:eastAsia="it-CH"/>
            </w:rPr>
          </w:pPr>
          <w:r w:rsidRPr="008B0ED1">
            <w:rPr>
              <w:b w:val="0"/>
              <w:sz w:val="24"/>
              <w:szCs w:val="24"/>
            </w:rPr>
            <w:fldChar w:fldCharType="begin"/>
          </w:r>
          <w:r w:rsidRPr="008B0ED1">
            <w:rPr>
              <w:b w:val="0"/>
              <w:sz w:val="24"/>
              <w:szCs w:val="24"/>
            </w:rPr>
            <w:instrText xml:space="preserve"> TOC \o "1-3" \h \z \u </w:instrText>
          </w:r>
          <w:r w:rsidRPr="008B0ED1">
            <w:rPr>
              <w:b w:val="0"/>
              <w:sz w:val="24"/>
              <w:szCs w:val="24"/>
            </w:rPr>
            <w:fldChar w:fldCharType="separate"/>
          </w:r>
          <w:hyperlink w:anchor="_Toc199249358" w:history="1">
            <w:r w:rsidR="008B0ED1" w:rsidRPr="008B0ED1">
              <w:rPr>
                <w:rStyle w:val="Collegamentoipertestuale"/>
                <w:rFonts w:eastAsia="Calibri" w:cs="Times New Roman"/>
                <w:b w:val="0"/>
                <w:caps/>
                <w:noProof/>
                <w:sz w:val="24"/>
                <w:szCs w:val="24"/>
                <w:lang w:val="it-IT" w:eastAsia="it-IT"/>
              </w:rPr>
              <w:t>1.</w:t>
            </w:r>
            <w:r w:rsidR="008B0ED1" w:rsidRPr="008B0ED1">
              <w:rPr>
                <w:rFonts w:asciiTheme="minorHAnsi" w:eastAsiaTheme="minorEastAsia" w:hAnsiTheme="minorHAnsi"/>
                <w:b w:val="0"/>
                <w:noProof/>
                <w:sz w:val="24"/>
                <w:szCs w:val="24"/>
                <w:lang w:eastAsia="it-CH"/>
              </w:rPr>
              <w:tab/>
            </w:r>
            <w:r w:rsidR="008B0ED1" w:rsidRPr="008B0ED1">
              <w:rPr>
                <w:rStyle w:val="Collegamentoipertestuale"/>
                <w:rFonts w:eastAsia="Calibri" w:cs="Times New Roman"/>
                <w:b w:val="0"/>
                <w:caps/>
                <w:noProof/>
                <w:sz w:val="24"/>
                <w:szCs w:val="24"/>
                <w:lang w:val="it-IT" w:eastAsia="it-IT"/>
              </w:rPr>
              <w:t>i dati del Consuntivo 2024 in sintesi</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_Toc199249358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1</w:t>
            </w:r>
            <w:r w:rsidR="008B0ED1" w:rsidRPr="008B0ED1">
              <w:rPr>
                <w:b w:val="0"/>
                <w:noProof/>
                <w:webHidden/>
                <w:sz w:val="24"/>
                <w:szCs w:val="24"/>
              </w:rPr>
              <w:fldChar w:fldCharType="end"/>
            </w:r>
          </w:hyperlink>
        </w:p>
        <w:p w14:paraId="122987A7" w14:textId="1A8695C0" w:rsidR="008B0ED1" w:rsidRPr="008B0ED1" w:rsidRDefault="001671E5">
          <w:pPr>
            <w:pStyle w:val="Sommario1"/>
            <w:rPr>
              <w:rFonts w:asciiTheme="minorHAnsi" w:eastAsiaTheme="minorEastAsia" w:hAnsiTheme="minorHAnsi"/>
              <w:b w:val="0"/>
              <w:noProof/>
              <w:sz w:val="24"/>
              <w:szCs w:val="24"/>
              <w:lang w:eastAsia="it-CH"/>
            </w:rPr>
          </w:pPr>
          <w:hyperlink w:anchor="_Toc199249359" w:history="1">
            <w:r w:rsidR="008B0ED1" w:rsidRPr="008B0ED1">
              <w:rPr>
                <w:rStyle w:val="Collegamentoipertestuale"/>
                <w:rFonts w:eastAsia="Calibri" w:cs="Times New Roman"/>
                <w:b w:val="0"/>
                <w:caps/>
                <w:noProof/>
                <w:sz w:val="24"/>
                <w:szCs w:val="24"/>
                <w:lang w:val="it-IT" w:eastAsia="it-IT"/>
              </w:rPr>
              <w:t>2.</w:t>
            </w:r>
            <w:r w:rsidR="008B0ED1" w:rsidRPr="008B0ED1">
              <w:rPr>
                <w:rFonts w:asciiTheme="minorHAnsi" w:eastAsiaTheme="minorEastAsia" w:hAnsiTheme="minorHAnsi"/>
                <w:b w:val="0"/>
                <w:noProof/>
                <w:sz w:val="24"/>
                <w:szCs w:val="24"/>
                <w:lang w:eastAsia="it-CH"/>
              </w:rPr>
              <w:tab/>
            </w:r>
            <w:r w:rsidR="008B0ED1" w:rsidRPr="008B0ED1">
              <w:rPr>
                <w:rStyle w:val="Collegamentoipertestuale"/>
                <w:rFonts w:eastAsia="Calibri" w:cs="Times New Roman"/>
                <w:b w:val="0"/>
                <w:caps/>
                <w:noProof/>
                <w:sz w:val="24"/>
                <w:szCs w:val="24"/>
                <w:lang w:val="it-IT" w:eastAsia="it-IT"/>
              </w:rPr>
              <w:t>Introduzione</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_Toc199249359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2</w:t>
            </w:r>
            <w:r w:rsidR="008B0ED1" w:rsidRPr="008B0ED1">
              <w:rPr>
                <w:b w:val="0"/>
                <w:noProof/>
                <w:webHidden/>
                <w:sz w:val="24"/>
                <w:szCs w:val="24"/>
              </w:rPr>
              <w:fldChar w:fldCharType="end"/>
            </w:r>
          </w:hyperlink>
        </w:p>
        <w:p w14:paraId="5E45C644" w14:textId="7D63823F" w:rsidR="008B0ED1" w:rsidRPr="008B0ED1" w:rsidRDefault="001671E5">
          <w:pPr>
            <w:pStyle w:val="Sommario1"/>
            <w:rPr>
              <w:rFonts w:asciiTheme="minorHAnsi" w:eastAsiaTheme="minorEastAsia" w:hAnsiTheme="minorHAnsi"/>
              <w:b w:val="0"/>
              <w:noProof/>
              <w:sz w:val="24"/>
              <w:szCs w:val="24"/>
              <w:lang w:eastAsia="it-CH"/>
            </w:rPr>
          </w:pPr>
          <w:hyperlink w:anchor="_Toc199249360" w:history="1">
            <w:r w:rsidR="008B0ED1" w:rsidRPr="008B0ED1">
              <w:rPr>
                <w:rStyle w:val="Collegamentoipertestuale"/>
                <w:rFonts w:eastAsia="Calibri" w:cs="Times New Roman"/>
                <w:b w:val="0"/>
                <w:caps/>
                <w:noProof/>
                <w:sz w:val="24"/>
                <w:szCs w:val="24"/>
                <w:lang w:val="it-IT" w:eastAsia="it-IT"/>
              </w:rPr>
              <w:t>3.</w:t>
            </w:r>
            <w:r w:rsidR="008B0ED1" w:rsidRPr="008B0ED1">
              <w:rPr>
                <w:rFonts w:asciiTheme="minorHAnsi" w:eastAsiaTheme="minorEastAsia" w:hAnsiTheme="minorHAnsi"/>
                <w:b w:val="0"/>
                <w:noProof/>
                <w:sz w:val="24"/>
                <w:szCs w:val="24"/>
                <w:lang w:eastAsia="it-CH"/>
              </w:rPr>
              <w:tab/>
            </w:r>
            <w:r w:rsidR="008B0ED1" w:rsidRPr="008B0ED1">
              <w:rPr>
                <w:rStyle w:val="Collegamentoipertestuale"/>
                <w:rFonts w:eastAsia="Calibri" w:cs="Times New Roman"/>
                <w:b w:val="0"/>
                <w:caps/>
                <w:noProof/>
                <w:sz w:val="24"/>
                <w:szCs w:val="24"/>
                <w:lang w:val="it-IT" w:eastAsia="it-IT"/>
              </w:rPr>
              <w:t>il conto economico 2024</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_Toc199249360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4</w:t>
            </w:r>
            <w:r w:rsidR="008B0ED1" w:rsidRPr="008B0ED1">
              <w:rPr>
                <w:b w:val="0"/>
                <w:noProof/>
                <w:webHidden/>
                <w:sz w:val="24"/>
                <w:szCs w:val="24"/>
              </w:rPr>
              <w:fldChar w:fldCharType="end"/>
            </w:r>
          </w:hyperlink>
        </w:p>
        <w:p w14:paraId="35D40C2D" w14:textId="2CF35BBB" w:rsidR="008B0ED1" w:rsidRPr="008B0ED1" w:rsidRDefault="001671E5">
          <w:pPr>
            <w:pStyle w:val="Sommario2"/>
            <w:rPr>
              <w:rFonts w:asciiTheme="minorHAnsi" w:eastAsiaTheme="minorEastAsia" w:hAnsiTheme="minorHAnsi"/>
              <w:noProof/>
              <w:sz w:val="24"/>
              <w:szCs w:val="24"/>
              <w:lang w:eastAsia="it-CH"/>
            </w:rPr>
          </w:pPr>
          <w:hyperlink w:anchor="_Toc199249361" w:history="1">
            <w:r w:rsidR="008B0ED1" w:rsidRPr="008B0ED1">
              <w:rPr>
                <w:rStyle w:val="Collegamentoipertestuale"/>
                <w:rFonts w:eastAsia="Calibri" w:cs="Times New Roman"/>
                <w:noProof/>
                <w:sz w:val="24"/>
                <w:szCs w:val="24"/>
                <w:lang w:val="it-IT" w:eastAsia="it-IT"/>
              </w:rPr>
              <w:t>4.</w:t>
            </w:r>
            <w:r w:rsidR="008B0ED1" w:rsidRPr="008B0ED1">
              <w:rPr>
                <w:rFonts w:asciiTheme="minorHAnsi" w:eastAsiaTheme="minorEastAsia" w:hAnsiTheme="minorHAnsi"/>
                <w:noProof/>
                <w:sz w:val="24"/>
                <w:szCs w:val="24"/>
                <w:lang w:eastAsia="it-CH"/>
              </w:rPr>
              <w:tab/>
            </w:r>
            <w:r w:rsidR="008B0ED1" w:rsidRPr="008B0ED1">
              <w:rPr>
                <w:rStyle w:val="Collegamentoipertestuale"/>
                <w:rFonts w:eastAsia="Calibri" w:cs="Times New Roman"/>
                <w:noProof/>
                <w:sz w:val="24"/>
                <w:szCs w:val="24"/>
                <w:lang w:val="it-IT" w:eastAsia="it-IT"/>
              </w:rPr>
              <w:t>EVOLUZIONE DELLE SPESE E DEI RICAVI – ANNI DAL 2001 AL 2024</w:t>
            </w:r>
            <w:r w:rsidR="008B0ED1" w:rsidRPr="008B0ED1">
              <w:rPr>
                <w:noProof/>
                <w:webHidden/>
                <w:sz w:val="24"/>
                <w:szCs w:val="24"/>
              </w:rPr>
              <w:tab/>
            </w:r>
            <w:r w:rsidR="008B0ED1" w:rsidRPr="008B0ED1">
              <w:rPr>
                <w:noProof/>
                <w:webHidden/>
                <w:sz w:val="24"/>
                <w:szCs w:val="24"/>
              </w:rPr>
              <w:fldChar w:fldCharType="begin"/>
            </w:r>
            <w:r w:rsidR="008B0ED1" w:rsidRPr="008B0ED1">
              <w:rPr>
                <w:noProof/>
                <w:webHidden/>
                <w:sz w:val="24"/>
                <w:szCs w:val="24"/>
              </w:rPr>
              <w:instrText xml:space="preserve"> PAGEREF _Toc199249361 \h </w:instrText>
            </w:r>
            <w:r w:rsidR="008B0ED1" w:rsidRPr="008B0ED1">
              <w:rPr>
                <w:noProof/>
                <w:webHidden/>
                <w:sz w:val="24"/>
                <w:szCs w:val="24"/>
              </w:rPr>
            </w:r>
            <w:r w:rsidR="008B0ED1" w:rsidRPr="008B0ED1">
              <w:rPr>
                <w:noProof/>
                <w:webHidden/>
                <w:sz w:val="24"/>
                <w:szCs w:val="24"/>
              </w:rPr>
              <w:fldChar w:fldCharType="separate"/>
            </w:r>
            <w:r w:rsidR="000317AE">
              <w:rPr>
                <w:noProof/>
                <w:webHidden/>
                <w:sz w:val="24"/>
                <w:szCs w:val="24"/>
              </w:rPr>
              <w:t>10</w:t>
            </w:r>
            <w:r w:rsidR="008B0ED1" w:rsidRPr="008B0ED1">
              <w:rPr>
                <w:noProof/>
                <w:webHidden/>
                <w:sz w:val="24"/>
                <w:szCs w:val="24"/>
              </w:rPr>
              <w:fldChar w:fldCharType="end"/>
            </w:r>
          </w:hyperlink>
        </w:p>
        <w:p w14:paraId="22E3DC49" w14:textId="618A9431" w:rsidR="008B0ED1" w:rsidRPr="008B0ED1" w:rsidRDefault="001671E5">
          <w:pPr>
            <w:pStyle w:val="Sommario2"/>
            <w:rPr>
              <w:rFonts w:asciiTheme="minorHAnsi" w:eastAsiaTheme="minorEastAsia" w:hAnsiTheme="minorHAnsi"/>
              <w:noProof/>
              <w:sz w:val="24"/>
              <w:szCs w:val="24"/>
              <w:lang w:eastAsia="it-CH"/>
            </w:rPr>
          </w:pPr>
          <w:hyperlink w:anchor="_Toc199249362" w:history="1">
            <w:r w:rsidR="008B0ED1" w:rsidRPr="008B0ED1">
              <w:rPr>
                <w:rStyle w:val="Collegamentoipertestuale"/>
                <w:rFonts w:eastAsia="Calibri" w:cs="Times New Roman"/>
                <w:noProof/>
                <w:sz w:val="24"/>
                <w:szCs w:val="24"/>
                <w:lang w:val="it-IT" w:eastAsia="it-IT"/>
              </w:rPr>
              <w:t>5.</w:t>
            </w:r>
            <w:r w:rsidR="008B0ED1" w:rsidRPr="008B0ED1">
              <w:rPr>
                <w:rFonts w:asciiTheme="minorHAnsi" w:eastAsiaTheme="minorEastAsia" w:hAnsiTheme="minorHAnsi"/>
                <w:noProof/>
                <w:sz w:val="24"/>
                <w:szCs w:val="24"/>
                <w:lang w:eastAsia="it-CH"/>
              </w:rPr>
              <w:tab/>
            </w:r>
            <w:r w:rsidR="008B0ED1" w:rsidRPr="008B0ED1">
              <w:rPr>
                <w:rStyle w:val="Collegamentoipertestuale"/>
                <w:rFonts w:eastAsia="Calibri" w:cs="Times New Roman"/>
                <w:noProof/>
                <w:sz w:val="24"/>
                <w:szCs w:val="24"/>
                <w:lang w:val="it-IT" w:eastAsia="it-IT"/>
              </w:rPr>
              <w:t>SCOSTAMENTI PRINCIPALI RISPETTO AI DATI DI PREVENTIVO</w:t>
            </w:r>
            <w:r w:rsidR="008B0ED1" w:rsidRPr="008B0ED1">
              <w:rPr>
                <w:noProof/>
                <w:webHidden/>
                <w:sz w:val="24"/>
                <w:szCs w:val="24"/>
              </w:rPr>
              <w:tab/>
            </w:r>
            <w:r w:rsidR="008B0ED1" w:rsidRPr="008B0ED1">
              <w:rPr>
                <w:noProof/>
                <w:webHidden/>
                <w:sz w:val="24"/>
                <w:szCs w:val="24"/>
              </w:rPr>
              <w:fldChar w:fldCharType="begin"/>
            </w:r>
            <w:r w:rsidR="008B0ED1" w:rsidRPr="008B0ED1">
              <w:rPr>
                <w:noProof/>
                <w:webHidden/>
                <w:sz w:val="24"/>
                <w:szCs w:val="24"/>
              </w:rPr>
              <w:instrText xml:space="preserve"> PAGEREF _Toc199249362 \h </w:instrText>
            </w:r>
            <w:r w:rsidR="008B0ED1" w:rsidRPr="008B0ED1">
              <w:rPr>
                <w:noProof/>
                <w:webHidden/>
                <w:sz w:val="24"/>
                <w:szCs w:val="24"/>
              </w:rPr>
            </w:r>
            <w:r w:rsidR="008B0ED1" w:rsidRPr="008B0ED1">
              <w:rPr>
                <w:noProof/>
                <w:webHidden/>
                <w:sz w:val="24"/>
                <w:szCs w:val="24"/>
              </w:rPr>
              <w:fldChar w:fldCharType="separate"/>
            </w:r>
            <w:r w:rsidR="000317AE">
              <w:rPr>
                <w:noProof/>
                <w:webHidden/>
                <w:sz w:val="24"/>
                <w:szCs w:val="24"/>
              </w:rPr>
              <w:t>12</w:t>
            </w:r>
            <w:r w:rsidR="008B0ED1" w:rsidRPr="008B0ED1">
              <w:rPr>
                <w:noProof/>
                <w:webHidden/>
                <w:sz w:val="24"/>
                <w:szCs w:val="24"/>
              </w:rPr>
              <w:fldChar w:fldCharType="end"/>
            </w:r>
          </w:hyperlink>
        </w:p>
        <w:p w14:paraId="1A86B05E" w14:textId="4229A25F" w:rsidR="008B0ED1" w:rsidRPr="008B0ED1" w:rsidRDefault="001671E5">
          <w:pPr>
            <w:pStyle w:val="Sommario1"/>
            <w:rPr>
              <w:rFonts w:asciiTheme="minorHAnsi" w:eastAsiaTheme="minorEastAsia" w:hAnsiTheme="minorHAnsi"/>
              <w:b w:val="0"/>
              <w:noProof/>
              <w:sz w:val="24"/>
              <w:szCs w:val="24"/>
              <w:lang w:eastAsia="it-CH"/>
            </w:rPr>
          </w:pPr>
          <w:hyperlink w:anchor="_Toc199249363" w:history="1">
            <w:r w:rsidR="008B0ED1" w:rsidRPr="008B0ED1">
              <w:rPr>
                <w:rStyle w:val="Collegamentoipertestuale"/>
                <w:rFonts w:eastAsia="Calibri" w:cs="Times New Roman"/>
                <w:b w:val="0"/>
                <w:noProof/>
                <w:sz w:val="24"/>
                <w:szCs w:val="24"/>
              </w:rPr>
              <w:t>6.</w:t>
            </w:r>
            <w:r w:rsidR="008B0ED1" w:rsidRPr="008B0ED1">
              <w:rPr>
                <w:rFonts w:asciiTheme="minorHAnsi" w:eastAsiaTheme="minorEastAsia" w:hAnsiTheme="minorHAnsi"/>
                <w:b w:val="0"/>
                <w:noProof/>
                <w:sz w:val="24"/>
                <w:szCs w:val="24"/>
                <w:lang w:eastAsia="it-CH"/>
              </w:rPr>
              <w:tab/>
            </w:r>
            <w:r w:rsidR="008B0ED1" w:rsidRPr="008B0ED1">
              <w:rPr>
                <w:rStyle w:val="Collegamentoipertestuale"/>
                <w:rFonts w:eastAsia="Calibri" w:cs="Times New Roman"/>
                <w:b w:val="0"/>
                <w:noProof/>
                <w:sz w:val="24"/>
                <w:szCs w:val="24"/>
                <w:lang w:val="it-IT" w:eastAsia="it-IT"/>
              </w:rPr>
              <w:t>F</w:t>
            </w:r>
            <w:r w:rsidR="008B0ED1" w:rsidRPr="008B0ED1">
              <w:rPr>
                <w:rStyle w:val="Collegamentoipertestuale"/>
                <w:b w:val="0"/>
                <w:noProof/>
                <w:sz w:val="24"/>
                <w:szCs w:val="24"/>
              </w:rPr>
              <w:t>RENO AL DISAVANZO</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_Toc199249363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14</w:t>
            </w:r>
            <w:r w:rsidR="008B0ED1" w:rsidRPr="008B0ED1">
              <w:rPr>
                <w:b w:val="0"/>
                <w:noProof/>
                <w:webHidden/>
                <w:sz w:val="24"/>
                <w:szCs w:val="24"/>
              </w:rPr>
              <w:fldChar w:fldCharType="end"/>
            </w:r>
          </w:hyperlink>
        </w:p>
        <w:p w14:paraId="3C28C371" w14:textId="05268DE4" w:rsidR="008B0ED1" w:rsidRPr="008B0ED1" w:rsidRDefault="001671E5">
          <w:pPr>
            <w:pStyle w:val="Sommario1"/>
            <w:rPr>
              <w:rFonts w:asciiTheme="minorHAnsi" w:eastAsiaTheme="minorEastAsia" w:hAnsiTheme="minorHAnsi"/>
              <w:b w:val="0"/>
              <w:noProof/>
              <w:sz w:val="24"/>
              <w:szCs w:val="24"/>
              <w:lang w:eastAsia="it-CH"/>
            </w:rPr>
          </w:pPr>
          <w:hyperlink w:anchor="_Toc199249364" w:history="1">
            <w:r w:rsidR="008B0ED1" w:rsidRPr="008B0ED1">
              <w:rPr>
                <w:rStyle w:val="Collegamentoipertestuale"/>
                <w:rFonts w:eastAsia="Calibri" w:cs="Times New Roman"/>
                <w:b w:val="0"/>
                <w:noProof/>
                <w:sz w:val="24"/>
                <w:szCs w:val="24"/>
              </w:rPr>
              <w:t>7.</w:t>
            </w:r>
            <w:r w:rsidR="008B0ED1" w:rsidRPr="008B0ED1">
              <w:rPr>
                <w:rFonts w:asciiTheme="minorHAnsi" w:eastAsiaTheme="minorEastAsia" w:hAnsiTheme="minorHAnsi"/>
                <w:b w:val="0"/>
                <w:noProof/>
                <w:sz w:val="24"/>
                <w:szCs w:val="24"/>
                <w:lang w:eastAsia="it-CH"/>
              </w:rPr>
              <w:tab/>
            </w:r>
            <w:r w:rsidR="008B0ED1" w:rsidRPr="008B0ED1">
              <w:rPr>
                <w:rStyle w:val="Collegamentoipertestuale"/>
                <w:b w:val="0"/>
                <w:noProof/>
                <w:sz w:val="24"/>
                <w:szCs w:val="24"/>
              </w:rPr>
              <w:t>EVOLUZIONE DEL PIL</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_Toc199249364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16</w:t>
            </w:r>
            <w:r w:rsidR="008B0ED1" w:rsidRPr="008B0ED1">
              <w:rPr>
                <w:b w:val="0"/>
                <w:noProof/>
                <w:webHidden/>
                <w:sz w:val="24"/>
                <w:szCs w:val="24"/>
              </w:rPr>
              <w:fldChar w:fldCharType="end"/>
            </w:r>
          </w:hyperlink>
        </w:p>
        <w:p w14:paraId="02DE8FDC" w14:textId="23BEA507" w:rsidR="008B0ED1" w:rsidRPr="008B0ED1" w:rsidRDefault="001671E5">
          <w:pPr>
            <w:pStyle w:val="Sommario1"/>
            <w:rPr>
              <w:rFonts w:asciiTheme="minorHAnsi" w:eastAsiaTheme="minorEastAsia" w:hAnsiTheme="minorHAnsi"/>
              <w:b w:val="0"/>
              <w:noProof/>
              <w:sz w:val="24"/>
              <w:szCs w:val="24"/>
              <w:lang w:eastAsia="it-CH"/>
            </w:rPr>
          </w:pPr>
          <w:hyperlink w:anchor="_Toc199249365" w:history="1">
            <w:r w:rsidR="008B0ED1" w:rsidRPr="008B0ED1">
              <w:rPr>
                <w:rStyle w:val="Collegamentoipertestuale"/>
                <w:rFonts w:eastAsia="Calibri" w:cs="Times New Roman"/>
                <w:b w:val="0"/>
                <w:noProof/>
                <w:sz w:val="24"/>
                <w:szCs w:val="24"/>
              </w:rPr>
              <w:t>8.</w:t>
            </w:r>
            <w:r w:rsidR="008B0ED1" w:rsidRPr="008B0ED1">
              <w:rPr>
                <w:rFonts w:asciiTheme="minorHAnsi" w:eastAsiaTheme="minorEastAsia" w:hAnsiTheme="minorHAnsi"/>
                <w:b w:val="0"/>
                <w:noProof/>
                <w:sz w:val="24"/>
                <w:szCs w:val="24"/>
                <w:lang w:eastAsia="it-CH"/>
              </w:rPr>
              <w:tab/>
            </w:r>
            <w:r w:rsidR="008B0ED1" w:rsidRPr="008B0ED1">
              <w:rPr>
                <w:rStyle w:val="Collegamentoipertestuale"/>
                <w:b w:val="0"/>
                <w:noProof/>
                <w:sz w:val="24"/>
                <w:szCs w:val="24"/>
              </w:rPr>
              <w:t>IL DEBITO PUBBLICO COME ALIBI</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_Toc199249365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17</w:t>
            </w:r>
            <w:r w:rsidR="008B0ED1" w:rsidRPr="008B0ED1">
              <w:rPr>
                <w:b w:val="0"/>
                <w:noProof/>
                <w:webHidden/>
                <w:sz w:val="24"/>
                <w:szCs w:val="24"/>
              </w:rPr>
              <w:fldChar w:fldCharType="end"/>
            </w:r>
          </w:hyperlink>
        </w:p>
        <w:p w14:paraId="2F419B2D" w14:textId="68C7338D" w:rsidR="008B0ED1" w:rsidRPr="008B0ED1" w:rsidRDefault="001671E5">
          <w:pPr>
            <w:pStyle w:val="Sommario1"/>
            <w:rPr>
              <w:rFonts w:asciiTheme="minorHAnsi" w:eastAsiaTheme="minorEastAsia" w:hAnsiTheme="minorHAnsi"/>
              <w:b w:val="0"/>
              <w:noProof/>
              <w:sz w:val="24"/>
              <w:szCs w:val="24"/>
              <w:lang w:eastAsia="it-CH"/>
            </w:rPr>
          </w:pPr>
          <w:hyperlink w:anchor="_Toc199249366" w:history="1">
            <w:r w:rsidR="008B0ED1" w:rsidRPr="008B0ED1">
              <w:rPr>
                <w:rStyle w:val="Collegamentoipertestuale"/>
                <w:rFonts w:eastAsia="Calibri" w:cs="Times New Roman"/>
                <w:b w:val="0"/>
                <w:noProof/>
                <w:sz w:val="24"/>
                <w:szCs w:val="24"/>
              </w:rPr>
              <w:t>9.</w:t>
            </w:r>
            <w:r w:rsidR="008B0ED1" w:rsidRPr="008B0ED1">
              <w:rPr>
                <w:rFonts w:asciiTheme="minorHAnsi" w:eastAsiaTheme="minorEastAsia" w:hAnsiTheme="minorHAnsi"/>
                <w:b w:val="0"/>
                <w:noProof/>
                <w:sz w:val="24"/>
                <w:szCs w:val="24"/>
                <w:lang w:eastAsia="it-CH"/>
              </w:rPr>
              <w:tab/>
            </w:r>
            <w:r w:rsidR="008B0ED1" w:rsidRPr="008B0ED1">
              <w:rPr>
                <w:rStyle w:val="Collegamentoipertestuale"/>
                <w:b w:val="0"/>
                <w:noProof/>
                <w:sz w:val="24"/>
                <w:szCs w:val="24"/>
              </w:rPr>
              <w:t>MISURE DI CONTENIMENTO DELLA SPESA</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_Toc199249366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18</w:t>
            </w:r>
            <w:r w:rsidR="008B0ED1" w:rsidRPr="008B0ED1">
              <w:rPr>
                <w:b w:val="0"/>
                <w:noProof/>
                <w:webHidden/>
                <w:sz w:val="24"/>
                <w:szCs w:val="24"/>
              </w:rPr>
              <w:fldChar w:fldCharType="end"/>
            </w:r>
          </w:hyperlink>
        </w:p>
        <w:p w14:paraId="02EAE64B" w14:textId="65949C04" w:rsidR="008B0ED1" w:rsidRPr="008B0ED1" w:rsidRDefault="001671E5">
          <w:pPr>
            <w:pStyle w:val="Sommario1"/>
            <w:rPr>
              <w:rFonts w:asciiTheme="minorHAnsi" w:eastAsiaTheme="minorEastAsia" w:hAnsiTheme="minorHAnsi"/>
              <w:b w:val="0"/>
              <w:noProof/>
              <w:sz w:val="24"/>
              <w:szCs w:val="24"/>
              <w:lang w:eastAsia="it-CH"/>
            </w:rPr>
          </w:pPr>
          <w:hyperlink w:anchor="_Toc199249367" w:history="1">
            <w:r w:rsidR="008B0ED1" w:rsidRPr="008B0ED1">
              <w:rPr>
                <w:rStyle w:val="Collegamentoipertestuale"/>
                <w:rFonts w:eastAsia="Calibri" w:cs="Times New Roman"/>
                <w:b w:val="0"/>
                <w:noProof/>
                <w:sz w:val="24"/>
                <w:szCs w:val="24"/>
              </w:rPr>
              <w:t>10.</w:t>
            </w:r>
            <w:r w:rsidR="008B0ED1" w:rsidRPr="008B0ED1">
              <w:rPr>
                <w:rFonts w:asciiTheme="minorHAnsi" w:eastAsiaTheme="minorEastAsia" w:hAnsiTheme="minorHAnsi"/>
                <w:b w:val="0"/>
                <w:noProof/>
                <w:sz w:val="24"/>
                <w:szCs w:val="24"/>
                <w:lang w:eastAsia="it-CH"/>
              </w:rPr>
              <w:tab/>
            </w:r>
            <w:r w:rsidR="008B0ED1" w:rsidRPr="008B0ED1">
              <w:rPr>
                <w:rStyle w:val="Collegamentoipertestuale"/>
                <w:b w:val="0"/>
                <w:noProof/>
                <w:sz w:val="24"/>
                <w:szCs w:val="24"/>
              </w:rPr>
              <w:t>ESAME DELLA MINORANZA</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_Toc199249367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20</w:t>
            </w:r>
            <w:r w:rsidR="008B0ED1" w:rsidRPr="008B0ED1">
              <w:rPr>
                <w:b w:val="0"/>
                <w:noProof/>
                <w:webHidden/>
                <w:sz w:val="24"/>
                <w:szCs w:val="24"/>
              </w:rPr>
              <w:fldChar w:fldCharType="end"/>
            </w:r>
          </w:hyperlink>
        </w:p>
        <w:p w14:paraId="089186AB" w14:textId="4BCD4792" w:rsidR="008B0ED1" w:rsidRPr="008B0ED1" w:rsidRDefault="001671E5">
          <w:pPr>
            <w:pStyle w:val="Sommario1"/>
            <w:rPr>
              <w:rFonts w:asciiTheme="minorHAnsi" w:eastAsiaTheme="minorEastAsia" w:hAnsiTheme="minorHAnsi"/>
              <w:b w:val="0"/>
              <w:noProof/>
              <w:sz w:val="24"/>
              <w:szCs w:val="24"/>
              <w:lang w:eastAsia="it-CH"/>
            </w:rPr>
          </w:pPr>
          <w:hyperlink w:anchor="_Toc199249368" w:history="1">
            <w:r w:rsidR="008B0ED1" w:rsidRPr="008B0ED1">
              <w:rPr>
                <w:rStyle w:val="Collegamentoipertestuale"/>
                <w:rFonts w:eastAsia="Calibri" w:cs="Times New Roman"/>
                <w:b w:val="0"/>
                <w:noProof/>
                <w:sz w:val="24"/>
                <w:szCs w:val="24"/>
              </w:rPr>
              <w:t>11.</w:t>
            </w:r>
            <w:r w:rsidR="008B0ED1" w:rsidRPr="008B0ED1">
              <w:rPr>
                <w:rFonts w:asciiTheme="minorHAnsi" w:eastAsiaTheme="minorEastAsia" w:hAnsiTheme="minorHAnsi"/>
                <w:b w:val="0"/>
                <w:noProof/>
                <w:sz w:val="24"/>
                <w:szCs w:val="24"/>
                <w:lang w:eastAsia="it-CH"/>
              </w:rPr>
              <w:tab/>
            </w:r>
            <w:r w:rsidR="008B0ED1" w:rsidRPr="008B0ED1">
              <w:rPr>
                <w:rStyle w:val="Collegamentoipertestuale"/>
                <w:b w:val="0"/>
                <w:noProof/>
                <w:sz w:val="24"/>
                <w:szCs w:val="24"/>
              </w:rPr>
              <w:t>CONCLUSIONI</w:t>
            </w:r>
            <w:r w:rsidR="008B0ED1" w:rsidRPr="008B0ED1">
              <w:rPr>
                <w:b w:val="0"/>
                <w:noProof/>
                <w:webHidden/>
                <w:sz w:val="24"/>
                <w:szCs w:val="24"/>
              </w:rPr>
              <w:tab/>
            </w:r>
            <w:r w:rsidR="008B0ED1" w:rsidRPr="008B0ED1">
              <w:rPr>
                <w:b w:val="0"/>
                <w:noProof/>
                <w:webHidden/>
                <w:sz w:val="24"/>
                <w:szCs w:val="24"/>
              </w:rPr>
              <w:fldChar w:fldCharType="begin"/>
            </w:r>
            <w:r w:rsidR="008B0ED1" w:rsidRPr="008B0ED1">
              <w:rPr>
                <w:b w:val="0"/>
                <w:noProof/>
                <w:webHidden/>
                <w:sz w:val="24"/>
                <w:szCs w:val="24"/>
              </w:rPr>
              <w:instrText xml:space="preserve"> PAGEREF _Toc199249368 \h </w:instrText>
            </w:r>
            <w:r w:rsidR="008B0ED1" w:rsidRPr="008B0ED1">
              <w:rPr>
                <w:b w:val="0"/>
                <w:noProof/>
                <w:webHidden/>
                <w:sz w:val="24"/>
                <w:szCs w:val="24"/>
              </w:rPr>
            </w:r>
            <w:r w:rsidR="008B0ED1" w:rsidRPr="008B0ED1">
              <w:rPr>
                <w:b w:val="0"/>
                <w:noProof/>
                <w:webHidden/>
                <w:sz w:val="24"/>
                <w:szCs w:val="24"/>
              </w:rPr>
              <w:fldChar w:fldCharType="separate"/>
            </w:r>
            <w:r w:rsidR="000317AE">
              <w:rPr>
                <w:b w:val="0"/>
                <w:noProof/>
                <w:webHidden/>
                <w:sz w:val="24"/>
                <w:szCs w:val="24"/>
              </w:rPr>
              <w:t>21</w:t>
            </w:r>
            <w:r w:rsidR="008B0ED1" w:rsidRPr="008B0ED1">
              <w:rPr>
                <w:b w:val="0"/>
                <w:noProof/>
                <w:webHidden/>
                <w:sz w:val="24"/>
                <w:szCs w:val="24"/>
              </w:rPr>
              <w:fldChar w:fldCharType="end"/>
            </w:r>
          </w:hyperlink>
        </w:p>
        <w:p w14:paraId="6C70A8F3" w14:textId="0DA6C208" w:rsidR="00756DA4" w:rsidRPr="00AC1D16" w:rsidRDefault="00756DA4" w:rsidP="00AC1D16">
          <w:pPr>
            <w:spacing w:before="120"/>
            <w:rPr>
              <w:bCs/>
              <w:sz w:val="24"/>
              <w:szCs w:val="24"/>
              <w:lang w:val="it-IT"/>
            </w:rPr>
          </w:pPr>
          <w:r w:rsidRPr="008B0ED1">
            <w:rPr>
              <w:bCs/>
              <w:sz w:val="24"/>
              <w:szCs w:val="24"/>
              <w:lang w:val="it-IT"/>
            </w:rPr>
            <w:fldChar w:fldCharType="end"/>
          </w:r>
        </w:p>
      </w:sdtContent>
    </w:sdt>
    <w:p w14:paraId="390E74E1" w14:textId="77777777" w:rsidR="003F0EF0" w:rsidRPr="00AC1D16" w:rsidRDefault="003F0EF0">
      <w:pPr>
        <w:rPr>
          <w:bCs/>
          <w:sz w:val="24"/>
          <w:szCs w:val="24"/>
          <w:lang w:val="it-IT"/>
        </w:rPr>
      </w:pPr>
    </w:p>
    <w:p w14:paraId="7AA6A64A" w14:textId="77777777" w:rsidR="00AC1D16" w:rsidRPr="00AC1D16" w:rsidRDefault="00AC1D16">
      <w:pPr>
        <w:rPr>
          <w:bCs/>
          <w:sz w:val="24"/>
          <w:szCs w:val="24"/>
          <w:lang w:val="it-IT"/>
        </w:rPr>
      </w:pPr>
    </w:p>
    <w:p w14:paraId="66465AD1" w14:textId="77777777" w:rsidR="003F0EF0" w:rsidRPr="00FC53AE" w:rsidRDefault="003F0EF0" w:rsidP="003F0EF0">
      <w:pPr>
        <w:pStyle w:val="Titolo1"/>
        <w:numPr>
          <w:ilvl w:val="0"/>
          <w:numId w:val="20"/>
        </w:numPr>
        <w:tabs>
          <w:tab w:val="left" w:pos="567"/>
        </w:tabs>
        <w:spacing w:before="0" w:after="0"/>
        <w:ind w:left="567" w:hanging="567"/>
        <w:jc w:val="both"/>
        <w:rPr>
          <w:rFonts w:eastAsia="Calibri" w:cs="Times New Roman"/>
          <w:caps/>
          <w:color w:val="000000" w:themeColor="text1"/>
          <w:sz w:val="24"/>
          <w:szCs w:val="24"/>
          <w:lang w:val="it-IT" w:eastAsia="it-IT"/>
        </w:rPr>
      </w:pPr>
      <w:bookmarkStart w:id="1" w:name="_Toc199249358"/>
      <w:r w:rsidRPr="00FC53AE">
        <w:rPr>
          <w:rFonts w:eastAsia="Calibri" w:cs="Times New Roman"/>
          <w:caps/>
          <w:color w:val="000000" w:themeColor="text1"/>
          <w:sz w:val="24"/>
          <w:szCs w:val="24"/>
          <w:lang w:val="it-IT" w:eastAsia="it-IT"/>
        </w:rPr>
        <w:t>i dati del Consuntivo 2024 in sintesi</w:t>
      </w:r>
      <w:bookmarkEnd w:id="1"/>
    </w:p>
    <w:p w14:paraId="34170088" w14:textId="77777777" w:rsidR="003F0EF0" w:rsidRPr="00FC53AE" w:rsidRDefault="003F0EF0" w:rsidP="00020B2C">
      <w:pPr>
        <w:numPr>
          <w:ilvl w:val="0"/>
          <w:numId w:val="32"/>
        </w:numPr>
        <w:autoSpaceDE w:val="0"/>
        <w:autoSpaceDN w:val="0"/>
        <w:adjustRightInd w:val="0"/>
        <w:spacing w:before="80"/>
        <w:ind w:left="284" w:hanging="284"/>
        <w:rPr>
          <w:rFonts w:eastAsia="Calibri" w:cs="Arial"/>
          <w:bCs/>
          <w:color w:val="000000" w:themeColor="text1"/>
          <w:sz w:val="24"/>
          <w:szCs w:val="24"/>
        </w:rPr>
      </w:pPr>
      <w:r w:rsidRPr="00FC53AE">
        <w:rPr>
          <w:rFonts w:eastAsia="Calibri" w:cs="Arial"/>
          <w:bCs/>
          <w:color w:val="000000" w:themeColor="text1"/>
          <w:sz w:val="24"/>
          <w:szCs w:val="24"/>
        </w:rPr>
        <w:t xml:space="preserve">Risultato d’esercizio: -71.8 milioni di franchi </w:t>
      </w:r>
      <w:r w:rsidR="009177D0" w:rsidRPr="00FC53AE">
        <w:rPr>
          <w:rFonts w:eastAsia="Calibri" w:cs="Arial"/>
          <w:bCs/>
          <w:color w:val="000000" w:themeColor="text1"/>
          <w:sz w:val="24"/>
          <w:szCs w:val="24"/>
        </w:rPr>
        <w:t>(a fronte di un disavanzo stimato a Preventivo 2024 di 130.8 milioni di franchi)</w:t>
      </w:r>
    </w:p>
    <w:p w14:paraId="717C3DDD" w14:textId="77777777" w:rsidR="003F0EF0" w:rsidRPr="00FC53AE" w:rsidRDefault="003F0EF0" w:rsidP="00020B2C">
      <w:pPr>
        <w:numPr>
          <w:ilvl w:val="0"/>
          <w:numId w:val="32"/>
        </w:numPr>
        <w:autoSpaceDE w:val="0"/>
        <w:autoSpaceDN w:val="0"/>
        <w:adjustRightInd w:val="0"/>
        <w:spacing w:before="80"/>
        <w:ind w:left="284" w:hanging="284"/>
        <w:rPr>
          <w:rFonts w:eastAsia="Calibri" w:cs="Arial"/>
          <w:bCs/>
          <w:color w:val="000000" w:themeColor="text1"/>
          <w:sz w:val="24"/>
          <w:szCs w:val="24"/>
        </w:rPr>
      </w:pPr>
      <w:r w:rsidRPr="00FC53AE">
        <w:rPr>
          <w:rFonts w:eastAsia="Calibri" w:cs="Arial"/>
          <w:bCs/>
          <w:color w:val="000000" w:themeColor="text1"/>
          <w:sz w:val="24"/>
          <w:szCs w:val="24"/>
        </w:rPr>
        <w:t xml:space="preserve">Spese correnti: </w:t>
      </w:r>
      <w:r w:rsidRPr="00FC53AE">
        <w:rPr>
          <w:rFonts w:cs="Calibri"/>
          <w:color w:val="000000" w:themeColor="text1"/>
          <w:sz w:val="24"/>
          <w:szCs w:val="24"/>
        </w:rPr>
        <w:t>4'018.2 milioni di franchi</w:t>
      </w:r>
      <w:r w:rsidR="009177D0" w:rsidRPr="00FC53AE">
        <w:rPr>
          <w:rFonts w:cs="Calibri"/>
          <w:color w:val="000000" w:themeColor="text1"/>
          <w:sz w:val="24"/>
          <w:szCs w:val="24"/>
        </w:rPr>
        <w:t xml:space="preserve"> (</w:t>
      </w:r>
      <w:r w:rsidR="009177D0" w:rsidRPr="00FC53AE">
        <w:rPr>
          <w:rFonts w:cs="Arial"/>
          <w:bCs/>
          <w:color w:val="000000" w:themeColor="text1"/>
          <w:sz w:val="24"/>
          <w:szCs w:val="24"/>
          <w:shd w:val="clear" w:color="auto" w:fill="FFFFFF"/>
        </w:rPr>
        <w:t>superiori di 69.3 milioni di franchi rispetto al preventivo 2024</w:t>
      </w:r>
      <w:r w:rsidR="009177D0" w:rsidRPr="00FC53AE">
        <w:rPr>
          <w:rFonts w:cs="Arial"/>
          <w:b/>
          <w:bCs/>
          <w:color w:val="000000" w:themeColor="text1"/>
          <w:sz w:val="21"/>
          <w:szCs w:val="21"/>
          <w:shd w:val="clear" w:color="auto" w:fill="FFFFFF"/>
        </w:rPr>
        <w:t>)</w:t>
      </w:r>
    </w:p>
    <w:p w14:paraId="465E4D08" w14:textId="77777777" w:rsidR="003F0EF0" w:rsidRPr="00FC53AE" w:rsidRDefault="003F0EF0" w:rsidP="00020B2C">
      <w:pPr>
        <w:numPr>
          <w:ilvl w:val="0"/>
          <w:numId w:val="32"/>
        </w:numPr>
        <w:autoSpaceDE w:val="0"/>
        <w:autoSpaceDN w:val="0"/>
        <w:adjustRightInd w:val="0"/>
        <w:spacing w:before="80"/>
        <w:ind w:left="284" w:hanging="284"/>
        <w:rPr>
          <w:rFonts w:eastAsia="Calibri" w:cs="Arial"/>
          <w:bCs/>
          <w:color w:val="000000" w:themeColor="text1"/>
          <w:sz w:val="24"/>
          <w:szCs w:val="24"/>
        </w:rPr>
      </w:pPr>
      <w:r w:rsidRPr="00FC53AE">
        <w:rPr>
          <w:rFonts w:eastAsia="Calibri" w:cs="Arial"/>
          <w:bCs/>
          <w:color w:val="000000" w:themeColor="text1"/>
          <w:sz w:val="24"/>
          <w:szCs w:val="24"/>
        </w:rPr>
        <w:t xml:space="preserve">Entrate correnti: </w:t>
      </w:r>
      <w:r w:rsidRPr="00FC53AE">
        <w:rPr>
          <w:rFonts w:cs="Calibri"/>
          <w:color w:val="000000" w:themeColor="text1"/>
          <w:sz w:val="24"/>
          <w:szCs w:val="24"/>
        </w:rPr>
        <w:t>3'936.5 milioni di franchi</w:t>
      </w:r>
      <w:r w:rsidR="009177D0" w:rsidRPr="00FC53AE">
        <w:rPr>
          <w:rFonts w:cs="Calibri"/>
          <w:color w:val="000000" w:themeColor="text1"/>
          <w:sz w:val="24"/>
          <w:szCs w:val="24"/>
        </w:rPr>
        <w:t xml:space="preserve"> (</w:t>
      </w:r>
      <w:r w:rsidR="009177D0" w:rsidRPr="00FC53AE">
        <w:rPr>
          <w:rFonts w:cs="Arial"/>
          <w:bCs/>
          <w:color w:val="000000" w:themeColor="text1"/>
          <w:sz w:val="24"/>
          <w:szCs w:val="24"/>
          <w:shd w:val="clear" w:color="auto" w:fill="FFFFFF"/>
        </w:rPr>
        <w:t>superiori di 127.8 milioni di franchi rispetto al preventivo 2024)</w:t>
      </w:r>
    </w:p>
    <w:p w14:paraId="2ABE0E97" w14:textId="77777777" w:rsidR="003F0EF0" w:rsidRPr="00FC53AE" w:rsidRDefault="003F0EF0" w:rsidP="00020B2C">
      <w:pPr>
        <w:numPr>
          <w:ilvl w:val="0"/>
          <w:numId w:val="32"/>
        </w:numPr>
        <w:autoSpaceDE w:val="0"/>
        <w:autoSpaceDN w:val="0"/>
        <w:adjustRightInd w:val="0"/>
        <w:spacing w:before="80" w:line="260" w:lineRule="atLeast"/>
        <w:ind w:left="284" w:hanging="284"/>
        <w:rPr>
          <w:rFonts w:eastAsia="Calibri" w:cs="Arial"/>
          <w:bCs/>
          <w:color w:val="000000" w:themeColor="text1"/>
          <w:sz w:val="24"/>
          <w:szCs w:val="24"/>
        </w:rPr>
      </w:pPr>
      <w:r w:rsidRPr="00FC53AE">
        <w:rPr>
          <w:rFonts w:eastAsia="Calibri" w:cs="Arial"/>
          <w:bCs/>
          <w:color w:val="000000" w:themeColor="text1"/>
          <w:sz w:val="24"/>
          <w:szCs w:val="24"/>
        </w:rPr>
        <w:t>Capitale proprio: -215.9 milioni di franchi</w:t>
      </w:r>
    </w:p>
    <w:p w14:paraId="584272CC" w14:textId="77777777" w:rsidR="003F0EF0" w:rsidRPr="00FC53AE" w:rsidRDefault="003F0EF0" w:rsidP="00020B2C">
      <w:pPr>
        <w:numPr>
          <w:ilvl w:val="0"/>
          <w:numId w:val="32"/>
        </w:numPr>
        <w:autoSpaceDE w:val="0"/>
        <w:autoSpaceDN w:val="0"/>
        <w:adjustRightInd w:val="0"/>
        <w:spacing w:before="80" w:line="260" w:lineRule="atLeast"/>
        <w:ind w:left="284" w:hanging="284"/>
        <w:rPr>
          <w:rFonts w:eastAsia="Calibri" w:cs="Arial"/>
          <w:bCs/>
          <w:color w:val="000000" w:themeColor="text1"/>
          <w:sz w:val="24"/>
          <w:szCs w:val="24"/>
        </w:rPr>
      </w:pPr>
      <w:r w:rsidRPr="00FC53AE">
        <w:rPr>
          <w:rFonts w:eastAsia="Calibri" w:cs="Arial"/>
          <w:bCs/>
          <w:color w:val="000000" w:themeColor="text1"/>
          <w:sz w:val="24"/>
          <w:szCs w:val="24"/>
        </w:rPr>
        <w:t>Debito pubblico: 2.6 miliardi di franchi</w:t>
      </w:r>
    </w:p>
    <w:p w14:paraId="083AE1F1" w14:textId="77777777" w:rsidR="003F0EF0" w:rsidRPr="00FC53AE" w:rsidRDefault="003F0EF0" w:rsidP="00020B2C">
      <w:pPr>
        <w:numPr>
          <w:ilvl w:val="0"/>
          <w:numId w:val="32"/>
        </w:numPr>
        <w:autoSpaceDE w:val="0"/>
        <w:autoSpaceDN w:val="0"/>
        <w:adjustRightInd w:val="0"/>
        <w:spacing w:before="80" w:line="260" w:lineRule="atLeast"/>
        <w:ind w:left="284" w:hanging="284"/>
        <w:rPr>
          <w:rFonts w:eastAsia="Calibri" w:cs="Arial"/>
          <w:bCs/>
          <w:color w:val="000000" w:themeColor="text1"/>
          <w:sz w:val="24"/>
          <w:szCs w:val="24"/>
        </w:rPr>
      </w:pPr>
      <w:r w:rsidRPr="00FC53AE">
        <w:rPr>
          <w:rFonts w:eastAsia="Calibri" w:cs="Arial"/>
          <w:bCs/>
          <w:color w:val="000000" w:themeColor="text1"/>
          <w:sz w:val="24"/>
          <w:szCs w:val="24"/>
        </w:rPr>
        <w:t>Autofinanziamento: 166.4 milioni di franchi</w:t>
      </w:r>
    </w:p>
    <w:p w14:paraId="55FA8842" w14:textId="77777777" w:rsidR="003F0EF0" w:rsidRPr="00FC53AE" w:rsidRDefault="003F0EF0" w:rsidP="00020B2C">
      <w:pPr>
        <w:numPr>
          <w:ilvl w:val="0"/>
          <w:numId w:val="32"/>
        </w:numPr>
        <w:autoSpaceDE w:val="0"/>
        <w:autoSpaceDN w:val="0"/>
        <w:adjustRightInd w:val="0"/>
        <w:spacing w:before="80" w:line="260" w:lineRule="atLeast"/>
        <w:ind w:left="284" w:hanging="284"/>
        <w:rPr>
          <w:rFonts w:eastAsia="Calibri" w:cs="Arial"/>
          <w:color w:val="000000" w:themeColor="text1"/>
          <w:sz w:val="24"/>
          <w:szCs w:val="24"/>
        </w:rPr>
      </w:pPr>
      <w:r w:rsidRPr="00FC53AE">
        <w:rPr>
          <w:rFonts w:eastAsia="Calibri" w:cs="Arial"/>
          <w:bCs/>
          <w:color w:val="000000" w:themeColor="text1"/>
          <w:sz w:val="24"/>
          <w:szCs w:val="24"/>
        </w:rPr>
        <w:t>Grado d’autofinanziamento: 55%</w:t>
      </w:r>
    </w:p>
    <w:p w14:paraId="074A1E2D" w14:textId="77777777" w:rsidR="003F0EF0" w:rsidRPr="00FC53AE" w:rsidRDefault="003F0EF0" w:rsidP="00020B2C">
      <w:pPr>
        <w:numPr>
          <w:ilvl w:val="0"/>
          <w:numId w:val="32"/>
        </w:numPr>
        <w:autoSpaceDE w:val="0"/>
        <w:autoSpaceDN w:val="0"/>
        <w:adjustRightInd w:val="0"/>
        <w:spacing w:before="80" w:line="260" w:lineRule="atLeast"/>
        <w:ind w:left="284" w:hanging="284"/>
        <w:rPr>
          <w:rFonts w:eastAsia="Calibri" w:cs="Arial"/>
          <w:color w:val="000000" w:themeColor="text1"/>
          <w:sz w:val="24"/>
          <w:szCs w:val="24"/>
        </w:rPr>
      </w:pPr>
      <w:r w:rsidRPr="00FC53AE">
        <w:rPr>
          <w:rFonts w:eastAsia="Calibri" w:cs="Arial"/>
          <w:bCs/>
          <w:color w:val="000000" w:themeColor="text1"/>
          <w:sz w:val="24"/>
          <w:szCs w:val="24"/>
        </w:rPr>
        <w:t xml:space="preserve">Investimenti netti: </w:t>
      </w:r>
      <w:r w:rsidRPr="00FC53AE">
        <w:rPr>
          <w:rFonts w:eastAsia="Calibri" w:cs="Arial"/>
          <w:color w:val="000000" w:themeColor="text1"/>
          <w:sz w:val="24"/>
          <w:szCs w:val="24"/>
        </w:rPr>
        <w:t>302.3 milioni di franchi</w:t>
      </w:r>
    </w:p>
    <w:p w14:paraId="0F064C01" w14:textId="77777777" w:rsidR="00B77BB3" w:rsidRPr="00FC53AE" w:rsidRDefault="00166A27" w:rsidP="00B77BB3">
      <w:pPr>
        <w:pStyle w:val="Titolo1"/>
        <w:numPr>
          <w:ilvl w:val="0"/>
          <w:numId w:val="20"/>
        </w:numPr>
        <w:tabs>
          <w:tab w:val="left" w:pos="567"/>
        </w:tabs>
        <w:spacing w:before="0"/>
        <w:ind w:left="567" w:hanging="567"/>
        <w:jc w:val="both"/>
        <w:rPr>
          <w:rFonts w:eastAsia="Calibri" w:cs="Times New Roman"/>
          <w:caps/>
          <w:color w:val="000000" w:themeColor="text1"/>
          <w:sz w:val="24"/>
          <w:szCs w:val="24"/>
          <w:lang w:val="it-IT" w:eastAsia="it-IT"/>
        </w:rPr>
      </w:pPr>
      <w:bookmarkStart w:id="2" w:name="_Toc199249359"/>
      <w:r w:rsidRPr="00FC53AE">
        <w:rPr>
          <w:rFonts w:eastAsia="Calibri" w:cs="Times New Roman"/>
          <w:caps/>
          <w:color w:val="000000" w:themeColor="text1"/>
          <w:sz w:val="24"/>
          <w:szCs w:val="24"/>
          <w:lang w:val="it-IT" w:eastAsia="it-IT"/>
        </w:rPr>
        <w:lastRenderedPageBreak/>
        <w:t>Introduzione</w:t>
      </w:r>
      <w:bookmarkEnd w:id="2"/>
    </w:p>
    <w:p w14:paraId="0A9CFF48" w14:textId="77777777" w:rsidR="003A21B2" w:rsidRPr="00FC53AE" w:rsidRDefault="00C30F79" w:rsidP="00C30F79">
      <w:pPr>
        <w:rPr>
          <w:color w:val="000000" w:themeColor="text1"/>
          <w:sz w:val="24"/>
          <w:szCs w:val="24"/>
        </w:rPr>
      </w:pPr>
      <w:r w:rsidRPr="00FC53AE">
        <w:rPr>
          <w:rFonts w:eastAsia="Calibri" w:cs="Arial"/>
          <w:color w:val="000000" w:themeColor="text1"/>
          <w:sz w:val="24"/>
          <w:szCs w:val="24"/>
        </w:rPr>
        <w:t>Il risultato del</w:t>
      </w:r>
      <w:r w:rsidR="009F0871" w:rsidRPr="00FC53AE">
        <w:rPr>
          <w:rFonts w:eastAsia="Calibri" w:cs="Arial"/>
          <w:color w:val="000000" w:themeColor="text1"/>
          <w:sz w:val="24"/>
          <w:szCs w:val="24"/>
        </w:rPr>
        <w:t>l’esercizio</w:t>
      </w:r>
      <w:r w:rsidRPr="00FC53AE">
        <w:rPr>
          <w:rFonts w:eastAsia="Calibri" w:cs="Arial"/>
          <w:color w:val="000000" w:themeColor="text1"/>
          <w:sz w:val="24"/>
          <w:szCs w:val="24"/>
        </w:rPr>
        <w:t xml:space="preserve"> 2024 è l’ultimo atto di una sequenza di risultati negativi che dura da cinque anni (salvo nel 2022</w:t>
      </w:r>
      <w:r w:rsidR="005C6B87" w:rsidRPr="00FC53AE">
        <w:rPr>
          <w:rFonts w:eastAsia="Calibri" w:cs="Arial"/>
          <w:color w:val="000000" w:themeColor="text1"/>
          <w:sz w:val="24"/>
          <w:szCs w:val="24"/>
        </w:rPr>
        <w:t>, anno</w:t>
      </w:r>
      <w:r w:rsidRPr="00FC53AE">
        <w:rPr>
          <w:rFonts w:eastAsia="Calibri" w:cs="Arial"/>
          <w:color w:val="000000" w:themeColor="text1"/>
          <w:sz w:val="24"/>
          <w:szCs w:val="24"/>
        </w:rPr>
        <w:t xml:space="preserve"> in cui è stato registrato un avanzo di 3 milioni di franchi), </w:t>
      </w:r>
      <w:r w:rsidR="009F0871" w:rsidRPr="00FC53AE">
        <w:rPr>
          <w:rFonts w:eastAsia="Calibri" w:cs="Arial"/>
          <w:color w:val="000000" w:themeColor="text1"/>
          <w:sz w:val="24"/>
          <w:szCs w:val="24"/>
        </w:rPr>
        <w:t>che hanno generato</w:t>
      </w:r>
      <w:r w:rsidRPr="00FC53AE">
        <w:rPr>
          <w:rFonts w:eastAsia="Calibri" w:cs="Arial"/>
          <w:color w:val="000000" w:themeColor="text1"/>
          <w:sz w:val="24"/>
          <w:szCs w:val="24"/>
        </w:rPr>
        <w:t xml:space="preserve"> </w:t>
      </w:r>
      <w:r w:rsidR="005C6B87" w:rsidRPr="00FC53AE">
        <w:rPr>
          <w:rFonts w:eastAsia="Calibri" w:cs="Arial"/>
          <w:color w:val="000000" w:themeColor="text1"/>
          <w:sz w:val="24"/>
          <w:szCs w:val="24"/>
        </w:rPr>
        <w:t>l</w:t>
      </w:r>
      <w:r w:rsidR="009F0871" w:rsidRPr="00FC53AE">
        <w:rPr>
          <w:rFonts w:eastAsia="Calibri" w:cs="Arial"/>
          <w:color w:val="000000" w:themeColor="text1"/>
          <w:sz w:val="24"/>
          <w:szCs w:val="24"/>
        </w:rPr>
        <w:t xml:space="preserve">a </w:t>
      </w:r>
      <w:r w:rsidR="00D15C64" w:rsidRPr="00FC53AE">
        <w:rPr>
          <w:rFonts w:eastAsia="Calibri" w:cs="Arial"/>
          <w:color w:val="000000" w:themeColor="text1"/>
          <w:sz w:val="24"/>
          <w:szCs w:val="24"/>
        </w:rPr>
        <w:t xml:space="preserve">difficoltà strutturale </w:t>
      </w:r>
      <w:r w:rsidR="009F0871" w:rsidRPr="00FC53AE">
        <w:rPr>
          <w:rFonts w:eastAsia="Calibri" w:cs="Arial"/>
          <w:color w:val="000000" w:themeColor="text1"/>
          <w:sz w:val="24"/>
          <w:szCs w:val="24"/>
        </w:rPr>
        <w:t>per lo Stato di</w:t>
      </w:r>
      <w:r w:rsidRPr="00FC53AE">
        <w:rPr>
          <w:rFonts w:eastAsia="Calibri" w:cs="Arial"/>
          <w:color w:val="000000" w:themeColor="text1"/>
          <w:sz w:val="24"/>
          <w:szCs w:val="24"/>
        </w:rPr>
        <w:t xml:space="preserve"> avere finanze in equilibro</w:t>
      </w:r>
      <w:r w:rsidR="00D15C64" w:rsidRPr="00FC53AE">
        <w:rPr>
          <w:rFonts w:eastAsia="Calibri" w:cs="Arial"/>
          <w:color w:val="000000" w:themeColor="text1"/>
          <w:sz w:val="24"/>
          <w:szCs w:val="24"/>
        </w:rPr>
        <w:t xml:space="preserve">. Ne consegue </w:t>
      </w:r>
      <w:r w:rsidRPr="00FC53AE">
        <w:rPr>
          <w:rFonts w:eastAsia="Calibri" w:cs="Arial"/>
          <w:color w:val="000000" w:themeColor="text1"/>
          <w:sz w:val="24"/>
          <w:szCs w:val="24"/>
        </w:rPr>
        <w:t>un peggioramento importante del capitale proprio</w:t>
      </w:r>
      <w:r w:rsidR="005C6B87" w:rsidRPr="00FC53AE">
        <w:rPr>
          <w:rFonts w:eastAsia="Calibri" w:cs="Arial"/>
          <w:color w:val="000000" w:themeColor="text1"/>
          <w:sz w:val="24"/>
          <w:szCs w:val="24"/>
        </w:rPr>
        <w:t>,</w:t>
      </w:r>
      <w:r w:rsidRPr="00FC53AE">
        <w:rPr>
          <w:rFonts w:eastAsia="Calibri" w:cs="Arial"/>
          <w:color w:val="000000" w:themeColor="text1"/>
          <w:sz w:val="24"/>
          <w:szCs w:val="24"/>
        </w:rPr>
        <w:t xml:space="preserve"> che sarà difficile riassorbire. Nel 2019 </w:t>
      </w:r>
      <w:r w:rsidRPr="00FC53AE">
        <w:rPr>
          <w:color w:val="000000" w:themeColor="text1"/>
          <w:sz w:val="24"/>
          <w:szCs w:val="24"/>
        </w:rPr>
        <w:t xml:space="preserve">si è riusciti a ricondurre il capitale proprio </w:t>
      </w:r>
      <w:r w:rsidR="009F0871" w:rsidRPr="00FC53AE">
        <w:rPr>
          <w:color w:val="000000" w:themeColor="text1"/>
          <w:sz w:val="24"/>
          <w:szCs w:val="24"/>
        </w:rPr>
        <w:t xml:space="preserve">a risultati </w:t>
      </w:r>
      <w:r w:rsidRPr="00FC53AE">
        <w:rPr>
          <w:color w:val="000000" w:themeColor="text1"/>
          <w:sz w:val="24"/>
          <w:szCs w:val="24"/>
        </w:rPr>
        <w:t>leggermente positiv</w:t>
      </w:r>
      <w:r w:rsidR="009F0871" w:rsidRPr="00FC53AE">
        <w:rPr>
          <w:color w:val="000000" w:themeColor="text1"/>
          <w:sz w:val="24"/>
          <w:szCs w:val="24"/>
        </w:rPr>
        <w:t>i</w:t>
      </w:r>
      <w:r w:rsidRPr="00FC53AE">
        <w:rPr>
          <w:color w:val="000000" w:themeColor="text1"/>
          <w:sz w:val="24"/>
          <w:szCs w:val="24"/>
        </w:rPr>
        <w:t>, ma quasi subito è ridisceso nelle cifre negative. Il dato consolidato del 2024 attesta il capitale proprio attorno a -215 milioni. Nel 2024 il vincolo del freno al disavanzo è ancora rispettato. Ma la soglia del capitale proprio negativo riportato (quindi massimo cumulato) è di -355.2 milioni, mentre il conto di compensazione attuale di riferimento si attesta a -220.9. La differenza tra il tetto massimo e la cifra reale comincia ad assottigliarsi, rendendo praticamente nulli gli spazi di manovra politici per l</w:t>
      </w:r>
      <w:r w:rsidR="009F0871" w:rsidRPr="00FC53AE">
        <w:rPr>
          <w:color w:val="000000" w:themeColor="text1"/>
          <w:sz w:val="24"/>
          <w:szCs w:val="24"/>
        </w:rPr>
        <w:t xml:space="preserve">’implementazione </w:t>
      </w:r>
      <w:r w:rsidRPr="00FC53AE">
        <w:rPr>
          <w:color w:val="000000" w:themeColor="text1"/>
          <w:sz w:val="24"/>
          <w:szCs w:val="24"/>
        </w:rPr>
        <w:t xml:space="preserve">di eventuali nuovi compiti. </w:t>
      </w:r>
      <w:r w:rsidR="003F0EF0" w:rsidRPr="00FC53AE">
        <w:rPr>
          <w:color w:val="000000" w:themeColor="text1"/>
          <w:sz w:val="24"/>
          <w:szCs w:val="24"/>
        </w:rPr>
        <w:t xml:space="preserve">Sostanzialmente </w:t>
      </w:r>
      <w:r w:rsidR="009F0871" w:rsidRPr="00FC53AE">
        <w:rPr>
          <w:color w:val="000000" w:themeColor="text1"/>
          <w:sz w:val="24"/>
          <w:szCs w:val="24"/>
        </w:rPr>
        <w:t>i risultati di esercizio negativi cumulati re</w:t>
      </w:r>
      <w:r w:rsidR="003F0EF0" w:rsidRPr="00FC53AE">
        <w:rPr>
          <w:color w:val="000000" w:themeColor="text1"/>
          <w:sz w:val="24"/>
          <w:szCs w:val="24"/>
        </w:rPr>
        <w:t>nder</w:t>
      </w:r>
      <w:r w:rsidR="009F0871" w:rsidRPr="00FC53AE">
        <w:rPr>
          <w:color w:val="000000" w:themeColor="text1"/>
          <w:sz w:val="24"/>
          <w:szCs w:val="24"/>
        </w:rPr>
        <w:t>anno</w:t>
      </w:r>
      <w:r w:rsidR="003F0EF0" w:rsidRPr="00FC53AE">
        <w:rPr>
          <w:color w:val="000000" w:themeColor="text1"/>
          <w:sz w:val="24"/>
          <w:szCs w:val="24"/>
        </w:rPr>
        <w:t xml:space="preserve"> il riequilibrio delle finanze più arduo, richiedendo </w:t>
      </w:r>
      <w:r w:rsidR="009F0871" w:rsidRPr="00FC53AE">
        <w:rPr>
          <w:color w:val="000000" w:themeColor="text1"/>
          <w:sz w:val="24"/>
          <w:szCs w:val="24"/>
        </w:rPr>
        <w:t>manovre di rientro importanti</w:t>
      </w:r>
      <w:r w:rsidR="003F0EF0" w:rsidRPr="00FC53AE">
        <w:rPr>
          <w:color w:val="000000" w:themeColor="text1"/>
          <w:sz w:val="24"/>
          <w:szCs w:val="24"/>
        </w:rPr>
        <w:t xml:space="preserve"> </w:t>
      </w:r>
      <w:r w:rsidR="009F0871" w:rsidRPr="00FC53AE">
        <w:rPr>
          <w:color w:val="000000" w:themeColor="text1"/>
          <w:sz w:val="24"/>
          <w:szCs w:val="24"/>
        </w:rPr>
        <w:t>nel futuro</w:t>
      </w:r>
      <w:r w:rsidR="003F0EF0" w:rsidRPr="00FC53AE">
        <w:rPr>
          <w:color w:val="000000" w:themeColor="text1"/>
          <w:sz w:val="24"/>
          <w:szCs w:val="24"/>
        </w:rPr>
        <w:t xml:space="preserve">. </w:t>
      </w:r>
    </w:p>
    <w:p w14:paraId="6F77A4DD" w14:textId="77777777" w:rsidR="003A21B2" w:rsidRPr="00FC53AE" w:rsidRDefault="003A21B2" w:rsidP="00C30F79">
      <w:pPr>
        <w:rPr>
          <w:color w:val="000000" w:themeColor="text1"/>
          <w:sz w:val="24"/>
          <w:szCs w:val="24"/>
        </w:rPr>
      </w:pPr>
    </w:p>
    <w:p w14:paraId="6C5C3C80" w14:textId="77777777" w:rsidR="003A21B2" w:rsidRPr="00FC53AE" w:rsidRDefault="003A21B2" w:rsidP="003A21B2">
      <w:pPr>
        <w:rPr>
          <w:color w:val="000000" w:themeColor="text1"/>
          <w:sz w:val="24"/>
          <w:szCs w:val="24"/>
        </w:rPr>
      </w:pPr>
      <w:r w:rsidRPr="00FC53AE">
        <w:rPr>
          <w:color w:val="000000" w:themeColor="text1"/>
          <w:sz w:val="24"/>
          <w:szCs w:val="24"/>
        </w:rPr>
        <w:t>Questo quadro contabile evidenzia in modo chiaro e preoccupante le conseguenze di una scelta politica che, nel corso degli anni, ha privilegiato la concorrenza fiscale rispetto alla solidità finanziaria e alla capacità progettuale dello Stato. I risultati negativi consecutivi, culminati nel capitale proprio consolidato attorno a –215 milioni di franchi nel 2024, sono il riflesso diretto di una strategia che ha sistematicamente sacrificato margini d’intervento e visione di lungo termine sull’altare dell’attrattività fiscale.</w:t>
      </w:r>
    </w:p>
    <w:p w14:paraId="2989F9BB" w14:textId="77777777" w:rsidR="003A21B2" w:rsidRPr="00FC53AE" w:rsidRDefault="003A21B2" w:rsidP="003A21B2">
      <w:pPr>
        <w:rPr>
          <w:color w:val="000000" w:themeColor="text1"/>
          <w:sz w:val="24"/>
          <w:szCs w:val="24"/>
        </w:rPr>
      </w:pPr>
    </w:p>
    <w:p w14:paraId="2D3E3EE5" w14:textId="77777777" w:rsidR="003A21B2" w:rsidRPr="00FC53AE" w:rsidRDefault="003A21B2" w:rsidP="003A21B2">
      <w:pPr>
        <w:rPr>
          <w:color w:val="000000" w:themeColor="text1"/>
          <w:sz w:val="24"/>
          <w:szCs w:val="24"/>
        </w:rPr>
      </w:pPr>
      <w:r w:rsidRPr="00FC53AE">
        <w:rPr>
          <w:color w:val="000000" w:themeColor="text1"/>
          <w:sz w:val="24"/>
          <w:szCs w:val="24"/>
        </w:rPr>
        <w:t>La volontà di mantenere una pressione fiscale contenuta, nel tentativo di preservare competitività e investimenti, ha avuto come effetto collaterale una riduzione strutturale delle risorse a disposizione per pianificare e implementare politiche pubbliche incisive. Il risultato è una progressiva perdita di capacità di iniziativa del governo: lo spazio di manovra politica, già oggi estremamente limitato, rischia di azzerarsi del tutto in futuro.</w:t>
      </w:r>
    </w:p>
    <w:p w14:paraId="47FFA75D" w14:textId="77777777" w:rsidR="003A21B2" w:rsidRPr="00FC53AE" w:rsidRDefault="003A21B2" w:rsidP="003A21B2">
      <w:pPr>
        <w:rPr>
          <w:color w:val="000000" w:themeColor="text1"/>
          <w:sz w:val="24"/>
          <w:szCs w:val="24"/>
        </w:rPr>
      </w:pPr>
    </w:p>
    <w:p w14:paraId="35C48243" w14:textId="77777777" w:rsidR="003A21B2" w:rsidRPr="00FC53AE" w:rsidRDefault="003A21B2" w:rsidP="003A21B2">
      <w:pPr>
        <w:rPr>
          <w:color w:val="000000" w:themeColor="text1"/>
          <w:sz w:val="24"/>
          <w:szCs w:val="24"/>
        </w:rPr>
      </w:pPr>
      <w:r w:rsidRPr="00FC53AE">
        <w:rPr>
          <w:color w:val="000000" w:themeColor="text1"/>
          <w:sz w:val="24"/>
          <w:szCs w:val="24"/>
        </w:rPr>
        <w:t>L’esaurimento del margine tra capitale proprio negativo massimo tollerabile e la soglia reale, unito al deterioramento costante dei conti pubblici, rende evidente che non si tratta più solo di una questione contabile, ma di una crisi della funzione strategica dello Stato. Invece di rafforzare la resilienza finanziaria, si è operato un drenaggio lento e costante della capacità pubblica di incidere, programmare e guidare lo sviluppo.</w:t>
      </w:r>
    </w:p>
    <w:p w14:paraId="4EC61842" w14:textId="77777777" w:rsidR="003A21B2" w:rsidRPr="00FC53AE" w:rsidRDefault="003A21B2" w:rsidP="003A21B2">
      <w:pPr>
        <w:rPr>
          <w:color w:val="000000" w:themeColor="text1"/>
          <w:sz w:val="24"/>
          <w:szCs w:val="24"/>
        </w:rPr>
      </w:pPr>
    </w:p>
    <w:p w14:paraId="06640DAA" w14:textId="209D869A" w:rsidR="003A21B2" w:rsidRPr="00FC53AE" w:rsidRDefault="003A21B2" w:rsidP="003A21B2">
      <w:pPr>
        <w:rPr>
          <w:color w:val="000000" w:themeColor="text1"/>
          <w:sz w:val="24"/>
          <w:szCs w:val="24"/>
        </w:rPr>
      </w:pPr>
      <w:r w:rsidRPr="00FC53AE">
        <w:rPr>
          <w:color w:val="000000" w:themeColor="text1"/>
          <w:sz w:val="24"/>
          <w:szCs w:val="24"/>
        </w:rPr>
        <w:t>Il governo si trova ora stretto tra i vincoli di legge (come il freno al disavanzo) e gli effetti di scelte passate che hanno indebolito la leva pubblica, proprio nel momento in cui sarebbero necessarie politiche attive e investimenti per rispondere alle trasformazioni economiche e sociali in corso. Serve quindi una riflessione coraggiosa sull’equilibrio tra competitività fiscale e sostenibilità istituzionale, e una riconsiderazione dell’autonomia strategica dello Stato come bene comune, non comprimibile oltre una certa soglia.</w:t>
      </w:r>
    </w:p>
    <w:p w14:paraId="36FD46A7" w14:textId="77777777" w:rsidR="003A21B2" w:rsidRPr="00FC53AE" w:rsidRDefault="003A21B2" w:rsidP="00C30F79">
      <w:pPr>
        <w:rPr>
          <w:color w:val="000000" w:themeColor="text1"/>
          <w:sz w:val="24"/>
          <w:szCs w:val="24"/>
        </w:rPr>
      </w:pPr>
    </w:p>
    <w:p w14:paraId="7F9E75B0" w14:textId="476CE0EA" w:rsidR="00C30F79" w:rsidRPr="00FC53AE" w:rsidRDefault="003F0EF0" w:rsidP="00C30F79">
      <w:pPr>
        <w:rPr>
          <w:color w:val="000000" w:themeColor="text1"/>
          <w:sz w:val="24"/>
          <w:szCs w:val="24"/>
        </w:rPr>
      </w:pPr>
      <w:r w:rsidRPr="00FC53AE">
        <w:rPr>
          <w:color w:val="000000" w:themeColor="text1"/>
          <w:sz w:val="24"/>
          <w:szCs w:val="24"/>
        </w:rPr>
        <w:t>Di seguito si commentano i dati salienti del Consuntivo 2024.</w:t>
      </w:r>
    </w:p>
    <w:p w14:paraId="7D15CB08" w14:textId="77777777" w:rsidR="00C30F79" w:rsidRPr="00FC53AE" w:rsidRDefault="00C30F79" w:rsidP="00B77BB3">
      <w:pPr>
        <w:spacing w:line="260" w:lineRule="atLeast"/>
        <w:rPr>
          <w:rFonts w:eastAsia="Calibri" w:cs="Arial"/>
          <w:color w:val="000000" w:themeColor="text1"/>
          <w:sz w:val="24"/>
          <w:szCs w:val="24"/>
        </w:rPr>
      </w:pPr>
    </w:p>
    <w:p w14:paraId="481AF9E7" w14:textId="77777777" w:rsidR="00B77BB3" w:rsidRPr="00FC53AE" w:rsidRDefault="00166A27" w:rsidP="00B77BB3">
      <w:pPr>
        <w:spacing w:line="260" w:lineRule="atLeast"/>
        <w:rPr>
          <w:rFonts w:eastAsia="Calibri" w:cs="Arial"/>
          <w:color w:val="000000" w:themeColor="text1"/>
          <w:sz w:val="24"/>
          <w:szCs w:val="24"/>
        </w:rPr>
      </w:pPr>
      <w:r w:rsidRPr="00FC53AE">
        <w:rPr>
          <w:rFonts w:eastAsia="Calibri" w:cs="Arial"/>
          <w:color w:val="000000" w:themeColor="text1"/>
          <w:sz w:val="24"/>
          <w:szCs w:val="24"/>
        </w:rPr>
        <w:t>Il consuntivo 2024 chiude con un disavanzo d’esercizio di -71.8 milioni di franchi, a fronte di un disavanzo preventivato di -130.8 milioni.</w:t>
      </w:r>
    </w:p>
    <w:p w14:paraId="4DF1E078" w14:textId="77777777" w:rsidR="00166A27" w:rsidRPr="00FC53AE" w:rsidRDefault="00166A27" w:rsidP="00B77BB3">
      <w:pPr>
        <w:spacing w:line="260" w:lineRule="atLeast"/>
        <w:rPr>
          <w:rFonts w:eastAsia="Calibri" w:cs="Arial"/>
          <w:color w:val="000000" w:themeColor="text1"/>
          <w:sz w:val="24"/>
          <w:szCs w:val="24"/>
        </w:rPr>
      </w:pPr>
    </w:p>
    <w:p w14:paraId="533D355B" w14:textId="77777777" w:rsidR="00166A27" w:rsidRPr="00FC53AE" w:rsidRDefault="00166A27" w:rsidP="00B77BB3">
      <w:pPr>
        <w:spacing w:line="260" w:lineRule="atLeast"/>
        <w:rPr>
          <w:rFonts w:eastAsia="Calibri" w:cs="Arial"/>
          <w:color w:val="000000" w:themeColor="text1"/>
          <w:sz w:val="24"/>
          <w:szCs w:val="24"/>
        </w:rPr>
      </w:pPr>
      <w:r w:rsidRPr="00FC53AE">
        <w:rPr>
          <w:rFonts w:eastAsia="Calibri" w:cs="Arial"/>
          <w:color w:val="000000" w:themeColor="text1"/>
          <w:sz w:val="24"/>
          <w:szCs w:val="24"/>
        </w:rPr>
        <w:t>Rispetto al preventivo, le spese correnti (spese totali, dedotti i contributi da riversare e gli addebiti interni) sono risultat</w:t>
      </w:r>
      <w:r w:rsidR="005C6B87" w:rsidRPr="00FC53AE">
        <w:rPr>
          <w:rFonts w:eastAsia="Calibri" w:cs="Arial"/>
          <w:color w:val="000000" w:themeColor="text1"/>
          <w:sz w:val="24"/>
          <w:szCs w:val="24"/>
        </w:rPr>
        <w:t>e</w:t>
      </w:r>
      <w:r w:rsidRPr="00FC53AE">
        <w:rPr>
          <w:rFonts w:eastAsia="Calibri" w:cs="Arial"/>
          <w:color w:val="000000" w:themeColor="text1"/>
          <w:sz w:val="24"/>
          <w:szCs w:val="24"/>
        </w:rPr>
        <w:t xml:space="preserve"> superiori di 69.3 milioni di franchi (+1.8%)</w:t>
      </w:r>
      <w:r w:rsidR="005C6B87" w:rsidRPr="00FC53AE">
        <w:rPr>
          <w:rFonts w:eastAsia="Calibri" w:cs="Arial"/>
          <w:color w:val="000000" w:themeColor="text1"/>
          <w:sz w:val="24"/>
          <w:szCs w:val="24"/>
        </w:rPr>
        <w:t>,</w:t>
      </w:r>
      <w:r w:rsidRPr="00FC53AE">
        <w:rPr>
          <w:rFonts w:eastAsia="Calibri" w:cs="Arial"/>
          <w:color w:val="000000" w:themeColor="text1"/>
          <w:sz w:val="24"/>
          <w:szCs w:val="24"/>
        </w:rPr>
        <w:t xml:space="preserve"> mentre i ricavi </w:t>
      </w:r>
      <w:r w:rsidRPr="00FC53AE">
        <w:rPr>
          <w:rFonts w:eastAsia="Calibri" w:cs="Arial"/>
          <w:color w:val="000000" w:themeColor="text1"/>
          <w:sz w:val="24"/>
          <w:szCs w:val="24"/>
        </w:rPr>
        <w:lastRenderedPageBreak/>
        <w:t>correnti (ricavi totali, dedotti i contributi da terzi da riversare e gli accrediti interni) di 134 milioni di franchi (+3.5%).</w:t>
      </w:r>
    </w:p>
    <w:p w14:paraId="6E34D51F" w14:textId="77777777" w:rsidR="00166A27" w:rsidRPr="00FC53AE" w:rsidRDefault="00166A27" w:rsidP="00B77BB3">
      <w:pPr>
        <w:spacing w:line="260" w:lineRule="atLeast"/>
        <w:rPr>
          <w:rFonts w:eastAsia="Calibri" w:cs="Arial"/>
          <w:color w:val="000000" w:themeColor="text1"/>
          <w:sz w:val="24"/>
          <w:szCs w:val="24"/>
        </w:rPr>
      </w:pPr>
    </w:p>
    <w:p w14:paraId="7BE10A22" w14:textId="77777777" w:rsidR="00B77BB3" w:rsidRPr="00FC53AE" w:rsidRDefault="00166A27" w:rsidP="00B77BB3">
      <w:pPr>
        <w:spacing w:line="260" w:lineRule="atLeast"/>
        <w:rPr>
          <w:color w:val="000000" w:themeColor="text1"/>
          <w:sz w:val="24"/>
          <w:szCs w:val="24"/>
        </w:rPr>
      </w:pPr>
      <w:r w:rsidRPr="00FC53AE">
        <w:rPr>
          <w:color w:val="000000" w:themeColor="text1"/>
          <w:sz w:val="24"/>
          <w:szCs w:val="24"/>
        </w:rPr>
        <w:t>A concorrere al miglioramento del risultato d’esercizio rispetto al preventivo sono stati soprattutto i ricavi fiscali. Il pacchetto di riequilibrio delle finanze cantonal</w:t>
      </w:r>
      <w:r w:rsidR="005C6B87" w:rsidRPr="00FC53AE">
        <w:rPr>
          <w:color w:val="000000" w:themeColor="text1"/>
          <w:sz w:val="24"/>
          <w:szCs w:val="24"/>
        </w:rPr>
        <w:t>i</w:t>
      </w:r>
      <w:r w:rsidRPr="00FC53AE">
        <w:rPr>
          <w:color w:val="000000" w:themeColor="text1"/>
          <w:sz w:val="24"/>
          <w:szCs w:val="24"/>
        </w:rPr>
        <w:t xml:space="preserve"> presentato contestualmente al messaggio sul preventivo 2024 ha permesso di contenere il disavanzo prospettato. </w:t>
      </w:r>
    </w:p>
    <w:p w14:paraId="034EAE92" w14:textId="77777777" w:rsidR="00166A27" w:rsidRPr="00FC53AE" w:rsidRDefault="00166A27" w:rsidP="00B77BB3">
      <w:pPr>
        <w:spacing w:line="260" w:lineRule="atLeast"/>
        <w:rPr>
          <w:rFonts w:eastAsia="Calibri" w:cs="Arial"/>
          <w:color w:val="000000" w:themeColor="text1"/>
          <w:sz w:val="24"/>
          <w:szCs w:val="24"/>
        </w:rPr>
      </w:pPr>
    </w:p>
    <w:p w14:paraId="7C8BC005" w14:textId="77777777" w:rsidR="00B77BB3" w:rsidRPr="00FC53AE" w:rsidRDefault="00B77BB3" w:rsidP="00B77BB3">
      <w:pPr>
        <w:spacing w:line="260" w:lineRule="atLeast"/>
        <w:rPr>
          <w:rFonts w:eastAsia="Calibri" w:cs="Arial"/>
          <w:color w:val="000000" w:themeColor="text1"/>
          <w:sz w:val="24"/>
          <w:szCs w:val="24"/>
        </w:rPr>
      </w:pPr>
      <w:r w:rsidRPr="00FC53AE">
        <w:rPr>
          <w:rFonts w:eastAsia="Calibri" w:cs="Arial"/>
          <w:color w:val="000000" w:themeColor="text1"/>
          <w:sz w:val="24"/>
          <w:szCs w:val="24"/>
        </w:rPr>
        <w:t xml:space="preserve">Il principio costituzionale del </w:t>
      </w:r>
      <w:r w:rsidRPr="00FC53AE">
        <w:rPr>
          <w:rFonts w:eastAsia="Calibri" w:cs="Arial"/>
          <w:bCs/>
          <w:color w:val="000000" w:themeColor="text1"/>
          <w:sz w:val="24"/>
          <w:szCs w:val="24"/>
        </w:rPr>
        <w:t>freno ai disavanzi</w:t>
      </w:r>
      <w:r w:rsidRPr="00FC53AE">
        <w:rPr>
          <w:rFonts w:eastAsia="Calibri" w:cs="Arial"/>
          <w:color w:val="000000" w:themeColor="text1"/>
          <w:sz w:val="24"/>
          <w:szCs w:val="24"/>
        </w:rPr>
        <w:t xml:space="preserve"> è rispettato</w:t>
      </w:r>
      <w:r w:rsidR="00166A27" w:rsidRPr="00FC53AE">
        <w:rPr>
          <w:rFonts w:eastAsia="Calibri" w:cs="Arial"/>
          <w:color w:val="000000" w:themeColor="text1"/>
          <w:sz w:val="24"/>
          <w:szCs w:val="24"/>
        </w:rPr>
        <w:t xml:space="preserve">: il </w:t>
      </w:r>
      <w:r w:rsidRPr="00FC53AE">
        <w:rPr>
          <w:rFonts w:eastAsia="Calibri" w:cs="Arial"/>
          <w:color w:val="000000" w:themeColor="text1"/>
          <w:sz w:val="24"/>
          <w:szCs w:val="24"/>
        </w:rPr>
        <w:t xml:space="preserve">conto di compensazione finale di riferimento presenta un risultato negativo di </w:t>
      </w:r>
      <w:r w:rsidR="0083524B" w:rsidRPr="00FC53AE">
        <w:rPr>
          <w:rFonts w:eastAsia="Calibri" w:cs="Arial"/>
          <w:color w:val="000000" w:themeColor="text1"/>
          <w:sz w:val="24"/>
          <w:szCs w:val="24"/>
        </w:rPr>
        <w:t xml:space="preserve">249.3 </w:t>
      </w:r>
      <w:r w:rsidRPr="00FC53AE">
        <w:rPr>
          <w:rFonts w:eastAsia="Calibri" w:cs="Arial"/>
          <w:color w:val="000000" w:themeColor="text1"/>
          <w:sz w:val="24"/>
          <w:szCs w:val="24"/>
        </w:rPr>
        <w:t>milioni</w:t>
      </w:r>
      <w:r w:rsidR="005C6B87" w:rsidRPr="00FC53AE">
        <w:rPr>
          <w:rFonts w:eastAsia="Calibri" w:cs="Arial"/>
          <w:color w:val="000000" w:themeColor="text1"/>
          <w:sz w:val="24"/>
          <w:szCs w:val="24"/>
        </w:rPr>
        <w:t>,</w:t>
      </w:r>
      <w:r w:rsidRPr="00FC53AE">
        <w:rPr>
          <w:rFonts w:eastAsia="Calibri" w:cs="Arial"/>
          <w:color w:val="000000" w:themeColor="text1"/>
          <w:sz w:val="24"/>
          <w:szCs w:val="24"/>
        </w:rPr>
        <w:t xml:space="preserve"> inferiore alla soglia massima del 9% </w:t>
      </w:r>
      <w:r w:rsidR="0083524B" w:rsidRPr="00FC53AE">
        <w:rPr>
          <w:rFonts w:eastAsia="Calibri" w:cs="Arial"/>
          <w:color w:val="000000" w:themeColor="text1"/>
          <w:sz w:val="24"/>
          <w:szCs w:val="24"/>
        </w:rPr>
        <w:t xml:space="preserve">(limite massimo conto di compensazione) di -355.2. </w:t>
      </w:r>
    </w:p>
    <w:p w14:paraId="18528DBC" w14:textId="77777777" w:rsidR="0083524B" w:rsidRPr="00FC53AE" w:rsidRDefault="0083524B" w:rsidP="00B77BB3">
      <w:pPr>
        <w:spacing w:line="260" w:lineRule="atLeast"/>
        <w:rPr>
          <w:rFonts w:eastAsia="Calibri" w:cs="Arial"/>
          <w:color w:val="000000" w:themeColor="text1"/>
          <w:sz w:val="24"/>
          <w:szCs w:val="24"/>
        </w:rPr>
      </w:pPr>
    </w:p>
    <w:p w14:paraId="321430E7" w14:textId="2D6DA554" w:rsidR="006F47D4" w:rsidRPr="00FC53AE" w:rsidRDefault="00166A27" w:rsidP="00B77BB3">
      <w:pPr>
        <w:spacing w:line="260" w:lineRule="atLeast"/>
        <w:rPr>
          <w:rFonts w:eastAsia="Calibri" w:cs="Arial"/>
          <w:color w:val="000000" w:themeColor="text1"/>
          <w:sz w:val="24"/>
          <w:szCs w:val="24"/>
        </w:rPr>
      </w:pPr>
      <w:r w:rsidRPr="00FC53AE">
        <w:rPr>
          <w:rFonts w:eastAsia="Calibri" w:cs="Arial"/>
          <w:color w:val="000000" w:themeColor="text1"/>
          <w:sz w:val="24"/>
          <w:szCs w:val="24"/>
        </w:rPr>
        <w:t>Gli investimenti netti effettuati nel 2024 ammontano complessivamente a 302.3 milioni di franchi, superiori di 2.1 milioni di franchi rispetto al preventivo</w:t>
      </w:r>
      <w:r w:rsidR="006F47D4" w:rsidRPr="00FC53AE">
        <w:rPr>
          <w:rFonts w:eastAsia="Calibri" w:cs="Arial"/>
          <w:color w:val="000000" w:themeColor="text1"/>
          <w:sz w:val="24"/>
          <w:szCs w:val="24"/>
        </w:rPr>
        <w:t xml:space="preserve">. </w:t>
      </w:r>
      <w:r w:rsidRPr="00FC53AE">
        <w:rPr>
          <w:rFonts w:eastAsia="Calibri" w:cs="Arial"/>
          <w:color w:val="000000" w:themeColor="text1"/>
          <w:sz w:val="24"/>
          <w:szCs w:val="24"/>
        </w:rPr>
        <w:t>Si segnala in particolare un maggior investimento netto di 10.8 milioni di franchi nel settore "Sviluppo economico" rispetto a quanto pianificato, a fronte invece di un minor investimento netto di 18.5 milioni di franchi nel settore "Insegnamento" (scuole medie e scuole medie superiori, formazione professional</w:t>
      </w:r>
      <w:r w:rsidR="005C6B87" w:rsidRPr="00FC53AE">
        <w:rPr>
          <w:rFonts w:eastAsia="Calibri" w:cs="Arial"/>
          <w:color w:val="000000" w:themeColor="text1"/>
          <w:sz w:val="24"/>
          <w:szCs w:val="24"/>
        </w:rPr>
        <w:t>e</w:t>
      </w:r>
      <w:r w:rsidRPr="00FC53AE">
        <w:rPr>
          <w:rFonts w:eastAsia="Calibri" w:cs="Arial"/>
          <w:color w:val="000000" w:themeColor="text1"/>
          <w:sz w:val="24"/>
          <w:szCs w:val="24"/>
        </w:rPr>
        <w:t xml:space="preserve">, università) rispetto a quanto pianificato a </w:t>
      </w:r>
      <w:r w:rsidR="005C6B87" w:rsidRPr="00FC53AE">
        <w:rPr>
          <w:rFonts w:eastAsia="Calibri" w:cs="Arial"/>
          <w:color w:val="000000" w:themeColor="text1"/>
          <w:sz w:val="24"/>
          <w:szCs w:val="24"/>
        </w:rPr>
        <w:t>p</w:t>
      </w:r>
      <w:r w:rsidRPr="00FC53AE">
        <w:rPr>
          <w:rFonts w:eastAsia="Calibri" w:cs="Arial"/>
          <w:color w:val="000000" w:themeColor="text1"/>
          <w:sz w:val="24"/>
          <w:szCs w:val="24"/>
        </w:rPr>
        <w:t>reventivo.</w:t>
      </w:r>
    </w:p>
    <w:p w14:paraId="6F02DE37" w14:textId="77777777" w:rsidR="003A21B2" w:rsidRPr="00FC53AE" w:rsidRDefault="003A21B2" w:rsidP="00B77BB3">
      <w:pPr>
        <w:spacing w:line="260" w:lineRule="atLeast"/>
        <w:rPr>
          <w:rFonts w:eastAsia="Calibri" w:cs="Arial"/>
          <w:color w:val="000000" w:themeColor="text1"/>
          <w:sz w:val="24"/>
          <w:szCs w:val="24"/>
        </w:rPr>
      </w:pPr>
    </w:p>
    <w:p w14:paraId="3503DF31" w14:textId="77777777" w:rsidR="003A21B2" w:rsidRPr="00FC53AE" w:rsidRDefault="003A21B2" w:rsidP="003A21B2">
      <w:pPr>
        <w:spacing w:line="260" w:lineRule="atLeast"/>
        <w:rPr>
          <w:rFonts w:eastAsia="Calibri" w:cs="Arial"/>
          <w:color w:val="000000" w:themeColor="text1"/>
          <w:sz w:val="24"/>
          <w:szCs w:val="24"/>
        </w:rPr>
      </w:pPr>
      <w:r w:rsidRPr="00FC53AE">
        <w:rPr>
          <w:rFonts w:eastAsia="Calibri" w:cs="Arial"/>
          <w:color w:val="000000" w:themeColor="text1"/>
          <w:sz w:val="24"/>
          <w:szCs w:val="24"/>
        </w:rPr>
        <w:t>Il dato relativo agli investimenti netti del 2024 rivela uno scostamento significativo tra le intenzioni pianificate e le realizzazioni effettive, soprattutto in un settore cruciale come quello dell’istruzione. A fronte di un aumento degli investimenti nel comparto dello sviluppo economico, si registra infatti un preoccupante calo di 18.5 milioni di franchi rispetto al previsto nel settore dell’insegnamento, che comprende scuole medie, superiori, formazione professionale e università.</w:t>
      </w:r>
    </w:p>
    <w:p w14:paraId="70962640" w14:textId="77777777" w:rsidR="003A21B2" w:rsidRPr="00FC53AE" w:rsidRDefault="003A21B2" w:rsidP="003A21B2">
      <w:pPr>
        <w:spacing w:line="260" w:lineRule="atLeast"/>
        <w:rPr>
          <w:rFonts w:eastAsia="Calibri" w:cs="Arial"/>
          <w:color w:val="000000" w:themeColor="text1"/>
          <w:sz w:val="24"/>
          <w:szCs w:val="24"/>
        </w:rPr>
      </w:pPr>
    </w:p>
    <w:p w14:paraId="4B466215" w14:textId="77777777" w:rsidR="003A21B2" w:rsidRPr="00FC53AE" w:rsidRDefault="003A21B2" w:rsidP="003A21B2">
      <w:pPr>
        <w:spacing w:line="260" w:lineRule="atLeast"/>
        <w:rPr>
          <w:rFonts w:eastAsia="Calibri" w:cs="Arial"/>
          <w:color w:val="000000" w:themeColor="text1"/>
          <w:sz w:val="24"/>
          <w:szCs w:val="24"/>
        </w:rPr>
      </w:pPr>
      <w:r w:rsidRPr="00FC53AE">
        <w:rPr>
          <w:rFonts w:eastAsia="Calibri" w:cs="Arial"/>
          <w:color w:val="000000" w:themeColor="text1"/>
          <w:sz w:val="24"/>
          <w:szCs w:val="24"/>
        </w:rPr>
        <w:t>Questo disallineamento non può essere considerato solo una questione contabile, ma pone interrogativi sulla priorità assegnata all’infrastruttura educativa. In un momento storico in cui molti edifici scolastici necessitano con urgenza di interventi di ristrutturazione, ammodernamento e messa in sicurezza, mantenere costante – se non potenziare – gli investimenti in edilizia scolastica dovrebbe essere un imperativo.</w:t>
      </w:r>
    </w:p>
    <w:p w14:paraId="662D8AC8" w14:textId="77777777" w:rsidR="003A21B2" w:rsidRPr="00FC53AE" w:rsidRDefault="003A21B2" w:rsidP="003A21B2">
      <w:pPr>
        <w:spacing w:line="260" w:lineRule="atLeast"/>
        <w:rPr>
          <w:rFonts w:eastAsia="Calibri" w:cs="Arial"/>
          <w:color w:val="000000" w:themeColor="text1"/>
          <w:sz w:val="24"/>
          <w:szCs w:val="24"/>
        </w:rPr>
      </w:pPr>
    </w:p>
    <w:p w14:paraId="7C31FB9C" w14:textId="77777777" w:rsidR="003A21B2" w:rsidRPr="00FC53AE" w:rsidRDefault="003A21B2" w:rsidP="003A21B2">
      <w:pPr>
        <w:spacing w:line="260" w:lineRule="atLeast"/>
        <w:rPr>
          <w:rFonts w:eastAsia="Calibri" w:cs="Arial"/>
          <w:color w:val="000000" w:themeColor="text1"/>
          <w:sz w:val="24"/>
          <w:szCs w:val="24"/>
        </w:rPr>
      </w:pPr>
      <w:r w:rsidRPr="00FC53AE">
        <w:rPr>
          <w:rFonts w:eastAsia="Calibri" w:cs="Arial"/>
          <w:color w:val="000000" w:themeColor="text1"/>
          <w:sz w:val="24"/>
          <w:szCs w:val="24"/>
        </w:rPr>
        <w:t>La qualità degli ambienti scolastici incide direttamente sul benessere degli studenti, sull’efficacia della didattica e sulla valorizzazione del personale educativo. Rinviare interventi necessari oggi rischia di tradursi in costi molto più elevati domani, sia in termini finanziari che sociali.</w:t>
      </w:r>
    </w:p>
    <w:p w14:paraId="248E9186" w14:textId="77777777" w:rsidR="003A21B2" w:rsidRPr="00FC53AE" w:rsidRDefault="003A21B2" w:rsidP="003A21B2">
      <w:pPr>
        <w:spacing w:line="260" w:lineRule="atLeast"/>
        <w:rPr>
          <w:rFonts w:eastAsia="Calibri" w:cs="Arial"/>
          <w:color w:val="000000" w:themeColor="text1"/>
          <w:sz w:val="24"/>
          <w:szCs w:val="24"/>
        </w:rPr>
      </w:pPr>
    </w:p>
    <w:p w14:paraId="57297E0D" w14:textId="0C719348" w:rsidR="003A21B2" w:rsidRPr="00FC53AE" w:rsidRDefault="003A21B2" w:rsidP="003A21B2">
      <w:pPr>
        <w:spacing w:line="260" w:lineRule="atLeast"/>
        <w:rPr>
          <w:rFonts w:eastAsia="Calibri" w:cs="Arial"/>
          <w:color w:val="000000" w:themeColor="text1"/>
          <w:sz w:val="24"/>
          <w:szCs w:val="24"/>
        </w:rPr>
      </w:pPr>
      <w:r w:rsidRPr="00FC53AE">
        <w:rPr>
          <w:rFonts w:eastAsia="Calibri" w:cs="Arial"/>
          <w:color w:val="000000" w:themeColor="text1"/>
          <w:sz w:val="24"/>
          <w:szCs w:val="24"/>
        </w:rPr>
        <w:t>Sarà dunque fondamentale che nei prossimi anni l’edilizia scolastica riceva un’attenzione strategica e prioritaria, con un’allocazione coerente di risorse e una pianificazione che non si limiti al minimo indispensabile. Investire nella scuola significa investire nel futuro della società: è una responsabilità politica, ma anche un dovere intergenerazionale.</w:t>
      </w:r>
    </w:p>
    <w:p w14:paraId="4BA4CBF5" w14:textId="77777777" w:rsidR="006F47D4" w:rsidRPr="00FC53AE" w:rsidRDefault="006F47D4" w:rsidP="00B77BB3">
      <w:pPr>
        <w:spacing w:line="260" w:lineRule="atLeast"/>
        <w:rPr>
          <w:rFonts w:eastAsia="Calibri" w:cs="Arial"/>
          <w:color w:val="000000" w:themeColor="text1"/>
          <w:sz w:val="24"/>
          <w:szCs w:val="24"/>
        </w:rPr>
      </w:pPr>
    </w:p>
    <w:p w14:paraId="0C315F22" w14:textId="77777777" w:rsidR="00166A27" w:rsidRPr="00FC53AE" w:rsidRDefault="00166A27" w:rsidP="00B77BB3">
      <w:pPr>
        <w:spacing w:line="260" w:lineRule="atLeast"/>
        <w:rPr>
          <w:rFonts w:eastAsia="Calibri" w:cs="Arial"/>
          <w:color w:val="000000" w:themeColor="text1"/>
          <w:sz w:val="24"/>
          <w:szCs w:val="24"/>
        </w:rPr>
      </w:pPr>
      <w:r w:rsidRPr="00FC53AE">
        <w:rPr>
          <w:rFonts w:eastAsia="Calibri" w:cs="Arial"/>
          <w:color w:val="000000" w:themeColor="text1"/>
          <w:sz w:val="24"/>
          <w:szCs w:val="24"/>
        </w:rPr>
        <w:t xml:space="preserve">Il capitale proprio peggiora e si attesta a </w:t>
      </w:r>
      <w:r w:rsidR="005C6B87" w:rsidRPr="00FC53AE">
        <w:rPr>
          <w:rFonts w:eastAsia="Calibri" w:cs="Arial"/>
          <w:color w:val="000000" w:themeColor="text1"/>
          <w:sz w:val="24"/>
          <w:szCs w:val="24"/>
        </w:rPr>
        <w:t>-</w:t>
      </w:r>
      <w:r w:rsidRPr="00FC53AE">
        <w:rPr>
          <w:rFonts w:eastAsia="Calibri" w:cs="Arial"/>
          <w:color w:val="000000" w:themeColor="text1"/>
          <w:sz w:val="24"/>
          <w:szCs w:val="24"/>
        </w:rPr>
        <w:t>215.9 milioni di franchi (-177.5 milioni di franchi a fine 2023)</w:t>
      </w:r>
      <w:r w:rsidR="006F47D4" w:rsidRPr="00FC53AE">
        <w:rPr>
          <w:rFonts w:eastAsia="Calibri" w:cs="Arial"/>
          <w:color w:val="000000" w:themeColor="text1"/>
          <w:sz w:val="24"/>
          <w:szCs w:val="24"/>
        </w:rPr>
        <w:t>, mentre il d</w:t>
      </w:r>
      <w:r w:rsidRPr="00FC53AE">
        <w:rPr>
          <w:rFonts w:eastAsia="Calibri" w:cs="Arial"/>
          <w:color w:val="000000" w:themeColor="text1"/>
          <w:sz w:val="24"/>
          <w:szCs w:val="24"/>
        </w:rPr>
        <w:t>ebito pubblico aumenta rispetto all’anno precedente, situandosi leggermente al di sopra della soglia di 2.6 miliardi di franchi.</w:t>
      </w:r>
    </w:p>
    <w:p w14:paraId="295C742F" w14:textId="77777777" w:rsidR="0093790E" w:rsidRPr="00FC53AE" w:rsidRDefault="0093790E" w:rsidP="00B77BB3">
      <w:pPr>
        <w:spacing w:line="260" w:lineRule="atLeast"/>
        <w:rPr>
          <w:rFonts w:eastAsia="Calibri" w:cs="Arial"/>
          <w:color w:val="000000" w:themeColor="text1"/>
          <w:sz w:val="24"/>
          <w:szCs w:val="24"/>
        </w:rPr>
      </w:pPr>
    </w:p>
    <w:p w14:paraId="5AE20551" w14:textId="77777777" w:rsidR="006F47D4" w:rsidRPr="00FC53AE" w:rsidRDefault="00ED064C" w:rsidP="00AC1D16">
      <w:pPr>
        <w:spacing w:line="260" w:lineRule="atLeast"/>
        <w:rPr>
          <w:rFonts w:eastAsia="Calibri" w:cs="Arial"/>
          <w:color w:val="000000" w:themeColor="text1"/>
          <w:sz w:val="24"/>
          <w:szCs w:val="24"/>
        </w:rPr>
      </w:pPr>
      <w:r w:rsidRPr="00FC53AE">
        <w:rPr>
          <w:rFonts w:eastAsia="Calibri" w:cs="Arial"/>
          <w:color w:val="000000" w:themeColor="text1"/>
          <w:sz w:val="24"/>
          <w:szCs w:val="24"/>
        </w:rPr>
        <w:t xml:space="preserve">I dati, le tabelle e i grafici </w:t>
      </w:r>
      <w:r w:rsidR="00AC1D16" w:rsidRPr="00FC53AE">
        <w:rPr>
          <w:rFonts w:eastAsia="Calibri" w:cs="Arial"/>
          <w:color w:val="000000" w:themeColor="text1"/>
          <w:sz w:val="24"/>
          <w:szCs w:val="24"/>
        </w:rPr>
        <w:t>contenuti</w:t>
      </w:r>
      <w:r w:rsidRPr="00FC53AE">
        <w:rPr>
          <w:rFonts w:eastAsia="Calibri" w:cs="Arial"/>
          <w:color w:val="000000" w:themeColor="text1"/>
          <w:sz w:val="24"/>
          <w:szCs w:val="24"/>
        </w:rPr>
        <w:t xml:space="preserve"> nel presente rapporto </w:t>
      </w:r>
      <w:r w:rsidR="00AC1D16" w:rsidRPr="00FC53AE">
        <w:rPr>
          <w:rFonts w:eastAsia="Calibri" w:cs="Arial"/>
          <w:color w:val="000000" w:themeColor="text1"/>
          <w:sz w:val="24"/>
          <w:szCs w:val="24"/>
        </w:rPr>
        <w:t xml:space="preserve">sono </w:t>
      </w:r>
      <w:r w:rsidRPr="00FC53AE">
        <w:rPr>
          <w:rFonts w:eastAsia="Calibri" w:cs="Arial"/>
          <w:color w:val="000000" w:themeColor="text1"/>
          <w:sz w:val="24"/>
          <w:szCs w:val="24"/>
        </w:rPr>
        <w:t>tratt</w:t>
      </w:r>
      <w:r w:rsidR="00AC1D16" w:rsidRPr="00FC53AE">
        <w:rPr>
          <w:rFonts w:eastAsia="Calibri" w:cs="Arial"/>
          <w:color w:val="000000" w:themeColor="text1"/>
          <w:sz w:val="24"/>
          <w:szCs w:val="24"/>
        </w:rPr>
        <w:t>i</w:t>
      </w:r>
      <w:r w:rsidRPr="00FC53AE">
        <w:rPr>
          <w:rFonts w:eastAsia="Calibri" w:cs="Arial"/>
          <w:color w:val="000000" w:themeColor="text1"/>
          <w:sz w:val="24"/>
          <w:szCs w:val="24"/>
        </w:rPr>
        <w:t xml:space="preserve"> d</w:t>
      </w:r>
      <w:r w:rsidR="00AC1D16" w:rsidRPr="00FC53AE">
        <w:rPr>
          <w:rFonts w:eastAsia="Calibri" w:cs="Arial"/>
          <w:color w:val="000000" w:themeColor="text1"/>
          <w:sz w:val="24"/>
          <w:szCs w:val="24"/>
        </w:rPr>
        <w:t>a</w:t>
      </w:r>
      <w:r w:rsidRPr="00FC53AE">
        <w:rPr>
          <w:rFonts w:eastAsia="Calibri" w:cs="Arial"/>
          <w:color w:val="000000" w:themeColor="text1"/>
          <w:sz w:val="24"/>
          <w:szCs w:val="24"/>
        </w:rPr>
        <w:t>l messaggio n. 8562 del Consiglio di Stato</w:t>
      </w:r>
      <w:r w:rsidR="0093790E" w:rsidRPr="00FC53AE">
        <w:rPr>
          <w:rFonts w:eastAsia="Calibri" w:cs="Arial"/>
          <w:color w:val="000000" w:themeColor="text1"/>
          <w:sz w:val="24"/>
          <w:szCs w:val="24"/>
        </w:rPr>
        <w:t xml:space="preserve"> e </w:t>
      </w:r>
      <w:proofErr w:type="gramStart"/>
      <w:r w:rsidR="0093790E" w:rsidRPr="00FC53AE">
        <w:rPr>
          <w:rFonts w:eastAsia="Calibri" w:cs="Arial"/>
          <w:color w:val="000000" w:themeColor="text1"/>
          <w:sz w:val="24"/>
          <w:szCs w:val="24"/>
        </w:rPr>
        <w:t>dalle slide</w:t>
      </w:r>
      <w:proofErr w:type="gramEnd"/>
      <w:r w:rsidR="0093790E" w:rsidRPr="00FC53AE">
        <w:rPr>
          <w:rFonts w:eastAsia="Calibri" w:cs="Arial"/>
          <w:color w:val="000000" w:themeColor="text1"/>
          <w:sz w:val="24"/>
          <w:szCs w:val="24"/>
        </w:rPr>
        <w:t xml:space="preserve"> presentate durante l’audizione </w:t>
      </w:r>
      <w:r w:rsidR="00AC1D16" w:rsidRPr="00FC53AE">
        <w:rPr>
          <w:rFonts w:eastAsia="Calibri" w:cs="Arial"/>
          <w:color w:val="000000" w:themeColor="text1"/>
          <w:sz w:val="24"/>
          <w:szCs w:val="24"/>
        </w:rPr>
        <w:t xml:space="preserve">del Consiglio di Stato avvenuta il </w:t>
      </w:r>
      <w:r w:rsidR="0093790E" w:rsidRPr="00FC53AE">
        <w:rPr>
          <w:rFonts w:eastAsia="Calibri" w:cs="Arial"/>
          <w:color w:val="000000" w:themeColor="text1"/>
          <w:sz w:val="24"/>
          <w:szCs w:val="24"/>
        </w:rPr>
        <w:t>6 maggio in Commissione gestione e finanze.</w:t>
      </w:r>
    </w:p>
    <w:p w14:paraId="1D4473DA" w14:textId="77777777" w:rsidR="006F47D4" w:rsidRPr="00FC53AE" w:rsidRDefault="006F47D4" w:rsidP="006F47D4">
      <w:pPr>
        <w:pStyle w:val="Titolo1"/>
        <w:numPr>
          <w:ilvl w:val="0"/>
          <w:numId w:val="20"/>
        </w:numPr>
        <w:tabs>
          <w:tab w:val="left" w:pos="567"/>
        </w:tabs>
        <w:spacing w:before="0"/>
        <w:ind w:left="567" w:hanging="567"/>
        <w:jc w:val="both"/>
        <w:rPr>
          <w:rFonts w:eastAsia="Calibri" w:cs="Times New Roman"/>
          <w:caps/>
          <w:color w:val="000000" w:themeColor="text1"/>
          <w:sz w:val="24"/>
          <w:szCs w:val="24"/>
          <w:lang w:val="it-IT" w:eastAsia="it-IT"/>
        </w:rPr>
      </w:pPr>
      <w:bookmarkStart w:id="3" w:name="_Toc199249360"/>
      <w:r w:rsidRPr="00FC53AE">
        <w:rPr>
          <w:rFonts w:eastAsia="Calibri" w:cs="Times New Roman"/>
          <w:caps/>
          <w:color w:val="000000" w:themeColor="text1"/>
          <w:sz w:val="24"/>
          <w:szCs w:val="24"/>
          <w:lang w:val="it-IT" w:eastAsia="it-IT"/>
        </w:rPr>
        <w:lastRenderedPageBreak/>
        <w:t>il conto economico 2024</w:t>
      </w:r>
      <w:bookmarkEnd w:id="3"/>
    </w:p>
    <w:tbl>
      <w:tblPr>
        <w:tblStyle w:val="Stile2"/>
        <w:tblW w:w="4887" w:type="pct"/>
        <w:tblInd w:w="108" w:type="dxa"/>
        <w:tblLayout w:type="fixed"/>
        <w:tblLook w:val="04A0" w:firstRow="1" w:lastRow="0" w:firstColumn="1" w:lastColumn="0" w:noHBand="0" w:noVBand="1"/>
      </w:tblPr>
      <w:tblGrid>
        <w:gridCol w:w="4195"/>
        <w:gridCol w:w="1269"/>
        <w:gridCol w:w="1269"/>
        <w:gridCol w:w="1269"/>
        <w:gridCol w:w="1269"/>
      </w:tblGrid>
      <w:tr w:rsidR="00FC53AE" w:rsidRPr="00FC53AE" w14:paraId="2BA6B94B" w14:textId="77777777" w:rsidTr="00AC1D1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195" w:type="dxa"/>
            <w:noWrap/>
            <w:vAlign w:val="bottom"/>
            <w:hideMark/>
          </w:tcPr>
          <w:p w14:paraId="661D2E70" w14:textId="77777777" w:rsidR="006F47D4" w:rsidRPr="00FC53AE" w:rsidRDefault="006F47D4" w:rsidP="00144D76">
            <w:pPr>
              <w:rPr>
                <w:color w:val="000000" w:themeColor="text1"/>
                <w:sz w:val="12"/>
                <w:szCs w:val="12"/>
              </w:rPr>
            </w:pPr>
            <w:r w:rsidRPr="00FC53AE">
              <w:rPr>
                <w:color w:val="000000" w:themeColor="text1"/>
                <w:sz w:val="12"/>
                <w:szCs w:val="12"/>
              </w:rPr>
              <w:t>Importi in milioni di CHF</w:t>
            </w:r>
          </w:p>
        </w:tc>
        <w:tc>
          <w:tcPr>
            <w:tcW w:w="1269" w:type="dxa"/>
            <w:vAlign w:val="bottom"/>
          </w:tcPr>
          <w:p w14:paraId="088B5A07"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b/>
                <w:color w:val="000000" w:themeColor="text1"/>
                <w:sz w:val="12"/>
                <w:szCs w:val="12"/>
              </w:rPr>
            </w:pPr>
            <w:r w:rsidRPr="00FC53AE">
              <w:rPr>
                <w:b/>
                <w:color w:val="000000" w:themeColor="text1"/>
                <w:sz w:val="12"/>
                <w:szCs w:val="12"/>
              </w:rPr>
              <w:t>C2023</w:t>
            </w:r>
          </w:p>
        </w:tc>
        <w:tc>
          <w:tcPr>
            <w:tcW w:w="1269" w:type="dxa"/>
            <w:noWrap/>
            <w:vAlign w:val="bottom"/>
            <w:hideMark/>
          </w:tcPr>
          <w:p w14:paraId="65098220"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b/>
                <w:color w:val="000000" w:themeColor="text1"/>
                <w:sz w:val="12"/>
                <w:szCs w:val="12"/>
              </w:rPr>
            </w:pPr>
            <w:r w:rsidRPr="00FC53AE">
              <w:rPr>
                <w:b/>
                <w:color w:val="000000" w:themeColor="text1"/>
                <w:sz w:val="12"/>
                <w:szCs w:val="12"/>
              </w:rPr>
              <w:t>P2024</w:t>
            </w:r>
          </w:p>
        </w:tc>
        <w:tc>
          <w:tcPr>
            <w:tcW w:w="1269" w:type="dxa"/>
            <w:shd w:val="clear" w:color="auto" w:fill="FABF8F" w:themeFill="accent6" w:themeFillTint="99"/>
            <w:noWrap/>
            <w:vAlign w:val="bottom"/>
            <w:hideMark/>
          </w:tcPr>
          <w:p w14:paraId="38D1FFAF"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b/>
                <w:color w:val="000000" w:themeColor="text1"/>
                <w:sz w:val="12"/>
                <w:szCs w:val="12"/>
              </w:rPr>
            </w:pPr>
            <w:r w:rsidRPr="00FC53AE">
              <w:rPr>
                <w:b/>
                <w:color w:val="000000" w:themeColor="text1"/>
                <w:sz w:val="12"/>
                <w:szCs w:val="12"/>
              </w:rPr>
              <w:t>C2024</w:t>
            </w:r>
          </w:p>
        </w:tc>
        <w:tc>
          <w:tcPr>
            <w:tcW w:w="1269" w:type="dxa"/>
            <w:shd w:val="clear" w:color="auto" w:fill="FBD4B4" w:themeFill="accent6" w:themeFillTint="66"/>
            <w:noWrap/>
            <w:vAlign w:val="bottom"/>
            <w:hideMark/>
          </w:tcPr>
          <w:p w14:paraId="6B4AB24A"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b/>
                <w:color w:val="000000" w:themeColor="text1"/>
                <w:sz w:val="12"/>
                <w:szCs w:val="12"/>
              </w:rPr>
            </w:pPr>
            <w:proofErr w:type="spellStart"/>
            <w:r w:rsidRPr="00FC53AE">
              <w:rPr>
                <w:b/>
                <w:color w:val="000000" w:themeColor="text1"/>
                <w:sz w:val="12"/>
                <w:szCs w:val="12"/>
              </w:rPr>
              <w:t>Var</w:t>
            </w:r>
            <w:proofErr w:type="spellEnd"/>
            <w:r w:rsidRPr="00FC53AE">
              <w:rPr>
                <w:b/>
                <w:color w:val="000000" w:themeColor="text1"/>
                <w:sz w:val="12"/>
                <w:szCs w:val="12"/>
              </w:rPr>
              <w:t xml:space="preserve"> C24 – P24</w:t>
            </w:r>
          </w:p>
        </w:tc>
      </w:tr>
      <w:tr w:rsidR="00FC53AE" w:rsidRPr="00FC53AE" w14:paraId="0C63F651" w14:textId="77777777" w:rsidTr="00AC1D16">
        <w:trPr>
          <w:trHeight w:val="159"/>
        </w:trPr>
        <w:tc>
          <w:tcPr>
            <w:cnfStyle w:val="001000000000" w:firstRow="0" w:lastRow="0" w:firstColumn="1" w:lastColumn="0" w:oddVBand="0" w:evenVBand="0" w:oddHBand="0" w:evenHBand="0" w:firstRowFirstColumn="0" w:firstRowLastColumn="0" w:lastRowFirstColumn="0" w:lastRowLastColumn="0"/>
            <w:tcW w:w="4195" w:type="dxa"/>
            <w:hideMark/>
          </w:tcPr>
          <w:p w14:paraId="361F4831" w14:textId="77777777" w:rsidR="006F47D4" w:rsidRPr="00FC53AE" w:rsidRDefault="006F47D4" w:rsidP="00144D76">
            <w:pPr>
              <w:rPr>
                <w:color w:val="000000" w:themeColor="text1"/>
                <w:sz w:val="16"/>
                <w:szCs w:val="16"/>
              </w:rPr>
            </w:pPr>
            <w:r w:rsidRPr="00FC53AE">
              <w:rPr>
                <w:color w:val="000000" w:themeColor="text1"/>
                <w:sz w:val="16"/>
                <w:szCs w:val="16"/>
              </w:rPr>
              <w:t>Conto economico</w:t>
            </w:r>
          </w:p>
        </w:tc>
        <w:tc>
          <w:tcPr>
            <w:tcW w:w="1269" w:type="dxa"/>
          </w:tcPr>
          <w:p w14:paraId="69214063"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noWrap/>
            <w:hideMark/>
          </w:tcPr>
          <w:p w14:paraId="3BB005D5"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ABF8F" w:themeFill="accent6" w:themeFillTint="99"/>
            <w:noWrap/>
            <w:hideMark/>
          </w:tcPr>
          <w:p w14:paraId="6ADC9D7C"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8"/>
              </w:rPr>
            </w:pPr>
          </w:p>
        </w:tc>
        <w:tc>
          <w:tcPr>
            <w:tcW w:w="1269" w:type="dxa"/>
            <w:shd w:val="clear" w:color="auto" w:fill="FBD4B4" w:themeFill="accent6" w:themeFillTint="66"/>
            <w:noWrap/>
            <w:hideMark/>
          </w:tcPr>
          <w:p w14:paraId="2C928779"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8"/>
              </w:rPr>
            </w:pPr>
          </w:p>
        </w:tc>
      </w:tr>
      <w:tr w:rsidR="00FC53AE" w:rsidRPr="00FC53AE" w14:paraId="7C90A063" w14:textId="77777777" w:rsidTr="00AC1D16">
        <w:trPr>
          <w:trHeight w:val="72"/>
        </w:trPr>
        <w:tc>
          <w:tcPr>
            <w:cnfStyle w:val="001000000000" w:firstRow="0" w:lastRow="0" w:firstColumn="1" w:lastColumn="0" w:oddVBand="0" w:evenVBand="0" w:oddHBand="0" w:evenHBand="0" w:firstRowFirstColumn="0" w:firstRowLastColumn="0" w:lastRowFirstColumn="0" w:lastRowLastColumn="0"/>
            <w:tcW w:w="4195" w:type="dxa"/>
            <w:hideMark/>
          </w:tcPr>
          <w:p w14:paraId="71ED2E3B" w14:textId="77777777" w:rsidR="006F47D4" w:rsidRPr="00FC53AE" w:rsidRDefault="006F47D4" w:rsidP="00144D76">
            <w:pPr>
              <w:rPr>
                <w:b w:val="0"/>
                <w:color w:val="000000" w:themeColor="text1"/>
                <w:sz w:val="16"/>
                <w:szCs w:val="16"/>
              </w:rPr>
            </w:pPr>
            <w:r w:rsidRPr="00FC53AE">
              <w:rPr>
                <w:b w:val="0"/>
                <w:color w:val="000000" w:themeColor="text1"/>
                <w:sz w:val="16"/>
                <w:szCs w:val="16"/>
              </w:rPr>
              <w:t>Uscite correnti</w:t>
            </w:r>
          </w:p>
        </w:tc>
        <w:tc>
          <w:tcPr>
            <w:tcW w:w="1269" w:type="dxa"/>
          </w:tcPr>
          <w:p w14:paraId="33137F1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3'667.1 </w:t>
            </w:r>
          </w:p>
        </w:tc>
        <w:tc>
          <w:tcPr>
            <w:tcW w:w="1269" w:type="dxa"/>
            <w:noWrap/>
            <w:hideMark/>
          </w:tcPr>
          <w:p w14:paraId="0DFFD10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3'718.0 </w:t>
            </w:r>
          </w:p>
        </w:tc>
        <w:tc>
          <w:tcPr>
            <w:tcW w:w="1269" w:type="dxa"/>
            <w:shd w:val="clear" w:color="auto" w:fill="FABF8F" w:themeFill="accent6" w:themeFillTint="99"/>
            <w:noWrap/>
            <w:hideMark/>
          </w:tcPr>
          <w:p w14:paraId="2A03B9F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3'776.7 </w:t>
            </w:r>
          </w:p>
        </w:tc>
        <w:tc>
          <w:tcPr>
            <w:tcW w:w="1269" w:type="dxa"/>
            <w:shd w:val="clear" w:color="auto" w:fill="FBD4B4" w:themeFill="accent6" w:themeFillTint="66"/>
            <w:noWrap/>
          </w:tcPr>
          <w:p w14:paraId="6C00FA5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58.7 </w:t>
            </w:r>
          </w:p>
        </w:tc>
      </w:tr>
      <w:tr w:rsidR="00FC53AE" w:rsidRPr="00FC53AE" w14:paraId="0344B208" w14:textId="77777777" w:rsidTr="00AC1D16">
        <w:trPr>
          <w:trHeight w:val="163"/>
        </w:trPr>
        <w:tc>
          <w:tcPr>
            <w:cnfStyle w:val="001000000000" w:firstRow="0" w:lastRow="0" w:firstColumn="1" w:lastColumn="0" w:oddVBand="0" w:evenVBand="0" w:oddHBand="0" w:evenHBand="0" w:firstRowFirstColumn="0" w:firstRowLastColumn="0" w:lastRowFirstColumn="0" w:lastRowLastColumn="0"/>
            <w:tcW w:w="4195" w:type="dxa"/>
            <w:hideMark/>
          </w:tcPr>
          <w:p w14:paraId="5365EC93" w14:textId="77777777" w:rsidR="006F47D4" w:rsidRPr="00FC53AE" w:rsidRDefault="006F47D4" w:rsidP="00144D76">
            <w:pPr>
              <w:rPr>
                <w:b w:val="0"/>
                <w:color w:val="000000" w:themeColor="text1"/>
                <w:sz w:val="16"/>
                <w:szCs w:val="16"/>
              </w:rPr>
            </w:pPr>
            <w:r w:rsidRPr="00FC53AE">
              <w:rPr>
                <w:b w:val="0"/>
                <w:color w:val="000000" w:themeColor="text1"/>
                <w:sz w:val="16"/>
                <w:szCs w:val="16"/>
              </w:rPr>
              <w:t xml:space="preserve">Ammortamenti, rettifiche di valore e </w:t>
            </w:r>
            <w:proofErr w:type="spellStart"/>
            <w:r w:rsidRPr="00FC53AE">
              <w:rPr>
                <w:b w:val="0"/>
                <w:color w:val="000000" w:themeColor="text1"/>
                <w:sz w:val="16"/>
                <w:szCs w:val="16"/>
              </w:rPr>
              <w:t>vers</w:t>
            </w:r>
            <w:proofErr w:type="spellEnd"/>
            <w:r w:rsidRPr="00FC53AE">
              <w:rPr>
                <w:b w:val="0"/>
                <w:color w:val="000000" w:themeColor="text1"/>
                <w:sz w:val="16"/>
                <w:szCs w:val="16"/>
              </w:rPr>
              <w:t>. a fondi</w:t>
            </w:r>
          </w:p>
        </w:tc>
        <w:tc>
          <w:tcPr>
            <w:tcW w:w="1269" w:type="dxa"/>
          </w:tcPr>
          <w:p w14:paraId="0831B1ED"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229.2 </w:t>
            </w:r>
          </w:p>
        </w:tc>
        <w:tc>
          <w:tcPr>
            <w:tcW w:w="1269" w:type="dxa"/>
            <w:noWrap/>
            <w:hideMark/>
          </w:tcPr>
          <w:p w14:paraId="7583818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230.9 </w:t>
            </w:r>
          </w:p>
        </w:tc>
        <w:tc>
          <w:tcPr>
            <w:tcW w:w="1269" w:type="dxa"/>
            <w:shd w:val="clear" w:color="auto" w:fill="FABF8F" w:themeFill="accent6" w:themeFillTint="99"/>
            <w:noWrap/>
            <w:hideMark/>
          </w:tcPr>
          <w:p w14:paraId="510BF26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241.6 </w:t>
            </w:r>
          </w:p>
        </w:tc>
        <w:tc>
          <w:tcPr>
            <w:tcW w:w="1269" w:type="dxa"/>
            <w:shd w:val="clear" w:color="auto" w:fill="FBD4B4" w:themeFill="accent6" w:themeFillTint="66"/>
            <w:noWrap/>
            <w:hideMark/>
          </w:tcPr>
          <w:p w14:paraId="525E35D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10.6 </w:t>
            </w:r>
          </w:p>
        </w:tc>
      </w:tr>
      <w:tr w:rsidR="00FC53AE" w:rsidRPr="00FC53AE" w14:paraId="064AC457" w14:textId="77777777" w:rsidTr="00AC1D16">
        <w:trPr>
          <w:trHeight w:val="126"/>
        </w:trPr>
        <w:tc>
          <w:tcPr>
            <w:cnfStyle w:val="001000000000" w:firstRow="0" w:lastRow="0" w:firstColumn="1" w:lastColumn="0" w:oddVBand="0" w:evenVBand="0" w:oddHBand="0" w:evenHBand="0" w:firstRowFirstColumn="0" w:firstRowLastColumn="0" w:lastRowFirstColumn="0" w:lastRowLastColumn="0"/>
            <w:tcW w:w="4195" w:type="dxa"/>
            <w:hideMark/>
          </w:tcPr>
          <w:p w14:paraId="7D6E9B78" w14:textId="77777777" w:rsidR="006F47D4" w:rsidRPr="00FC53AE" w:rsidRDefault="006F47D4" w:rsidP="00144D76">
            <w:pPr>
              <w:rPr>
                <w:color w:val="000000" w:themeColor="text1"/>
                <w:sz w:val="16"/>
                <w:szCs w:val="16"/>
              </w:rPr>
            </w:pPr>
            <w:r w:rsidRPr="00FC53AE">
              <w:rPr>
                <w:color w:val="000000" w:themeColor="text1"/>
                <w:sz w:val="16"/>
                <w:szCs w:val="16"/>
              </w:rPr>
              <w:t>Spese correnti</w:t>
            </w:r>
          </w:p>
        </w:tc>
        <w:tc>
          <w:tcPr>
            <w:tcW w:w="1269" w:type="dxa"/>
          </w:tcPr>
          <w:p w14:paraId="174F3E2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3'896.3 </w:t>
            </w:r>
          </w:p>
        </w:tc>
        <w:tc>
          <w:tcPr>
            <w:tcW w:w="1269" w:type="dxa"/>
            <w:noWrap/>
            <w:hideMark/>
          </w:tcPr>
          <w:p w14:paraId="560F92B7"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3'948.9 </w:t>
            </w:r>
          </w:p>
        </w:tc>
        <w:tc>
          <w:tcPr>
            <w:tcW w:w="1269" w:type="dxa"/>
            <w:shd w:val="clear" w:color="auto" w:fill="FABF8F" w:themeFill="accent6" w:themeFillTint="99"/>
            <w:noWrap/>
            <w:hideMark/>
          </w:tcPr>
          <w:p w14:paraId="2E7C53B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4'018.2 </w:t>
            </w:r>
          </w:p>
        </w:tc>
        <w:tc>
          <w:tcPr>
            <w:tcW w:w="1269" w:type="dxa"/>
            <w:shd w:val="clear" w:color="auto" w:fill="FBD4B4" w:themeFill="accent6" w:themeFillTint="66"/>
            <w:noWrap/>
            <w:hideMark/>
          </w:tcPr>
          <w:p w14:paraId="72A385A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69.3 </w:t>
            </w:r>
          </w:p>
        </w:tc>
      </w:tr>
      <w:tr w:rsidR="00FC53AE" w:rsidRPr="00FC53AE" w14:paraId="483A0331" w14:textId="77777777" w:rsidTr="00AC1D16">
        <w:trPr>
          <w:trHeight w:val="141"/>
        </w:trPr>
        <w:tc>
          <w:tcPr>
            <w:cnfStyle w:val="001000000000" w:firstRow="0" w:lastRow="0" w:firstColumn="1" w:lastColumn="0" w:oddVBand="0" w:evenVBand="0" w:oddHBand="0" w:evenHBand="0" w:firstRowFirstColumn="0" w:firstRowLastColumn="0" w:lastRowFirstColumn="0" w:lastRowLastColumn="0"/>
            <w:tcW w:w="4195" w:type="dxa"/>
            <w:hideMark/>
          </w:tcPr>
          <w:p w14:paraId="7D5AF679" w14:textId="77777777" w:rsidR="006F47D4" w:rsidRPr="00FC53AE" w:rsidRDefault="006F47D4" w:rsidP="00144D76">
            <w:pPr>
              <w:rPr>
                <w:b w:val="0"/>
                <w:color w:val="000000" w:themeColor="text1"/>
                <w:sz w:val="16"/>
                <w:szCs w:val="16"/>
              </w:rPr>
            </w:pPr>
            <w:r w:rsidRPr="00FC53AE">
              <w:rPr>
                <w:b w:val="0"/>
                <w:color w:val="000000" w:themeColor="text1"/>
                <w:sz w:val="16"/>
                <w:szCs w:val="16"/>
              </w:rPr>
              <w:t>Altre poste straordinarie e versamenti a cap. proprio</w:t>
            </w:r>
          </w:p>
        </w:tc>
        <w:tc>
          <w:tcPr>
            <w:tcW w:w="1269" w:type="dxa"/>
          </w:tcPr>
          <w:p w14:paraId="25AE7AF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4.3 </w:t>
            </w:r>
          </w:p>
        </w:tc>
        <w:tc>
          <w:tcPr>
            <w:tcW w:w="1269" w:type="dxa"/>
            <w:noWrap/>
            <w:hideMark/>
          </w:tcPr>
          <w:p w14:paraId="31B11FA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   </w:t>
            </w:r>
          </w:p>
        </w:tc>
        <w:tc>
          <w:tcPr>
            <w:tcW w:w="1269" w:type="dxa"/>
            <w:shd w:val="clear" w:color="auto" w:fill="FABF8F" w:themeFill="accent6" w:themeFillTint="99"/>
            <w:noWrap/>
            <w:hideMark/>
          </w:tcPr>
          <w:p w14:paraId="7317A75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5.7 </w:t>
            </w:r>
          </w:p>
        </w:tc>
        <w:tc>
          <w:tcPr>
            <w:tcW w:w="1269" w:type="dxa"/>
            <w:shd w:val="clear" w:color="auto" w:fill="FBD4B4" w:themeFill="accent6" w:themeFillTint="66"/>
            <w:noWrap/>
            <w:hideMark/>
          </w:tcPr>
          <w:p w14:paraId="6D7BFA3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5.7 </w:t>
            </w:r>
          </w:p>
        </w:tc>
      </w:tr>
      <w:tr w:rsidR="00FC53AE" w:rsidRPr="00FC53AE" w14:paraId="56906551" w14:textId="77777777" w:rsidTr="00AC1D16">
        <w:trPr>
          <w:trHeight w:val="196"/>
        </w:trPr>
        <w:tc>
          <w:tcPr>
            <w:cnfStyle w:val="001000000000" w:firstRow="0" w:lastRow="0" w:firstColumn="1" w:lastColumn="0" w:oddVBand="0" w:evenVBand="0" w:oddHBand="0" w:evenHBand="0" w:firstRowFirstColumn="0" w:firstRowLastColumn="0" w:lastRowFirstColumn="0" w:lastRowLastColumn="0"/>
            <w:tcW w:w="4195" w:type="dxa"/>
            <w:hideMark/>
          </w:tcPr>
          <w:p w14:paraId="74993D19" w14:textId="77777777" w:rsidR="006F47D4" w:rsidRPr="00FC53AE" w:rsidRDefault="006F47D4" w:rsidP="00144D76">
            <w:pPr>
              <w:rPr>
                <w:b w:val="0"/>
                <w:color w:val="000000" w:themeColor="text1"/>
                <w:sz w:val="16"/>
                <w:szCs w:val="16"/>
              </w:rPr>
            </w:pPr>
            <w:r w:rsidRPr="00FC53AE">
              <w:rPr>
                <w:b w:val="0"/>
                <w:color w:val="000000" w:themeColor="text1"/>
                <w:sz w:val="16"/>
                <w:szCs w:val="16"/>
              </w:rPr>
              <w:t>Riversamenti contributi da terzi</w:t>
            </w:r>
          </w:p>
        </w:tc>
        <w:tc>
          <w:tcPr>
            <w:tcW w:w="1269" w:type="dxa"/>
          </w:tcPr>
          <w:p w14:paraId="35C9E12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179.3 </w:t>
            </w:r>
          </w:p>
        </w:tc>
        <w:tc>
          <w:tcPr>
            <w:tcW w:w="1269" w:type="dxa"/>
            <w:noWrap/>
            <w:hideMark/>
          </w:tcPr>
          <w:p w14:paraId="1CCFF67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162.6 </w:t>
            </w:r>
          </w:p>
        </w:tc>
        <w:tc>
          <w:tcPr>
            <w:tcW w:w="1269" w:type="dxa"/>
            <w:shd w:val="clear" w:color="auto" w:fill="FABF8F" w:themeFill="accent6" w:themeFillTint="99"/>
            <w:noWrap/>
            <w:hideMark/>
          </w:tcPr>
          <w:p w14:paraId="712F879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172.4 </w:t>
            </w:r>
          </w:p>
        </w:tc>
        <w:tc>
          <w:tcPr>
            <w:tcW w:w="1269" w:type="dxa"/>
            <w:shd w:val="clear" w:color="auto" w:fill="FBD4B4" w:themeFill="accent6" w:themeFillTint="66"/>
            <w:noWrap/>
            <w:hideMark/>
          </w:tcPr>
          <w:p w14:paraId="477109C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9.8 </w:t>
            </w:r>
          </w:p>
        </w:tc>
      </w:tr>
      <w:tr w:rsidR="00FC53AE" w:rsidRPr="00FC53AE" w14:paraId="209BE48E" w14:textId="77777777" w:rsidTr="00AC1D16">
        <w:trPr>
          <w:trHeight w:val="96"/>
        </w:trPr>
        <w:tc>
          <w:tcPr>
            <w:cnfStyle w:val="001000000000" w:firstRow="0" w:lastRow="0" w:firstColumn="1" w:lastColumn="0" w:oddVBand="0" w:evenVBand="0" w:oddHBand="0" w:evenHBand="0" w:firstRowFirstColumn="0" w:firstRowLastColumn="0" w:lastRowFirstColumn="0" w:lastRowLastColumn="0"/>
            <w:tcW w:w="4195" w:type="dxa"/>
            <w:hideMark/>
          </w:tcPr>
          <w:p w14:paraId="7C8BA858" w14:textId="77777777" w:rsidR="006F47D4" w:rsidRPr="00FC53AE" w:rsidRDefault="006F47D4" w:rsidP="00144D76">
            <w:pPr>
              <w:rPr>
                <w:b w:val="0"/>
                <w:color w:val="000000" w:themeColor="text1"/>
                <w:sz w:val="16"/>
                <w:szCs w:val="16"/>
              </w:rPr>
            </w:pPr>
            <w:r w:rsidRPr="00FC53AE">
              <w:rPr>
                <w:b w:val="0"/>
                <w:color w:val="000000" w:themeColor="text1"/>
                <w:sz w:val="16"/>
                <w:szCs w:val="16"/>
              </w:rPr>
              <w:t>Addebiti interni</w:t>
            </w:r>
          </w:p>
        </w:tc>
        <w:tc>
          <w:tcPr>
            <w:tcW w:w="1269" w:type="dxa"/>
          </w:tcPr>
          <w:p w14:paraId="14C6229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228.1 </w:t>
            </w:r>
          </w:p>
        </w:tc>
        <w:tc>
          <w:tcPr>
            <w:tcW w:w="1269" w:type="dxa"/>
            <w:noWrap/>
            <w:hideMark/>
          </w:tcPr>
          <w:p w14:paraId="1029E6F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223.0 </w:t>
            </w:r>
          </w:p>
        </w:tc>
        <w:tc>
          <w:tcPr>
            <w:tcW w:w="1269" w:type="dxa"/>
            <w:shd w:val="clear" w:color="auto" w:fill="FABF8F" w:themeFill="accent6" w:themeFillTint="99"/>
            <w:noWrap/>
            <w:hideMark/>
          </w:tcPr>
          <w:p w14:paraId="328EE2C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225.9 </w:t>
            </w:r>
          </w:p>
        </w:tc>
        <w:tc>
          <w:tcPr>
            <w:tcW w:w="1269" w:type="dxa"/>
            <w:shd w:val="clear" w:color="auto" w:fill="FBD4B4" w:themeFill="accent6" w:themeFillTint="66"/>
            <w:noWrap/>
            <w:hideMark/>
          </w:tcPr>
          <w:p w14:paraId="2E9EE3F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2.9 </w:t>
            </w:r>
          </w:p>
        </w:tc>
      </w:tr>
      <w:tr w:rsidR="00FC53AE" w:rsidRPr="00FC53AE" w14:paraId="6179C3AA" w14:textId="77777777" w:rsidTr="00AC1D16">
        <w:trPr>
          <w:trHeight w:val="159"/>
        </w:trPr>
        <w:tc>
          <w:tcPr>
            <w:cnfStyle w:val="001000000000" w:firstRow="0" w:lastRow="0" w:firstColumn="1" w:lastColumn="0" w:oddVBand="0" w:evenVBand="0" w:oddHBand="0" w:evenHBand="0" w:firstRowFirstColumn="0" w:firstRowLastColumn="0" w:lastRowFirstColumn="0" w:lastRowLastColumn="0"/>
            <w:tcW w:w="4195" w:type="dxa"/>
            <w:hideMark/>
          </w:tcPr>
          <w:p w14:paraId="179BD80E" w14:textId="77777777" w:rsidR="006F47D4" w:rsidRPr="00FC53AE" w:rsidRDefault="006F47D4" w:rsidP="00144D76">
            <w:pPr>
              <w:rPr>
                <w:color w:val="000000" w:themeColor="text1"/>
                <w:sz w:val="16"/>
                <w:szCs w:val="16"/>
              </w:rPr>
            </w:pPr>
            <w:r w:rsidRPr="00FC53AE">
              <w:rPr>
                <w:color w:val="000000" w:themeColor="text1"/>
                <w:sz w:val="16"/>
                <w:szCs w:val="16"/>
              </w:rPr>
              <w:t>Totale spese</w:t>
            </w:r>
          </w:p>
        </w:tc>
        <w:tc>
          <w:tcPr>
            <w:tcW w:w="1269" w:type="dxa"/>
          </w:tcPr>
          <w:p w14:paraId="50BC5AF7"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4'308.0 </w:t>
            </w:r>
          </w:p>
        </w:tc>
        <w:tc>
          <w:tcPr>
            <w:tcW w:w="1269" w:type="dxa"/>
            <w:noWrap/>
            <w:hideMark/>
          </w:tcPr>
          <w:p w14:paraId="64FA935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4'334.4 </w:t>
            </w:r>
          </w:p>
        </w:tc>
        <w:tc>
          <w:tcPr>
            <w:tcW w:w="1269" w:type="dxa"/>
            <w:shd w:val="clear" w:color="auto" w:fill="FABF8F" w:themeFill="accent6" w:themeFillTint="99"/>
            <w:noWrap/>
            <w:hideMark/>
          </w:tcPr>
          <w:p w14:paraId="7BF25F3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4'422.2 </w:t>
            </w:r>
          </w:p>
        </w:tc>
        <w:tc>
          <w:tcPr>
            <w:tcW w:w="1269" w:type="dxa"/>
            <w:shd w:val="clear" w:color="auto" w:fill="FBD4B4" w:themeFill="accent6" w:themeFillTint="66"/>
            <w:noWrap/>
            <w:hideMark/>
          </w:tcPr>
          <w:p w14:paraId="1C3CBF0B" w14:textId="77777777" w:rsidR="006F47D4" w:rsidRPr="00FC53AE" w:rsidRDefault="006F47D4" w:rsidP="00144D76">
            <w:pPr>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87.7 </w:t>
            </w:r>
          </w:p>
        </w:tc>
      </w:tr>
      <w:tr w:rsidR="00FC53AE" w:rsidRPr="00FC53AE" w14:paraId="187DCEE5" w14:textId="77777777" w:rsidTr="00AC1D16">
        <w:trPr>
          <w:trHeight w:val="87"/>
        </w:trPr>
        <w:tc>
          <w:tcPr>
            <w:cnfStyle w:val="001000000000" w:firstRow="0" w:lastRow="0" w:firstColumn="1" w:lastColumn="0" w:oddVBand="0" w:evenVBand="0" w:oddHBand="0" w:evenHBand="0" w:firstRowFirstColumn="0" w:firstRowLastColumn="0" w:lastRowFirstColumn="0" w:lastRowLastColumn="0"/>
            <w:tcW w:w="4195" w:type="dxa"/>
            <w:hideMark/>
          </w:tcPr>
          <w:p w14:paraId="17543337" w14:textId="77777777" w:rsidR="006F47D4" w:rsidRPr="00FC53AE" w:rsidRDefault="006F47D4" w:rsidP="00144D76">
            <w:pPr>
              <w:rPr>
                <w:b w:val="0"/>
                <w:color w:val="000000" w:themeColor="text1"/>
                <w:sz w:val="18"/>
                <w:u w:val="single"/>
              </w:rPr>
            </w:pPr>
          </w:p>
        </w:tc>
        <w:tc>
          <w:tcPr>
            <w:tcW w:w="1269" w:type="dxa"/>
          </w:tcPr>
          <w:p w14:paraId="143D926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rPr>
            </w:pPr>
          </w:p>
        </w:tc>
        <w:tc>
          <w:tcPr>
            <w:tcW w:w="1269" w:type="dxa"/>
            <w:noWrap/>
            <w:hideMark/>
          </w:tcPr>
          <w:p w14:paraId="1925856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rPr>
            </w:pPr>
          </w:p>
        </w:tc>
        <w:tc>
          <w:tcPr>
            <w:tcW w:w="1269" w:type="dxa"/>
            <w:shd w:val="clear" w:color="auto" w:fill="FABF8F" w:themeFill="accent6" w:themeFillTint="99"/>
            <w:noWrap/>
            <w:hideMark/>
          </w:tcPr>
          <w:p w14:paraId="4F7C9FE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rPr>
            </w:pPr>
          </w:p>
        </w:tc>
        <w:tc>
          <w:tcPr>
            <w:tcW w:w="1269" w:type="dxa"/>
            <w:shd w:val="clear" w:color="auto" w:fill="FBD4B4" w:themeFill="accent6" w:themeFillTint="66"/>
            <w:noWrap/>
            <w:hideMark/>
          </w:tcPr>
          <w:p w14:paraId="7B0F640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rPr>
            </w:pPr>
          </w:p>
        </w:tc>
      </w:tr>
      <w:tr w:rsidR="00FC53AE" w:rsidRPr="00FC53AE" w14:paraId="6F7550DB" w14:textId="77777777" w:rsidTr="00AC1D16">
        <w:trPr>
          <w:trHeight w:val="151"/>
        </w:trPr>
        <w:tc>
          <w:tcPr>
            <w:cnfStyle w:val="001000000000" w:firstRow="0" w:lastRow="0" w:firstColumn="1" w:lastColumn="0" w:oddVBand="0" w:evenVBand="0" w:oddHBand="0" w:evenHBand="0" w:firstRowFirstColumn="0" w:firstRowLastColumn="0" w:lastRowFirstColumn="0" w:lastRowLastColumn="0"/>
            <w:tcW w:w="4195" w:type="dxa"/>
            <w:hideMark/>
          </w:tcPr>
          <w:p w14:paraId="2D76D307" w14:textId="77777777" w:rsidR="006F47D4" w:rsidRPr="00FC53AE" w:rsidRDefault="006F47D4" w:rsidP="00144D76">
            <w:pPr>
              <w:rPr>
                <w:b w:val="0"/>
                <w:color w:val="000000" w:themeColor="text1"/>
                <w:sz w:val="16"/>
                <w:szCs w:val="16"/>
              </w:rPr>
            </w:pPr>
            <w:r w:rsidRPr="00FC53AE">
              <w:rPr>
                <w:b w:val="0"/>
                <w:color w:val="000000" w:themeColor="text1"/>
                <w:sz w:val="16"/>
                <w:szCs w:val="16"/>
              </w:rPr>
              <w:t>Entrate correnti</w:t>
            </w:r>
          </w:p>
        </w:tc>
        <w:tc>
          <w:tcPr>
            <w:tcW w:w="1269" w:type="dxa"/>
          </w:tcPr>
          <w:p w14:paraId="428A70F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3'765.0 </w:t>
            </w:r>
          </w:p>
        </w:tc>
        <w:tc>
          <w:tcPr>
            <w:tcW w:w="1269" w:type="dxa"/>
            <w:noWrap/>
            <w:hideMark/>
          </w:tcPr>
          <w:p w14:paraId="541D4B4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3'808.8 </w:t>
            </w:r>
          </w:p>
        </w:tc>
        <w:tc>
          <w:tcPr>
            <w:tcW w:w="1269" w:type="dxa"/>
            <w:shd w:val="clear" w:color="auto" w:fill="FABF8F" w:themeFill="accent6" w:themeFillTint="99"/>
            <w:noWrap/>
            <w:hideMark/>
          </w:tcPr>
          <w:p w14:paraId="02DE244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3'936.5 </w:t>
            </w:r>
          </w:p>
        </w:tc>
        <w:tc>
          <w:tcPr>
            <w:tcW w:w="1269" w:type="dxa"/>
            <w:shd w:val="clear" w:color="auto" w:fill="FBD4B4" w:themeFill="accent6" w:themeFillTint="66"/>
            <w:noWrap/>
            <w:hideMark/>
          </w:tcPr>
          <w:p w14:paraId="1F21D1A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127.8 </w:t>
            </w:r>
          </w:p>
        </w:tc>
      </w:tr>
      <w:tr w:rsidR="00FC53AE" w:rsidRPr="00FC53AE" w14:paraId="412B703A" w14:textId="77777777" w:rsidTr="00AC1D16">
        <w:trPr>
          <w:trHeight w:val="117"/>
        </w:trPr>
        <w:tc>
          <w:tcPr>
            <w:cnfStyle w:val="001000000000" w:firstRow="0" w:lastRow="0" w:firstColumn="1" w:lastColumn="0" w:oddVBand="0" w:evenVBand="0" w:oddHBand="0" w:evenHBand="0" w:firstRowFirstColumn="0" w:firstRowLastColumn="0" w:lastRowFirstColumn="0" w:lastRowLastColumn="0"/>
            <w:tcW w:w="4195" w:type="dxa"/>
            <w:hideMark/>
          </w:tcPr>
          <w:p w14:paraId="02ABDA32" w14:textId="77777777" w:rsidR="006F47D4" w:rsidRPr="00FC53AE" w:rsidRDefault="006F47D4" w:rsidP="00144D76">
            <w:pPr>
              <w:rPr>
                <w:b w:val="0"/>
                <w:color w:val="000000" w:themeColor="text1"/>
                <w:sz w:val="16"/>
                <w:szCs w:val="16"/>
              </w:rPr>
            </w:pPr>
            <w:r w:rsidRPr="00FC53AE">
              <w:rPr>
                <w:b w:val="0"/>
                <w:color w:val="000000" w:themeColor="text1"/>
                <w:sz w:val="16"/>
                <w:szCs w:val="16"/>
              </w:rPr>
              <w:t>Scioglimenti, rettifiche di valore e prelievi da fondi</w:t>
            </w:r>
          </w:p>
        </w:tc>
        <w:tc>
          <w:tcPr>
            <w:tcW w:w="1269" w:type="dxa"/>
          </w:tcPr>
          <w:p w14:paraId="15DE74B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9.1 </w:t>
            </w:r>
          </w:p>
        </w:tc>
        <w:tc>
          <w:tcPr>
            <w:tcW w:w="1269" w:type="dxa"/>
            <w:noWrap/>
            <w:hideMark/>
          </w:tcPr>
          <w:p w14:paraId="1230BEC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8.6 </w:t>
            </w:r>
          </w:p>
        </w:tc>
        <w:tc>
          <w:tcPr>
            <w:tcW w:w="1269" w:type="dxa"/>
            <w:shd w:val="clear" w:color="auto" w:fill="FABF8F" w:themeFill="accent6" w:themeFillTint="99"/>
            <w:noWrap/>
            <w:hideMark/>
          </w:tcPr>
          <w:p w14:paraId="731342B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14.9 </w:t>
            </w:r>
          </w:p>
        </w:tc>
        <w:tc>
          <w:tcPr>
            <w:tcW w:w="1269" w:type="dxa"/>
            <w:shd w:val="clear" w:color="auto" w:fill="FBD4B4" w:themeFill="accent6" w:themeFillTint="66"/>
            <w:noWrap/>
            <w:hideMark/>
          </w:tcPr>
          <w:p w14:paraId="44F3345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6.3 </w:t>
            </w:r>
          </w:p>
        </w:tc>
      </w:tr>
      <w:tr w:rsidR="00FC53AE" w:rsidRPr="00FC53AE" w14:paraId="6F066E96"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3A7D489F" w14:textId="77777777" w:rsidR="006F47D4" w:rsidRPr="00FC53AE" w:rsidRDefault="006F47D4" w:rsidP="00144D76">
            <w:pPr>
              <w:rPr>
                <w:color w:val="000000" w:themeColor="text1"/>
                <w:sz w:val="16"/>
                <w:szCs w:val="16"/>
              </w:rPr>
            </w:pPr>
            <w:r w:rsidRPr="00FC53AE">
              <w:rPr>
                <w:color w:val="000000" w:themeColor="text1"/>
                <w:sz w:val="16"/>
                <w:szCs w:val="16"/>
              </w:rPr>
              <w:t>Ricavi correnti</w:t>
            </w:r>
          </w:p>
        </w:tc>
        <w:tc>
          <w:tcPr>
            <w:tcW w:w="1269" w:type="dxa"/>
          </w:tcPr>
          <w:p w14:paraId="7357D6A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3'774.1 </w:t>
            </w:r>
          </w:p>
        </w:tc>
        <w:tc>
          <w:tcPr>
            <w:tcW w:w="1269" w:type="dxa"/>
            <w:noWrap/>
            <w:hideMark/>
          </w:tcPr>
          <w:p w14:paraId="0BD284C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3'817.4 </w:t>
            </w:r>
          </w:p>
        </w:tc>
        <w:tc>
          <w:tcPr>
            <w:tcW w:w="1269" w:type="dxa"/>
            <w:shd w:val="clear" w:color="auto" w:fill="FABF8F" w:themeFill="accent6" w:themeFillTint="99"/>
            <w:noWrap/>
            <w:hideMark/>
          </w:tcPr>
          <w:p w14:paraId="263DBF4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3'951.4 </w:t>
            </w:r>
          </w:p>
        </w:tc>
        <w:tc>
          <w:tcPr>
            <w:tcW w:w="1269" w:type="dxa"/>
            <w:shd w:val="clear" w:color="auto" w:fill="FBD4B4" w:themeFill="accent6" w:themeFillTint="66"/>
            <w:noWrap/>
            <w:hideMark/>
          </w:tcPr>
          <w:p w14:paraId="29DF1A7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134.0 </w:t>
            </w:r>
          </w:p>
        </w:tc>
      </w:tr>
      <w:tr w:rsidR="00FC53AE" w:rsidRPr="00FC53AE" w14:paraId="19ACD2F6" w14:textId="77777777" w:rsidTr="00AC1D16">
        <w:trPr>
          <w:trHeight w:val="209"/>
        </w:trPr>
        <w:tc>
          <w:tcPr>
            <w:cnfStyle w:val="001000000000" w:firstRow="0" w:lastRow="0" w:firstColumn="1" w:lastColumn="0" w:oddVBand="0" w:evenVBand="0" w:oddHBand="0" w:evenHBand="0" w:firstRowFirstColumn="0" w:firstRowLastColumn="0" w:lastRowFirstColumn="0" w:lastRowLastColumn="0"/>
            <w:tcW w:w="4195" w:type="dxa"/>
            <w:hideMark/>
          </w:tcPr>
          <w:p w14:paraId="64CD7543" w14:textId="77777777" w:rsidR="006F47D4" w:rsidRPr="00FC53AE" w:rsidRDefault="006F47D4" w:rsidP="00144D76">
            <w:pPr>
              <w:rPr>
                <w:b w:val="0"/>
                <w:color w:val="000000" w:themeColor="text1"/>
                <w:sz w:val="16"/>
                <w:szCs w:val="16"/>
              </w:rPr>
            </w:pPr>
            <w:r w:rsidRPr="00FC53AE">
              <w:rPr>
                <w:b w:val="0"/>
                <w:color w:val="000000" w:themeColor="text1"/>
                <w:sz w:val="16"/>
                <w:szCs w:val="16"/>
              </w:rPr>
              <w:t>Altre poste straordinarie e prelievi da cap. proprio</w:t>
            </w:r>
          </w:p>
        </w:tc>
        <w:tc>
          <w:tcPr>
            <w:tcW w:w="1269" w:type="dxa"/>
          </w:tcPr>
          <w:p w14:paraId="3918867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4.7 </w:t>
            </w:r>
          </w:p>
        </w:tc>
        <w:tc>
          <w:tcPr>
            <w:tcW w:w="1269" w:type="dxa"/>
            <w:noWrap/>
            <w:hideMark/>
          </w:tcPr>
          <w:p w14:paraId="7CEAADF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0.7 </w:t>
            </w:r>
          </w:p>
        </w:tc>
        <w:tc>
          <w:tcPr>
            <w:tcW w:w="1269" w:type="dxa"/>
            <w:shd w:val="clear" w:color="auto" w:fill="FABF8F" w:themeFill="accent6" w:themeFillTint="99"/>
            <w:noWrap/>
            <w:hideMark/>
          </w:tcPr>
          <w:p w14:paraId="52209B7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0.7 </w:t>
            </w:r>
          </w:p>
        </w:tc>
        <w:tc>
          <w:tcPr>
            <w:tcW w:w="1269" w:type="dxa"/>
            <w:shd w:val="clear" w:color="auto" w:fill="FBD4B4" w:themeFill="accent6" w:themeFillTint="66"/>
            <w:noWrap/>
            <w:hideMark/>
          </w:tcPr>
          <w:p w14:paraId="47F83F9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   </w:t>
            </w:r>
          </w:p>
        </w:tc>
      </w:tr>
      <w:tr w:rsidR="00FC53AE" w:rsidRPr="00FC53AE" w14:paraId="2D1D805B" w14:textId="77777777" w:rsidTr="00AC1D16">
        <w:trPr>
          <w:trHeight w:val="110"/>
        </w:trPr>
        <w:tc>
          <w:tcPr>
            <w:cnfStyle w:val="001000000000" w:firstRow="0" w:lastRow="0" w:firstColumn="1" w:lastColumn="0" w:oddVBand="0" w:evenVBand="0" w:oddHBand="0" w:evenHBand="0" w:firstRowFirstColumn="0" w:firstRowLastColumn="0" w:lastRowFirstColumn="0" w:lastRowLastColumn="0"/>
            <w:tcW w:w="4195" w:type="dxa"/>
            <w:hideMark/>
          </w:tcPr>
          <w:p w14:paraId="1625DCF2" w14:textId="77777777" w:rsidR="006F47D4" w:rsidRPr="00FC53AE" w:rsidRDefault="006F47D4" w:rsidP="00144D76">
            <w:pPr>
              <w:rPr>
                <w:b w:val="0"/>
                <w:color w:val="000000" w:themeColor="text1"/>
                <w:sz w:val="16"/>
                <w:szCs w:val="16"/>
              </w:rPr>
            </w:pPr>
            <w:r w:rsidRPr="00FC53AE">
              <w:rPr>
                <w:b w:val="0"/>
                <w:color w:val="000000" w:themeColor="text1"/>
                <w:sz w:val="16"/>
                <w:szCs w:val="16"/>
              </w:rPr>
              <w:t>Contributi da riversare</w:t>
            </w:r>
          </w:p>
        </w:tc>
        <w:tc>
          <w:tcPr>
            <w:tcW w:w="1269" w:type="dxa"/>
          </w:tcPr>
          <w:p w14:paraId="4599DE8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179.3 </w:t>
            </w:r>
          </w:p>
        </w:tc>
        <w:tc>
          <w:tcPr>
            <w:tcW w:w="1269" w:type="dxa"/>
            <w:noWrap/>
            <w:hideMark/>
          </w:tcPr>
          <w:p w14:paraId="3AFA6D6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162.6 </w:t>
            </w:r>
          </w:p>
        </w:tc>
        <w:tc>
          <w:tcPr>
            <w:tcW w:w="1269" w:type="dxa"/>
            <w:shd w:val="clear" w:color="auto" w:fill="FABF8F" w:themeFill="accent6" w:themeFillTint="99"/>
            <w:noWrap/>
            <w:hideMark/>
          </w:tcPr>
          <w:p w14:paraId="3444077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172.4 </w:t>
            </w:r>
          </w:p>
        </w:tc>
        <w:tc>
          <w:tcPr>
            <w:tcW w:w="1269" w:type="dxa"/>
            <w:shd w:val="clear" w:color="auto" w:fill="FBD4B4" w:themeFill="accent6" w:themeFillTint="66"/>
            <w:noWrap/>
            <w:hideMark/>
          </w:tcPr>
          <w:p w14:paraId="30E06F6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9.8 </w:t>
            </w:r>
          </w:p>
        </w:tc>
      </w:tr>
      <w:tr w:rsidR="00FC53AE" w:rsidRPr="00FC53AE" w14:paraId="06EFE175" w14:textId="77777777" w:rsidTr="00AC1D16">
        <w:trPr>
          <w:trHeight w:val="174"/>
        </w:trPr>
        <w:tc>
          <w:tcPr>
            <w:cnfStyle w:val="001000000000" w:firstRow="0" w:lastRow="0" w:firstColumn="1" w:lastColumn="0" w:oddVBand="0" w:evenVBand="0" w:oddHBand="0" w:evenHBand="0" w:firstRowFirstColumn="0" w:firstRowLastColumn="0" w:lastRowFirstColumn="0" w:lastRowLastColumn="0"/>
            <w:tcW w:w="4195" w:type="dxa"/>
            <w:hideMark/>
          </w:tcPr>
          <w:p w14:paraId="5FD1EBAA" w14:textId="77777777" w:rsidR="006F47D4" w:rsidRPr="00FC53AE" w:rsidRDefault="006F47D4" w:rsidP="00144D76">
            <w:pPr>
              <w:rPr>
                <w:b w:val="0"/>
                <w:color w:val="000000" w:themeColor="text1"/>
                <w:sz w:val="16"/>
                <w:szCs w:val="16"/>
              </w:rPr>
            </w:pPr>
            <w:r w:rsidRPr="00FC53AE">
              <w:rPr>
                <w:b w:val="0"/>
                <w:color w:val="000000" w:themeColor="text1"/>
                <w:sz w:val="16"/>
                <w:szCs w:val="16"/>
              </w:rPr>
              <w:t>Accrediti interni</w:t>
            </w:r>
          </w:p>
        </w:tc>
        <w:tc>
          <w:tcPr>
            <w:tcW w:w="1269" w:type="dxa"/>
          </w:tcPr>
          <w:p w14:paraId="134AB2F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228.1 </w:t>
            </w:r>
          </w:p>
        </w:tc>
        <w:tc>
          <w:tcPr>
            <w:tcW w:w="1269" w:type="dxa"/>
            <w:noWrap/>
            <w:hideMark/>
          </w:tcPr>
          <w:p w14:paraId="33C0C89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223.0 </w:t>
            </w:r>
          </w:p>
        </w:tc>
        <w:tc>
          <w:tcPr>
            <w:tcW w:w="1269" w:type="dxa"/>
            <w:shd w:val="clear" w:color="auto" w:fill="FABF8F" w:themeFill="accent6" w:themeFillTint="99"/>
            <w:noWrap/>
            <w:hideMark/>
          </w:tcPr>
          <w:p w14:paraId="05DCCD7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225.9 </w:t>
            </w:r>
          </w:p>
        </w:tc>
        <w:tc>
          <w:tcPr>
            <w:tcW w:w="1269" w:type="dxa"/>
            <w:shd w:val="clear" w:color="auto" w:fill="FBD4B4" w:themeFill="accent6" w:themeFillTint="66"/>
            <w:noWrap/>
            <w:hideMark/>
          </w:tcPr>
          <w:p w14:paraId="02C2D19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2.9 </w:t>
            </w:r>
          </w:p>
        </w:tc>
      </w:tr>
      <w:tr w:rsidR="00FC53AE" w:rsidRPr="00FC53AE" w14:paraId="7C7810E7" w14:textId="77777777" w:rsidTr="00AC1D16">
        <w:trPr>
          <w:trHeight w:val="87"/>
        </w:trPr>
        <w:tc>
          <w:tcPr>
            <w:cnfStyle w:val="001000000000" w:firstRow="0" w:lastRow="0" w:firstColumn="1" w:lastColumn="0" w:oddVBand="0" w:evenVBand="0" w:oddHBand="0" w:evenHBand="0" w:firstRowFirstColumn="0" w:firstRowLastColumn="0" w:lastRowFirstColumn="0" w:lastRowLastColumn="0"/>
            <w:tcW w:w="4195" w:type="dxa"/>
            <w:hideMark/>
          </w:tcPr>
          <w:p w14:paraId="3BA8F72F" w14:textId="77777777" w:rsidR="006F47D4" w:rsidRPr="00FC53AE" w:rsidRDefault="006F47D4" w:rsidP="00144D76">
            <w:pPr>
              <w:rPr>
                <w:color w:val="000000" w:themeColor="text1"/>
                <w:sz w:val="16"/>
                <w:szCs w:val="16"/>
              </w:rPr>
            </w:pPr>
            <w:r w:rsidRPr="00FC53AE">
              <w:rPr>
                <w:color w:val="000000" w:themeColor="text1"/>
                <w:sz w:val="16"/>
                <w:szCs w:val="16"/>
              </w:rPr>
              <w:t>Totale ricavi</w:t>
            </w:r>
          </w:p>
        </w:tc>
        <w:tc>
          <w:tcPr>
            <w:tcW w:w="1269" w:type="dxa"/>
          </w:tcPr>
          <w:p w14:paraId="5C1FA0F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color w:val="000000" w:themeColor="text1"/>
                <w:sz w:val="16"/>
                <w:szCs w:val="16"/>
              </w:rPr>
              <w:t xml:space="preserve">  </w:t>
            </w:r>
            <w:r w:rsidRPr="00FC53AE">
              <w:rPr>
                <w:rFonts w:cs="Calibri"/>
                <w:b/>
                <w:color w:val="000000" w:themeColor="text1"/>
                <w:sz w:val="16"/>
                <w:szCs w:val="16"/>
              </w:rPr>
              <w:t xml:space="preserve">4'186.2 </w:t>
            </w:r>
          </w:p>
        </w:tc>
        <w:tc>
          <w:tcPr>
            <w:tcW w:w="1269" w:type="dxa"/>
            <w:noWrap/>
            <w:hideMark/>
          </w:tcPr>
          <w:p w14:paraId="446E87D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4'203.6 </w:t>
            </w:r>
          </w:p>
        </w:tc>
        <w:tc>
          <w:tcPr>
            <w:tcW w:w="1269" w:type="dxa"/>
            <w:shd w:val="clear" w:color="auto" w:fill="FABF8F" w:themeFill="accent6" w:themeFillTint="99"/>
            <w:noWrap/>
            <w:hideMark/>
          </w:tcPr>
          <w:p w14:paraId="5F5EC6E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4'350.3 </w:t>
            </w:r>
          </w:p>
        </w:tc>
        <w:tc>
          <w:tcPr>
            <w:tcW w:w="1269" w:type="dxa"/>
            <w:shd w:val="clear" w:color="auto" w:fill="FBD4B4" w:themeFill="accent6" w:themeFillTint="66"/>
            <w:noWrap/>
            <w:hideMark/>
          </w:tcPr>
          <w:p w14:paraId="52009C4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146.7 </w:t>
            </w:r>
          </w:p>
        </w:tc>
      </w:tr>
      <w:tr w:rsidR="00FC53AE" w:rsidRPr="00FC53AE" w14:paraId="05CD0619"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252D6834" w14:textId="77777777" w:rsidR="006F47D4" w:rsidRPr="00FC53AE" w:rsidRDefault="006F47D4" w:rsidP="00144D76">
            <w:pPr>
              <w:rPr>
                <w:b w:val="0"/>
                <w:color w:val="000000" w:themeColor="text1"/>
                <w:sz w:val="16"/>
                <w:szCs w:val="16"/>
                <w:u w:val="single"/>
              </w:rPr>
            </w:pPr>
          </w:p>
        </w:tc>
        <w:tc>
          <w:tcPr>
            <w:tcW w:w="1269" w:type="dxa"/>
          </w:tcPr>
          <w:p w14:paraId="5A03572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noWrap/>
            <w:hideMark/>
          </w:tcPr>
          <w:p w14:paraId="4D3338D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ABF8F" w:themeFill="accent6" w:themeFillTint="99"/>
            <w:noWrap/>
            <w:hideMark/>
          </w:tcPr>
          <w:p w14:paraId="4118DA3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shd w:val="clear" w:color="auto" w:fill="FBD4B4" w:themeFill="accent6" w:themeFillTint="66"/>
            <w:noWrap/>
            <w:hideMark/>
          </w:tcPr>
          <w:p w14:paraId="717738D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r>
      <w:tr w:rsidR="00FC53AE" w:rsidRPr="00FC53AE" w14:paraId="72EA85BF" w14:textId="77777777" w:rsidTr="00AC1D16">
        <w:trPr>
          <w:trHeight w:val="125"/>
        </w:trPr>
        <w:tc>
          <w:tcPr>
            <w:cnfStyle w:val="001000000000" w:firstRow="0" w:lastRow="0" w:firstColumn="1" w:lastColumn="0" w:oddVBand="0" w:evenVBand="0" w:oddHBand="0" w:evenHBand="0" w:firstRowFirstColumn="0" w:firstRowLastColumn="0" w:lastRowFirstColumn="0" w:lastRowLastColumn="0"/>
            <w:tcW w:w="4195" w:type="dxa"/>
            <w:hideMark/>
          </w:tcPr>
          <w:p w14:paraId="256FAD26" w14:textId="77777777" w:rsidR="006F47D4" w:rsidRPr="00FC53AE" w:rsidRDefault="006F47D4" w:rsidP="00144D76">
            <w:pPr>
              <w:rPr>
                <w:color w:val="000000" w:themeColor="text1"/>
                <w:sz w:val="16"/>
                <w:szCs w:val="16"/>
              </w:rPr>
            </w:pPr>
            <w:r w:rsidRPr="00FC53AE">
              <w:rPr>
                <w:color w:val="000000" w:themeColor="text1"/>
                <w:sz w:val="16"/>
                <w:szCs w:val="16"/>
              </w:rPr>
              <w:t>Risultato d'esercizio</w:t>
            </w:r>
          </w:p>
        </w:tc>
        <w:tc>
          <w:tcPr>
            <w:tcW w:w="1269" w:type="dxa"/>
          </w:tcPr>
          <w:p w14:paraId="485249E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bCs/>
                <w:color w:val="000000" w:themeColor="text1"/>
                <w:sz w:val="16"/>
                <w:szCs w:val="16"/>
              </w:rPr>
              <w:t xml:space="preserve">-121.8 </w:t>
            </w:r>
          </w:p>
        </w:tc>
        <w:tc>
          <w:tcPr>
            <w:tcW w:w="1269" w:type="dxa"/>
            <w:noWrap/>
            <w:hideMark/>
          </w:tcPr>
          <w:p w14:paraId="17E9ADC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6"/>
                <w:szCs w:val="16"/>
              </w:rPr>
            </w:pPr>
            <w:r w:rsidRPr="00FC53AE">
              <w:rPr>
                <w:rFonts w:cs="Calibri"/>
                <w:b/>
                <w:bCs/>
                <w:color w:val="000000" w:themeColor="text1"/>
                <w:sz w:val="16"/>
                <w:szCs w:val="16"/>
              </w:rPr>
              <w:t xml:space="preserve">    -130.8 </w:t>
            </w:r>
          </w:p>
        </w:tc>
        <w:tc>
          <w:tcPr>
            <w:tcW w:w="1269" w:type="dxa"/>
            <w:shd w:val="clear" w:color="auto" w:fill="FABF8F" w:themeFill="accent6" w:themeFillTint="99"/>
            <w:noWrap/>
            <w:hideMark/>
          </w:tcPr>
          <w:p w14:paraId="7ABCB87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6"/>
                <w:szCs w:val="16"/>
              </w:rPr>
            </w:pPr>
            <w:r w:rsidRPr="00FC53AE">
              <w:rPr>
                <w:rFonts w:cs="Calibri"/>
                <w:b/>
                <w:bCs/>
                <w:color w:val="000000" w:themeColor="text1"/>
                <w:sz w:val="16"/>
                <w:szCs w:val="16"/>
              </w:rPr>
              <w:t xml:space="preserve">      -71.8 </w:t>
            </w:r>
          </w:p>
        </w:tc>
        <w:tc>
          <w:tcPr>
            <w:tcW w:w="1269" w:type="dxa"/>
            <w:shd w:val="clear" w:color="auto" w:fill="FBD4B4" w:themeFill="accent6" w:themeFillTint="66"/>
            <w:noWrap/>
            <w:hideMark/>
          </w:tcPr>
          <w:p w14:paraId="34FD427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bCs/>
                <w:color w:val="000000" w:themeColor="text1"/>
                <w:sz w:val="16"/>
                <w:szCs w:val="16"/>
              </w:rPr>
            </w:pPr>
            <w:r w:rsidRPr="00FC53AE">
              <w:rPr>
                <w:rFonts w:cs="Calibri"/>
                <w:b/>
                <w:bCs/>
                <w:color w:val="000000" w:themeColor="text1"/>
                <w:sz w:val="16"/>
                <w:szCs w:val="16"/>
              </w:rPr>
              <w:t xml:space="preserve">               59.0 </w:t>
            </w:r>
          </w:p>
        </w:tc>
      </w:tr>
      <w:tr w:rsidR="00FC53AE" w:rsidRPr="00FC53AE" w14:paraId="4EAA8136" w14:textId="77777777" w:rsidTr="00AC1D16">
        <w:trPr>
          <w:trHeight w:val="169"/>
        </w:trPr>
        <w:tc>
          <w:tcPr>
            <w:cnfStyle w:val="001000000000" w:firstRow="0" w:lastRow="0" w:firstColumn="1" w:lastColumn="0" w:oddVBand="0" w:evenVBand="0" w:oddHBand="0" w:evenHBand="0" w:firstRowFirstColumn="0" w:firstRowLastColumn="0" w:lastRowFirstColumn="0" w:lastRowLastColumn="0"/>
            <w:tcW w:w="4195" w:type="dxa"/>
            <w:hideMark/>
          </w:tcPr>
          <w:p w14:paraId="2A19E008" w14:textId="77777777" w:rsidR="006F47D4" w:rsidRPr="00FC53AE" w:rsidRDefault="006F47D4" w:rsidP="00144D76">
            <w:pPr>
              <w:rPr>
                <w:b w:val="0"/>
                <w:color w:val="000000" w:themeColor="text1"/>
                <w:sz w:val="18"/>
                <w:u w:val="double"/>
              </w:rPr>
            </w:pPr>
          </w:p>
        </w:tc>
        <w:tc>
          <w:tcPr>
            <w:tcW w:w="1269" w:type="dxa"/>
          </w:tcPr>
          <w:p w14:paraId="3DB45F4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8"/>
              </w:rPr>
            </w:pPr>
          </w:p>
        </w:tc>
        <w:tc>
          <w:tcPr>
            <w:tcW w:w="1269" w:type="dxa"/>
            <w:noWrap/>
            <w:hideMark/>
          </w:tcPr>
          <w:p w14:paraId="4BB7445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8"/>
              </w:rPr>
            </w:pPr>
          </w:p>
        </w:tc>
        <w:tc>
          <w:tcPr>
            <w:tcW w:w="1269" w:type="dxa"/>
            <w:shd w:val="clear" w:color="auto" w:fill="FABF8F" w:themeFill="accent6" w:themeFillTint="99"/>
            <w:noWrap/>
            <w:hideMark/>
          </w:tcPr>
          <w:p w14:paraId="50C57D8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BD4B4" w:themeFill="accent6" w:themeFillTint="66"/>
            <w:noWrap/>
            <w:hideMark/>
          </w:tcPr>
          <w:p w14:paraId="436D2ED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FC53AE" w:rsidRPr="00FC53AE" w14:paraId="6ABD5729" w14:textId="77777777" w:rsidTr="00AC1D16">
        <w:trPr>
          <w:trHeight w:val="102"/>
        </w:trPr>
        <w:tc>
          <w:tcPr>
            <w:cnfStyle w:val="001000000000" w:firstRow="0" w:lastRow="0" w:firstColumn="1" w:lastColumn="0" w:oddVBand="0" w:evenVBand="0" w:oddHBand="0" w:evenHBand="0" w:firstRowFirstColumn="0" w:firstRowLastColumn="0" w:lastRowFirstColumn="0" w:lastRowLastColumn="0"/>
            <w:tcW w:w="4195" w:type="dxa"/>
            <w:hideMark/>
          </w:tcPr>
          <w:p w14:paraId="7E2BDAAB" w14:textId="77777777" w:rsidR="006F47D4" w:rsidRPr="00FC53AE" w:rsidRDefault="006F47D4" w:rsidP="00144D76">
            <w:pPr>
              <w:rPr>
                <w:color w:val="000000" w:themeColor="text1"/>
                <w:sz w:val="16"/>
                <w:szCs w:val="16"/>
              </w:rPr>
            </w:pPr>
            <w:r w:rsidRPr="00FC53AE">
              <w:rPr>
                <w:color w:val="000000" w:themeColor="text1"/>
                <w:sz w:val="16"/>
                <w:szCs w:val="16"/>
              </w:rPr>
              <w:t>Conto degli investimenti</w:t>
            </w:r>
          </w:p>
        </w:tc>
        <w:tc>
          <w:tcPr>
            <w:tcW w:w="1269" w:type="dxa"/>
          </w:tcPr>
          <w:p w14:paraId="7370BB1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noWrap/>
            <w:hideMark/>
          </w:tcPr>
          <w:p w14:paraId="46C673FD"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ABF8F" w:themeFill="accent6" w:themeFillTint="99"/>
            <w:noWrap/>
            <w:hideMark/>
          </w:tcPr>
          <w:p w14:paraId="465C9CE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BD4B4" w:themeFill="accent6" w:themeFillTint="66"/>
            <w:noWrap/>
            <w:hideMark/>
          </w:tcPr>
          <w:p w14:paraId="69FB5A1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FC53AE" w:rsidRPr="00FC53AE" w14:paraId="4B2D9274"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7CC5C26B" w14:textId="77777777" w:rsidR="006F47D4" w:rsidRPr="00FC53AE" w:rsidRDefault="006F47D4" w:rsidP="00144D76">
            <w:pPr>
              <w:rPr>
                <w:b w:val="0"/>
                <w:color w:val="000000" w:themeColor="text1"/>
                <w:sz w:val="16"/>
                <w:szCs w:val="16"/>
              </w:rPr>
            </w:pPr>
            <w:r w:rsidRPr="00FC53AE">
              <w:rPr>
                <w:b w:val="0"/>
                <w:color w:val="000000" w:themeColor="text1"/>
                <w:sz w:val="16"/>
                <w:szCs w:val="16"/>
              </w:rPr>
              <w:t>Uscite per investimenti</w:t>
            </w:r>
          </w:p>
        </w:tc>
        <w:tc>
          <w:tcPr>
            <w:tcW w:w="1269" w:type="dxa"/>
          </w:tcPr>
          <w:p w14:paraId="49C06CB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460.4 </w:t>
            </w:r>
          </w:p>
        </w:tc>
        <w:tc>
          <w:tcPr>
            <w:tcW w:w="1269" w:type="dxa"/>
            <w:noWrap/>
            <w:hideMark/>
          </w:tcPr>
          <w:p w14:paraId="7618A82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453.4 </w:t>
            </w:r>
          </w:p>
        </w:tc>
        <w:tc>
          <w:tcPr>
            <w:tcW w:w="1269" w:type="dxa"/>
            <w:shd w:val="clear" w:color="auto" w:fill="FABF8F" w:themeFill="accent6" w:themeFillTint="99"/>
            <w:noWrap/>
            <w:hideMark/>
          </w:tcPr>
          <w:p w14:paraId="2AF91A3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448.7 </w:t>
            </w:r>
          </w:p>
        </w:tc>
        <w:tc>
          <w:tcPr>
            <w:tcW w:w="1269" w:type="dxa"/>
            <w:shd w:val="clear" w:color="auto" w:fill="FBD4B4" w:themeFill="accent6" w:themeFillTint="66"/>
            <w:noWrap/>
            <w:hideMark/>
          </w:tcPr>
          <w:p w14:paraId="3170B07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4.7 </w:t>
            </w:r>
          </w:p>
        </w:tc>
      </w:tr>
      <w:tr w:rsidR="00FC53AE" w:rsidRPr="00FC53AE" w14:paraId="43680704" w14:textId="77777777" w:rsidTr="00AC1D16">
        <w:trPr>
          <w:trHeight w:val="79"/>
        </w:trPr>
        <w:tc>
          <w:tcPr>
            <w:cnfStyle w:val="001000000000" w:firstRow="0" w:lastRow="0" w:firstColumn="1" w:lastColumn="0" w:oddVBand="0" w:evenVBand="0" w:oddHBand="0" w:evenHBand="0" w:firstRowFirstColumn="0" w:firstRowLastColumn="0" w:lastRowFirstColumn="0" w:lastRowLastColumn="0"/>
            <w:tcW w:w="4195" w:type="dxa"/>
            <w:hideMark/>
          </w:tcPr>
          <w:p w14:paraId="2E5836D8" w14:textId="77777777" w:rsidR="006F47D4" w:rsidRPr="00FC53AE" w:rsidRDefault="006F47D4" w:rsidP="00144D76">
            <w:pPr>
              <w:rPr>
                <w:b w:val="0"/>
                <w:color w:val="000000" w:themeColor="text1"/>
                <w:sz w:val="16"/>
                <w:szCs w:val="16"/>
              </w:rPr>
            </w:pPr>
            <w:r w:rsidRPr="00FC53AE">
              <w:rPr>
                <w:b w:val="0"/>
                <w:color w:val="000000" w:themeColor="text1"/>
                <w:sz w:val="16"/>
                <w:szCs w:val="16"/>
              </w:rPr>
              <w:t>Entrate per investimenti</w:t>
            </w:r>
          </w:p>
        </w:tc>
        <w:tc>
          <w:tcPr>
            <w:tcW w:w="1269" w:type="dxa"/>
          </w:tcPr>
          <w:p w14:paraId="093CD9F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141.5 </w:t>
            </w:r>
          </w:p>
        </w:tc>
        <w:tc>
          <w:tcPr>
            <w:tcW w:w="1269" w:type="dxa"/>
            <w:noWrap/>
            <w:hideMark/>
          </w:tcPr>
          <w:p w14:paraId="7E83400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153.2 </w:t>
            </w:r>
          </w:p>
        </w:tc>
        <w:tc>
          <w:tcPr>
            <w:tcW w:w="1269" w:type="dxa"/>
            <w:shd w:val="clear" w:color="auto" w:fill="FABF8F" w:themeFill="accent6" w:themeFillTint="99"/>
            <w:noWrap/>
            <w:hideMark/>
          </w:tcPr>
          <w:p w14:paraId="0C3C688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146.4 </w:t>
            </w:r>
          </w:p>
        </w:tc>
        <w:tc>
          <w:tcPr>
            <w:tcW w:w="1269" w:type="dxa"/>
            <w:shd w:val="clear" w:color="auto" w:fill="FBD4B4" w:themeFill="accent6" w:themeFillTint="66"/>
            <w:noWrap/>
            <w:hideMark/>
          </w:tcPr>
          <w:p w14:paraId="04837D3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6.8 </w:t>
            </w:r>
          </w:p>
        </w:tc>
      </w:tr>
      <w:tr w:rsidR="00FC53AE" w:rsidRPr="00FC53AE" w14:paraId="34DF9163"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08E20258" w14:textId="77777777" w:rsidR="006F47D4" w:rsidRPr="00FC53AE" w:rsidRDefault="006F47D4" w:rsidP="00144D76">
            <w:pPr>
              <w:rPr>
                <w:b w:val="0"/>
                <w:color w:val="000000" w:themeColor="text1"/>
                <w:sz w:val="16"/>
                <w:szCs w:val="16"/>
              </w:rPr>
            </w:pPr>
            <w:r w:rsidRPr="00FC53AE">
              <w:rPr>
                <w:b w:val="0"/>
                <w:color w:val="000000" w:themeColor="text1"/>
                <w:sz w:val="16"/>
                <w:szCs w:val="16"/>
              </w:rPr>
              <w:t> </w:t>
            </w:r>
          </w:p>
        </w:tc>
        <w:tc>
          <w:tcPr>
            <w:tcW w:w="1269" w:type="dxa"/>
          </w:tcPr>
          <w:p w14:paraId="61808DE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noWrap/>
            <w:hideMark/>
          </w:tcPr>
          <w:p w14:paraId="1BD1EAD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ABF8F" w:themeFill="accent6" w:themeFillTint="99"/>
            <w:noWrap/>
            <w:hideMark/>
          </w:tcPr>
          <w:p w14:paraId="5F2BB60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BD4B4" w:themeFill="accent6" w:themeFillTint="66"/>
            <w:noWrap/>
            <w:hideMark/>
          </w:tcPr>
          <w:p w14:paraId="2AF284D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FC53AE" w:rsidRPr="00FC53AE" w14:paraId="3D9ABCBB" w14:textId="77777777" w:rsidTr="00AC1D16">
        <w:trPr>
          <w:trHeight w:val="69"/>
        </w:trPr>
        <w:tc>
          <w:tcPr>
            <w:cnfStyle w:val="001000000000" w:firstRow="0" w:lastRow="0" w:firstColumn="1" w:lastColumn="0" w:oddVBand="0" w:evenVBand="0" w:oddHBand="0" w:evenHBand="0" w:firstRowFirstColumn="0" w:firstRowLastColumn="0" w:lastRowFirstColumn="0" w:lastRowLastColumn="0"/>
            <w:tcW w:w="4195" w:type="dxa"/>
            <w:hideMark/>
          </w:tcPr>
          <w:p w14:paraId="7FD955E8" w14:textId="77777777" w:rsidR="006F47D4" w:rsidRPr="00FC53AE" w:rsidRDefault="006F47D4" w:rsidP="00144D76">
            <w:pPr>
              <w:rPr>
                <w:color w:val="000000" w:themeColor="text1"/>
                <w:sz w:val="16"/>
                <w:szCs w:val="16"/>
              </w:rPr>
            </w:pPr>
            <w:r w:rsidRPr="00FC53AE">
              <w:rPr>
                <w:color w:val="000000" w:themeColor="text1"/>
                <w:sz w:val="16"/>
                <w:szCs w:val="16"/>
              </w:rPr>
              <w:t>Investimenti netti</w:t>
            </w:r>
          </w:p>
        </w:tc>
        <w:tc>
          <w:tcPr>
            <w:tcW w:w="1269" w:type="dxa"/>
          </w:tcPr>
          <w:p w14:paraId="4FC1A86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318.9 </w:t>
            </w:r>
          </w:p>
        </w:tc>
        <w:tc>
          <w:tcPr>
            <w:tcW w:w="1269" w:type="dxa"/>
            <w:noWrap/>
            <w:hideMark/>
          </w:tcPr>
          <w:p w14:paraId="536672D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300.2 </w:t>
            </w:r>
          </w:p>
        </w:tc>
        <w:tc>
          <w:tcPr>
            <w:tcW w:w="1269" w:type="dxa"/>
            <w:shd w:val="clear" w:color="auto" w:fill="FABF8F" w:themeFill="accent6" w:themeFillTint="99"/>
            <w:noWrap/>
            <w:hideMark/>
          </w:tcPr>
          <w:p w14:paraId="1C4FE8B7"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302.3 </w:t>
            </w:r>
          </w:p>
        </w:tc>
        <w:tc>
          <w:tcPr>
            <w:tcW w:w="1269" w:type="dxa"/>
            <w:shd w:val="clear" w:color="auto" w:fill="FBD4B4" w:themeFill="accent6" w:themeFillTint="66"/>
            <w:noWrap/>
            <w:hideMark/>
          </w:tcPr>
          <w:p w14:paraId="409F62B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2.1 </w:t>
            </w:r>
          </w:p>
        </w:tc>
      </w:tr>
      <w:tr w:rsidR="00FC53AE" w:rsidRPr="00FC53AE" w14:paraId="0FE7A74C" w14:textId="77777777" w:rsidTr="00AC1D16">
        <w:trPr>
          <w:trHeight w:val="134"/>
        </w:trPr>
        <w:tc>
          <w:tcPr>
            <w:cnfStyle w:val="001000000000" w:firstRow="0" w:lastRow="0" w:firstColumn="1" w:lastColumn="0" w:oddVBand="0" w:evenVBand="0" w:oddHBand="0" w:evenHBand="0" w:firstRowFirstColumn="0" w:firstRowLastColumn="0" w:lastRowFirstColumn="0" w:lastRowLastColumn="0"/>
            <w:tcW w:w="4195" w:type="dxa"/>
            <w:hideMark/>
          </w:tcPr>
          <w:p w14:paraId="744718E3" w14:textId="77777777" w:rsidR="006F47D4" w:rsidRPr="00FC53AE" w:rsidRDefault="006F47D4" w:rsidP="00144D76">
            <w:pPr>
              <w:rPr>
                <w:b w:val="0"/>
                <w:color w:val="000000" w:themeColor="text1"/>
                <w:sz w:val="18"/>
                <w:u w:val="double"/>
              </w:rPr>
            </w:pPr>
          </w:p>
        </w:tc>
        <w:tc>
          <w:tcPr>
            <w:tcW w:w="1269" w:type="dxa"/>
          </w:tcPr>
          <w:p w14:paraId="6692BD3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noWrap/>
            <w:hideMark/>
          </w:tcPr>
          <w:p w14:paraId="2670DD0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shd w:val="clear" w:color="auto" w:fill="FABF8F" w:themeFill="accent6" w:themeFillTint="99"/>
            <w:noWrap/>
            <w:hideMark/>
          </w:tcPr>
          <w:p w14:paraId="52DC931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BD4B4" w:themeFill="accent6" w:themeFillTint="66"/>
            <w:noWrap/>
            <w:hideMark/>
          </w:tcPr>
          <w:p w14:paraId="7304882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FC53AE" w:rsidRPr="00FC53AE" w14:paraId="549005F7" w14:textId="77777777" w:rsidTr="00AC1D16">
        <w:trPr>
          <w:trHeight w:val="149"/>
        </w:trPr>
        <w:tc>
          <w:tcPr>
            <w:cnfStyle w:val="001000000000" w:firstRow="0" w:lastRow="0" w:firstColumn="1" w:lastColumn="0" w:oddVBand="0" w:evenVBand="0" w:oddHBand="0" w:evenHBand="0" w:firstRowFirstColumn="0" w:firstRowLastColumn="0" w:lastRowFirstColumn="0" w:lastRowLastColumn="0"/>
            <w:tcW w:w="4195" w:type="dxa"/>
            <w:hideMark/>
          </w:tcPr>
          <w:p w14:paraId="4509B665" w14:textId="77777777" w:rsidR="006F47D4" w:rsidRPr="00FC53AE" w:rsidRDefault="006F47D4" w:rsidP="00144D76">
            <w:pPr>
              <w:rPr>
                <w:b w:val="0"/>
                <w:color w:val="000000" w:themeColor="text1"/>
                <w:sz w:val="16"/>
                <w:szCs w:val="16"/>
              </w:rPr>
            </w:pPr>
            <w:r w:rsidRPr="00FC53AE">
              <w:rPr>
                <w:b w:val="0"/>
                <w:color w:val="000000" w:themeColor="text1"/>
                <w:sz w:val="16"/>
                <w:szCs w:val="16"/>
              </w:rPr>
              <w:t>Ammortamenti ordinari beni amministrativi</w:t>
            </w:r>
          </w:p>
        </w:tc>
        <w:tc>
          <w:tcPr>
            <w:tcW w:w="1269" w:type="dxa"/>
          </w:tcPr>
          <w:p w14:paraId="20A72BD7"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200.5 </w:t>
            </w:r>
          </w:p>
        </w:tc>
        <w:tc>
          <w:tcPr>
            <w:tcW w:w="1269" w:type="dxa"/>
            <w:noWrap/>
            <w:hideMark/>
          </w:tcPr>
          <w:p w14:paraId="4849A73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210.1 </w:t>
            </w:r>
          </w:p>
        </w:tc>
        <w:tc>
          <w:tcPr>
            <w:tcW w:w="1269" w:type="dxa"/>
            <w:shd w:val="clear" w:color="auto" w:fill="FABF8F" w:themeFill="accent6" w:themeFillTint="99"/>
            <w:noWrap/>
            <w:hideMark/>
          </w:tcPr>
          <w:p w14:paraId="4CA0566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216.9 </w:t>
            </w:r>
          </w:p>
        </w:tc>
        <w:tc>
          <w:tcPr>
            <w:tcW w:w="1269" w:type="dxa"/>
            <w:shd w:val="clear" w:color="auto" w:fill="FBD4B4" w:themeFill="accent6" w:themeFillTint="66"/>
            <w:noWrap/>
            <w:hideMark/>
          </w:tcPr>
          <w:p w14:paraId="3E1F5F1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6.7 </w:t>
            </w:r>
          </w:p>
        </w:tc>
      </w:tr>
      <w:tr w:rsidR="00FC53AE" w:rsidRPr="00FC53AE" w14:paraId="3771950A" w14:textId="77777777" w:rsidTr="00AC1D16">
        <w:trPr>
          <w:trHeight w:val="133"/>
        </w:trPr>
        <w:tc>
          <w:tcPr>
            <w:cnfStyle w:val="001000000000" w:firstRow="0" w:lastRow="0" w:firstColumn="1" w:lastColumn="0" w:oddVBand="0" w:evenVBand="0" w:oddHBand="0" w:evenHBand="0" w:firstRowFirstColumn="0" w:firstRowLastColumn="0" w:lastRowFirstColumn="0" w:lastRowLastColumn="0"/>
            <w:tcW w:w="4195" w:type="dxa"/>
            <w:hideMark/>
          </w:tcPr>
          <w:p w14:paraId="3441C44D" w14:textId="77777777" w:rsidR="006F47D4" w:rsidRPr="00FC53AE" w:rsidRDefault="006F47D4" w:rsidP="00144D76">
            <w:pPr>
              <w:rPr>
                <w:b w:val="0"/>
                <w:color w:val="000000" w:themeColor="text1"/>
                <w:sz w:val="16"/>
                <w:szCs w:val="16"/>
              </w:rPr>
            </w:pPr>
            <w:proofErr w:type="spellStart"/>
            <w:r w:rsidRPr="00FC53AE">
              <w:rPr>
                <w:b w:val="0"/>
                <w:color w:val="000000" w:themeColor="text1"/>
                <w:sz w:val="16"/>
                <w:szCs w:val="16"/>
              </w:rPr>
              <w:t>Vers</w:t>
            </w:r>
            <w:proofErr w:type="spellEnd"/>
            <w:r w:rsidRPr="00FC53AE">
              <w:rPr>
                <w:b w:val="0"/>
                <w:color w:val="000000" w:themeColor="text1"/>
                <w:sz w:val="16"/>
                <w:szCs w:val="16"/>
              </w:rPr>
              <w:t>./</w:t>
            </w:r>
            <w:proofErr w:type="spellStart"/>
            <w:r w:rsidRPr="00FC53AE">
              <w:rPr>
                <w:b w:val="0"/>
                <w:color w:val="000000" w:themeColor="text1"/>
                <w:sz w:val="16"/>
                <w:szCs w:val="16"/>
              </w:rPr>
              <w:t>Prel</w:t>
            </w:r>
            <w:proofErr w:type="spellEnd"/>
            <w:r w:rsidRPr="00FC53AE">
              <w:rPr>
                <w:b w:val="0"/>
                <w:color w:val="000000" w:themeColor="text1"/>
                <w:sz w:val="16"/>
                <w:szCs w:val="16"/>
              </w:rPr>
              <w:t>. fondi, fin. speciali e capitale proprio</w:t>
            </w:r>
          </w:p>
        </w:tc>
        <w:tc>
          <w:tcPr>
            <w:tcW w:w="1269" w:type="dxa"/>
          </w:tcPr>
          <w:p w14:paraId="5A14833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15.6 </w:t>
            </w:r>
          </w:p>
        </w:tc>
        <w:tc>
          <w:tcPr>
            <w:tcW w:w="1269" w:type="dxa"/>
            <w:noWrap/>
            <w:hideMark/>
          </w:tcPr>
          <w:p w14:paraId="5FFA5BC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8.1 </w:t>
            </w:r>
          </w:p>
        </w:tc>
        <w:tc>
          <w:tcPr>
            <w:tcW w:w="1269" w:type="dxa"/>
            <w:shd w:val="clear" w:color="auto" w:fill="FABF8F" w:themeFill="accent6" w:themeFillTint="99"/>
            <w:noWrap/>
            <w:hideMark/>
          </w:tcPr>
          <w:p w14:paraId="22A08F4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21.4 </w:t>
            </w:r>
          </w:p>
        </w:tc>
        <w:tc>
          <w:tcPr>
            <w:tcW w:w="1269" w:type="dxa"/>
            <w:shd w:val="clear" w:color="auto" w:fill="FBD4B4" w:themeFill="accent6" w:themeFillTint="66"/>
            <w:noWrap/>
            <w:hideMark/>
          </w:tcPr>
          <w:p w14:paraId="04A48AE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13.3 </w:t>
            </w:r>
          </w:p>
        </w:tc>
      </w:tr>
      <w:tr w:rsidR="00FC53AE" w:rsidRPr="00FC53AE" w14:paraId="12876277"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1B6F614C" w14:textId="77777777" w:rsidR="006F47D4" w:rsidRPr="00FC53AE" w:rsidRDefault="006F47D4" w:rsidP="00144D76">
            <w:pPr>
              <w:rPr>
                <w:b w:val="0"/>
                <w:color w:val="000000" w:themeColor="text1"/>
                <w:sz w:val="16"/>
                <w:szCs w:val="16"/>
              </w:rPr>
            </w:pPr>
            <w:r w:rsidRPr="00FC53AE">
              <w:rPr>
                <w:b w:val="0"/>
                <w:color w:val="000000" w:themeColor="text1"/>
                <w:sz w:val="16"/>
                <w:szCs w:val="16"/>
              </w:rPr>
              <w:t>Risultato d'esercizio</w:t>
            </w:r>
          </w:p>
        </w:tc>
        <w:tc>
          <w:tcPr>
            <w:tcW w:w="1269" w:type="dxa"/>
          </w:tcPr>
          <w:p w14:paraId="1AF4711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-121.8 </w:t>
            </w:r>
          </w:p>
        </w:tc>
        <w:tc>
          <w:tcPr>
            <w:tcW w:w="1269" w:type="dxa"/>
            <w:noWrap/>
            <w:hideMark/>
          </w:tcPr>
          <w:p w14:paraId="2EA30F9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-130.8 </w:t>
            </w:r>
          </w:p>
        </w:tc>
        <w:tc>
          <w:tcPr>
            <w:tcW w:w="1269" w:type="dxa"/>
            <w:shd w:val="clear" w:color="auto" w:fill="FABF8F" w:themeFill="accent6" w:themeFillTint="99"/>
            <w:noWrap/>
            <w:hideMark/>
          </w:tcPr>
          <w:p w14:paraId="409AE3D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-71.8 </w:t>
            </w:r>
          </w:p>
        </w:tc>
        <w:tc>
          <w:tcPr>
            <w:tcW w:w="1269" w:type="dxa"/>
            <w:shd w:val="clear" w:color="auto" w:fill="FBD4B4" w:themeFill="accent6" w:themeFillTint="66"/>
            <w:noWrap/>
            <w:hideMark/>
          </w:tcPr>
          <w:p w14:paraId="11234E8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59.0 </w:t>
            </w:r>
          </w:p>
        </w:tc>
      </w:tr>
      <w:tr w:rsidR="00FC53AE" w:rsidRPr="00FC53AE" w14:paraId="405FF6FA"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6ED91A29" w14:textId="77777777" w:rsidR="006F47D4" w:rsidRPr="00FC53AE" w:rsidRDefault="006F47D4" w:rsidP="00144D76">
            <w:pPr>
              <w:rPr>
                <w:color w:val="000000" w:themeColor="text1"/>
                <w:sz w:val="16"/>
                <w:szCs w:val="16"/>
              </w:rPr>
            </w:pPr>
            <w:r w:rsidRPr="00FC53AE">
              <w:rPr>
                <w:color w:val="000000" w:themeColor="text1"/>
                <w:sz w:val="16"/>
                <w:szCs w:val="16"/>
              </w:rPr>
              <w:t>Autofinanziamento</w:t>
            </w:r>
          </w:p>
        </w:tc>
        <w:tc>
          <w:tcPr>
            <w:tcW w:w="1269" w:type="dxa"/>
          </w:tcPr>
          <w:p w14:paraId="19CD9A2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94.3 </w:t>
            </w:r>
          </w:p>
        </w:tc>
        <w:tc>
          <w:tcPr>
            <w:tcW w:w="1269" w:type="dxa"/>
            <w:noWrap/>
            <w:hideMark/>
          </w:tcPr>
          <w:p w14:paraId="7FA0467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87.4 </w:t>
            </w:r>
          </w:p>
        </w:tc>
        <w:tc>
          <w:tcPr>
            <w:tcW w:w="1269" w:type="dxa"/>
            <w:shd w:val="clear" w:color="auto" w:fill="FABF8F" w:themeFill="accent6" w:themeFillTint="99"/>
            <w:noWrap/>
            <w:hideMark/>
          </w:tcPr>
          <w:p w14:paraId="42BB9A0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166.4 </w:t>
            </w:r>
          </w:p>
        </w:tc>
        <w:tc>
          <w:tcPr>
            <w:tcW w:w="1269" w:type="dxa"/>
            <w:shd w:val="clear" w:color="auto" w:fill="FBD4B4" w:themeFill="accent6" w:themeFillTint="66"/>
            <w:noWrap/>
            <w:hideMark/>
          </w:tcPr>
          <w:p w14:paraId="32108F8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79.0 </w:t>
            </w:r>
          </w:p>
        </w:tc>
      </w:tr>
      <w:tr w:rsidR="00FC53AE" w:rsidRPr="00FC53AE" w14:paraId="0B939A31"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hideMark/>
          </w:tcPr>
          <w:p w14:paraId="3C92BE18" w14:textId="77777777" w:rsidR="006F47D4" w:rsidRPr="00FC53AE" w:rsidRDefault="006F47D4" w:rsidP="00144D76">
            <w:pPr>
              <w:rPr>
                <w:b w:val="0"/>
                <w:color w:val="000000" w:themeColor="text1"/>
                <w:sz w:val="18"/>
              </w:rPr>
            </w:pPr>
            <w:r w:rsidRPr="00FC53AE">
              <w:rPr>
                <w:b w:val="0"/>
                <w:color w:val="000000" w:themeColor="text1"/>
                <w:sz w:val="18"/>
              </w:rPr>
              <w:t> </w:t>
            </w:r>
          </w:p>
        </w:tc>
        <w:tc>
          <w:tcPr>
            <w:tcW w:w="1269" w:type="dxa"/>
          </w:tcPr>
          <w:p w14:paraId="6493806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noWrap/>
            <w:hideMark/>
          </w:tcPr>
          <w:p w14:paraId="09B2AA0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shd w:val="clear" w:color="auto" w:fill="FABF8F" w:themeFill="accent6" w:themeFillTint="99"/>
            <w:noWrap/>
            <w:hideMark/>
          </w:tcPr>
          <w:p w14:paraId="263236A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shd w:val="clear" w:color="auto" w:fill="FBD4B4" w:themeFill="accent6" w:themeFillTint="66"/>
            <w:noWrap/>
            <w:hideMark/>
          </w:tcPr>
          <w:p w14:paraId="6F6833A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r>
      <w:tr w:rsidR="00FC53AE" w:rsidRPr="00FC53AE" w14:paraId="7A86FC21" w14:textId="77777777" w:rsidTr="00AC1D16">
        <w:trPr>
          <w:trHeight w:val="70"/>
        </w:trPr>
        <w:tc>
          <w:tcPr>
            <w:cnfStyle w:val="001000000000" w:firstRow="0" w:lastRow="0" w:firstColumn="1" w:lastColumn="0" w:oddVBand="0" w:evenVBand="0" w:oddHBand="0" w:evenHBand="0" w:firstRowFirstColumn="0" w:firstRowLastColumn="0" w:lastRowFirstColumn="0" w:lastRowLastColumn="0"/>
            <w:tcW w:w="4195" w:type="dxa"/>
            <w:hideMark/>
          </w:tcPr>
          <w:p w14:paraId="388F0692" w14:textId="77777777" w:rsidR="006F47D4" w:rsidRPr="00FC53AE" w:rsidRDefault="006F47D4" w:rsidP="00144D76">
            <w:pPr>
              <w:rPr>
                <w:color w:val="000000" w:themeColor="text1"/>
                <w:sz w:val="16"/>
                <w:szCs w:val="16"/>
              </w:rPr>
            </w:pPr>
            <w:r w:rsidRPr="00FC53AE">
              <w:rPr>
                <w:color w:val="000000" w:themeColor="text1"/>
                <w:sz w:val="16"/>
                <w:szCs w:val="16"/>
              </w:rPr>
              <w:t>Risultato totale</w:t>
            </w:r>
          </w:p>
        </w:tc>
        <w:tc>
          <w:tcPr>
            <w:tcW w:w="1269" w:type="dxa"/>
          </w:tcPr>
          <w:p w14:paraId="61FBCE6D"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w:t>
            </w:r>
            <w:r w:rsidRPr="00FC53AE">
              <w:rPr>
                <w:rFonts w:cs="Calibri"/>
                <w:b/>
                <w:bCs/>
                <w:color w:val="000000" w:themeColor="text1"/>
                <w:sz w:val="16"/>
                <w:szCs w:val="16"/>
              </w:rPr>
              <w:t xml:space="preserve">    -224.6</w:t>
            </w:r>
            <w:r w:rsidRPr="00FC53AE">
              <w:rPr>
                <w:rFonts w:cs="Calibri"/>
                <w:b/>
                <w:color w:val="000000" w:themeColor="text1"/>
                <w:sz w:val="16"/>
                <w:szCs w:val="16"/>
              </w:rPr>
              <w:t xml:space="preserve"> </w:t>
            </w:r>
          </w:p>
        </w:tc>
        <w:tc>
          <w:tcPr>
            <w:tcW w:w="1269" w:type="dxa"/>
            <w:noWrap/>
            <w:hideMark/>
          </w:tcPr>
          <w:p w14:paraId="142B1F1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-212.7 </w:t>
            </w:r>
          </w:p>
        </w:tc>
        <w:tc>
          <w:tcPr>
            <w:tcW w:w="1269" w:type="dxa"/>
            <w:shd w:val="clear" w:color="auto" w:fill="FABF8F" w:themeFill="accent6" w:themeFillTint="99"/>
            <w:noWrap/>
            <w:hideMark/>
          </w:tcPr>
          <w:p w14:paraId="55537F2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-135.9 </w:t>
            </w:r>
          </w:p>
        </w:tc>
        <w:tc>
          <w:tcPr>
            <w:tcW w:w="1269" w:type="dxa"/>
            <w:shd w:val="clear" w:color="auto" w:fill="FBD4B4" w:themeFill="accent6" w:themeFillTint="66"/>
            <w:noWrap/>
            <w:hideMark/>
          </w:tcPr>
          <w:p w14:paraId="7F40F86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76.8 </w:t>
            </w:r>
          </w:p>
        </w:tc>
      </w:tr>
      <w:tr w:rsidR="00FC53AE" w:rsidRPr="00FC53AE" w14:paraId="2DCAB7CA" w14:textId="77777777" w:rsidTr="00AC1D16">
        <w:trPr>
          <w:trHeight w:val="61"/>
        </w:trPr>
        <w:tc>
          <w:tcPr>
            <w:cnfStyle w:val="001000000000" w:firstRow="0" w:lastRow="0" w:firstColumn="1" w:lastColumn="0" w:oddVBand="0" w:evenVBand="0" w:oddHBand="0" w:evenHBand="0" w:firstRowFirstColumn="0" w:firstRowLastColumn="0" w:lastRowFirstColumn="0" w:lastRowLastColumn="0"/>
            <w:tcW w:w="4195" w:type="dxa"/>
            <w:noWrap/>
            <w:hideMark/>
          </w:tcPr>
          <w:p w14:paraId="2783877C" w14:textId="77777777" w:rsidR="006F47D4" w:rsidRPr="00FC53AE" w:rsidRDefault="006F47D4" w:rsidP="00144D76">
            <w:pPr>
              <w:rPr>
                <w:b w:val="0"/>
                <w:color w:val="000000" w:themeColor="text1"/>
                <w:sz w:val="16"/>
                <w:szCs w:val="16"/>
              </w:rPr>
            </w:pPr>
          </w:p>
        </w:tc>
        <w:tc>
          <w:tcPr>
            <w:tcW w:w="1269" w:type="dxa"/>
          </w:tcPr>
          <w:p w14:paraId="7BF15F8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noWrap/>
            <w:hideMark/>
          </w:tcPr>
          <w:p w14:paraId="75E9F8A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1269" w:type="dxa"/>
            <w:shd w:val="clear" w:color="auto" w:fill="FABF8F" w:themeFill="accent6" w:themeFillTint="99"/>
            <w:noWrap/>
            <w:hideMark/>
          </w:tcPr>
          <w:p w14:paraId="2BF53DB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c>
          <w:tcPr>
            <w:tcW w:w="1269" w:type="dxa"/>
            <w:shd w:val="clear" w:color="auto" w:fill="FBD4B4" w:themeFill="accent6" w:themeFillTint="66"/>
            <w:noWrap/>
            <w:hideMark/>
          </w:tcPr>
          <w:p w14:paraId="7A4E6D7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FC53AE" w:rsidRPr="00FC53AE" w14:paraId="33245E1D" w14:textId="77777777" w:rsidTr="00AC1D16">
        <w:trPr>
          <w:trHeight w:val="62"/>
        </w:trPr>
        <w:tc>
          <w:tcPr>
            <w:cnfStyle w:val="001000000000" w:firstRow="0" w:lastRow="0" w:firstColumn="1" w:lastColumn="0" w:oddVBand="0" w:evenVBand="0" w:oddHBand="0" w:evenHBand="0" w:firstRowFirstColumn="0" w:firstRowLastColumn="0" w:lastRowFirstColumn="0" w:lastRowLastColumn="0"/>
            <w:tcW w:w="4195" w:type="dxa"/>
            <w:hideMark/>
          </w:tcPr>
          <w:p w14:paraId="54F98B89" w14:textId="77777777" w:rsidR="006F47D4" w:rsidRPr="00FC53AE" w:rsidRDefault="006F47D4" w:rsidP="00144D76">
            <w:pPr>
              <w:rPr>
                <w:b w:val="0"/>
                <w:color w:val="000000" w:themeColor="text1"/>
                <w:sz w:val="16"/>
                <w:szCs w:val="16"/>
              </w:rPr>
            </w:pPr>
            <w:r w:rsidRPr="00FC53AE">
              <w:rPr>
                <w:b w:val="0"/>
                <w:color w:val="000000" w:themeColor="text1"/>
                <w:sz w:val="16"/>
                <w:szCs w:val="16"/>
              </w:rPr>
              <w:t>Autofinanziamento</w:t>
            </w:r>
          </w:p>
        </w:tc>
        <w:tc>
          <w:tcPr>
            <w:tcW w:w="1269" w:type="dxa"/>
          </w:tcPr>
          <w:p w14:paraId="046AE7BB"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94.3 </w:t>
            </w:r>
          </w:p>
        </w:tc>
        <w:tc>
          <w:tcPr>
            <w:tcW w:w="1269" w:type="dxa"/>
            <w:noWrap/>
            <w:hideMark/>
          </w:tcPr>
          <w:p w14:paraId="1448A61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87.4 </w:t>
            </w:r>
          </w:p>
        </w:tc>
        <w:tc>
          <w:tcPr>
            <w:tcW w:w="1269" w:type="dxa"/>
            <w:shd w:val="clear" w:color="auto" w:fill="FABF8F" w:themeFill="accent6" w:themeFillTint="99"/>
            <w:noWrap/>
            <w:hideMark/>
          </w:tcPr>
          <w:p w14:paraId="42175EF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166.4 </w:t>
            </w:r>
          </w:p>
        </w:tc>
        <w:tc>
          <w:tcPr>
            <w:tcW w:w="1269" w:type="dxa"/>
            <w:shd w:val="clear" w:color="auto" w:fill="FBD4B4" w:themeFill="accent6" w:themeFillTint="66"/>
            <w:noWrap/>
            <w:hideMark/>
          </w:tcPr>
          <w:p w14:paraId="15A341EA"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79.0 </w:t>
            </w:r>
          </w:p>
        </w:tc>
      </w:tr>
      <w:tr w:rsidR="00FC53AE" w:rsidRPr="00FC53AE" w14:paraId="0C5B8668" w14:textId="77777777" w:rsidTr="00AC1D16">
        <w:trPr>
          <w:trHeight w:val="110"/>
        </w:trPr>
        <w:tc>
          <w:tcPr>
            <w:cnfStyle w:val="001000000000" w:firstRow="0" w:lastRow="0" w:firstColumn="1" w:lastColumn="0" w:oddVBand="0" w:evenVBand="0" w:oddHBand="0" w:evenHBand="0" w:firstRowFirstColumn="0" w:firstRowLastColumn="0" w:lastRowFirstColumn="0" w:lastRowLastColumn="0"/>
            <w:tcW w:w="4195" w:type="dxa"/>
            <w:hideMark/>
          </w:tcPr>
          <w:p w14:paraId="153B498B" w14:textId="77777777" w:rsidR="006F47D4" w:rsidRPr="00FC53AE" w:rsidRDefault="006F47D4" w:rsidP="00144D76">
            <w:pPr>
              <w:rPr>
                <w:b w:val="0"/>
                <w:color w:val="000000" w:themeColor="text1"/>
                <w:sz w:val="16"/>
                <w:szCs w:val="16"/>
              </w:rPr>
            </w:pPr>
            <w:r w:rsidRPr="00FC53AE">
              <w:rPr>
                <w:b w:val="0"/>
                <w:color w:val="000000" w:themeColor="text1"/>
                <w:sz w:val="16"/>
                <w:szCs w:val="16"/>
              </w:rPr>
              <w:t>Investimenti netti</w:t>
            </w:r>
          </w:p>
        </w:tc>
        <w:tc>
          <w:tcPr>
            <w:tcW w:w="1269" w:type="dxa"/>
          </w:tcPr>
          <w:p w14:paraId="1E81062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318.9 </w:t>
            </w:r>
          </w:p>
        </w:tc>
        <w:tc>
          <w:tcPr>
            <w:tcW w:w="1269" w:type="dxa"/>
            <w:noWrap/>
            <w:hideMark/>
          </w:tcPr>
          <w:p w14:paraId="56D5E9E5"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300.2 </w:t>
            </w:r>
          </w:p>
        </w:tc>
        <w:tc>
          <w:tcPr>
            <w:tcW w:w="1269" w:type="dxa"/>
            <w:shd w:val="clear" w:color="auto" w:fill="FABF8F" w:themeFill="accent6" w:themeFillTint="99"/>
            <w:noWrap/>
            <w:hideMark/>
          </w:tcPr>
          <w:p w14:paraId="677AED5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302.3 </w:t>
            </w:r>
          </w:p>
        </w:tc>
        <w:tc>
          <w:tcPr>
            <w:tcW w:w="1269" w:type="dxa"/>
            <w:shd w:val="clear" w:color="auto" w:fill="FBD4B4" w:themeFill="accent6" w:themeFillTint="66"/>
            <w:noWrap/>
            <w:hideMark/>
          </w:tcPr>
          <w:p w14:paraId="71EF820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color w:val="000000" w:themeColor="text1"/>
                <w:sz w:val="16"/>
                <w:szCs w:val="16"/>
              </w:rPr>
            </w:pPr>
            <w:r w:rsidRPr="00FC53AE">
              <w:rPr>
                <w:rFonts w:cs="Calibri"/>
                <w:color w:val="000000" w:themeColor="text1"/>
                <w:sz w:val="16"/>
                <w:szCs w:val="16"/>
              </w:rPr>
              <w:t xml:space="preserve">                  2.1 </w:t>
            </w:r>
          </w:p>
        </w:tc>
      </w:tr>
      <w:tr w:rsidR="00FC53AE" w:rsidRPr="00FC53AE" w14:paraId="22795469" w14:textId="77777777" w:rsidTr="00AC1D16">
        <w:trPr>
          <w:trHeight w:val="161"/>
        </w:trPr>
        <w:tc>
          <w:tcPr>
            <w:cnfStyle w:val="001000000000" w:firstRow="0" w:lastRow="0" w:firstColumn="1" w:lastColumn="0" w:oddVBand="0" w:evenVBand="0" w:oddHBand="0" w:evenHBand="0" w:firstRowFirstColumn="0" w:firstRowLastColumn="0" w:lastRowFirstColumn="0" w:lastRowLastColumn="0"/>
            <w:tcW w:w="4195" w:type="dxa"/>
            <w:tcBorders>
              <w:bottom w:val="single" w:sz="2" w:space="0" w:color="auto"/>
            </w:tcBorders>
            <w:noWrap/>
            <w:hideMark/>
          </w:tcPr>
          <w:p w14:paraId="2E400B0A" w14:textId="77777777" w:rsidR="006F47D4" w:rsidRPr="00FC53AE" w:rsidRDefault="006F47D4" w:rsidP="00144D76">
            <w:pPr>
              <w:rPr>
                <w:color w:val="000000" w:themeColor="text1"/>
                <w:sz w:val="16"/>
                <w:szCs w:val="16"/>
              </w:rPr>
            </w:pPr>
            <w:r w:rsidRPr="00FC53AE">
              <w:rPr>
                <w:color w:val="000000" w:themeColor="text1"/>
                <w:sz w:val="16"/>
                <w:szCs w:val="16"/>
              </w:rPr>
              <w:t>Grado di autofinanziamento (%)</w:t>
            </w:r>
          </w:p>
        </w:tc>
        <w:tc>
          <w:tcPr>
            <w:tcW w:w="1269" w:type="dxa"/>
            <w:tcBorders>
              <w:bottom w:val="single" w:sz="2" w:space="0" w:color="auto"/>
            </w:tcBorders>
          </w:tcPr>
          <w:p w14:paraId="69F44E8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bCs/>
                <w:color w:val="000000" w:themeColor="text1"/>
                <w:sz w:val="16"/>
                <w:szCs w:val="16"/>
              </w:rPr>
              <w:t xml:space="preserve">29.6 </w:t>
            </w:r>
          </w:p>
        </w:tc>
        <w:tc>
          <w:tcPr>
            <w:tcW w:w="1269" w:type="dxa"/>
            <w:tcBorders>
              <w:bottom w:val="single" w:sz="2" w:space="0" w:color="auto"/>
            </w:tcBorders>
            <w:noWrap/>
            <w:hideMark/>
          </w:tcPr>
          <w:p w14:paraId="5C749CD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29.1 </w:t>
            </w:r>
          </w:p>
        </w:tc>
        <w:tc>
          <w:tcPr>
            <w:tcW w:w="1269" w:type="dxa"/>
            <w:tcBorders>
              <w:bottom w:val="single" w:sz="2" w:space="0" w:color="auto"/>
            </w:tcBorders>
            <w:shd w:val="clear" w:color="auto" w:fill="FABF8F" w:themeFill="accent6" w:themeFillTint="99"/>
            <w:noWrap/>
            <w:hideMark/>
          </w:tcPr>
          <w:p w14:paraId="00B1556C"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55.0 </w:t>
            </w:r>
          </w:p>
        </w:tc>
        <w:tc>
          <w:tcPr>
            <w:tcW w:w="1269" w:type="dxa"/>
            <w:tcBorders>
              <w:bottom w:val="single" w:sz="2" w:space="0" w:color="auto"/>
            </w:tcBorders>
            <w:shd w:val="clear" w:color="auto" w:fill="FBD4B4" w:themeFill="accent6" w:themeFillTint="66"/>
            <w:noWrap/>
            <w:hideMark/>
          </w:tcPr>
          <w:p w14:paraId="2E26D2FF" w14:textId="77777777" w:rsidR="006F47D4" w:rsidRPr="00FC53AE" w:rsidRDefault="006F47D4" w:rsidP="00144D76">
            <w:pPr>
              <w:jc w:val="center"/>
              <w:cnfStyle w:val="000000000000" w:firstRow="0" w:lastRow="0" w:firstColumn="0" w:lastColumn="0" w:oddVBand="0" w:evenVBand="0" w:oddHBand="0" w:evenHBand="0" w:firstRowFirstColumn="0" w:firstRowLastColumn="0" w:lastRowFirstColumn="0" w:lastRowLastColumn="0"/>
              <w:rPr>
                <w:rFonts w:cs="Calibri"/>
                <w:b/>
                <w:color w:val="000000" w:themeColor="text1"/>
                <w:sz w:val="16"/>
                <w:szCs w:val="16"/>
              </w:rPr>
            </w:pPr>
            <w:r w:rsidRPr="00FC53AE">
              <w:rPr>
                <w:rFonts w:cs="Calibri"/>
                <w:b/>
                <w:color w:val="000000" w:themeColor="text1"/>
                <w:sz w:val="16"/>
                <w:szCs w:val="16"/>
              </w:rPr>
              <w:t xml:space="preserve">                25.9 </w:t>
            </w:r>
          </w:p>
        </w:tc>
      </w:tr>
    </w:tbl>
    <w:p w14:paraId="23A801F9" w14:textId="77777777" w:rsidR="006F47D4" w:rsidRPr="00FC53AE" w:rsidRDefault="00ED064C"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Messaggio 8562, pag. 12</w:t>
      </w:r>
    </w:p>
    <w:p w14:paraId="7F6063AA" w14:textId="77777777" w:rsidR="00ED064C" w:rsidRPr="00FC53AE" w:rsidRDefault="00ED064C" w:rsidP="006F47D4">
      <w:pPr>
        <w:autoSpaceDE w:val="0"/>
        <w:autoSpaceDN w:val="0"/>
        <w:adjustRightInd w:val="0"/>
        <w:spacing w:before="120" w:line="260" w:lineRule="atLeast"/>
        <w:rPr>
          <w:rFonts w:eastAsia="Calibri" w:cs="Arial"/>
          <w:color w:val="000000" w:themeColor="text1"/>
          <w:sz w:val="20"/>
          <w:szCs w:val="20"/>
        </w:rPr>
      </w:pPr>
    </w:p>
    <w:p w14:paraId="2FDC6DC7" w14:textId="77777777" w:rsidR="00255BAC" w:rsidRPr="00FC53AE" w:rsidRDefault="00255BAC">
      <w:pPr>
        <w:rPr>
          <w:rFonts w:eastAsia="Calibri" w:cs="Arial"/>
          <w:b/>
          <w:bCs/>
          <w:i/>
          <w:iCs/>
          <w:color w:val="000000" w:themeColor="text1"/>
        </w:rPr>
      </w:pPr>
      <w:r w:rsidRPr="00FC53AE">
        <w:rPr>
          <w:rFonts w:eastAsia="Calibri" w:cs="Arial"/>
          <w:b/>
          <w:bCs/>
          <w:i/>
          <w:iCs/>
          <w:color w:val="000000" w:themeColor="text1"/>
        </w:rPr>
        <w:br w:type="page"/>
      </w:r>
    </w:p>
    <w:p w14:paraId="366C34A6" w14:textId="77777777" w:rsidR="000B1ECA" w:rsidRPr="00FC53AE" w:rsidRDefault="000B1ECA" w:rsidP="00C30F79">
      <w:pPr>
        <w:autoSpaceDE w:val="0"/>
        <w:autoSpaceDN w:val="0"/>
        <w:adjustRightInd w:val="0"/>
        <w:rPr>
          <w:rFonts w:eastAsia="Calibri" w:cs="Arial"/>
          <w:b/>
          <w:bCs/>
          <w:i/>
          <w:iCs/>
          <w:color w:val="000000" w:themeColor="text1"/>
          <w:sz w:val="24"/>
          <w:szCs w:val="24"/>
          <w:u w:val="single"/>
        </w:rPr>
      </w:pPr>
      <w:r w:rsidRPr="00FC53AE">
        <w:rPr>
          <w:rFonts w:eastAsia="Calibri" w:cs="Arial"/>
          <w:b/>
          <w:bCs/>
          <w:i/>
          <w:iCs/>
          <w:color w:val="000000" w:themeColor="text1"/>
          <w:sz w:val="24"/>
          <w:szCs w:val="24"/>
          <w:u w:val="single"/>
        </w:rPr>
        <w:lastRenderedPageBreak/>
        <w:t>Spese correnti</w:t>
      </w:r>
    </w:p>
    <w:p w14:paraId="702C9779" w14:textId="77777777" w:rsidR="006F47D4" w:rsidRPr="00FC53AE" w:rsidRDefault="006F47D4" w:rsidP="00AC1D16">
      <w:pPr>
        <w:autoSpaceDE w:val="0"/>
        <w:autoSpaceDN w:val="0"/>
        <w:adjustRightInd w:val="0"/>
        <w:spacing w:before="120" w:after="120"/>
        <w:rPr>
          <w:rFonts w:eastAsia="Calibri" w:cs="Arial"/>
          <w:color w:val="000000" w:themeColor="text1"/>
          <w:sz w:val="24"/>
          <w:szCs w:val="24"/>
        </w:rPr>
      </w:pPr>
      <w:r w:rsidRPr="00FC53AE">
        <w:rPr>
          <w:rFonts w:eastAsia="Calibri" w:cs="Arial"/>
          <w:color w:val="000000" w:themeColor="text1"/>
          <w:sz w:val="24"/>
          <w:szCs w:val="24"/>
        </w:rPr>
        <w:t>Le principali voci di spesa hanno conosciuto la seguente evoluzione:</w:t>
      </w:r>
    </w:p>
    <w:tbl>
      <w:tblPr>
        <w:tblStyle w:val="Grigliatabella"/>
        <w:tblW w:w="9116" w:type="dxa"/>
        <w:tblInd w:w="11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3"/>
        <w:gridCol w:w="2705"/>
        <w:gridCol w:w="928"/>
        <w:gridCol w:w="928"/>
        <w:gridCol w:w="928"/>
        <w:gridCol w:w="964"/>
      </w:tblGrid>
      <w:tr w:rsidR="00FC53AE" w:rsidRPr="00FC53AE" w14:paraId="087A8D90" w14:textId="77777777" w:rsidTr="00144D76">
        <w:tc>
          <w:tcPr>
            <w:tcW w:w="2663" w:type="dxa"/>
            <w:tcBorders>
              <w:top w:val="single" w:sz="12" w:space="0" w:color="auto"/>
              <w:bottom w:val="nil"/>
            </w:tcBorders>
          </w:tcPr>
          <w:p w14:paraId="79BBEE9F" w14:textId="77777777" w:rsidR="006F47D4" w:rsidRPr="00FC53AE" w:rsidRDefault="006F47D4" w:rsidP="00144D76">
            <w:pPr>
              <w:tabs>
                <w:tab w:val="left" w:pos="561"/>
              </w:tabs>
              <w:rPr>
                <w:b/>
                <w:color w:val="000000" w:themeColor="text1"/>
                <w:sz w:val="16"/>
              </w:rPr>
            </w:pPr>
            <w:r w:rsidRPr="00FC53AE">
              <w:rPr>
                <w:b/>
                <w:color w:val="000000" w:themeColor="text1"/>
                <w:sz w:val="16"/>
              </w:rPr>
              <w:t xml:space="preserve">Dati finanziari </w:t>
            </w:r>
          </w:p>
        </w:tc>
        <w:tc>
          <w:tcPr>
            <w:tcW w:w="2705" w:type="dxa"/>
            <w:tcBorders>
              <w:top w:val="single" w:sz="12" w:space="0" w:color="auto"/>
              <w:bottom w:val="single" w:sz="4" w:space="0" w:color="auto"/>
            </w:tcBorders>
          </w:tcPr>
          <w:p w14:paraId="39BE38BB" w14:textId="77777777" w:rsidR="006F47D4" w:rsidRPr="00FC53AE" w:rsidRDefault="006F47D4" w:rsidP="00144D76">
            <w:pPr>
              <w:tabs>
                <w:tab w:val="left" w:pos="561"/>
              </w:tabs>
              <w:rPr>
                <w:color w:val="000000" w:themeColor="text1"/>
                <w:sz w:val="12"/>
                <w:szCs w:val="12"/>
              </w:rPr>
            </w:pPr>
            <w:r w:rsidRPr="00FC53AE">
              <w:rPr>
                <w:color w:val="000000" w:themeColor="text1"/>
                <w:sz w:val="12"/>
                <w:szCs w:val="12"/>
              </w:rPr>
              <w:t xml:space="preserve">Importi in milioni di CHF </w:t>
            </w:r>
          </w:p>
        </w:tc>
        <w:tc>
          <w:tcPr>
            <w:tcW w:w="928" w:type="dxa"/>
            <w:tcBorders>
              <w:top w:val="single" w:sz="12" w:space="0" w:color="auto"/>
              <w:bottom w:val="single" w:sz="4" w:space="0" w:color="auto"/>
            </w:tcBorders>
            <w:shd w:val="clear" w:color="auto" w:fill="auto"/>
            <w:vAlign w:val="center"/>
          </w:tcPr>
          <w:p w14:paraId="51933839" w14:textId="77777777" w:rsidR="006F47D4" w:rsidRPr="00FC53AE" w:rsidRDefault="006F47D4" w:rsidP="00144D76">
            <w:pPr>
              <w:tabs>
                <w:tab w:val="left" w:pos="561"/>
              </w:tabs>
              <w:jc w:val="right"/>
              <w:rPr>
                <w:color w:val="000000" w:themeColor="text1"/>
                <w:sz w:val="12"/>
                <w:szCs w:val="12"/>
              </w:rPr>
            </w:pPr>
            <w:r w:rsidRPr="00FC53AE">
              <w:rPr>
                <w:color w:val="000000" w:themeColor="text1"/>
                <w:sz w:val="12"/>
                <w:szCs w:val="12"/>
              </w:rPr>
              <w:t>C 2023</w:t>
            </w:r>
          </w:p>
        </w:tc>
        <w:tc>
          <w:tcPr>
            <w:tcW w:w="928" w:type="dxa"/>
            <w:tcBorders>
              <w:top w:val="single" w:sz="12" w:space="0" w:color="auto"/>
              <w:bottom w:val="single" w:sz="4" w:space="0" w:color="auto"/>
            </w:tcBorders>
            <w:shd w:val="clear" w:color="auto" w:fill="auto"/>
            <w:vAlign w:val="center"/>
          </w:tcPr>
          <w:p w14:paraId="17E0B7D4" w14:textId="77777777" w:rsidR="006F47D4" w:rsidRPr="00FC53AE" w:rsidRDefault="006F47D4" w:rsidP="00144D76">
            <w:pPr>
              <w:tabs>
                <w:tab w:val="left" w:pos="561"/>
              </w:tabs>
              <w:jc w:val="right"/>
              <w:rPr>
                <w:color w:val="000000" w:themeColor="text1"/>
                <w:sz w:val="12"/>
                <w:szCs w:val="12"/>
              </w:rPr>
            </w:pPr>
            <w:r w:rsidRPr="00FC53AE">
              <w:rPr>
                <w:color w:val="000000" w:themeColor="text1"/>
                <w:sz w:val="12"/>
                <w:szCs w:val="12"/>
              </w:rPr>
              <w:t>P 2024</w:t>
            </w:r>
          </w:p>
        </w:tc>
        <w:tc>
          <w:tcPr>
            <w:tcW w:w="928" w:type="dxa"/>
            <w:tcBorders>
              <w:top w:val="single" w:sz="12" w:space="0" w:color="auto"/>
              <w:bottom w:val="single" w:sz="4" w:space="0" w:color="auto"/>
            </w:tcBorders>
            <w:shd w:val="clear" w:color="auto" w:fill="FABF8F" w:themeFill="accent6" w:themeFillTint="99"/>
            <w:vAlign w:val="center"/>
          </w:tcPr>
          <w:p w14:paraId="22F900AE" w14:textId="77777777" w:rsidR="006F47D4" w:rsidRPr="00FC53AE" w:rsidRDefault="006F47D4" w:rsidP="00144D76">
            <w:pPr>
              <w:tabs>
                <w:tab w:val="left" w:pos="561"/>
              </w:tabs>
              <w:jc w:val="right"/>
              <w:rPr>
                <w:color w:val="000000" w:themeColor="text1"/>
                <w:sz w:val="12"/>
                <w:szCs w:val="12"/>
              </w:rPr>
            </w:pPr>
            <w:r w:rsidRPr="00FC53AE">
              <w:rPr>
                <w:color w:val="000000" w:themeColor="text1"/>
                <w:sz w:val="12"/>
                <w:szCs w:val="12"/>
              </w:rPr>
              <w:t>C 2024</w:t>
            </w:r>
          </w:p>
        </w:tc>
        <w:tc>
          <w:tcPr>
            <w:tcW w:w="964" w:type="dxa"/>
            <w:tcBorders>
              <w:top w:val="single" w:sz="12" w:space="0" w:color="auto"/>
              <w:bottom w:val="single" w:sz="4" w:space="0" w:color="auto"/>
            </w:tcBorders>
            <w:shd w:val="clear" w:color="auto" w:fill="FBD4B4" w:themeFill="accent6" w:themeFillTint="66"/>
            <w:vAlign w:val="center"/>
          </w:tcPr>
          <w:p w14:paraId="459BE3AF" w14:textId="77777777" w:rsidR="006F47D4" w:rsidRPr="00FC53AE" w:rsidRDefault="006F47D4" w:rsidP="00144D76">
            <w:pPr>
              <w:tabs>
                <w:tab w:val="left" w:pos="561"/>
              </w:tabs>
              <w:jc w:val="right"/>
              <w:rPr>
                <w:color w:val="000000" w:themeColor="text1"/>
                <w:sz w:val="12"/>
                <w:szCs w:val="12"/>
              </w:rPr>
            </w:pPr>
            <w:proofErr w:type="spellStart"/>
            <w:r w:rsidRPr="00FC53AE">
              <w:rPr>
                <w:color w:val="000000" w:themeColor="text1"/>
                <w:sz w:val="12"/>
                <w:szCs w:val="12"/>
              </w:rPr>
              <w:t>Var</w:t>
            </w:r>
            <w:proofErr w:type="spellEnd"/>
            <w:r w:rsidRPr="00FC53AE">
              <w:rPr>
                <w:color w:val="000000" w:themeColor="text1"/>
                <w:sz w:val="12"/>
                <w:szCs w:val="12"/>
              </w:rPr>
              <w:t xml:space="preserve"> C24 – P24</w:t>
            </w:r>
          </w:p>
        </w:tc>
      </w:tr>
      <w:tr w:rsidR="00FC53AE" w:rsidRPr="00FC53AE" w14:paraId="5C469CDF" w14:textId="77777777" w:rsidTr="00144D76">
        <w:tc>
          <w:tcPr>
            <w:tcW w:w="2663" w:type="dxa"/>
            <w:tcBorders>
              <w:top w:val="nil"/>
              <w:bottom w:val="nil"/>
            </w:tcBorders>
          </w:tcPr>
          <w:p w14:paraId="609590BF" w14:textId="77777777" w:rsidR="006F47D4" w:rsidRPr="00FC53AE" w:rsidRDefault="006F47D4" w:rsidP="00144D76">
            <w:pPr>
              <w:tabs>
                <w:tab w:val="left" w:pos="561"/>
              </w:tabs>
              <w:rPr>
                <w:b/>
                <w:color w:val="000000" w:themeColor="text1"/>
                <w:sz w:val="16"/>
              </w:rPr>
            </w:pPr>
          </w:p>
        </w:tc>
        <w:tc>
          <w:tcPr>
            <w:tcW w:w="2705" w:type="dxa"/>
            <w:tcBorders>
              <w:top w:val="single" w:sz="4" w:space="0" w:color="auto"/>
              <w:bottom w:val="single" w:sz="4" w:space="0" w:color="auto"/>
            </w:tcBorders>
          </w:tcPr>
          <w:p w14:paraId="64DEDB82" w14:textId="77777777" w:rsidR="006F47D4" w:rsidRPr="00FC53AE" w:rsidRDefault="006F47D4" w:rsidP="00144D76">
            <w:pPr>
              <w:tabs>
                <w:tab w:val="left" w:pos="561"/>
              </w:tabs>
              <w:rPr>
                <w:b/>
                <w:color w:val="000000" w:themeColor="text1"/>
                <w:sz w:val="16"/>
              </w:rPr>
            </w:pPr>
            <w:r w:rsidRPr="00FC53AE">
              <w:rPr>
                <w:b/>
                <w:color w:val="000000" w:themeColor="text1"/>
                <w:sz w:val="16"/>
              </w:rPr>
              <w:t>Conto economico</w:t>
            </w:r>
          </w:p>
        </w:tc>
        <w:tc>
          <w:tcPr>
            <w:tcW w:w="928" w:type="dxa"/>
            <w:tcBorders>
              <w:top w:val="single" w:sz="4" w:space="0" w:color="auto"/>
              <w:bottom w:val="single" w:sz="4" w:space="0" w:color="auto"/>
            </w:tcBorders>
            <w:shd w:val="clear" w:color="auto" w:fill="auto"/>
            <w:vAlign w:val="center"/>
          </w:tcPr>
          <w:p w14:paraId="5497E830" w14:textId="77777777" w:rsidR="006F47D4" w:rsidRPr="00FC53AE" w:rsidRDefault="006F47D4" w:rsidP="00144D76">
            <w:pPr>
              <w:jc w:val="right"/>
              <w:rPr>
                <w:color w:val="000000" w:themeColor="text1"/>
                <w:sz w:val="16"/>
              </w:rPr>
            </w:pPr>
          </w:p>
        </w:tc>
        <w:tc>
          <w:tcPr>
            <w:tcW w:w="928" w:type="dxa"/>
            <w:tcBorders>
              <w:top w:val="single" w:sz="4" w:space="0" w:color="auto"/>
              <w:bottom w:val="single" w:sz="4" w:space="0" w:color="auto"/>
            </w:tcBorders>
            <w:shd w:val="clear" w:color="auto" w:fill="auto"/>
            <w:vAlign w:val="center"/>
          </w:tcPr>
          <w:p w14:paraId="62B34ABC" w14:textId="77777777" w:rsidR="006F47D4" w:rsidRPr="00FC53AE" w:rsidRDefault="006F47D4" w:rsidP="00144D76">
            <w:pPr>
              <w:jc w:val="right"/>
              <w:rPr>
                <w:color w:val="000000" w:themeColor="text1"/>
                <w:sz w:val="16"/>
              </w:rPr>
            </w:pPr>
          </w:p>
        </w:tc>
        <w:tc>
          <w:tcPr>
            <w:tcW w:w="928" w:type="dxa"/>
            <w:tcBorders>
              <w:top w:val="single" w:sz="4" w:space="0" w:color="auto"/>
              <w:bottom w:val="single" w:sz="4" w:space="0" w:color="auto"/>
            </w:tcBorders>
            <w:shd w:val="clear" w:color="auto" w:fill="FABF8F" w:themeFill="accent6" w:themeFillTint="99"/>
            <w:vAlign w:val="center"/>
          </w:tcPr>
          <w:p w14:paraId="1346EB36" w14:textId="77777777" w:rsidR="006F47D4" w:rsidRPr="00FC53AE" w:rsidRDefault="006F47D4" w:rsidP="00144D76">
            <w:pPr>
              <w:jc w:val="right"/>
              <w:rPr>
                <w:color w:val="000000" w:themeColor="text1"/>
                <w:sz w:val="16"/>
              </w:rPr>
            </w:pPr>
          </w:p>
        </w:tc>
        <w:tc>
          <w:tcPr>
            <w:tcW w:w="964" w:type="dxa"/>
            <w:tcBorders>
              <w:top w:val="single" w:sz="4" w:space="0" w:color="auto"/>
              <w:bottom w:val="single" w:sz="4" w:space="0" w:color="auto"/>
            </w:tcBorders>
            <w:shd w:val="clear" w:color="auto" w:fill="FBD4B4" w:themeFill="accent6" w:themeFillTint="66"/>
            <w:vAlign w:val="center"/>
          </w:tcPr>
          <w:p w14:paraId="22BA3316" w14:textId="77777777" w:rsidR="006F47D4" w:rsidRPr="00FC53AE" w:rsidRDefault="006F47D4" w:rsidP="00144D76">
            <w:pPr>
              <w:jc w:val="right"/>
              <w:rPr>
                <w:color w:val="000000" w:themeColor="text1"/>
                <w:sz w:val="16"/>
              </w:rPr>
            </w:pPr>
          </w:p>
        </w:tc>
      </w:tr>
      <w:tr w:rsidR="00FC53AE" w:rsidRPr="00FC53AE" w14:paraId="4E873542" w14:textId="77777777" w:rsidTr="00144D76">
        <w:tc>
          <w:tcPr>
            <w:tcW w:w="2663" w:type="dxa"/>
            <w:tcBorders>
              <w:top w:val="nil"/>
              <w:bottom w:val="nil"/>
            </w:tcBorders>
          </w:tcPr>
          <w:p w14:paraId="1BFCF49A" w14:textId="77777777" w:rsidR="006F47D4" w:rsidRPr="00FC53AE" w:rsidRDefault="006F47D4" w:rsidP="00144D76">
            <w:pPr>
              <w:rPr>
                <w:color w:val="000000" w:themeColor="text1"/>
                <w:sz w:val="16"/>
              </w:rPr>
            </w:pPr>
          </w:p>
        </w:tc>
        <w:tc>
          <w:tcPr>
            <w:tcW w:w="2705" w:type="dxa"/>
            <w:tcBorders>
              <w:top w:val="single" w:sz="4" w:space="0" w:color="auto"/>
            </w:tcBorders>
          </w:tcPr>
          <w:p w14:paraId="52406666" w14:textId="77777777" w:rsidR="006F47D4" w:rsidRPr="00FC53AE" w:rsidRDefault="006F47D4" w:rsidP="00144D76">
            <w:pPr>
              <w:rPr>
                <w:color w:val="000000" w:themeColor="text1"/>
                <w:sz w:val="16"/>
              </w:rPr>
            </w:pPr>
            <w:r w:rsidRPr="00FC53AE">
              <w:rPr>
                <w:color w:val="000000" w:themeColor="text1"/>
                <w:sz w:val="16"/>
              </w:rPr>
              <w:t>30 - Spese per il personale</w:t>
            </w:r>
          </w:p>
        </w:tc>
        <w:tc>
          <w:tcPr>
            <w:tcW w:w="928" w:type="dxa"/>
            <w:tcBorders>
              <w:top w:val="single" w:sz="4" w:space="0" w:color="auto"/>
            </w:tcBorders>
            <w:shd w:val="clear" w:color="auto" w:fill="auto"/>
            <w:vAlign w:val="center"/>
          </w:tcPr>
          <w:p w14:paraId="0BA54893" w14:textId="77777777" w:rsidR="006F47D4" w:rsidRPr="00FC53AE" w:rsidRDefault="006F47D4" w:rsidP="00144D76">
            <w:pPr>
              <w:jc w:val="right"/>
              <w:rPr>
                <w:color w:val="000000" w:themeColor="text1"/>
                <w:sz w:val="16"/>
                <w:szCs w:val="16"/>
              </w:rPr>
            </w:pPr>
            <w:r w:rsidRPr="00FC53AE">
              <w:rPr>
                <w:color w:val="000000" w:themeColor="text1"/>
                <w:sz w:val="16"/>
                <w:szCs w:val="16"/>
              </w:rPr>
              <w:t>2.77</w:t>
            </w:r>
          </w:p>
        </w:tc>
        <w:tc>
          <w:tcPr>
            <w:tcW w:w="928" w:type="dxa"/>
            <w:tcBorders>
              <w:top w:val="single" w:sz="4" w:space="0" w:color="auto"/>
            </w:tcBorders>
            <w:shd w:val="clear" w:color="auto" w:fill="auto"/>
            <w:vAlign w:val="center"/>
          </w:tcPr>
          <w:p w14:paraId="5EDDE9FF" w14:textId="77777777" w:rsidR="006F47D4" w:rsidRPr="00FC53AE" w:rsidRDefault="006F47D4" w:rsidP="00144D76">
            <w:pPr>
              <w:jc w:val="right"/>
              <w:rPr>
                <w:color w:val="000000" w:themeColor="text1"/>
                <w:sz w:val="16"/>
                <w:szCs w:val="16"/>
              </w:rPr>
            </w:pPr>
            <w:r w:rsidRPr="00FC53AE">
              <w:rPr>
                <w:color w:val="000000" w:themeColor="text1"/>
                <w:sz w:val="16"/>
                <w:szCs w:val="16"/>
              </w:rPr>
              <w:t>2.79</w:t>
            </w:r>
          </w:p>
        </w:tc>
        <w:tc>
          <w:tcPr>
            <w:tcW w:w="928" w:type="dxa"/>
            <w:tcBorders>
              <w:top w:val="single" w:sz="4" w:space="0" w:color="auto"/>
            </w:tcBorders>
            <w:shd w:val="clear" w:color="auto" w:fill="FABF8F" w:themeFill="accent6" w:themeFillTint="99"/>
            <w:vAlign w:val="center"/>
          </w:tcPr>
          <w:p w14:paraId="0266B721" w14:textId="77777777" w:rsidR="006F47D4" w:rsidRPr="00FC53AE" w:rsidRDefault="006F47D4" w:rsidP="00144D76">
            <w:pPr>
              <w:jc w:val="right"/>
              <w:rPr>
                <w:color w:val="000000" w:themeColor="text1"/>
                <w:sz w:val="16"/>
                <w:szCs w:val="16"/>
              </w:rPr>
            </w:pPr>
            <w:r w:rsidRPr="00FC53AE">
              <w:rPr>
                <w:color w:val="000000" w:themeColor="text1"/>
                <w:sz w:val="16"/>
                <w:szCs w:val="16"/>
              </w:rPr>
              <w:t>2.75</w:t>
            </w:r>
          </w:p>
        </w:tc>
        <w:tc>
          <w:tcPr>
            <w:tcW w:w="964" w:type="dxa"/>
            <w:tcBorders>
              <w:top w:val="single" w:sz="4" w:space="0" w:color="auto"/>
            </w:tcBorders>
            <w:shd w:val="clear" w:color="auto" w:fill="FBD4B4" w:themeFill="accent6" w:themeFillTint="66"/>
            <w:vAlign w:val="center"/>
          </w:tcPr>
          <w:p w14:paraId="398C1826" w14:textId="77777777" w:rsidR="006F47D4" w:rsidRPr="00FC53AE" w:rsidRDefault="006F47D4" w:rsidP="00144D76">
            <w:pPr>
              <w:jc w:val="right"/>
              <w:rPr>
                <w:color w:val="000000" w:themeColor="text1"/>
                <w:sz w:val="16"/>
                <w:szCs w:val="16"/>
              </w:rPr>
            </w:pPr>
            <w:r w:rsidRPr="00FC53AE">
              <w:rPr>
                <w:color w:val="000000" w:themeColor="text1"/>
                <w:sz w:val="16"/>
                <w:szCs w:val="16"/>
              </w:rPr>
              <w:t>-0.03</w:t>
            </w:r>
          </w:p>
        </w:tc>
      </w:tr>
      <w:tr w:rsidR="00FC53AE" w:rsidRPr="00FC53AE" w14:paraId="16896320" w14:textId="77777777" w:rsidTr="00144D76">
        <w:tc>
          <w:tcPr>
            <w:tcW w:w="2663" w:type="dxa"/>
            <w:tcBorders>
              <w:top w:val="nil"/>
              <w:bottom w:val="nil"/>
            </w:tcBorders>
          </w:tcPr>
          <w:p w14:paraId="34131273" w14:textId="77777777" w:rsidR="006F47D4" w:rsidRPr="00FC53AE" w:rsidRDefault="006F47D4" w:rsidP="00144D76">
            <w:pPr>
              <w:rPr>
                <w:color w:val="000000" w:themeColor="text1"/>
                <w:sz w:val="16"/>
              </w:rPr>
            </w:pPr>
          </w:p>
        </w:tc>
        <w:tc>
          <w:tcPr>
            <w:tcW w:w="2705" w:type="dxa"/>
            <w:tcBorders>
              <w:top w:val="single" w:sz="4" w:space="0" w:color="auto"/>
              <w:bottom w:val="single" w:sz="4" w:space="0" w:color="auto"/>
            </w:tcBorders>
          </w:tcPr>
          <w:p w14:paraId="5AB787B7" w14:textId="77777777" w:rsidR="006F47D4" w:rsidRPr="00FC53AE" w:rsidRDefault="006F47D4" w:rsidP="00144D76">
            <w:pPr>
              <w:rPr>
                <w:color w:val="000000" w:themeColor="text1"/>
                <w:sz w:val="16"/>
              </w:rPr>
            </w:pPr>
            <w:r w:rsidRPr="00FC53AE">
              <w:rPr>
                <w:color w:val="000000" w:themeColor="text1"/>
                <w:sz w:val="16"/>
              </w:rPr>
              <w:t>31 - Spese per beni e servizi e altre spese d'esercizio</w:t>
            </w:r>
          </w:p>
        </w:tc>
        <w:tc>
          <w:tcPr>
            <w:tcW w:w="928" w:type="dxa"/>
            <w:tcBorders>
              <w:top w:val="single" w:sz="4" w:space="0" w:color="auto"/>
              <w:bottom w:val="single" w:sz="4" w:space="0" w:color="auto"/>
            </w:tcBorders>
            <w:shd w:val="clear" w:color="auto" w:fill="auto"/>
            <w:vAlign w:val="center"/>
          </w:tcPr>
          <w:p w14:paraId="4DDE4B53" w14:textId="77777777" w:rsidR="006F47D4" w:rsidRPr="00FC53AE" w:rsidRDefault="006F47D4" w:rsidP="00144D76">
            <w:pPr>
              <w:jc w:val="right"/>
              <w:rPr>
                <w:color w:val="000000" w:themeColor="text1"/>
                <w:sz w:val="16"/>
                <w:szCs w:val="16"/>
              </w:rPr>
            </w:pPr>
            <w:r w:rsidRPr="00FC53AE">
              <w:rPr>
                <w:color w:val="000000" w:themeColor="text1"/>
                <w:sz w:val="16"/>
                <w:szCs w:val="16"/>
              </w:rPr>
              <w:t>0.07</w:t>
            </w:r>
          </w:p>
        </w:tc>
        <w:tc>
          <w:tcPr>
            <w:tcW w:w="928" w:type="dxa"/>
            <w:tcBorders>
              <w:top w:val="single" w:sz="4" w:space="0" w:color="auto"/>
              <w:bottom w:val="single" w:sz="4" w:space="0" w:color="auto"/>
            </w:tcBorders>
            <w:shd w:val="clear" w:color="auto" w:fill="auto"/>
            <w:vAlign w:val="center"/>
          </w:tcPr>
          <w:p w14:paraId="63FC92CE" w14:textId="77777777" w:rsidR="006F47D4" w:rsidRPr="00FC53AE" w:rsidRDefault="006F47D4" w:rsidP="00144D76">
            <w:pPr>
              <w:jc w:val="right"/>
              <w:rPr>
                <w:color w:val="000000" w:themeColor="text1"/>
                <w:sz w:val="16"/>
                <w:szCs w:val="16"/>
              </w:rPr>
            </w:pPr>
            <w:r w:rsidRPr="00FC53AE">
              <w:rPr>
                <w:color w:val="000000" w:themeColor="text1"/>
                <w:sz w:val="16"/>
                <w:szCs w:val="16"/>
              </w:rPr>
              <w:t>0.20</w:t>
            </w:r>
          </w:p>
        </w:tc>
        <w:tc>
          <w:tcPr>
            <w:tcW w:w="928" w:type="dxa"/>
            <w:tcBorders>
              <w:top w:val="single" w:sz="4" w:space="0" w:color="auto"/>
              <w:bottom w:val="single" w:sz="4" w:space="0" w:color="auto"/>
            </w:tcBorders>
            <w:shd w:val="clear" w:color="auto" w:fill="FABF8F" w:themeFill="accent6" w:themeFillTint="99"/>
            <w:vAlign w:val="center"/>
          </w:tcPr>
          <w:p w14:paraId="6B98D900" w14:textId="77777777" w:rsidR="006F47D4" w:rsidRPr="00FC53AE" w:rsidRDefault="006F47D4" w:rsidP="00144D76">
            <w:pPr>
              <w:jc w:val="right"/>
              <w:rPr>
                <w:color w:val="000000" w:themeColor="text1"/>
                <w:sz w:val="16"/>
                <w:szCs w:val="16"/>
              </w:rPr>
            </w:pPr>
            <w:r w:rsidRPr="00FC53AE">
              <w:rPr>
                <w:color w:val="000000" w:themeColor="text1"/>
                <w:sz w:val="16"/>
                <w:szCs w:val="16"/>
              </w:rPr>
              <w:t>0.03</w:t>
            </w:r>
          </w:p>
        </w:tc>
        <w:tc>
          <w:tcPr>
            <w:tcW w:w="964" w:type="dxa"/>
            <w:tcBorders>
              <w:top w:val="single" w:sz="4" w:space="0" w:color="auto"/>
              <w:bottom w:val="single" w:sz="4" w:space="0" w:color="auto"/>
            </w:tcBorders>
            <w:shd w:val="clear" w:color="auto" w:fill="FBD4B4" w:themeFill="accent6" w:themeFillTint="66"/>
            <w:vAlign w:val="center"/>
          </w:tcPr>
          <w:p w14:paraId="61C9D1FB" w14:textId="77777777" w:rsidR="006F47D4" w:rsidRPr="00FC53AE" w:rsidRDefault="006F47D4" w:rsidP="00144D76">
            <w:pPr>
              <w:jc w:val="right"/>
              <w:rPr>
                <w:color w:val="000000" w:themeColor="text1"/>
                <w:sz w:val="16"/>
                <w:szCs w:val="16"/>
              </w:rPr>
            </w:pPr>
            <w:r w:rsidRPr="00FC53AE">
              <w:rPr>
                <w:color w:val="000000" w:themeColor="text1"/>
                <w:sz w:val="16"/>
                <w:szCs w:val="16"/>
              </w:rPr>
              <w:t>-0.17</w:t>
            </w:r>
          </w:p>
        </w:tc>
      </w:tr>
      <w:tr w:rsidR="00FC53AE" w:rsidRPr="00FC53AE" w14:paraId="0D5720D3" w14:textId="77777777" w:rsidTr="00144D76">
        <w:tc>
          <w:tcPr>
            <w:tcW w:w="2663" w:type="dxa"/>
            <w:tcBorders>
              <w:top w:val="nil"/>
              <w:bottom w:val="nil"/>
            </w:tcBorders>
          </w:tcPr>
          <w:p w14:paraId="2FAC8D68" w14:textId="77777777" w:rsidR="006F47D4" w:rsidRPr="00FC53AE" w:rsidRDefault="006F47D4" w:rsidP="00144D76">
            <w:pPr>
              <w:rPr>
                <w:color w:val="000000" w:themeColor="text1"/>
                <w:sz w:val="16"/>
              </w:rPr>
            </w:pPr>
          </w:p>
        </w:tc>
        <w:tc>
          <w:tcPr>
            <w:tcW w:w="2705" w:type="dxa"/>
            <w:tcBorders>
              <w:top w:val="single" w:sz="4" w:space="0" w:color="auto"/>
              <w:bottom w:val="single" w:sz="4" w:space="0" w:color="auto"/>
            </w:tcBorders>
          </w:tcPr>
          <w:p w14:paraId="09B98CE7" w14:textId="77777777" w:rsidR="006F47D4" w:rsidRPr="00FC53AE" w:rsidRDefault="006F47D4" w:rsidP="00144D76">
            <w:pPr>
              <w:rPr>
                <w:color w:val="000000" w:themeColor="text1"/>
                <w:sz w:val="16"/>
              </w:rPr>
            </w:pPr>
            <w:r w:rsidRPr="00FC53AE">
              <w:rPr>
                <w:color w:val="000000" w:themeColor="text1"/>
                <w:sz w:val="16"/>
              </w:rPr>
              <w:t>363 - Contributi a enti pubblici e a terzi</w:t>
            </w:r>
          </w:p>
        </w:tc>
        <w:tc>
          <w:tcPr>
            <w:tcW w:w="928" w:type="dxa"/>
            <w:tcBorders>
              <w:top w:val="single" w:sz="4" w:space="0" w:color="auto"/>
              <w:bottom w:val="single" w:sz="4" w:space="0" w:color="auto"/>
            </w:tcBorders>
            <w:shd w:val="clear" w:color="auto" w:fill="auto"/>
            <w:vAlign w:val="center"/>
          </w:tcPr>
          <w:p w14:paraId="2E5F1D49" w14:textId="77777777" w:rsidR="006F47D4" w:rsidRPr="00FC53AE" w:rsidRDefault="006F47D4" w:rsidP="00144D76">
            <w:pPr>
              <w:jc w:val="right"/>
              <w:rPr>
                <w:color w:val="000000" w:themeColor="text1"/>
                <w:sz w:val="16"/>
                <w:szCs w:val="16"/>
              </w:rPr>
            </w:pPr>
            <w:r w:rsidRPr="00FC53AE">
              <w:rPr>
                <w:color w:val="000000" w:themeColor="text1"/>
                <w:sz w:val="16"/>
                <w:szCs w:val="16"/>
              </w:rPr>
              <w:t>2.65</w:t>
            </w:r>
          </w:p>
        </w:tc>
        <w:tc>
          <w:tcPr>
            <w:tcW w:w="928" w:type="dxa"/>
            <w:tcBorders>
              <w:top w:val="single" w:sz="4" w:space="0" w:color="auto"/>
              <w:bottom w:val="single" w:sz="4" w:space="0" w:color="auto"/>
            </w:tcBorders>
            <w:shd w:val="clear" w:color="auto" w:fill="auto"/>
            <w:vAlign w:val="center"/>
          </w:tcPr>
          <w:p w14:paraId="11F3492C" w14:textId="77777777" w:rsidR="006F47D4" w:rsidRPr="00FC53AE" w:rsidRDefault="006F47D4" w:rsidP="00144D76">
            <w:pPr>
              <w:jc w:val="right"/>
              <w:rPr>
                <w:color w:val="000000" w:themeColor="text1"/>
                <w:sz w:val="16"/>
                <w:szCs w:val="16"/>
              </w:rPr>
            </w:pPr>
            <w:r w:rsidRPr="00FC53AE">
              <w:rPr>
                <w:color w:val="000000" w:themeColor="text1"/>
                <w:sz w:val="16"/>
                <w:szCs w:val="16"/>
              </w:rPr>
              <w:t>2.52</w:t>
            </w:r>
          </w:p>
        </w:tc>
        <w:tc>
          <w:tcPr>
            <w:tcW w:w="928" w:type="dxa"/>
            <w:tcBorders>
              <w:top w:val="single" w:sz="4" w:space="0" w:color="auto"/>
              <w:bottom w:val="single" w:sz="4" w:space="0" w:color="auto"/>
            </w:tcBorders>
            <w:shd w:val="clear" w:color="auto" w:fill="FABF8F" w:themeFill="accent6" w:themeFillTint="99"/>
            <w:vAlign w:val="center"/>
          </w:tcPr>
          <w:p w14:paraId="3D4AD3AF" w14:textId="77777777" w:rsidR="006F47D4" w:rsidRPr="00FC53AE" w:rsidRDefault="006F47D4" w:rsidP="00144D76">
            <w:pPr>
              <w:jc w:val="right"/>
              <w:rPr>
                <w:color w:val="000000" w:themeColor="text1"/>
                <w:sz w:val="16"/>
                <w:szCs w:val="16"/>
              </w:rPr>
            </w:pPr>
            <w:r w:rsidRPr="00FC53AE">
              <w:rPr>
                <w:color w:val="000000" w:themeColor="text1"/>
                <w:sz w:val="16"/>
                <w:szCs w:val="16"/>
              </w:rPr>
              <w:t>2.38</w:t>
            </w:r>
          </w:p>
        </w:tc>
        <w:tc>
          <w:tcPr>
            <w:tcW w:w="964" w:type="dxa"/>
            <w:tcBorders>
              <w:top w:val="single" w:sz="4" w:space="0" w:color="auto"/>
              <w:bottom w:val="single" w:sz="4" w:space="0" w:color="auto"/>
            </w:tcBorders>
            <w:shd w:val="clear" w:color="auto" w:fill="FBD4B4" w:themeFill="accent6" w:themeFillTint="66"/>
            <w:vAlign w:val="center"/>
          </w:tcPr>
          <w:p w14:paraId="7AA7AAFA" w14:textId="77777777" w:rsidR="006F47D4" w:rsidRPr="00FC53AE" w:rsidRDefault="006F47D4" w:rsidP="00144D76">
            <w:pPr>
              <w:jc w:val="right"/>
              <w:rPr>
                <w:color w:val="000000" w:themeColor="text1"/>
                <w:sz w:val="16"/>
                <w:szCs w:val="16"/>
              </w:rPr>
            </w:pPr>
            <w:r w:rsidRPr="00FC53AE">
              <w:rPr>
                <w:color w:val="000000" w:themeColor="text1"/>
                <w:sz w:val="16"/>
                <w:szCs w:val="16"/>
              </w:rPr>
              <w:t>-0.14</w:t>
            </w:r>
          </w:p>
        </w:tc>
      </w:tr>
      <w:tr w:rsidR="00FC53AE" w:rsidRPr="00FC53AE" w14:paraId="20EC669C" w14:textId="77777777" w:rsidTr="00144D76">
        <w:tc>
          <w:tcPr>
            <w:tcW w:w="2663" w:type="dxa"/>
            <w:tcBorders>
              <w:top w:val="nil"/>
              <w:bottom w:val="nil"/>
            </w:tcBorders>
          </w:tcPr>
          <w:p w14:paraId="6292F69F" w14:textId="77777777" w:rsidR="006F47D4" w:rsidRPr="00FC53AE" w:rsidRDefault="006F47D4" w:rsidP="00144D76">
            <w:pPr>
              <w:rPr>
                <w:color w:val="000000" w:themeColor="text1"/>
                <w:sz w:val="16"/>
              </w:rPr>
            </w:pPr>
          </w:p>
        </w:tc>
        <w:tc>
          <w:tcPr>
            <w:tcW w:w="2705" w:type="dxa"/>
            <w:tcBorders>
              <w:top w:val="single" w:sz="4" w:space="0" w:color="auto"/>
              <w:bottom w:val="single" w:sz="12" w:space="0" w:color="auto"/>
            </w:tcBorders>
          </w:tcPr>
          <w:p w14:paraId="3B0C25E7" w14:textId="77777777" w:rsidR="006F47D4" w:rsidRPr="00FC53AE" w:rsidRDefault="006F47D4" w:rsidP="00144D76">
            <w:pPr>
              <w:rPr>
                <w:color w:val="000000" w:themeColor="text1"/>
                <w:sz w:val="16"/>
              </w:rPr>
            </w:pPr>
            <w:r w:rsidRPr="00FC53AE">
              <w:rPr>
                <w:color w:val="000000" w:themeColor="text1"/>
                <w:sz w:val="16"/>
              </w:rPr>
              <w:t>39 - Addebiti interni per spese e contributi correnti</w:t>
            </w:r>
          </w:p>
        </w:tc>
        <w:tc>
          <w:tcPr>
            <w:tcW w:w="928" w:type="dxa"/>
            <w:tcBorders>
              <w:top w:val="single" w:sz="4" w:space="0" w:color="auto"/>
              <w:bottom w:val="single" w:sz="12" w:space="0" w:color="auto"/>
            </w:tcBorders>
            <w:shd w:val="clear" w:color="auto" w:fill="auto"/>
            <w:vAlign w:val="center"/>
          </w:tcPr>
          <w:p w14:paraId="5C16D739" w14:textId="77777777" w:rsidR="006F47D4" w:rsidRPr="00FC53AE" w:rsidRDefault="006F47D4" w:rsidP="00144D76">
            <w:pPr>
              <w:jc w:val="right"/>
              <w:rPr>
                <w:color w:val="000000" w:themeColor="text1"/>
                <w:sz w:val="16"/>
                <w:szCs w:val="16"/>
              </w:rPr>
            </w:pPr>
            <w:r w:rsidRPr="00FC53AE">
              <w:rPr>
                <w:color w:val="000000" w:themeColor="text1"/>
                <w:sz w:val="16"/>
                <w:szCs w:val="16"/>
              </w:rPr>
              <w:t>0.14</w:t>
            </w:r>
          </w:p>
        </w:tc>
        <w:tc>
          <w:tcPr>
            <w:tcW w:w="928" w:type="dxa"/>
            <w:tcBorders>
              <w:top w:val="single" w:sz="4" w:space="0" w:color="auto"/>
              <w:bottom w:val="single" w:sz="12" w:space="0" w:color="auto"/>
            </w:tcBorders>
            <w:shd w:val="clear" w:color="auto" w:fill="auto"/>
            <w:vAlign w:val="center"/>
          </w:tcPr>
          <w:p w14:paraId="734B8A68" w14:textId="77777777" w:rsidR="006F47D4" w:rsidRPr="00FC53AE" w:rsidRDefault="006F47D4" w:rsidP="00144D76">
            <w:pPr>
              <w:jc w:val="right"/>
              <w:rPr>
                <w:color w:val="000000" w:themeColor="text1"/>
                <w:sz w:val="16"/>
                <w:szCs w:val="16"/>
              </w:rPr>
            </w:pPr>
            <w:r w:rsidRPr="00FC53AE">
              <w:rPr>
                <w:color w:val="000000" w:themeColor="text1"/>
                <w:sz w:val="16"/>
                <w:szCs w:val="16"/>
              </w:rPr>
              <w:t>0.10</w:t>
            </w:r>
          </w:p>
        </w:tc>
        <w:tc>
          <w:tcPr>
            <w:tcW w:w="928" w:type="dxa"/>
            <w:tcBorders>
              <w:top w:val="single" w:sz="4" w:space="0" w:color="auto"/>
              <w:bottom w:val="single" w:sz="12" w:space="0" w:color="auto"/>
            </w:tcBorders>
            <w:shd w:val="clear" w:color="auto" w:fill="FABF8F" w:themeFill="accent6" w:themeFillTint="99"/>
            <w:vAlign w:val="center"/>
          </w:tcPr>
          <w:p w14:paraId="3409BCC8" w14:textId="77777777" w:rsidR="006F47D4" w:rsidRPr="00FC53AE" w:rsidRDefault="006F47D4" w:rsidP="00144D76">
            <w:pPr>
              <w:jc w:val="right"/>
              <w:rPr>
                <w:color w:val="000000" w:themeColor="text1"/>
                <w:sz w:val="16"/>
                <w:szCs w:val="16"/>
              </w:rPr>
            </w:pPr>
            <w:r w:rsidRPr="00FC53AE">
              <w:rPr>
                <w:color w:val="000000" w:themeColor="text1"/>
                <w:sz w:val="16"/>
                <w:szCs w:val="16"/>
              </w:rPr>
              <w:t>0.09</w:t>
            </w:r>
          </w:p>
        </w:tc>
        <w:tc>
          <w:tcPr>
            <w:tcW w:w="964" w:type="dxa"/>
            <w:tcBorders>
              <w:top w:val="single" w:sz="4" w:space="0" w:color="auto"/>
              <w:bottom w:val="single" w:sz="12" w:space="0" w:color="auto"/>
            </w:tcBorders>
            <w:shd w:val="clear" w:color="auto" w:fill="FBD4B4" w:themeFill="accent6" w:themeFillTint="66"/>
            <w:vAlign w:val="center"/>
          </w:tcPr>
          <w:p w14:paraId="749C0804" w14:textId="77777777" w:rsidR="006F47D4" w:rsidRPr="00FC53AE" w:rsidRDefault="006F47D4" w:rsidP="00144D76">
            <w:pPr>
              <w:jc w:val="right"/>
              <w:rPr>
                <w:color w:val="000000" w:themeColor="text1"/>
                <w:sz w:val="16"/>
                <w:szCs w:val="16"/>
              </w:rPr>
            </w:pPr>
            <w:r w:rsidRPr="00FC53AE">
              <w:rPr>
                <w:color w:val="000000" w:themeColor="text1"/>
                <w:sz w:val="16"/>
                <w:szCs w:val="16"/>
              </w:rPr>
              <w:t>-0.01</w:t>
            </w:r>
          </w:p>
        </w:tc>
      </w:tr>
      <w:tr w:rsidR="00FC53AE" w:rsidRPr="00FC53AE" w14:paraId="62684F41" w14:textId="77777777" w:rsidTr="00144D76">
        <w:tc>
          <w:tcPr>
            <w:tcW w:w="2663" w:type="dxa"/>
            <w:tcBorders>
              <w:top w:val="nil"/>
              <w:bottom w:val="nil"/>
            </w:tcBorders>
          </w:tcPr>
          <w:p w14:paraId="28292A8B" w14:textId="77777777" w:rsidR="006F47D4" w:rsidRPr="00FC53AE" w:rsidRDefault="006F47D4" w:rsidP="00144D76">
            <w:pPr>
              <w:rPr>
                <w:b/>
                <w:color w:val="000000" w:themeColor="text1"/>
                <w:sz w:val="16"/>
              </w:rPr>
            </w:pPr>
          </w:p>
        </w:tc>
        <w:tc>
          <w:tcPr>
            <w:tcW w:w="2705" w:type="dxa"/>
            <w:tcBorders>
              <w:top w:val="single" w:sz="12" w:space="0" w:color="auto"/>
              <w:bottom w:val="nil"/>
            </w:tcBorders>
          </w:tcPr>
          <w:p w14:paraId="4E51CEFE" w14:textId="77777777" w:rsidR="006F47D4" w:rsidRPr="00FC53AE" w:rsidRDefault="006F47D4" w:rsidP="00144D76">
            <w:pPr>
              <w:rPr>
                <w:b/>
                <w:color w:val="000000" w:themeColor="text1"/>
                <w:sz w:val="16"/>
              </w:rPr>
            </w:pPr>
            <w:r w:rsidRPr="00FC53AE">
              <w:rPr>
                <w:b/>
                <w:color w:val="000000" w:themeColor="text1"/>
                <w:sz w:val="16"/>
              </w:rPr>
              <w:t>Totale spese</w:t>
            </w:r>
          </w:p>
        </w:tc>
        <w:tc>
          <w:tcPr>
            <w:tcW w:w="928" w:type="dxa"/>
            <w:tcBorders>
              <w:top w:val="single" w:sz="12" w:space="0" w:color="auto"/>
              <w:bottom w:val="single" w:sz="12" w:space="0" w:color="auto"/>
            </w:tcBorders>
            <w:shd w:val="clear" w:color="auto" w:fill="auto"/>
            <w:vAlign w:val="center"/>
          </w:tcPr>
          <w:p w14:paraId="337EBE77" w14:textId="77777777" w:rsidR="006F47D4" w:rsidRPr="00FC53AE" w:rsidRDefault="006F47D4" w:rsidP="00144D76">
            <w:pPr>
              <w:jc w:val="right"/>
              <w:rPr>
                <w:b/>
                <w:color w:val="000000" w:themeColor="text1"/>
                <w:sz w:val="16"/>
                <w:szCs w:val="16"/>
              </w:rPr>
            </w:pPr>
            <w:r w:rsidRPr="00FC53AE">
              <w:rPr>
                <w:b/>
                <w:color w:val="000000" w:themeColor="text1"/>
                <w:sz w:val="16"/>
                <w:szCs w:val="16"/>
              </w:rPr>
              <w:t>5.63</w:t>
            </w:r>
          </w:p>
        </w:tc>
        <w:tc>
          <w:tcPr>
            <w:tcW w:w="928" w:type="dxa"/>
            <w:tcBorders>
              <w:top w:val="single" w:sz="12" w:space="0" w:color="auto"/>
              <w:bottom w:val="single" w:sz="12" w:space="0" w:color="auto"/>
            </w:tcBorders>
            <w:shd w:val="clear" w:color="auto" w:fill="auto"/>
            <w:vAlign w:val="center"/>
          </w:tcPr>
          <w:p w14:paraId="205DAD0E" w14:textId="77777777" w:rsidR="006F47D4" w:rsidRPr="00FC53AE" w:rsidRDefault="006F47D4" w:rsidP="00144D76">
            <w:pPr>
              <w:jc w:val="right"/>
              <w:rPr>
                <w:b/>
                <w:color w:val="000000" w:themeColor="text1"/>
                <w:sz w:val="16"/>
                <w:szCs w:val="16"/>
              </w:rPr>
            </w:pPr>
            <w:r w:rsidRPr="00FC53AE">
              <w:rPr>
                <w:b/>
                <w:color w:val="000000" w:themeColor="text1"/>
                <w:sz w:val="16"/>
                <w:szCs w:val="16"/>
              </w:rPr>
              <w:t>5.61</w:t>
            </w:r>
          </w:p>
        </w:tc>
        <w:tc>
          <w:tcPr>
            <w:tcW w:w="928" w:type="dxa"/>
            <w:tcBorders>
              <w:top w:val="single" w:sz="12" w:space="0" w:color="auto"/>
              <w:bottom w:val="single" w:sz="12" w:space="0" w:color="auto"/>
            </w:tcBorders>
            <w:shd w:val="clear" w:color="auto" w:fill="FABF8F" w:themeFill="accent6" w:themeFillTint="99"/>
            <w:vAlign w:val="center"/>
          </w:tcPr>
          <w:p w14:paraId="44C4B30C" w14:textId="77777777" w:rsidR="006F47D4" w:rsidRPr="00FC53AE" w:rsidRDefault="006F47D4" w:rsidP="00144D76">
            <w:pPr>
              <w:jc w:val="right"/>
              <w:rPr>
                <w:b/>
                <w:color w:val="000000" w:themeColor="text1"/>
                <w:sz w:val="16"/>
                <w:szCs w:val="16"/>
              </w:rPr>
            </w:pPr>
            <w:r w:rsidRPr="00FC53AE">
              <w:rPr>
                <w:b/>
                <w:color w:val="000000" w:themeColor="text1"/>
                <w:sz w:val="16"/>
                <w:szCs w:val="16"/>
              </w:rPr>
              <w:t>5.26</w:t>
            </w:r>
          </w:p>
        </w:tc>
        <w:tc>
          <w:tcPr>
            <w:tcW w:w="964" w:type="dxa"/>
            <w:tcBorders>
              <w:top w:val="single" w:sz="12" w:space="0" w:color="auto"/>
              <w:bottom w:val="single" w:sz="12" w:space="0" w:color="auto"/>
            </w:tcBorders>
            <w:shd w:val="clear" w:color="auto" w:fill="FBD4B4" w:themeFill="accent6" w:themeFillTint="66"/>
            <w:vAlign w:val="center"/>
          </w:tcPr>
          <w:p w14:paraId="4915BFB5" w14:textId="77777777" w:rsidR="006F47D4" w:rsidRPr="00FC53AE" w:rsidRDefault="006F47D4" w:rsidP="00144D76">
            <w:pPr>
              <w:jc w:val="right"/>
              <w:rPr>
                <w:b/>
                <w:color w:val="000000" w:themeColor="text1"/>
                <w:sz w:val="16"/>
                <w:szCs w:val="16"/>
              </w:rPr>
            </w:pPr>
            <w:r w:rsidRPr="00FC53AE">
              <w:rPr>
                <w:b/>
                <w:color w:val="000000" w:themeColor="text1"/>
                <w:sz w:val="16"/>
                <w:szCs w:val="16"/>
              </w:rPr>
              <w:t>-0.35</w:t>
            </w:r>
          </w:p>
        </w:tc>
      </w:tr>
      <w:tr w:rsidR="00FC53AE" w:rsidRPr="00FC53AE" w14:paraId="0275BB54" w14:textId="77777777" w:rsidTr="00144D76">
        <w:tc>
          <w:tcPr>
            <w:tcW w:w="2663" w:type="dxa"/>
            <w:tcBorders>
              <w:top w:val="nil"/>
              <w:bottom w:val="nil"/>
            </w:tcBorders>
          </w:tcPr>
          <w:p w14:paraId="56B55BE9" w14:textId="77777777" w:rsidR="006F47D4" w:rsidRPr="00FC53AE" w:rsidRDefault="006F47D4" w:rsidP="00144D76">
            <w:pPr>
              <w:rPr>
                <w:color w:val="000000" w:themeColor="text1"/>
                <w:sz w:val="16"/>
              </w:rPr>
            </w:pPr>
          </w:p>
        </w:tc>
        <w:tc>
          <w:tcPr>
            <w:tcW w:w="2705" w:type="dxa"/>
            <w:tcBorders>
              <w:top w:val="nil"/>
              <w:bottom w:val="single" w:sz="4" w:space="0" w:color="auto"/>
            </w:tcBorders>
          </w:tcPr>
          <w:p w14:paraId="0693D7AF" w14:textId="77777777" w:rsidR="006F47D4" w:rsidRPr="00FC53AE" w:rsidRDefault="006F47D4" w:rsidP="00144D76">
            <w:pPr>
              <w:rPr>
                <w:color w:val="000000" w:themeColor="text1"/>
                <w:sz w:val="16"/>
              </w:rPr>
            </w:pPr>
          </w:p>
        </w:tc>
        <w:tc>
          <w:tcPr>
            <w:tcW w:w="928" w:type="dxa"/>
            <w:tcBorders>
              <w:top w:val="single" w:sz="12" w:space="0" w:color="auto"/>
            </w:tcBorders>
            <w:shd w:val="clear" w:color="auto" w:fill="auto"/>
            <w:vAlign w:val="center"/>
          </w:tcPr>
          <w:p w14:paraId="70C60679" w14:textId="77777777" w:rsidR="006F47D4" w:rsidRPr="00FC53AE" w:rsidRDefault="006F47D4" w:rsidP="00144D76">
            <w:pPr>
              <w:jc w:val="right"/>
              <w:rPr>
                <w:color w:val="000000" w:themeColor="text1"/>
                <w:sz w:val="16"/>
                <w:szCs w:val="16"/>
              </w:rPr>
            </w:pPr>
          </w:p>
        </w:tc>
        <w:tc>
          <w:tcPr>
            <w:tcW w:w="928" w:type="dxa"/>
            <w:tcBorders>
              <w:top w:val="single" w:sz="12" w:space="0" w:color="auto"/>
            </w:tcBorders>
            <w:shd w:val="clear" w:color="auto" w:fill="auto"/>
            <w:vAlign w:val="center"/>
          </w:tcPr>
          <w:p w14:paraId="77F34F1B" w14:textId="77777777" w:rsidR="006F47D4" w:rsidRPr="00FC53AE" w:rsidRDefault="006F47D4" w:rsidP="00144D76">
            <w:pPr>
              <w:jc w:val="right"/>
              <w:rPr>
                <w:color w:val="000000" w:themeColor="text1"/>
                <w:sz w:val="16"/>
                <w:szCs w:val="16"/>
              </w:rPr>
            </w:pPr>
          </w:p>
        </w:tc>
        <w:tc>
          <w:tcPr>
            <w:tcW w:w="928" w:type="dxa"/>
            <w:tcBorders>
              <w:top w:val="single" w:sz="12" w:space="0" w:color="auto"/>
            </w:tcBorders>
            <w:shd w:val="clear" w:color="auto" w:fill="FABF8F" w:themeFill="accent6" w:themeFillTint="99"/>
            <w:vAlign w:val="center"/>
          </w:tcPr>
          <w:p w14:paraId="4C2EC874" w14:textId="77777777" w:rsidR="006F47D4" w:rsidRPr="00FC53AE" w:rsidRDefault="006F47D4" w:rsidP="00144D76">
            <w:pPr>
              <w:jc w:val="right"/>
              <w:rPr>
                <w:color w:val="000000" w:themeColor="text1"/>
                <w:sz w:val="16"/>
                <w:szCs w:val="16"/>
              </w:rPr>
            </w:pPr>
          </w:p>
        </w:tc>
        <w:tc>
          <w:tcPr>
            <w:tcW w:w="964" w:type="dxa"/>
            <w:tcBorders>
              <w:top w:val="single" w:sz="12" w:space="0" w:color="auto"/>
            </w:tcBorders>
            <w:shd w:val="clear" w:color="auto" w:fill="FBD4B4" w:themeFill="accent6" w:themeFillTint="66"/>
            <w:vAlign w:val="center"/>
          </w:tcPr>
          <w:p w14:paraId="39CCD78B" w14:textId="77777777" w:rsidR="006F47D4" w:rsidRPr="00FC53AE" w:rsidRDefault="006F47D4" w:rsidP="00144D76">
            <w:pPr>
              <w:jc w:val="center"/>
              <w:rPr>
                <w:color w:val="000000" w:themeColor="text1"/>
                <w:sz w:val="16"/>
                <w:szCs w:val="16"/>
              </w:rPr>
            </w:pPr>
          </w:p>
        </w:tc>
      </w:tr>
      <w:tr w:rsidR="00FC53AE" w:rsidRPr="00FC53AE" w14:paraId="7CCB087D" w14:textId="77777777" w:rsidTr="00144D76">
        <w:tc>
          <w:tcPr>
            <w:tcW w:w="2663" w:type="dxa"/>
            <w:tcBorders>
              <w:top w:val="nil"/>
              <w:bottom w:val="nil"/>
            </w:tcBorders>
          </w:tcPr>
          <w:p w14:paraId="79A03218" w14:textId="77777777" w:rsidR="006F47D4" w:rsidRPr="00FC53AE" w:rsidRDefault="006F47D4" w:rsidP="00144D76">
            <w:pPr>
              <w:rPr>
                <w:color w:val="000000" w:themeColor="text1"/>
                <w:sz w:val="16"/>
              </w:rPr>
            </w:pPr>
          </w:p>
        </w:tc>
        <w:tc>
          <w:tcPr>
            <w:tcW w:w="2705" w:type="dxa"/>
            <w:tcBorders>
              <w:top w:val="single" w:sz="4" w:space="0" w:color="auto"/>
              <w:bottom w:val="single" w:sz="4" w:space="0" w:color="auto"/>
            </w:tcBorders>
          </w:tcPr>
          <w:p w14:paraId="11AEC5D9" w14:textId="77777777" w:rsidR="006F47D4" w:rsidRPr="00FC53AE" w:rsidRDefault="006F47D4" w:rsidP="00144D76">
            <w:pPr>
              <w:rPr>
                <w:color w:val="000000" w:themeColor="text1"/>
                <w:sz w:val="16"/>
              </w:rPr>
            </w:pPr>
            <w:r w:rsidRPr="00FC53AE">
              <w:rPr>
                <w:color w:val="000000" w:themeColor="text1"/>
                <w:sz w:val="16"/>
              </w:rPr>
              <w:t>42 - Ricavi per tasse</w:t>
            </w:r>
          </w:p>
        </w:tc>
        <w:tc>
          <w:tcPr>
            <w:tcW w:w="928" w:type="dxa"/>
            <w:tcBorders>
              <w:top w:val="single" w:sz="4" w:space="0" w:color="auto"/>
              <w:bottom w:val="single" w:sz="4" w:space="0" w:color="auto"/>
            </w:tcBorders>
            <w:shd w:val="clear" w:color="auto" w:fill="auto"/>
            <w:vAlign w:val="center"/>
          </w:tcPr>
          <w:p w14:paraId="78E8DB70" w14:textId="77777777" w:rsidR="006F47D4" w:rsidRPr="00FC53AE" w:rsidRDefault="006F47D4" w:rsidP="00144D76">
            <w:pPr>
              <w:jc w:val="right"/>
              <w:rPr>
                <w:color w:val="000000" w:themeColor="text1"/>
                <w:sz w:val="16"/>
                <w:szCs w:val="16"/>
              </w:rPr>
            </w:pPr>
            <w:r w:rsidRPr="00FC53AE">
              <w:rPr>
                <w:color w:val="000000" w:themeColor="text1"/>
                <w:sz w:val="16"/>
                <w:szCs w:val="16"/>
              </w:rPr>
              <w:t>0.28</w:t>
            </w:r>
          </w:p>
        </w:tc>
        <w:tc>
          <w:tcPr>
            <w:tcW w:w="928" w:type="dxa"/>
            <w:tcBorders>
              <w:top w:val="single" w:sz="4" w:space="0" w:color="auto"/>
              <w:bottom w:val="single" w:sz="4" w:space="0" w:color="auto"/>
            </w:tcBorders>
            <w:shd w:val="clear" w:color="auto" w:fill="auto"/>
            <w:vAlign w:val="center"/>
          </w:tcPr>
          <w:p w14:paraId="18374E14" w14:textId="77777777" w:rsidR="006F47D4" w:rsidRPr="00FC53AE" w:rsidRDefault="006F47D4" w:rsidP="00144D76">
            <w:pPr>
              <w:jc w:val="right"/>
              <w:rPr>
                <w:color w:val="000000" w:themeColor="text1"/>
                <w:sz w:val="16"/>
                <w:szCs w:val="16"/>
              </w:rPr>
            </w:pPr>
            <w:r w:rsidRPr="00FC53AE">
              <w:rPr>
                <w:color w:val="000000" w:themeColor="text1"/>
                <w:sz w:val="16"/>
                <w:szCs w:val="16"/>
              </w:rPr>
              <w:t>0.47</w:t>
            </w:r>
          </w:p>
        </w:tc>
        <w:tc>
          <w:tcPr>
            <w:tcW w:w="928" w:type="dxa"/>
            <w:tcBorders>
              <w:top w:val="single" w:sz="4" w:space="0" w:color="auto"/>
              <w:bottom w:val="single" w:sz="4" w:space="0" w:color="auto"/>
            </w:tcBorders>
            <w:shd w:val="clear" w:color="auto" w:fill="FABF8F" w:themeFill="accent6" w:themeFillTint="99"/>
            <w:vAlign w:val="center"/>
          </w:tcPr>
          <w:p w14:paraId="1CBB0872" w14:textId="77777777" w:rsidR="006F47D4" w:rsidRPr="00FC53AE" w:rsidRDefault="006F47D4" w:rsidP="00144D76">
            <w:pPr>
              <w:jc w:val="right"/>
              <w:rPr>
                <w:color w:val="000000" w:themeColor="text1"/>
                <w:sz w:val="16"/>
                <w:szCs w:val="16"/>
              </w:rPr>
            </w:pPr>
            <w:r w:rsidRPr="00FC53AE">
              <w:rPr>
                <w:color w:val="000000" w:themeColor="text1"/>
                <w:sz w:val="16"/>
                <w:szCs w:val="16"/>
              </w:rPr>
              <w:t>1.00</w:t>
            </w:r>
          </w:p>
        </w:tc>
        <w:tc>
          <w:tcPr>
            <w:tcW w:w="964" w:type="dxa"/>
            <w:tcBorders>
              <w:top w:val="single" w:sz="4" w:space="0" w:color="auto"/>
              <w:bottom w:val="single" w:sz="4" w:space="0" w:color="auto"/>
            </w:tcBorders>
            <w:shd w:val="clear" w:color="auto" w:fill="FBD4B4" w:themeFill="accent6" w:themeFillTint="66"/>
            <w:vAlign w:val="center"/>
          </w:tcPr>
          <w:p w14:paraId="4E3FB336" w14:textId="77777777" w:rsidR="006F47D4" w:rsidRPr="00FC53AE" w:rsidRDefault="006F47D4" w:rsidP="00144D76">
            <w:pPr>
              <w:jc w:val="right"/>
              <w:rPr>
                <w:color w:val="000000" w:themeColor="text1"/>
                <w:sz w:val="16"/>
                <w:szCs w:val="16"/>
              </w:rPr>
            </w:pPr>
            <w:r w:rsidRPr="00FC53AE">
              <w:rPr>
                <w:color w:val="000000" w:themeColor="text1"/>
                <w:sz w:val="16"/>
                <w:szCs w:val="16"/>
              </w:rPr>
              <w:t>0.53</w:t>
            </w:r>
          </w:p>
        </w:tc>
      </w:tr>
      <w:tr w:rsidR="00FC53AE" w:rsidRPr="00FC53AE" w14:paraId="2E5113DA" w14:textId="77777777" w:rsidTr="00144D76">
        <w:tc>
          <w:tcPr>
            <w:tcW w:w="2663" w:type="dxa"/>
            <w:tcBorders>
              <w:top w:val="nil"/>
              <w:bottom w:val="nil"/>
            </w:tcBorders>
          </w:tcPr>
          <w:p w14:paraId="14119681" w14:textId="77777777" w:rsidR="006F47D4" w:rsidRPr="00FC53AE" w:rsidRDefault="006F47D4" w:rsidP="00144D76">
            <w:pPr>
              <w:rPr>
                <w:color w:val="000000" w:themeColor="text1"/>
                <w:sz w:val="16"/>
              </w:rPr>
            </w:pPr>
          </w:p>
        </w:tc>
        <w:tc>
          <w:tcPr>
            <w:tcW w:w="2705" w:type="dxa"/>
            <w:tcBorders>
              <w:top w:val="single" w:sz="4" w:space="0" w:color="auto"/>
              <w:bottom w:val="single" w:sz="12" w:space="0" w:color="auto"/>
            </w:tcBorders>
          </w:tcPr>
          <w:p w14:paraId="01C78658" w14:textId="77777777" w:rsidR="006F47D4" w:rsidRPr="00FC53AE" w:rsidRDefault="006F47D4" w:rsidP="00144D76">
            <w:pPr>
              <w:rPr>
                <w:color w:val="000000" w:themeColor="text1"/>
                <w:sz w:val="16"/>
              </w:rPr>
            </w:pPr>
            <w:r w:rsidRPr="00FC53AE">
              <w:rPr>
                <w:color w:val="000000" w:themeColor="text1"/>
                <w:sz w:val="16"/>
              </w:rPr>
              <w:t>463 - Contributi di enti pubblici e terzi</w:t>
            </w:r>
          </w:p>
        </w:tc>
        <w:tc>
          <w:tcPr>
            <w:tcW w:w="928" w:type="dxa"/>
            <w:tcBorders>
              <w:top w:val="single" w:sz="4" w:space="0" w:color="auto"/>
              <w:bottom w:val="single" w:sz="12" w:space="0" w:color="auto"/>
            </w:tcBorders>
            <w:shd w:val="clear" w:color="auto" w:fill="auto"/>
            <w:vAlign w:val="center"/>
          </w:tcPr>
          <w:p w14:paraId="5E798947" w14:textId="77777777" w:rsidR="006F47D4" w:rsidRPr="00FC53AE" w:rsidRDefault="006F47D4" w:rsidP="00144D76">
            <w:pPr>
              <w:jc w:val="right"/>
              <w:rPr>
                <w:color w:val="000000" w:themeColor="text1"/>
                <w:sz w:val="16"/>
                <w:szCs w:val="16"/>
              </w:rPr>
            </w:pPr>
            <w:r w:rsidRPr="00FC53AE">
              <w:rPr>
                <w:color w:val="000000" w:themeColor="text1"/>
                <w:sz w:val="16"/>
                <w:szCs w:val="16"/>
              </w:rPr>
              <w:t>0.18</w:t>
            </w:r>
          </w:p>
        </w:tc>
        <w:tc>
          <w:tcPr>
            <w:tcW w:w="928" w:type="dxa"/>
            <w:tcBorders>
              <w:top w:val="single" w:sz="4" w:space="0" w:color="auto"/>
              <w:bottom w:val="single" w:sz="12" w:space="0" w:color="auto"/>
            </w:tcBorders>
            <w:shd w:val="clear" w:color="auto" w:fill="auto"/>
            <w:vAlign w:val="center"/>
          </w:tcPr>
          <w:p w14:paraId="7794422F" w14:textId="77777777" w:rsidR="006F47D4" w:rsidRPr="00FC53AE" w:rsidRDefault="006F47D4" w:rsidP="00144D76">
            <w:pPr>
              <w:jc w:val="right"/>
              <w:rPr>
                <w:color w:val="000000" w:themeColor="text1"/>
                <w:sz w:val="16"/>
                <w:szCs w:val="16"/>
              </w:rPr>
            </w:pPr>
            <w:r w:rsidRPr="00FC53AE">
              <w:rPr>
                <w:color w:val="000000" w:themeColor="text1"/>
                <w:sz w:val="16"/>
                <w:szCs w:val="16"/>
              </w:rPr>
              <w:t>-</w:t>
            </w:r>
          </w:p>
        </w:tc>
        <w:tc>
          <w:tcPr>
            <w:tcW w:w="928" w:type="dxa"/>
            <w:tcBorders>
              <w:top w:val="single" w:sz="4" w:space="0" w:color="auto"/>
              <w:bottom w:val="single" w:sz="12" w:space="0" w:color="auto"/>
            </w:tcBorders>
            <w:shd w:val="clear" w:color="auto" w:fill="FABF8F" w:themeFill="accent6" w:themeFillTint="99"/>
            <w:vAlign w:val="center"/>
          </w:tcPr>
          <w:p w14:paraId="0DBBEA4E" w14:textId="77777777" w:rsidR="006F47D4" w:rsidRPr="00FC53AE" w:rsidRDefault="006F47D4" w:rsidP="00144D76">
            <w:pPr>
              <w:jc w:val="right"/>
              <w:rPr>
                <w:color w:val="000000" w:themeColor="text1"/>
                <w:sz w:val="16"/>
                <w:szCs w:val="16"/>
              </w:rPr>
            </w:pPr>
            <w:r w:rsidRPr="00FC53AE">
              <w:rPr>
                <w:color w:val="000000" w:themeColor="text1"/>
                <w:sz w:val="16"/>
                <w:szCs w:val="16"/>
              </w:rPr>
              <w:t>-</w:t>
            </w:r>
          </w:p>
        </w:tc>
        <w:tc>
          <w:tcPr>
            <w:tcW w:w="964" w:type="dxa"/>
            <w:tcBorders>
              <w:top w:val="single" w:sz="4" w:space="0" w:color="auto"/>
              <w:bottom w:val="single" w:sz="12" w:space="0" w:color="auto"/>
            </w:tcBorders>
            <w:shd w:val="clear" w:color="auto" w:fill="FBD4B4" w:themeFill="accent6" w:themeFillTint="66"/>
            <w:vAlign w:val="center"/>
          </w:tcPr>
          <w:p w14:paraId="7D187518" w14:textId="77777777" w:rsidR="006F47D4" w:rsidRPr="00FC53AE" w:rsidRDefault="006F47D4" w:rsidP="00144D76">
            <w:pPr>
              <w:jc w:val="right"/>
              <w:rPr>
                <w:color w:val="000000" w:themeColor="text1"/>
                <w:sz w:val="16"/>
                <w:szCs w:val="16"/>
              </w:rPr>
            </w:pPr>
            <w:r w:rsidRPr="00FC53AE">
              <w:rPr>
                <w:color w:val="000000" w:themeColor="text1"/>
                <w:sz w:val="16"/>
                <w:szCs w:val="16"/>
              </w:rPr>
              <w:t>-</w:t>
            </w:r>
          </w:p>
        </w:tc>
      </w:tr>
    </w:tbl>
    <w:p w14:paraId="77736F07" w14:textId="77777777" w:rsidR="006F47D4" w:rsidRPr="00FC53AE" w:rsidRDefault="00ED064C"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 xml:space="preserve">Fonte: Messaggio n. 8562, pag. </w:t>
      </w:r>
      <w:r w:rsidR="00450E21" w:rsidRPr="00FC53AE">
        <w:rPr>
          <w:rFonts w:eastAsia="Calibri" w:cs="Arial"/>
          <w:color w:val="000000" w:themeColor="text1"/>
        </w:rPr>
        <w:t>11</w:t>
      </w:r>
      <w:r w:rsidRPr="00FC53AE">
        <w:rPr>
          <w:rFonts w:eastAsia="Calibri" w:cs="Arial"/>
          <w:color w:val="000000" w:themeColor="text1"/>
        </w:rPr>
        <w:t xml:space="preserve"> </w:t>
      </w:r>
    </w:p>
    <w:p w14:paraId="227761C5" w14:textId="77777777" w:rsidR="006F47D4" w:rsidRPr="00FC53AE" w:rsidRDefault="006F47D4">
      <w:pPr>
        <w:rPr>
          <w:rFonts w:eastAsia="Calibri" w:cs="Arial"/>
          <w:color w:val="000000" w:themeColor="text1"/>
          <w:sz w:val="24"/>
          <w:szCs w:val="24"/>
        </w:rPr>
      </w:pPr>
    </w:p>
    <w:p w14:paraId="58EE90B7" w14:textId="77777777" w:rsidR="000B1ECA" w:rsidRPr="00FC53AE" w:rsidRDefault="000B1ECA">
      <w:pPr>
        <w:rPr>
          <w:rFonts w:eastAsia="Calibri" w:cs="Arial"/>
          <w:color w:val="000000" w:themeColor="text1"/>
          <w:sz w:val="24"/>
          <w:szCs w:val="24"/>
        </w:rPr>
      </w:pPr>
    </w:p>
    <w:p w14:paraId="5332A7A1" w14:textId="77777777" w:rsidR="000B1ECA" w:rsidRPr="00FC53AE" w:rsidRDefault="000B1ECA" w:rsidP="00C30F79">
      <w:pPr>
        <w:rPr>
          <w:rFonts w:eastAsia="Calibri" w:cs="Arial"/>
          <w:b/>
          <w:bCs/>
          <w:i/>
          <w:iCs/>
          <w:color w:val="000000" w:themeColor="text1"/>
          <w:sz w:val="24"/>
          <w:szCs w:val="24"/>
          <w:u w:val="single"/>
        </w:rPr>
      </w:pPr>
      <w:r w:rsidRPr="00FC53AE">
        <w:rPr>
          <w:rFonts w:eastAsia="Calibri" w:cs="Arial"/>
          <w:b/>
          <w:bCs/>
          <w:i/>
          <w:iCs/>
          <w:color w:val="000000" w:themeColor="text1"/>
          <w:sz w:val="24"/>
          <w:szCs w:val="24"/>
          <w:u w:val="single"/>
        </w:rPr>
        <w:t>Spese del personale</w:t>
      </w:r>
    </w:p>
    <w:p w14:paraId="59559B96" w14:textId="77777777" w:rsidR="006F47D4" w:rsidRPr="00FC53AE" w:rsidRDefault="00AC1D16" w:rsidP="00AC1D16">
      <w:pPr>
        <w:autoSpaceDE w:val="0"/>
        <w:autoSpaceDN w:val="0"/>
        <w:adjustRightInd w:val="0"/>
        <w:spacing w:before="120" w:after="120"/>
        <w:rPr>
          <w:rFonts w:eastAsia="Calibri" w:cs="Arial"/>
          <w:color w:val="000000" w:themeColor="text1"/>
          <w:sz w:val="24"/>
          <w:szCs w:val="24"/>
        </w:rPr>
      </w:pPr>
      <w:r w:rsidRPr="00FC53AE">
        <w:rPr>
          <w:rFonts w:eastAsia="Calibri" w:cs="Arial"/>
          <w:color w:val="000000" w:themeColor="text1"/>
          <w:sz w:val="24"/>
          <w:szCs w:val="24"/>
        </w:rPr>
        <w:t>La voce relativa al</w:t>
      </w:r>
      <w:r w:rsidR="006F47D4" w:rsidRPr="00FC53AE">
        <w:rPr>
          <w:rFonts w:eastAsia="Calibri" w:cs="Arial"/>
          <w:color w:val="000000" w:themeColor="text1"/>
          <w:sz w:val="24"/>
          <w:szCs w:val="24"/>
        </w:rPr>
        <w:t xml:space="preserve"> personale presenta il seguente avanzamento: </w:t>
      </w:r>
    </w:p>
    <w:tbl>
      <w:tblPr>
        <w:tblStyle w:val="Stile2"/>
        <w:tblW w:w="9072" w:type="dxa"/>
        <w:tblInd w:w="113" w:type="dxa"/>
        <w:tblLayout w:type="fixed"/>
        <w:tblLook w:val="04A0" w:firstRow="1" w:lastRow="0" w:firstColumn="1" w:lastColumn="0" w:noHBand="0" w:noVBand="1"/>
      </w:tblPr>
      <w:tblGrid>
        <w:gridCol w:w="2692"/>
        <w:gridCol w:w="2712"/>
        <w:gridCol w:w="917"/>
        <w:gridCol w:w="917"/>
        <w:gridCol w:w="917"/>
        <w:gridCol w:w="917"/>
      </w:tblGrid>
      <w:tr w:rsidR="00FC53AE" w:rsidRPr="00FC53AE" w14:paraId="1C05D94C" w14:textId="77777777" w:rsidTr="00144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2" w:type="dxa"/>
            <w:vMerge w:val="restart"/>
          </w:tcPr>
          <w:p w14:paraId="443EAA00" w14:textId="77777777" w:rsidR="006F47D4" w:rsidRPr="00FC53AE" w:rsidRDefault="006F47D4" w:rsidP="00144D76">
            <w:pPr>
              <w:tabs>
                <w:tab w:val="left" w:pos="561"/>
              </w:tabs>
              <w:rPr>
                <w:color w:val="000000" w:themeColor="text1"/>
                <w:sz w:val="16"/>
                <w:szCs w:val="16"/>
              </w:rPr>
            </w:pPr>
            <w:r w:rsidRPr="00FC53AE">
              <w:rPr>
                <w:b w:val="0"/>
                <w:color w:val="000000" w:themeColor="text1"/>
                <w:sz w:val="16"/>
                <w:szCs w:val="16"/>
              </w:rPr>
              <w:br w:type="page"/>
            </w:r>
            <w:r w:rsidRPr="00FC53AE">
              <w:rPr>
                <w:color w:val="000000" w:themeColor="text1"/>
                <w:sz w:val="16"/>
                <w:szCs w:val="16"/>
              </w:rPr>
              <w:t>Dati sul personale</w:t>
            </w:r>
          </w:p>
        </w:tc>
        <w:tc>
          <w:tcPr>
            <w:tcW w:w="2712" w:type="dxa"/>
            <w:tcBorders>
              <w:bottom w:val="single" w:sz="2" w:space="0" w:color="auto"/>
            </w:tcBorders>
            <w:vAlign w:val="center"/>
          </w:tcPr>
          <w:p w14:paraId="330C9A0B" w14:textId="77777777" w:rsidR="006F47D4" w:rsidRPr="00FC53AE" w:rsidRDefault="006F47D4" w:rsidP="00144D76">
            <w:pPr>
              <w:jc w:val="center"/>
              <w:cnfStyle w:val="100000000000" w:firstRow="1" w:lastRow="0" w:firstColumn="0" w:lastColumn="0" w:oddVBand="0" w:evenVBand="0" w:oddHBand="0" w:evenHBand="0" w:firstRowFirstColumn="0" w:firstRowLastColumn="0" w:lastRowFirstColumn="0" w:lastRowLastColumn="0"/>
              <w:rPr>
                <w:color w:val="000000" w:themeColor="text1"/>
                <w:sz w:val="16"/>
              </w:rPr>
            </w:pPr>
          </w:p>
        </w:tc>
        <w:tc>
          <w:tcPr>
            <w:tcW w:w="917" w:type="dxa"/>
            <w:tcBorders>
              <w:bottom w:val="single" w:sz="2" w:space="0" w:color="auto"/>
            </w:tcBorders>
            <w:shd w:val="clear" w:color="auto" w:fill="auto"/>
            <w:vAlign w:val="center"/>
          </w:tcPr>
          <w:p w14:paraId="057E5BE3"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color w:val="000000" w:themeColor="text1"/>
                <w:sz w:val="12"/>
                <w:szCs w:val="12"/>
              </w:rPr>
            </w:pPr>
            <w:r w:rsidRPr="00FC53AE">
              <w:rPr>
                <w:color w:val="000000" w:themeColor="text1"/>
                <w:sz w:val="12"/>
                <w:szCs w:val="12"/>
              </w:rPr>
              <w:t>2021</w:t>
            </w:r>
          </w:p>
        </w:tc>
        <w:tc>
          <w:tcPr>
            <w:tcW w:w="917" w:type="dxa"/>
            <w:tcBorders>
              <w:bottom w:val="single" w:sz="2" w:space="0" w:color="auto"/>
            </w:tcBorders>
            <w:shd w:val="clear" w:color="auto" w:fill="auto"/>
            <w:vAlign w:val="center"/>
          </w:tcPr>
          <w:p w14:paraId="5B97B64E"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color w:val="000000" w:themeColor="text1"/>
                <w:sz w:val="12"/>
                <w:szCs w:val="12"/>
              </w:rPr>
            </w:pPr>
            <w:r w:rsidRPr="00FC53AE">
              <w:rPr>
                <w:color w:val="000000" w:themeColor="text1"/>
                <w:sz w:val="12"/>
                <w:szCs w:val="12"/>
              </w:rPr>
              <w:t>2022</w:t>
            </w:r>
          </w:p>
        </w:tc>
        <w:tc>
          <w:tcPr>
            <w:tcW w:w="917" w:type="dxa"/>
            <w:tcBorders>
              <w:bottom w:val="single" w:sz="2" w:space="0" w:color="auto"/>
            </w:tcBorders>
            <w:shd w:val="clear" w:color="auto" w:fill="auto"/>
            <w:vAlign w:val="center"/>
          </w:tcPr>
          <w:p w14:paraId="6639B9EE"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color w:val="000000" w:themeColor="text1"/>
                <w:sz w:val="12"/>
                <w:szCs w:val="12"/>
              </w:rPr>
            </w:pPr>
            <w:r w:rsidRPr="00FC53AE">
              <w:rPr>
                <w:color w:val="000000" w:themeColor="text1"/>
                <w:sz w:val="12"/>
                <w:szCs w:val="12"/>
              </w:rPr>
              <w:t>2023</w:t>
            </w:r>
          </w:p>
        </w:tc>
        <w:tc>
          <w:tcPr>
            <w:tcW w:w="917" w:type="dxa"/>
            <w:tcBorders>
              <w:bottom w:val="single" w:sz="2" w:space="0" w:color="auto"/>
            </w:tcBorders>
            <w:shd w:val="clear" w:color="auto" w:fill="auto"/>
            <w:vAlign w:val="center"/>
          </w:tcPr>
          <w:p w14:paraId="4F9ED95E" w14:textId="77777777" w:rsidR="006F47D4" w:rsidRPr="00FC53AE" w:rsidRDefault="006F47D4" w:rsidP="00144D76">
            <w:pPr>
              <w:jc w:val="right"/>
              <w:cnfStyle w:val="100000000000" w:firstRow="1" w:lastRow="0" w:firstColumn="0" w:lastColumn="0" w:oddVBand="0" w:evenVBand="0" w:oddHBand="0" w:evenHBand="0" w:firstRowFirstColumn="0" w:firstRowLastColumn="0" w:lastRowFirstColumn="0" w:lastRowLastColumn="0"/>
              <w:rPr>
                <w:color w:val="000000" w:themeColor="text1"/>
                <w:sz w:val="12"/>
                <w:szCs w:val="12"/>
              </w:rPr>
            </w:pPr>
            <w:r w:rsidRPr="00FC53AE">
              <w:rPr>
                <w:color w:val="000000" w:themeColor="text1"/>
                <w:sz w:val="12"/>
                <w:szCs w:val="12"/>
              </w:rPr>
              <w:t>2024</w:t>
            </w:r>
          </w:p>
        </w:tc>
      </w:tr>
      <w:tr w:rsidR="00FC53AE" w:rsidRPr="00FC53AE" w14:paraId="674B7752" w14:textId="77777777" w:rsidTr="00144D76">
        <w:tc>
          <w:tcPr>
            <w:cnfStyle w:val="001000000000" w:firstRow="0" w:lastRow="0" w:firstColumn="1" w:lastColumn="0" w:oddVBand="0" w:evenVBand="0" w:oddHBand="0" w:evenHBand="0" w:firstRowFirstColumn="0" w:firstRowLastColumn="0" w:lastRowFirstColumn="0" w:lastRowLastColumn="0"/>
            <w:tcW w:w="2692" w:type="dxa"/>
            <w:vMerge/>
          </w:tcPr>
          <w:p w14:paraId="276DEC89" w14:textId="77777777" w:rsidR="006F47D4" w:rsidRPr="00FC53AE" w:rsidRDefault="006F47D4" w:rsidP="00144D76">
            <w:pPr>
              <w:tabs>
                <w:tab w:val="left" w:pos="561"/>
              </w:tabs>
              <w:rPr>
                <w:color w:val="000000" w:themeColor="text1"/>
                <w:sz w:val="16"/>
                <w:szCs w:val="16"/>
              </w:rPr>
            </w:pPr>
          </w:p>
        </w:tc>
        <w:tc>
          <w:tcPr>
            <w:tcW w:w="2712" w:type="dxa"/>
            <w:tcBorders>
              <w:top w:val="single" w:sz="2" w:space="0" w:color="auto"/>
              <w:bottom w:val="single" w:sz="2" w:space="0" w:color="auto"/>
            </w:tcBorders>
            <w:vAlign w:val="center"/>
          </w:tcPr>
          <w:p w14:paraId="3F1818E3"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b/>
                <w:color w:val="000000" w:themeColor="text1"/>
                <w:sz w:val="16"/>
              </w:rPr>
            </w:pPr>
            <w:r w:rsidRPr="00FC53AE">
              <w:rPr>
                <w:b/>
                <w:color w:val="000000" w:themeColor="text1"/>
                <w:sz w:val="16"/>
              </w:rPr>
              <w:t>PPA attribuite</w:t>
            </w:r>
          </w:p>
        </w:tc>
        <w:tc>
          <w:tcPr>
            <w:tcW w:w="917" w:type="dxa"/>
            <w:tcBorders>
              <w:top w:val="single" w:sz="2" w:space="0" w:color="auto"/>
              <w:bottom w:val="single" w:sz="2" w:space="0" w:color="auto"/>
            </w:tcBorders>
            <w:shd w:val="clear" w:color="auto" w:fill="auto"/>
          </w:tcPr>
          <w:p w14:paraId="1A7FA37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18.90</w:t>
            </w:r>
          </w:p>
        </w:tc>
        <w:tc>
          <w:tcPr>
            <w:tcW w:w="917" w:type="dxa"/>
            <w:tcBorders>
              <w:top w:val="single" w:sz="2" w:space="0" w:color="auto"/>
              <w:bottom w:val="single" w:sz="2" w:space="0" w:color="auto"/>
            </w:tcBorders>
            <w:shd w:val="clear" w:color="auto" w:fill="auto"/>
          </w:tcPr>
          <w:p w14:paraId="2DAFE93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19.90</w:t>
            </w:r>
          </w:p>
        </w:tc>
        <w:tc>
          <w:tcPr>
            <w:tcW w:w="917" w:type="dxa"/>
            <w:tcBorders>
              <w:top w:val="single" w:sz="2" w:space="0" w:color="auto"/>
              <w:bottom w:val="single" w:sz="2" w:space="0" w:color="auto"/>
            </w:tcBorders>
            <w:shd w:val="clear" w:color="auto" w:fill="auto"/>
          </w:tcPr>
          <w:p w14:paraId="5093F2D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20.50</w:t>
            </w:r>
          </w:p>
        </w:tc>
        <w:tc>
          <w:tcPr>
            <w:tcW w:w="917" w:type="dxa"/>
            <w:tcBorders>
              <w:top w:val="single" w:sz="2" w:space="0" w:color="auto"/>
              <w:bottom w:val="single" w:sz="2" w:space="0" w:color="auto"/>
            </w:tcBorders>
            <w:shd w:val="clear" w:color="auto" w:fill="auto"/>
          </w:tcPr>
          <w:p w14:paraId="56D93ECF"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20.50</w:t>
            </w:r>
          </w:p>
        </w:tc>
      </w:tr>
      <w:tr w:rsidR="00FC53AE" w:rsidRPr="00FC53AE" w14:paraId="413E5E77" w14:textId="77777777" w:rsidTr="00144D76">
        <w:tc>
          <w:tcPr>
            <w:cnfStyle w:val="001000000000" w:firstRow="0" w:lastRow="0" w:firstColumn="1" w:lastColumn="0" w:oddVBand="0" w:evenVBand="0" w:oddHBand="0" w:evenHBand="0" w:firstRowFirstColumn="0" w:firstRowLastColumn="0" w:lastRowFirstColumn="0" w:lastRowLastColumn="0"/>
            <w:tcW w:w="2692" w:type="dxa"/>
            <w:vMerge/>
          </w:tcPr>
          <w:p w14:paraId="552D62C0" w14:textId="77777777" w:rsidR="006F47D4" w:rsidRPr="00FC53AE" w:rsidRDefault="006F47D4" w:rsidP="00144D76">
            <w:pPr>
              <w:tabs>
                <w:tab w:val="left" w:pos="561"/>
              </w:tabs>
              <w:rPr>
                <w:color w:val="000000" w:themeColor="text1"/>
                <w:sz w:val="16"/>
                <w:szCs w:val="16"/>
              </w:rPr>
            </w:pPr>
          </w:p>
        </w:tc>
        <w:tc>
          <w:tcPr>
            <w:tcW w:w="2712" w:type="dxa"/>
            <w:tcBorders>
              <w:top w:val="single" w:sz="2" w:space="0" w:color="auto"/>
              <w:bottom w:val="single" w:sz="2" w:space="0" w:color="auto"/>
            </w:tcBorders>
            <w:shd w:val="clear" w:color="auto" w:fill="FFFFFF" w:themeFill="background1"/>
            <w:vAlign w:val="center"/>
          </w:tcPr>
          <w:p w14:paraId="4932310C"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b/>
                <w:color w:val="000000" w:themeColor="text1"/>
                <w:sz w:val="16"/>
              </w:rPr>
            </w:pPr>
          </w:p>
        </w:tc>
        <w:tc>
          <w:tcPr>
            <w:tcW w:w="917" w:type="dxa"/>
            <w:tcBorders>
              <w:top w:val="single" w:sz="2" w:space="0" w:color="auto"/>
              <w:bottom w:val="single" w:sz="2" w:space="0" w:color="auto"/>
            </w:tcBorders>
            <w:shd w:val="clear" w:color="auto" w:fill="auto"/>
            <w:vAlign w:val="center"/>
          </w:tcPr>
          <w:p w14:paraId="2590764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917" w:type="dxa"/>
            <w:tcBorders>
              <w:top w:val="single" w:sz="2" w:space="0" w:color="auto"/>
              <w:bottom w:val="single" w:sz="2" w:space="0" w:color="auto"/>
            </w:tcBorders>
            <w:shd w:val="clear" w:color="auto" w:fill="auto"/>
            <w:vAlign w:val="center"/>
          </w:tcPr>
          <w:p w14:paraId="321617E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917" w:type="dxa"/>
            <w:tcBorders>
              <w:top w:val="single" w:sz="2" w:space="0" w:color="auto"/>
              <w:bottom w:val="single" w:sz="2" w:space="0" w:color="auto"/>
            </w:tcBorders>
            <w:shd w:val="clear" w:color="auto" w:fill="auto"/>
            <w:vAlign w:val="center"/>
          </w:tcPr>
          <w:p w14:paraId="149F9C7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c>
          <w:tcPr>
            <w:tcW w:w="917" w:type="dxa"/>
            <w:tcBorders>
              <w:top w:val="single" w:sz="2" w:space="0" w:color="auto"/>
              <w:bottom w:val="single" w:sz="2" w:space="0" w:color="auto"/>
            </w:tcBorders>
            <w:shd w:val="clear" w:color="auto" w:fill="auto"/>
            <w:vAlign w:val="center"/>
          </w:tcPr>
          <w:p w14:paraId="4A412BE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p>
        </w:tc>
      </w:tr>
      <w:tr w:rsidR="00FC53AE" w:rsidRPr="00FC53AE" w14:paraId="69A758BA" w14:textId="77777777" w:rsidTr="00144D76">
        <w:tc>
          <w:tcPr>
            <w:cnfStyle w:val="001000000000" w:firstRow="0" w:lastRow="0" w:firstColumn="1" w:lastColumn="0" w:oddVBand="0" w:evenVBand="0" w:oddHBand="0" w:evenHBand="0" w:firstRowFirstColumn="0" w:firstRowLastColumn="0" w:lastRowFirstColumn="0" w:lastRowLastColumn="0"/>
            <w:tcW w:w="2692" w:type="dxa"/>
            <w:vMerge/>
          </w:tcPr>
          <w:p w14:paraId="10BAC663" w14:textId="77777777" w:rsidR="006F47D4" w:rsidRPr="00FC53AE" w:rsidRDefault="006F47D4" w:rsidP="00144D76">
            <w:pPr>
              <w:tabs>
                <w:tab w:val="left" w:pos="561"/>
              </w:tabs>
              <w:rPr>
                <w:color w:val="000000" w:themeColor="text1"/>
                <w:sz w:val="16"/>
                <w:szCs w:val="16"/>
              </w:rPr>
            </w:pPr>
          </w:p>
        </w:tc>
        <w:tc>
          <w:tcPr>
            <w:tcW w:w="2712" w:type="dxa"/>
            <w:tcBorders>
              <w:top w:val="single" w:sz="2" w:space="0" w:color="auto"/>
            </w:tcBorders>
            <w:vAlign w:val="center"/>
          </w:tcPr>
          <w:p w14:paraId="68597E8E"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b/>
                <w:color w:val="000000" w:themeColor="text1"/>
                <w:sz w:val="16"/>
              </w:rPr>
            </w:pPr>
            <w:r w:rsidRPr="00FC53AE">
              <w:rPr>
                <w:b/>
                <w:color w:val="000000" w:themeColor="text1"/>
                <w:sz w:val="16"/>
              </w:rPr>
              <w:t>Occupazione</w:t>
            </w:r>
          </w:p>
        </w:tc>
        <w:tc>
          <w:tcPr>
            <w:tcW w:w="917" w:type="dxa"/>
            <w:tcBorders>
              <w:top w:val="single" w:sz="2" w:space="0" w:color="auto"/>
            </w:tcBorders>
            <w:shd w:val="clear" w:color="auto" w:fill="auto"/>
          </w:tcPr>
          <w:p w14:paraId="4C590F7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25.20</w:t>
            </w:r>
          </w:p>
        </w:tc>
        <w:tc>
          <w:tcPr>
            <w:tcW w:w="917" w:type="dxa"/>
            <w:tcBorders>
              <w:top w:val="single" w:sz="2" w:space="0" w:color="auto"/>
            </w:tcBorders>
            <w:shd w:val="clear" w:color="auto" w:fill="auto"/>
          </w:tcPr>
          <w:p w14:paraId="0FB20D36"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22.20</w:t>
            </w:r>
          </w:p>
        </w:tc>
        <w:tc>
          <w:tcPr>
            <w:tcW w:w="917" w:type="dxa"/>
            <w:tcBorders>
              <w:top w:val="single" w:sz="2" w:space="0" w:color="auto"/>
            </w:tcBorders>
            <w:shd w:val="clear" w:color="auto" w:fill="auto"/>
          </w:tcPr>
          <w:p w14:paraId="3CB19C1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19.70</w:t>
            </w:r>
          </w:p>
        </w:tc>
        <w:tc>
          <w:tcPr>
            <w:tcW w:w="917" w:type="dxa"/>
            <w:tcBorders>
              <w:top w:val="single" w:sz="2" w:space="0" w:color="auto"/>
            </w:tcBorders>
            <w:shd w:val="clear" w:color="auto" w:fill="auto"/>
          </w:tcPr>
          <w:p w14:paraId="04BD350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b/>
                <w:color w:val="000000" w:themeColor="text1"/>
                <w:sz w:val="16"/>
                <w:szCs w:val="16"/>
              </w:rPr>
            </w:pPr>
            <w:r w:rsidRPr="00FC53AE">
              <w:rPr>
                <w:b/>
                <w:color w:val="000000" w:themeColor="text1"/>
                <w:sz w:val="16"/>
                <w:szCs w:val="16"/>
              </w:rPr>
              <w:t>20.00</w:t>
            </w:r>
          </w:p>
        </w:tc>
      </w:tr>
      <w:tr w:rsidR="00FC53AE" w:rsidRPr="00FC53AE" w14:paraId="2101AC87" w14:textId="77777777" w:rsidTr="00144D76">
        <w:tc>
          <w:tcPr>
            <w:cnfStyle w:val="001000000000" w:firstRow="0" w:lastRow="0" w:firstColumn="1" w:lastColumn="0" w:oddVBand="0" w:evenVBand="0" w:oddHBand="0" w:evenHBand="0" w:firstRowFirstColumn="0" w:firstRowLastColumn="0" w:lastRowFirstColumn="0" w:lastRowLastColumn="0"/>
            <w:tcW w:w="2692" w:type="dxa"/>
            <w:vMerge/>
          </w:tcPr>
          <w:p w14:paraId="5403D0F4" w14:textId="77777777" w:rsidR="006F47D4" w:rsidRPr="00FC53AE" w:rsidRDefault="006F47D4" w:rsidP="00144D76">
            <w:pPr>
              <w:tabs>
                <w:tab w:val="left" w:pos="561"/>
              </w:tabs>
              <w:rPr>
                <w:color w:val="000000" w:themeColor="text1"/>
                <w:sz w:val="16"/>
                <w:szCs w:val="16"/>
              </w:rPr>
            </w:pPr>
          </w:p>
        </w:tc>
        <w:tc>
          <w:tcPr>
            <w:tcW w:w="2712" w:type="dxa"/>
            <w:vAlign w:val="center"/>
          </w:tcPr>
          <w:p w14:paraId="3174045F"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rPr>
            </w:pPr>
            <w:r w:rsidRPr="00FC53AE">
              <w:rPr>
                <w:color w:val="000000" w:themeColor="text1"/>
                <w:sz w:val="16"/>
              </w:rPr>
              <w:t>PPA</w:t>
            </w:r>
          </w:p>
        </w:tc>
        <w:tc>
          <w:tcPr>
            <w:tcW w:w="917" w:type="dxa"/>
            <w:shd w:val="clear" w:color="auto" w:fill="auto"/>
          </w:tcPr>
          <w:p w14:paraId="4AD88149"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18.90</w:t>
            </w:r>
          </w:p>
        </w:tc>
        <w:tc>
          <w:tcPr>
            <w:tcW w:w="917" w:type="dxa"/>
            <w:shd w:val="clear" w:color="auto" w:fill="auto"/>
          </w:tcPr>
          <w:p w14:paraId="6EE4A00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19.90</w:t>
            </w:r>
          </w:p>
        </w:tc>
        <w:tc>
          <w:tcPr>
            <w:tcW w:w="917" w:type="dxa"/>
            <w:shd w:val="clear" w:color="auto" w:fill="auto"/>
          </w:tcPr>
          <w:p w14:paraId="53DB92C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19.70</w:t>
            </w:r>
          </w:p>
        </w:tc>
        <w:tc>
          <w:tcPr>
            <w:tcW w:w="917" w:type="dxa"/>
            <w:shd w:val="clear" w:color="auto" w:fill="auto"/>
          </w:tcPr>
          <w:p w14:paraId="299A56D3"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20.00</w:t>
            </w:r>
          </w:p>
        </w:tc>
      </w:tr>
      <w:tr w:rsidR="00FC53AE" w:rsidRPr="00FC53AE" w14:paraId="60CD04C0" w14:textId="77777777" w:rsidTr="00144D76">
        <w:tc>
          <w:tcPr>
            <w:cnfStyle w:val="001000000000" w:firstRow="0" w:lastRow="0" w:firstColumn="1" w:lastColumn="0" w:oddVBand="0" w:evenVBand="0" w:oddHBand="0" w:evenHBand="0" w:firstRowFirstColumn="0" w:firstRowLastColumn="0" w:lastRowFirstColumn="0" w:lastRowLastColumn="0"/>
            <w:tcW w:w="2692" w:type="dxa"/>
            <w:vMerge/>
          </w:tcPr>
          <w:p w14:paraId="584482A5" w14:textId="77777777" w:rsidR="006F47D4" w:rsidRPr="00FC53AE" w:rsidRDefault="006F47D4" w:rsidP="00144D76">
            <w:pPr>
              <w:tabs>
                <w:tab w:val="left" w:pos="561"/>
              </w:tabs>
              <w:rPr>
                <w:color w:val="000000" w:themeColor="text1"/>
                <w:sz w:val="16"/>
                <w:szCs w:val="16"/>
              </w:rPr>
            </w:pPr>
          </w:p>
        </w:tc>
        <w:tc>
          <w:tcPr>
            <w:tcW w:w="2712" w:type="dxa"/>
            <w:tcBorders>
              <w:bottom w:val="single" w:sz="2" w:space="0" w:color="auto"/>
            </w:tcBorders>
            <w:vAlign w:val="center"/>
          </w:tcPr>
          <w:p w14:paraId="5754D858"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rPr>
            </w:pPr>
            <w:r w:rsidRPr="00FC53AE">
              <w:rPr>
                <w:color w:val="000000" w:themeColor="text1"/>
                <w:sz w:val="16"/>
              </w:rPr>
              <w:t>Congedi non pagati</w:t>
            </w:r>
          </w:p>
        </w:tc>
        <w:tc>
          <w:tcPr>
            <w:tcW w:w="917" w:type="dxa"/>
            <w:tcBorders>
              <w:bottom w:val="single" w:sz="2" w:space="0" w:color="auto"/>
            </w:tcBorders>
            <w:shd w:val="clear" w:color="auto" w:fill="auto"/>
          </w:tcPr>
          <w:p w14:paraId="6CFC9117"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w:t>
            </w:r>
          </w:p>
        </w:tc>
        <w:tc>
          <w:tcPr>
            <w:tcW w:w="917" w:type="dxa"/>
            <w:tcBorders>
              <w:bottom w:val="single" w:sz="2" w:space="0" w:color="auto"/>
            </w:tcBorders>
            <w:shd w:val="clear" w:color="auto" w:fill="auto"/>
          </w:tcPr>
          <w:p w14:paraId="3057197D"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w:t>
            </w:r>
          </w:p>
        </w:tc>
        <w:tc>
          <w:tcPr>
            <w:tcW w:w="917" w:type="dxa"/>
            <w:tcBorders>
              <w:bottom w:val="single" w:sz="2" w:space="0" w:color="auto"/>
            </w:tcBorders>
            <w:shd w:val="clear" w:color="auto" w:fill="auto"/>
          </w:tcPr>
          <w:p w14:paraId="1879AD40"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0.80</w:t>
            </w:r>
          </w:p>
        </w:tc>
        <w:tc>
          <w:tcPr>
            <w:tcW w:w="917" w:type="dxa"/>
            <w:tcBorders>
              <w:bottom w:val="single" w:sz="2" w:space="0" w:color="auto"/>
            </w:tcBorders>
            <w:shd w:val="clear" w:color="auto" w:fill="auto"/>
          </w:tcPr>
          <w:p w14:paraId="0EF825C1"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0.30</w:t>
            </w:r>
          </w:p>
        </w:tc>
      </w:tr>
      <w:tr w:rsidR="00FC53AE" w:rsidRPr="00FC53AE" w14:paraId="6E83D3F3" w14:textId="77777777" w:rsidTr="00144D76">
        <w:tc>
          <w:tcPr>
            <w:cnfStyle w:val="001000000000" w:firstRow="0" w:lastRow="0" w:firstColumn="1" w:lastColumn="0" w:oddVBand="0" w:evenVBand="0" w:oddHBand="0" w:evenHBand="0" w:firstRowFirstColumn="0" w:firstRowLastColumn="0" w:lastRowFirstColumn="0" w:lastRowLastColumn="0"/>
            <w:tcW w:w="2692" w:type="dxa"/>
          </w:tcPr>
          <w:p w14:paraId="343C16F6" w14:textId="77777777" w:rsidR="006F47D4" w:rsidRPr="00FC53AE" w:rsidRDefault="006F47D4" w:rsidP="00144D76">
            <w:pPr>
              <w:tabs>
                <w:tab w:val="left" w:pos="561"/>
              </w:tabs>
              <w:rPr>
                <w:color w:val="000000" w:themeColor="text1"/>
                <w:sz w:val="16"/>
                <w:szCs w:val="16"/>
              </w:rPr>
            </w:pPr>
          </w:p>
        </w:tc>
        <w:tc>
          <w:tcPr>
            <w:tcW w:w="2712" w:type="dxa"/>
            <w:tcBorders>
              <w:top w:val="single" w:sz="2" w:space="0" w:color="auto"/>
              <w:bottom w:val="single" w:sz="4" w:space="0" w:color="auto"/>
            </w:tcBorders>
            <w:vAlign w:val="center"/>
          </w:tcPr>
          <w:p w14:paraId="0049B3B6"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rPr>
            </w:pPr>
            <w:r w:rsidRPr="00FC53AE">
              <w:rPr>
                <w:color w:val="000000" w:themeColor="text1"/>
                <w:sz w:val="16"/>
              </w:rPr>
              <w:t>Ausiliari</w:t>
            </w:r>
          </w:p>
        </w:tc>
        <w:tc>
          <w:tcPr>
            <w:tcW w:w="917" w:type="dxa"/>
            <w:tcBorders>
              <w:top w:val="single" w:sz="2" w:space="0" w:color="auto"/>
              <w:bottom w:val="single" w:sz="4" w:space="0" w:color="auto"/>
            </w:tcBorders>
            <w:shd w:val="clear" w:color="auto" w:fill="auto"/>
          </w:tcPr>
          <w:p w14:paraId="26800684"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6.30</w:t>
            </w:r>
          </w:p>
        </w:tc>
        <w:tc>
          <w:tcPr>
            <w:tcW w:w="917" w:type="dxa"/>
            <w:tcBorders>
              <w:top w:val="single" w:sz="2" w:space="0" w:color="auto"/>
              <w:bottom w:val="single" w:sz="4" w:space="0" w:color="auto"/>
            </w:tcBorders>
            <w:shd w:val="clear" w:color="auto" w:fill="auto"/>
          </w:tcPr>
          <w:p w14:paraId="1886AEAE"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2.30</w:t>
            </w:r>
          </w:p>
        </w:tc>
        <w:tc>
          <w:tcPr>
            <w:tcW w:w="917" w:type="dxa"/>
            <w:tcBorders>
              <w:top w:val="single" w:sz="2" w:space="0" w:color="auto"/>
              <w:bottom w:val="single" w:sz="4" w:space="0" w:color="auto"/>
            </w:tcBorders>
            <w:shd w:val="clear" w:color="auto" w:fill="auto"/>
          </w:tcPr>
          <w:p w14:paraId="01E7F7F8"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w:t>
            </w:r>
          </w:p>
        </w:tc>
        <w:tc>
          <w:tcPr>
            <w:tcW w:w="917" w:type="dxa"/>
            <w:tcBorders>
              <w:top w:val="single" w:sz="2" w:space="0" w:color="auto"/>
              <w:bottom w:val="single" w:sz="4" w:space="0" w:color="auto"/>
            </w:tcBorders>
            <w:shd w:val="clear" w:color="auto" w:fill="auto"/>
          </w:tcPr>
          <w:p w14:paraId="3B20A5C2" w14:textId="77777777" w:rsidR="006F47D4" w:rsidRPr="00FC53AE" w:rsidRDefault="006F47D4" w:rsidP="00144D76">
            <w:pPr>
              <w:jc w:val="right"/>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FC53AE">
              <w:rPr>
                <w:color w:val="000000" w:themeColor="text1"/>
                <w:sz w:val="16"/>
                <w:szCs w:val="16"/>
              </w:rPr>
              <w:t>-</w:t>
            </w:r>
          </w:p>
        </w:tc>
      </w:tr>
      <w:tr w:rsidR="00FC53AE" w:rsidRPr="00FC53AE" w14:paraId="5B98A945" w14:textId="77777777" w:rsidTr="00144D76">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52670544" w14:textId="77777777" w:rsidR="006F47D4" w:rsidRPr="00FC53AE" w:rsidRDefault="006F47D4" w:rsidP="00144D76">
            <w:pPr>
              <w:tabs>
                <w:tab w:val="left" w:pos="561"/>
              </w:tabs>
              <w:rPr>
                <w:b w:val="0"/>
                <w:color w:val="000000" w:themeColor="text1"/>
                <w:sz w:val="16"/>
                <w:szCs w:val="16"/>
              </w:rPr>
            </w:pPr>
          </w:p>
        </w:tc>
        <w:tc>
          <w:tcPr>
            <w:tcW w:w="6380" w:type="dxa"/>
            <w:gridSpan w:val="5"/>
            <w:tcBorders>
              <w:top w:val="single" w:sz="4" w:space="0" w:color="auto"/>
              <w:bottom w:val="nil"/>
            </w:tcBorders>
            <w:shd w:val="clear" w:color="auto" w:fill="auto"/>
            <w:vAlign w:val="center"/>
          </w:tcPr>
          <w:p w14:paraId="5541E26F" w14:textId="77777777" w:rsidR="006F47D4" w:rsidRPr="00FC53AE" w:rsidRDefault="006F47D4" w:rsidP="00144D76">
            <w:pPr>
              <w:cnfStyle w:val="000000000000" w:firstRow="0" w:lastRow="0" w:firstColumn="0" w:lastColumn="0" w:oddVBand="0" w:evenVBand="0" w:oddHBand="0" w:evenHBand="0" w:firstRowFirstColumn="0" w:firstRowLastColumn="0" w:lastRowFirstColumn="0" w:lastRowLastColumn="0"/>
              <w:rPr>
                <w:color w:val="000000" w:themeColor="text1"/>
                <w:sz w:val="16"/>
              </w:rPr>
            </w:pPr>
          </w:p>
        </w:tc>
      </w:tr>
    </w:tbl>
    <w:p w14:paraId="0AA299F5" w14:textId="77777777" w:rsidR="006F47D4" w:rsidRPr="00FC53AE" w:rsidRDefault="00450E21"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Messaggio n. 8562, pag. 11</w:t>
      </w:r>
    </w:p>
    <w:p w14:paraId="1AF8EFF9" w14:textId="77777777" w:rsidR="00450E21" w:rsidRPr="00FC53AE" w:rsidRDefault="00450E21" w:rsidP="00AC1D16">
      <w:pPr>
        <w:autoSpaceDE w:val="0"/>
        <w:autoSpaceDN w:val="0"/>
        <w:adjustRightInd w:val="0"/>
        <w:spacing w:line="260" w:lineRule="atLeast"/>
        <w:rPr>
          <w:rFonts w:eastAsia="Calibri" w:cs="Arial"/>
          <w:color w:val="000000" w:themeColor="text1"/>
          <w:sz w:val="24"/>
          <w:szCs w:val="24"/>
        </w:rPr>
      </w:pPr>
    </w:p>
    <w:p w14:paraId="5B1ADE20" w14:textId="77777777" w:rsidR="00C944C0" w:rsidRPr="00FC53AE" w:rsidRDefault="00C944C0" w:rsidP="00AC1D16">
      <w:pPr>
        <w:rPr>
          <w:rFonts w:eastAsia="Calibri" w:cs="Arial"/>
          <w:bCs/>
          <w:i/>
          <w:iCs/>
          <w:color w:val="000000" w:themeColor="text1"/>
          <w:sz w:val="24"/>
          <w:szCs w:val="24"/>
        </w:rPr>
      </w:pPr>
    </w:p>
    <w:p w14:paraId="30C85415" w14:textId="77777777" w:rsidR="00CB216A" w:rsidRPr="00FC53AE" w:rsidRDefault="00CB216A">
      <w:pPr>
        <w:rPr>
          <w:rFonts w:eastAsia="Calibri" w:cs="Arial"/>
          <w:bCs/>
          <w:iCs/>
          <w:color w:val="000000" w:themeColor="text1"/>
        </w:rPr>
      </w:pPr>
      <w:r w:rsidRPr="00FC53AE">
        <w:rPr>
          <w:rFonts w:eastAsia="Calibri" w:cs="Arial"/>
          <w:bCs/>
          <w:iCs/>
          <w:color w:val="000000" w:themeColor="text1"/>
        </w:rPr>
        <w:br w:type="page"/>
      </w:r>
    </w:p>
    <w:p w14:paraId="104E7708" w14:textId="77777777" w:rsidR="00450E21" w:rsidRPr="00FC53AE" w:rsidRDefault="00450E21" w:rsidP="00AC1D16">
      <w:pPr>
        <w:autoSpaceDE w:val="0"/>
        <w:autoSpaceDN w:val="0"/>
        <w:adjustRightInd w:val="0"/>
        <w:spacing w:after="120"/>
        <w:rPr>
          <w:rFonts w:eastAsia="Calibri" w:cs="Arial"/>
          <w:b/>
          <w:bCs/>
          <w:i/>
          <w:iCs/>
          <w:color w:val="000000" w:themeColor="text1"/>
          <w:sz w:val="24"/>
          <w:szCs w:val="24"/>
          <w:u w:val="single"/>
        </w:rPr>
      </w:pPr>
      <w:r w:rsidRPr="00FC53AE">
        <w:rPr>
          <w:rFonts w:eastAsia="Calibri" w:cs="Arial"/>
          <w:b/>
          <w:bCs/>
          <w:i/>
          <w:iCs/>
          <w:color w:val="000000" w:themeColor="text1"/>
          <w:sz w:val="24"/>
          <w:szCs w:val="24"/>
          <w:u w:val="single"/>
        </w:rPr>
        <w:lastRenderedPageBreak/>
        <w:t>Occupazione ETP</w:t>
      </w:r>
      <w:r w:rsidR="000B1ECA" w:rsidRPr="00FC53AE">
        <w:rPr>
          <w:rFonts w:eastAsia="Calibri" w:cs="Arial"/>
          <w:b/>
          <w:bCs/>
          <w:i/>
          <w:iCs/>
          <w:color w:val="000000" w:themeColor="text1"/>
          <w:sz w:val="24"/>
          <w:szCs w:val="24"/>
          <w:u w:val="single"/>
        </w:rPr>
        <w:t>, suddivisa in Dipartimenti</w:t>
      </w:r>
    </w:p>
    <w:p w14:paraId="2D3939BC" w14:textId="77777777" w:rsidR="00F30BB1" w:rsidRPr="00FC53AE" w:rsidRDefault="00F30BB1" w:rsidP="006F47D4">
      <w:pPr>
        <w:autoSpaceDE w:val="0"/>
        <w:autoSpaceDN w:val="0"/>
        <w:adjustRightInd w:val="0"/>
        <w:spacing w:before="120" w:line="260" w:lineRule="atLeast"/>
        <w:rPr>
          <w:rFonts w:eastAsia="Calibri" w:cs="Arial"/>
          <w:color w:val="000000" w:themeColor="text1"/>
        </w:rPr>
      </w:pPr>
      <w:r w:rsidRPr="00FC53AE">
        <w:rPr>
          <w:rFonts w:eastAsia="Calibri" w:cs="Arial"/>
          <w:noProof/>
          <w:color w:val="000000" w:themeColor="text1"/>
          <w:lang w:eastAsia="it-CH"/>
        </w:rPr>
        <w:drawing>
          <wp:inline distT="0" distB="0" distL="0" distR="0" wp14:anchorId="15F1F147" wp14:editId="78A01774">
            <wp:extent cx="5997460" cy="6226080"/>
            <wp:effectExtent l="0" t="0" r="3810" b="3810"/>
            <wp:docPr id="742380058" name="Immagine 1" descr="Immagine che contiene testo, numer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80058" name="Immagine 1" descr="Immagine che contiene testo, numero, schermata, Carattere&#10;&#10;Il contenuto generato dall'IA potrebbe non essere corretto."/>
                    <pic:cNvPicPr/>
                  </pic:nvPicPr>
                  <pic:blipFill>
                    <a:blip r:embed="rId12">
                      <a:extLst>
                        <a:ext uri="{28A0092B-C50C-407E-A947-70E740481C1C}">
                          <a14:useLocalDpi xmlns:a14="http://schemas.microsoft.com/office/drawing/2010/main" val="0"/>
                        </a:ext>
                      </a:extLst>
                    </a:blip>
                    <a:stretch>
                      <a:fillRect/>
                    </a:stretch>
                  </pic:blipFill>
                  <pic:spPr>
                    <a:xfrm>
                      <a:off x="0" y="0"/>
                      <a:ext cx="5997460" cy="6226080"/>
                    </a:xfrm>
                    <a:prstGeom prst="rect">
                      <a:avLst/>
                    </a:prstGeom>
                  </pic:spPr>
                </pic:pic>
              </a:graphicData>
            </a:graphic>
          </wp:inline>
        </w:drawing>
      </w:r>
    </w:p>
    <w:p w14:paraId="0768B43F" w14:textId="77777777" w:rsidR="00793A77" w:rsidRPr="00FC53AE" w:rsidRDefault="00450E21"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Messaggio n. 8561, pag. 40</w:t>
      </w:r>
    </w:p>
    <w:p w14:paraId="56D78B49" w14:textId="77777777" w:rsidR="00450E21" w:rsidRPr="00FC53AE" w:rsidRDefault="00450E21" w:rsidP="000B1ECA">
      <w:pPr>
        <w:autoSpaceDE w:val="0"/>
        <w:autoSpaceDN w:val="0"/>
        <w:adjustRightInd w:val="0"/>
        <w:rPr>
          <w:rFonts w:eastAsia="Calibri" w:cs="Arial"/>
          <w:color w:val="000000" w:themeColor="text1"/>
          <w:sz w:val="24"/>
          <w:szCs w:val="24"/>
        </w:rPr>
      </w:pPr>
    </w:p>
    <w:p w14:paraId="2607446A" w14:textId="77777777" w:rsidR="00450E21" w:rsidRPr="00FC53AE" w:rsidRDefault="00450E21" w:rsidP="000B1ECA">
      <w:pPr>
        <w:autoSpaceDE w:val="0"/>
        <w:autoSpaceDN w:val="0"/>
        <w:adjustRightInd w:val="0"/>
        <w:rPr>
          <w:rFonts w:eastAsia="Calibri" w:cs="Arial"/>
          <w:color w:val="000000" w:themeColor="text1"/>
          <w:sz w:val="24"/>
          <w:szCs w:val="24"/>
        </w:rPr>
      </w:pPr>
    </w:p>
    <w:p w14:paraId="7FD868A0" w14:textId="77777777" w:rsidR="00CB216A" w:rsidRPr="00FC53AE" w:rsidRDefault="00CB216A">
      <w:pPr>
        <w:rPr>
          <w:rFonts w:eastAsia="Calibri" w:cs="Arial"/>
          <w:b/>
          <w:bCs/>
          <w:i/>
          <w:iCs/>
          <w:color w:val="000000" w:themeColor="text1"/>
          <w:u w:val="single"/>
        </w:rPr>
      </w:pPr>
      <w:r w:rsidRPr="00FC53AE">
        <w:rPr>
          <w:rFonts w:eastAsia="Calibri" w:cs="Arial"/>
          <w:b/>
          <w:bCs/>
          <w:i/>
          <w:iCs/>
          <w:color w:val="000000" w:themeColor="text1"/>
          <w:u w:val="single"/>
        </w:rPr>
        <w:br w:type="page"/>
      </w:r>
    </w:p>
    <w:p w14:paraId="2C32C553" w14:textId="77777777" w:rsidR="00ED064C" w:rsidRPr="00FC53AE" w:rsidRDefault="00ED064C" w:rsidP="00AC1D16">
      <w:pPr>
        <w:autoSpaceDE w:val="0"/>
        <w:autoSpaceDN w:val="0"/>
        <w:adjustRightInd w:val="0"/>
        <w:spacing w:after="120"/>
        <w:rPr>
          <w:rFonts w:eastAsia="Calibri" w:cs="Arial"/>
          <w:b/>
          <w:bCs/>
          <w:i/>
          <w:iCs/>
          <w:color w:val="000000" w:themeColor="text1"/>
          <w:sz w:val="24"/>
          <w:szCs w:val="24"/>
          <w:u w:val="single"/>
        </w:rPr>
      </w:pPr>
      <w:r w:rsidRPr="00FC53AE">
        <w:rPr>
          <w:rFonts w:eastAsia="Calibri" w:cs="Arial"/>
          <w:b/>
          <w:bCs/>
          <w:i/>
          <w:iCs/>
          <w:color w:val="000000" w:themeColor="text1"/>
          <w:sz w:val="24"/>
          <w:szCs w:val="24"/>
          <w:u w:val="single"/>
        </w:rPr>
        <w:lastRenderedPageBreak/>
        <w:t>Ricavi fiscali</w:t>
      </w:r>
    </w:p>
    <w:tbl>
      <w:tblPr>
        <w:tblStyle w:val="Stile2"/>
        <w:tblW w:w="9100" w:type="dxa"/>
        <w:tblInd w:w="108" w:type="dxa"/>
        <w:tblLook w:val="04A0" w:firstRow="1" w:lastRow="0" w:firstColumn="1" w:lastColumn="0" w:noHBand="0" w:noVBand="1"/>
      </w:tblPr>
      <w:tblGrid>
        <w:gridCol w:w="4836"/>
        <w:gridCol w:w="1066"/>
        <w:gridCol w:w="1066"/>
        <w:gridCol w:w="1066"/>
        <w:gridCol w:w="1066"/>
      </w:tblGrid>
      <w:tr w:rsidR="00FC53AE" w:rsidRPr="00FC53AE" w14:paraId="23F48B8A" w14:textId="77777777" w:rsidTr="00721906">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836" w:type="dxa"/>
            <w:noWrap/>
            <w:hideMark/>
          </w:tcPr>
          <w:p w14:paraId="32C8DD17" w14:textId="77777777" w:rsidR="00ED064C" w:rsidRPr="00FC53AE" w:rsidRDefault="00ED064C" w:rsidP="00721906">
            <w:pPr>
              <w:rPr>
                <w:b w:val="0"/>
                <w:color w:val="000000" w:themeColor="text1"/>
                <w:sz w:val="12"/>
                <w:szCs w:val="12"/>
              </w:rPr>
            </w:pPr>
            <w:proofErr w:type="spellStart"/>
            <w:r w:rsidRPr="00FC53AE">
              <w:rPr>
                <w:b w:val="0"/>
                <w:color w:val="000000" w:themeColor="text1"/>
                <w:sz w:val="12"/>
                <w:szCs w:val="12"/>
              </w:rPr>
              <w:t>mporti</w:t>
            </w:r>
            <w:proofErr w:type="spellEnd"/>
            <w:r w:rsidRPr="00FC53AE">
              <w:rPr>
                <w:b w:val="0"/>
                <w:color w:val="000000" w:themeColor="text1"/>
                <w:sz w:val="12"/>
                <w:szCs w:val="12"/>
              </w:rPr>
              <w:t xml:space="preserve"> in milioni di CHF</w:t>
            </w:r>
          </w:p>
        </w:tc>
        <w:tc>
          <w:tcPr>
            <w:tcW w:w="1066" w:type="dxa"/>
            <w:noWrap/>
            <w:vAlign w:val="center"/>
            <w:hideMark/>
          </w:tcPr>
          <w:p w14:paraId="5ED69053" w14:textId="77777777" w:rsidR="00ED064C" w:rsidRPr="00FC53AE" w:rsidRDefault="00ED064C" w:rsidP="00721906">
            <w:pPr>
              <w:jc w:val="right"/>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FC53AE">
              <w:rPr>
                <w:rFonts w:cs="Calibri"/>
                <w:b/>
                <w:bCs/>
                <w:color w:val="000000" w:themeColor="text1"/>
                <w:sz w:val="14"/>
                <w:szCs w:val="14"/>
              </w:rPr>
              <w:t>C2023</w:t>
            </w:r>
          </w:p>
        </w:tc>
        <w:tc>
          <w:tcPr>
            <w:tcW w:w="1066" w:type="dxa"/>
            <w:noWrap/>
            <w:vAlign w:val="center"/>
            <w:hideMark/>
          </w:tcPr>
          <w:p w14:paraId="686B993D" w14:textId="77777777" w:rsidR="00ED064C" w:rsidRPr="00FC53AE" w:rsidRDefault="00ED064C" w:rsidP="00721906">
            <w:pPr>
              <w:jc w:val="right"/>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FC53AE">
              <w:rPr>
                <w:rFonts w:cs="Calibri"/>
                <w:b/>
                <w:bCs/>
                <w:color w:val="000000" w:themeColor="text1"/>
                <w:sz w:val="14"/>
                <w:szCs w:val="14"/>
              </w:rPr>
              <w:t>P2024</w:t>
            </w:r>
          </w:p>
        </w:tc>
        <w:tc>
          <w:tcPr>
            <w:tcW w:w="1066" w:type="dxa"/>
            <w:shd w:val="clear" w:color="auto" w:fill="FABF8F" w:themeFill="accent6" w:themeFillTint="99"/>
            <w:noWrap/>
            <w:vAlign w:val="center"/>
            <w:hideMark/>
          </w:tcPr>
          <w:p w14:paraId="02E2B83E" w14:textId="77777777" w:rsidR="00ED064C" w:rsidRPr="00FC53AE" w:rsidRDefault="00ED064C" w:rsidP="00721906">
            <w:pPr>
              <w:jc w:val="right"/>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r w:rsidRPr="00FC53AE">
              <w:rPr>
                <w:rFonts w:cs="Calibri"/>
                <w:b/>
                <w:bCs/>
                <w:color w:val="000000" w:themeColor="text1"/>
                <w:sz w:val="14"/>
                <w:szCs w:val="14"/>
              </w:rPr>
              <w:t>C2024</w:t>
            </w:r>
          </w:p>
        </w:tc>
        <w:tc>
          <w:tcPr>
            <w:tcW w:w="1066" w:type="dxa"/>
            <w:shd w:val="clear" w:color="auto" w:fill="FBD4B4" w:themeFill="accent6" w:themeFillTint="66"/>
            <w:vAlign w:val="center"/>
          </w:tcPr>
          <w:p w14:paraId="4EC2D865" w14:textId="77777777" w:rsidR="00ED064C" w:rsidRPr="00FC53AE" w:rsidRDefault="00ED064C" w:rsidP="00721906">
            <w:pPr>
              <w:jc w:val="right"/>
              <w:cnfStyle w:val="100000000000" w:firstRow="1" w:lastRow="0" w:firstColumn="0" w:lastColumn="0" w:oddVBand="0" w:evenVBand="0" w:oddHBand="0" w:evenHBand="0" w:firstRowFirstColumn="0" w:firstRowLastColumn="0" w:lastRowFirstColumn="0" w:lastRowLastColumn="0"/>
              <w:rPr>
                <w:color w:val="000000" w:themeColor="text1"/>
                <w:sz w:val="14"/>
                <w:szCs w:val="14"/>
              </w:rPr>
            </w:pPr>
            <w:proofErr w:type="spellStart"/>
            <w:r w:rsidRPr="00FC53AE">
              <w:rPr>
                <w:rFonts w:cs="Calibri"/>
                <w:b/>
                <w:color w:val="000000" w:themeColor="text1"/>
                <w:sz w:val="14"/>
                <w:szCs w:val="14"/>
              </w:rPr>
              <w:t>Var</w:t>
            </w:r>
            <w:proofErr w:type="spellEnd"/>
            <w:r w:rsidRPr="00FC53AE">
              <w:rPr>
                <w:rFonts w:cs="Calibri"/>
                <w:b/>
                <w:color w:val="000000" w:themeColor="text1"/>
                <w:sz w:val="14"/>
                <w:szCs w:val="14"/>
              </w:rPr>
              <w:t xml:space="preserve"> </w:t>
            </w:r>
            <w:r w:rsidRPr="00FC53AE">
              <w:rPr>
                <w:rFonts w:cs="Calibri"/>
                <w:b/>
                <w:bCs/>
                <w:color w:val="000000" w:themeColor="text1"/>
                <w:sz w:val="14"/>
                <w:szCs w:val="14"/>
              </w:rPr>
              <w:t>C24-P24</w:t>
            </w:r>
          </w:p>
        </w:tc>
      </w:tr>
      <w:tr w:rsidR="00FC53AE" w:rsidRPr="00FC53AE" w14:paraId="27D9E56D" w14:textId="77777777" w:rsidTr="00721906">
        <w:trPr>
          <w:trHeight w:val="124"/>
        </w:trPr>
        <w:tc>
          <w:tcPr>
            <w:cnfStyle w:val="001000000000" w:firstRow="0" w:lastRow="0" w:firstColumn="1" w:lastColumn="0" w:oddVBand="0" w:evenVBand="0" w:oddHBand="0" w:evenHBand="0" w:firstRowFirstColumn="0" w:firstRowLastColumn="0" w:lastRowFirstColumn="0" w:lastRowLastColumn="0"/>
            <w:tcW w:w="4836" w:type="dxa"/>
            <w:noWrap/>
            <w:hideMark/>
          </w:tcPr>
          <w:p w14:paraId="7799E660"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anno corrente</w:t>
            </w:r>
          </w:p>
        </w:tc>
        <w:tc>
          <w:tcPr>
            <w:tcW w:w="1066" w:type="dxa"/>
            <w:noWrap/>
            <w:vAlign w:val="center"/>
            <w:hideMark/>
          </w:tcPr>
          <w:p w14:paraId="6627E86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1'144.0</w:t>
            </w:r>
          </w:p>
        </w:tc>
        <w:tc>
          <w:tcPr>
            <w:tcW w:w="1066" w:type="dxa"/>
            <w:noWrap/>
            <w:vAlign w:val="center"/>
            <w:hideMark/>
          </w:tcPr>
          <w:p w14:paraId="240AED04"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1'173.8</w:t>
            </w:r>
          </w:p>
        </w:tc>
        <w:tc>
          <w:tcPr>
            <w:tcW w:w="1066" w:type="dxa"/>
            <w:shd w:val="clear" w:color="auto" w:fill="FABF8F" w:themeFill="accent6" w:themeFillTint="99"/>
            <w:noWrap/>
            <w:vAlign w:val="center"/>
            <w:hideMark/>
          </w:tcPr>
          <w:p w14:paraId="52337E2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1'179.0</w:t>
            </w:r>
          </w:p>
        </w:tc>
        <w:tc>
          <w:tcPr>
            <w:tcW w:w="1066" w:type="dxa"/>
            <w:shd w:val="clear" w:color="auto" w:fill="FBD4B4" w:themeFill="accent6" w:themeFillTint="66"/>
            <w:vAlign w:val="center"/>
          </w:tcPr>
          <w:p w14:paraId="1C7AA35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5.2</w:t>
            </w:r>
          </w:p>
        </w:tc>
      </w:tr>
      <w:tr w:rsidR="00FC53AE" w:rsidRPr="00FC53AE" w14:paraId="03EB4036" w14:textId="77777777" w:rsidTr="00721906">
        <w:trPr>
          <w:trHeight w:val="61"/>
        </w:trPr>
        <w:tc>
          <w:tcPr>
            <w:cnfStyle w:val="001000000000" w:firstRow="0" w:lastRow="0" w:firstColumn="1" w:lastColumn="0" w:oddVBand="0" w:evenVBand="0" w:oddHBand="0" w:evenHBand="0" w:firstRowFirstColumn="0" w:firstRowLastColumn="0" w:lastRowFirstColumn="0" w:lastRowLastColumn="0"/>
            <w:tcW w:w="4836" w:type="dxa"/>
            <w:noWrap/>
            <w:hideMark/>
          </w:tcPr>
          <w:p w14:paraId="6D435ABD" w14:textId="77777777" w:rsidR="00ED064C" w:rsidRPr="00FC53AE" w:rsidRDefault="00ED064C" w:rsidP="00721906">
            <w:pPr>
              <w:rPr>
                <w:b w:val="0"/>
                <w:color w:val="000000" w:themeColor="text1"/>
                <w:sz w:val="18"/>
                <w:szCs w:val="18"/>
              </w:rPr>
            </w:pPr>
            <w:r w:rsidRPr="00FC53AE">
              <w:rPr>
                <w:b w:val="0"/>
                <w:color w:val="000000" w:themeColor="text1"/>
                <w:sz w:val="18"/>
                <w:szCs w:val="18"/>
              </w:rPr>
              <w:t>Sopravvenienze anni precedenti</w:t>
            </w:r>
          </w:p>
        </w:tc>
        <w:tc>
          <w:tcPr>
            <w:tcW w:w="1066" w:type="dxa"/>
            <w:noWrap/>
            <w:vAlign w:val="center"/>
            <w:hideMark/>
          </w:tcPr>
          <w:p w14:paraId="4BFD0430"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46.6</w:t>
            </w:r>
          </w:p>
        </w:tc>
        <w:tc>
          <w:tcPr>
            <w:tcW w:w="1066" w:type="dxa"/>
            <w:noWrap/>
            <w:vAlign w:val="center"/>
            <w:hideMark/>
          </w:tcPr>
          <w:p w14:paraId="44968545"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50.7</w:t>
            </w:r>
          </w:p>
        </w:tc>
        <w:tc>
          <w:tcPr>
            <w:tcW w:w="1066" w:type="dxa"/>
            <w:shd w:val="clear" w:color="auto" w:fill="FABF8F" w:themeFill="accent6" w:themeFillTint="99"/>
            <w:noWrap/>
            <w:vAlign w:val="center"/>
            <w:hideMark/>
          </w:tcPr>
          <w:p w14:paraId="5D838E1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83.5</w:t>
            </w:r>
          </w:p>
        </w:tc>
        <w:tc>
          <w:tcPr>
            <w:tcW w:w="1066" w:type="dxa"/>
            <w:shd w:val="clear" w:color="auto" w:fill="FBD4B4" w:themeFill="accent6" w:themeFillTint="66"/>
            <w:vAlign w:val="center"/>
          </w:tcPr>
          <w:p w14:paraId="1AEFFDE0"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32.8</w:t>
            </w:r>
          </w:p>
        </w:tc>
      </w:tr>
      <w:tr w:rsidR="00FC53AE" w:rsidRPr="00FC53AE" w14:paraId="7EC228C7" w14:textId="77777777" w:rsidTr="00721906">
        <w:trPr>
          <w:trHeight w:val="100"/>
        </w:trPr>
        <w:tc>
          <w:tcPr>
            <w:cnfStyle w:val="001000000000" w:firstRow="0" w:lastRow="0" w:firstColumn="1" w:lastColumn="0" w:oddVBand="0" w:evenVBand="0" w:oddHBand="0" w:evenHBand="0" w:firstRowFirstColumn="0" w:firstRowLastColumn="0" w:lastRowFirstColumn="0" w:lastRowLastColumn="0"/>
            <w:tcW w:w="4836" w:type="dxa"/>
            <w:noWrap/>
            <w:hideMark/>
          </w:tcPr>
          <w:p w14:paraId="730B162E"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alla fonte</w:t>
            </w:r>
          </w:p>
        </w:tc>
        <w:tc>
          <w:tcPr>
            <w:tcW w:w="1066" w:type="dxa"/>
            <w:noWrap/>
            <w:vAlign w:val="center"/>
            <w:hideMark/>
          </w:tcPr>
          <w:p w14:paraId="0B5ED64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139.8</w:t>
            </w:r>
          </w:p>
        </w:tc>
        <w:tc>
          <w:tcPr>
            <w:tcW w:w="1066" w:type="dxa"/>
            <w:noWrap/>
            <w:vAlign w:val="center"/>
            <w:hideMark/>
          </w:tcPr>
          <w:p w14:paraId="504E32AF"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140.0</w:t>
            </w:r>
          </w:p>
        </w:tc>
        <w:tc>
          <w:tcPr>
            <w:tcW w:w="1066" w:type="dxa"/>
            <w:shd w:val="clear" w:color="auto" w:fill="FABF8F" w:themeFill="accent6" w:themeFillTint="99"/>
            <w:noWrap/>
            <w:vAlign w:val="center"/>
            <w:hideMark/>
          </w:tcPr>
          <w:p w14:paraId="62FB50D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151.8</w:t>
            </w:r>
          </w:p>
        </w:tc>
        <w:tc>
          <w:tcPr>
            <w:tcW w:w="1066" w:type="dxa"/>
            <w:shd w:val="clear" w:color="auto" w:fill="FBD4B4" w:themeFill="accent6" w:themeFillTint="66"/>
            <w:vAlign w:val="center"/>
          </w:tcPr>
          <w:p w14:paraId="5E585BAF"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11.8</w:t>
            </w:r>
          </w:p>
        </w:tc>
      </w:tr>
      <w:tr w:rsidR="00FC53AE" w:rsidRPr="00FC53AE" w14:paraId="09A1794D" w14:textId="77777777" w:rsidTr="00721906">
        <w:trPr>
          <w:trHeight w:val="183"/>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hideMark/>
          </w:tcPr>
          <w:p w14:paraId="79A3632F"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suppletorie e multe</w:t>
            </w:r>
          </w:p>
        </w:tc>
        <w:tc>
          <w:tcPr>
            <w:tcW w:w="1066" w:type="dxa"/>
            <w:tcBorders>
              <w:bottom w:val="single" w:sz="12" w:space="0" w:color="auto"/>
            </w:tcBorders>
            <w:noWrap/>
            <w:vAlign w:val="center"/>
            <w:hideMark/>
          </w:tcPr>
          <w:p w14:paraId="0C20FCE3"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49.2</w:t>
            </w:r>
          </w:p>
        </w:tc>
        <w:tc>
          <w:tcPr>
            <w:tcW w:w="1066" w:type="dxa"/>
            <w:tcBorders>
              <w:bottom w:val="single" w:sz="12" w:space="0" w:color="auto"/>
            </w:tcBorders>
            <w:noWrap/>
            <w:vAlign w:val="center"/>
            <w:hideMark/>
          </w:tcPr>
          <w:p w14:paraId="689238D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40.0</w:t>
            </w:r>
          </w:p>
        </w:tc>
        <w:tc>
          <w:tcPr>
            <w:tcW w:w="1066" w:type="dxa"/>
            <w:tcBorders>
              <w:bottom w:val="single" w:sz="12" w:space="0" w:color="auto"/>
            </w:tcBorders>
            <w:shd w:val="clear" w:color="auto" w:fill="FABF8F" w:themeFill="accent6" w:themeFillTint="99"/>
            <w:noWrap/>
            <w:vAlign w:val="center"/>
            <w:hideMark/>
          </w:tcPr>
          <w:p w14:paraId="4C9BD95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29.7</w:t>
            </w:r>
          </w:p>
        </w:tc>
        <w:tc>
          <w:tcPr>
            <w:tcW w:w="1066" w:type="dxa"/>
            <w:tcBorders>
              <w:bottom w:val="single" w:sz="12" w:space="0" w:color="auto"/>
            </w:tcBorders>
            <w:shd w:val="clear" w:color="auto" w:fill="FBD4B4" w:themeFill="accent6" w:themeFillTint="66"/>
            <w:vAlign w:val="center"/>
          </w:tcPr>
          <w:p w14:paraId="11EE9A48"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-10.3</w:t>
            </w:r>
          </w:p>
        </w:tc>
      </w:tr>
      <w:tr w:rsidR="00FC53AE" w:rsidRPr="00FC53AE" w14:paraId="63E962FD" w14:textId="77777777" w:rsidTr="00721906">
        <w:trPr>
          <w:trHeight w:val="90"/>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14:paraId="12B73AD8" w14:textId="77777777" w:rsidR="00ED064C" w:rsidRPr="00FC53AE" w:rsidRDefault="00ED064C" w:rsidP="00721906">
            <w:pPr>
              <w:rPr>
                <w:color w:val="000000" w:themeColor="text1"/>
                <w:sz w:val="18"/>
                <w:szCs w:val="18"/>
              </w:rPr>
            </w:pPr>
            <w:r w:rsidRPr="00FC53AE">
              <w:rPr>
                <w:color w:val="000000" w:themeColor="text1"/>
                <w:sz w:val="18"/>
                <w:szCs w:val="18"/>
              </w:rPr>
              <w:t>Totale imposte persone fisiche</w:t>
            </w:r>
          </w:p>
        </w:tc>
        <w:tc>
          <w:tcPr>
            <w:tcW w:w="1066" w:type="dxa"/>
            <w:tcBorders>
              <w:top w:val="single" w:sz="12" w:space="0" w:color="auto"/>
              <w:bottom w:val="single" w:sz="12" w:space="0" w:color="auto"/>
            </w:tcBorders>
            <w:noWrap/>
            <w:vAlign w:val="center"/>
            <w:hideMark/>
          </w:tcPr>
          <w:p w14:paraId="1A5928F8"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1'379.6</w:t>
            </w:r>
          </w:p>
        </w:tc>
        <w:tc>
          <w:tcPr>
            <w:tcW w:w="1066" w:type="dxa"/>
            <w:tcBorders>
              <w:top w:val="single" w:sz="12" w:space="0" w:color="auto"/>
              <w:bottom w:val="single" w:sz="12" w:space="0" w:color="auto"/>
            </w:tcBorders>
            <w:noWrap/>
            <w:vAlign w:val="center"/>
            <w:hideMark/>
          </w:tcPr>
          <w:p w14:paraId="698563EB"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1'404.5</w:t>
            </w:r>
          </w:p>
        </w:tc>
        <w:tc>
          <w:tcPr>
            <w:tcW w:w="1066" w:type="dxa"/>
            <w:tcBorders>
              <w:top w:val="single" w:sz="12" w:space="0" w:color="auto"/>
              <w:bottom w:val="single" w:sz="12" w:space="0" w:color="auto"/>
            </w:tcBorders>
            <w:shd w:val="clear" w:color="auto" w:fill="FABF8F" w:themeFill="accent6" w:themeFillTint="99"/>
            <w:noWrap/>
            <w:vAlign w:val="center"/>
            <w:hideMark/>
          </w:tcPr>
          <w:p w14:paraId="3D57268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1'444.0</w:t>
            </w:r>
          </w:p>
        </w:tc>
        <w:tc>
          <w:tcPr>
            <w:tcW w:w="1066" w:type="dxa"/>
            <w:tcBorders>
              <w:top w:val="single" w:sz="12" w:space="0" w:color="auto"/>
              <w:bottom w:val="single" w:sz="12" w:space="0" w:color="auto"/>
            </w:tcBorders>
            <w:shd w:val="clear" w:color="auto" w:fill="FBD4B4" w:themeFill="accent6" w:themeFillTint="66"/>
            <w:vAlign w:val="center"/>
          </w:tcPr>
          <w:p w14:paraId="536EFCE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39.5</w:t>
            </w:r>
          </w:p>
        </w:tc>
      </w:tr>
      <w:tr w:rsidR="00FC53AE" w:rsidRPr="00FC53AE" w14:paraId="60720A81" w14:textId="77777777" w:rsidTr="00721906">
        <w:trPr>
          <w:trHeight w:val="90"/>
        </w:trPr>
        <w:tc>
          <w:tcPr>
            <w:cnfStyle w:val="001000000000" w:firstRow="0" w:lastRow="0" w:firstColumn="1" w:lastColumn="0" w:oddVBand="0" w:evenVBand="0" w:oddHBand="0" w:evenHBand="0" w:firstRowFirstColumn="0" w:firstRowLastColumn="0" w:lastRowFirstColumn="0" w:lastRowLastColumn="0"/>
            <w:tcW w:w="4836" w:type="dxa"/>
            <w:noWrap/>
          </w:tcPr>
          <w:p w14:paraId="0B8776C7" w14:textId="77777777" w:rsidR="00ED064C" w:rsidRPr="00FC53AE" w:rsidRDefault="00ED064C" w:rsidP="00721906">
            <w:pPr>
              <w:rPr>
                <w:b w:val="0"/>
                <w:color w:val="000000" w:themeColor="text1"/>
                <w:sz w:val="18"/>
                <w:szCs w:val="18"/>
              </w:rPr>
            </w:pPr>
          </w:p>
        </w:tc>
        <w:tc>
          <w:tcPr>
            <w:tcW w:w="1066" w:type="dxa"/>
            <w:tcBorders>
              <w:top w:val="single" w:sz="12" w:space="0" w:color="auto"/>
            </w:tcBorders>
            <w:noWrap/>
          </w:tcPr>
          <w:p w14:paraId="66E4753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tcBorders>
            <w:noWrap/>
          </w:tcPr>
          <w:p w14:paraId="6572101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tcBorders>
            <w:shd w:val="clear" w:color="auto" w:fill="FABF8F" w:themeFill="accent6" w:themeFillTint="99"/>
            <w:noWrap/>
          </w:tcPr>
          <w:p w14:paraId="63E0B41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tcBorders>
            <w:shd w:val="clear" w:color="auto" w:fill="FBD4B4" w:themeFill="accent6" w:themeFillTint="66"/>
          </w:tcPr>
          <w:p w14:paraId="3E6915B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r>
      <w:tr w:rsidR="00FC53AE" w:rsidRPr="00FC53AE" w14:paraId="18B83812" w14:textId="77777777" w:rsidTr="00721906">
        <w:trPr>
          <w:trHeight w:val="158"/>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14:paraId="1209E396"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anno corrente</w:t>
            </w:r>
          </w:p>
        </w:tc>
        <w:tc>
          <w:tcPr>
            <w:tcW w:w="1066" w:type="dxa"/>
            <w:noWrap/>
            <w:vAlign w:val="center"/>
            <w:hideMark/>
          </w:tcPr>
          <w:p w14:paraId="206CBA7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317.8</w:t>
            </w:r>
          </w:p>
        </w:tc>
        <w:tc>
          <w:tcPr>
            <w:tcW w:w="1066" w:type="dxa"/>
            <w:noWrap/>
            <w:vAlign w:val="center"/>
            <w:hideMark/>
          </w:tcPr>
          <w:p w14:paraId="063A8AA7"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315.0</w:t>
            </w:r>
          </w:p>
        </w:tc>
        <w:tc>
          <w:tcPr>
            <w:tcW w:w="1066" w:type="dxa"/>
            <w:shd w:val="clear" w:color="auto" w:fill="FABF8F" w:themeFill="accent6" w:themeFillTint="99"/>
            <w:noWrap/>
            <w:vAlign w:val="center"/>
            <w:hideMark/>
          </w:tcPr>
          <w:p w14:paraId="0EE5E237"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341.5</w:t>
            </w:r>
          </w:p>
        </w:tc>
        <w:tc>
          <w:tcPr>
            <w:tcW w:w="1066" w:type="dxa"/>
            <w:shd w:val="clear" w:color="auto" w:fill="FBD4B4" w:themeFill="accent6" w:themeFillTint="66"/>
            <w:vAlign w:val="center"/>
          </w:tcPr>
          <w:p w14:paraId="24241EA4"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26.5</w:t>
            </w:r>
          </w:p>
        </w:tc>
      </w:tr>
      <w:tr w:rsidR="00FC53AE" w:rsidRPr="00FC53AE" w14:paraId="65E18F35" w14:textId="77777777" w:rsidTr="00721906">
        <w:trPr>
          <w:trHeight w:val="66"/>
        </w:trPr>
        <w:tc>
          <w:tcPr>
            <w:cnfStyle w:val="001000000000" w:firstRow="0" w:lastRow="0" w:firstColumn="1" w:lastColumn="0" w:oddVBand="0" w:evenVBand="0" w:oddHBand="0" w:evenHBand="0" w:firstRowFirstColumn="0" w:firstRowLastColumn="0" w:lastRowFirstColumn="0" w:lastRowLastColumn="0"/>
            <w:tcW w:w="4836" w:type="dxa"/>
            <w:noWrap/>
            <w:hideMark/>
          </w:tcPr>
          <w:p w14:paraId="6E4BD0BF" w14:textId="77777777" w:rsidR="00ED064C" w:rsidRPr="00FC53AE" w:rsidRDefault="00ED064C" w:rsidP="00721906">
            <w:pPr>
              <w:rPr>
                <w:b w:val="0"/>
                <w:color w:val="000000" w:themeColor="text1"/>
                <w:sz w:val="18"/>
                <w:szCs w:val="18"/>
              </w:rPr>
            </w:pPr>
            <w:r w:rsidRPr="00FC53AE">
              <w:rPr>
                <w:b w:val="0"/>
                <w:color w:val="000000" w:themeColor="text1"/>
                <w:sz w:val="18"/>
                <w:szCs w:val="18"/>
              </w:rPr>
              <w:t>Sopravvenienze anni precedenti</w:t>
            </w:r>
          </w:p>
        </w:tc>
        <w:tc>
          <w:tcPr>
            <w:tcW w:w="1066" w:type="dxa"/>
            <w:noWrap/>
            <w:vAlign w:val="center"/>
            <w:hideMark/>
          </w:tcPr>
          <w:p w14:paraId="6D9410CB"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13.8</w:t>
            </w:r>
          </w:p>
        </w:tc>
        <w:tc>
          <w:tcPr>
            <w:tcW w:w="1066" w:type="dxa"/>
            <w:noWrap/>
            <w:vAlign w:val="center"/>
            <w:hideMark/>
          </w:tcPr>
          <w:p w14:paraId="64551AA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25.3</w:t>
            </w:r>
          </w:p>
        </w:tc>
        <w:tc>
          <w:tcPr>
            <w:tcW w:w="1066" w:type="dxa"/>
            <w:shd w:val="clear" w:color="auto" w:fill="FABF8F" w:themeFill="accent6" w:themeFillTint="99"/>
            <w:noWrap/>
            <w:vAlign w:val="center"/>
            <w:hideMark/>
          </w:tcPr>
          <w:p w14:paraId="2FED647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27.8</w:t>
            </w:r>
          </w:p>
        </w:tc>
        <w:tc>
          <w:tcPr>
            <w:tcW w:w="1066" w:type="dxa"/>
            <w:shd w:val="clear" w:color="auto" w:fill="FBD4B4" w:themeFill="accent6" w:themeFillTint="66"/>
            <w:vAlign w:val="center"/>
          </w:tcPr>
          <w:p w14:paraId="41333E15"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2.5</w:t>
            </w:r>
          </w:p>
        </w:tc>
      </w:tr>
      <w:tr w:rsidR="00FC53AE" w:rsidRPr="00FC53AE" w14:paraId="532C250B" w14:textId="77777777" w:rsidTr="00721906">
        <w:trPr>
          <w:trHeight w:val="148"/>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hideMark/>
          </w:tcPr>
          <w:p w14:paraId="193FCD75" w14:textId="77777777" w:rsidR="00ED064C" w:rsidRPr="00FC53AE" w:rsidRDefault="00ED064C" w:rsidP="00721906">
            <w:pPr>
              <w:rPr>
                <w:b w:val="0"/>
                <w:color w:val="000000" w:themeColor="text1"/>
                <w:sz w:val="18"/>
                <w:szCs w:val="18"/>
              </w:rPr>
            </w:pPr>
            <w:r w:rsidRPr="00FC53AE">
              <w:rPr>
                <w:b w:val="0"/>
                <w:color w:val="000000" w:themeColor="text1"/>
                <w:sz w:val="18"/>
                <w:szCs w:val="18"/>
              </w:rPr>
              <w:t>Supplemento imposta immobiliare</w:t>
            </w:r>
          </w:p>
        </w:tc>
        <w:tc>
          <w:tcPr>
            <w:tcW w:w="1066" w:type="dxa"/>
            <w:tcBorders>
              <w:bottom w:val="single" w:sz="12" w:space="0" w:color="auto"/>
            </w:tcBorders>
            <w:noWrap/>
            <w:vAlign w:val="center"/>
            <w:hideMark/>
          </w:tcPr>
          <w:p w14:paraId="3FB9B5E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15.0</w:t>
            </w:r>
          </w:p>
        </w:tc>
        <w:tc>
          <w:tcPr>
            <w:tcW w:w="1066" w:type="dxa"/>
            <w:tcBorders>
              <w:bottom w:val="single" w:sz="12" w:space="0" w:color="auto"/>
            </w:tcBorders>
            <w:noWrap/>
            <w:vAlign w:val="center"/>
            <w:hideMark/>
          </w:tcPr>
          <w:p w14:paraId="5283514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15.0</w:t>
            </w:r>
          </w:p>
        </w:tc>
        <w:tc>
          <w:tcPr>
            <w:tcW w:w="1066" w:type="dxa"/>
            <w:tcBorders>
              <w:bottom w:val="single" w:sz="12" w:space="0" w:color="auto"/>
            </w:tcBorders>
            <w:shd w:val="clear" w:color="auto" w:fill="FABF8F" w:themeFill="accent6" w:themeFillTint="99"/>
            <w:noWrap/>
            <w:vAlign w:val="center"/>
            <w:hideMark/>
          </w:tcPr>
          <w:p w14:paraId="12D2EBA4"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16.5</w:t>
            </w:r>
          </w:p>
        </w:tc>
        <w:tc>
          <w:tcPr>
            <w:tcW w:w="1066" w:type="dxa"/>
            <w:tcBorders>
              <w:bottom w:val="single" w:sz="12" w:space="0" w:color="auto"/>
            </w:tcBorders>
            <w:shd w:val="clear" w:color="auto" w:fill="FBD4B4" w:themeFill="accent6" w:themeFillTint="66"/>
            <w:vAlign w:val="center"/>
          </w:tcPr>
          <w:p w14:paraId="40A69EF0"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1.5</w:t>
            </w:r>
          </w:p>
        </w:tc>
      </w:tr>
      <w:tr w:rsidR="00FC53AE" w:rsidRPr="00FC53AE" w14:paraId="7F08F2DB" w14:textId="77777777" w:rsidTr="00721906">
        <w:trPr>
          <w:trHeight w:val="61"/>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14:paraId="5F95F840" w14:textId="77777777" w:rsidR="00ED064C" w:rsidRPr="00FC53AE" w:rsidRDefault="00ED064C" w:rsidP="00721906">
            <w:pPr>
              <w:rPr>
                <w:color w:val="000000" w:themeColor="text1"/>
                <w:sz w:val="18"/>
                <w:szCs w:val="18"/>
              </w:rPr>
            </w:pPr>
            <w:r w:rsidRPr="00FC53AE">
              <w:rPr>
                <w:color w:val="000000" w:themeColor="text1"/>
                <w:sz w:val="18"/>
                <w:szCs w:val="18"/>
              </w:rPr>
              <w:t>Totale imposte persone giuridiche</w:t>
            </w:r>
          </w:p>
        </w:tc>
        <w:tc>
          <w:tcPr>
            <w:tcW w:w="1066" w:type="dxa"/>
            <w:tcBorders>
              <w:top w:val="single" w:sz="12" w:space="0" w:color="auto"/>
              <w:bottom w:val="single" w:sz="12" w:space="0" w:color="auto"/>
            </w:tcBorders>
            <w:noWrap/>
            <w:vAlign w:val="center"/>
            <w:hideMark/>
          </w:tcPr>
          <w:p w14:paraId="1761A69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346.6</w:t>
            </w:r>
          </w:p>
        </w:tc>
        <w:tc>
          <w:tcPr>
            <w:tcW w:w="1066" w:type="dxa"/>
            <w:tcBorders>
              <w:top w:val="single" w:sz="12" w:space="0" w:color="auto"/>
              <w:bottom w:val="single" w:sz="12" w:space="0" w:color="auto"/>
            </w:tcBorders>
            <w:noWrap/>
            <w:vAlign w:val="center"/>
            <w:hideMark/>
          </w:tcPr>
          <w:p w14:paraId="18419613"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355.3</w:t>
            </w:r>
          </w:p>
        </w:tc>
        <w:tc>
          <w:tcPr>
            <w:tcW w:w="1066" w:type="dxa"/>
            <w:tcBorders>
              <w:top w:val="single" w:sz="12" w:space="0" w:color="auto"/>
              <w:bottom w:val="single" w:sz="12" w:space="0" w:color="auto"/>
            </w:tcBorders>
            <w:shd w:val="clear" w:color="auto" w:fill="FABF8F" w:themeFill="accent6" w:themeFillTint="99"/>
            <w:noWrap/>
            <w:vAlign w:val="center"/>
            <w:hideMark/>
          </w:tcPr>
          <w:p w14:paraId="272723DB"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385.8</w:t>
            </w:r>
          </w:p>
        </w:tc>
        <w:tc>
          <w:tcPr>
            <w:tcW w:w="1066" w:type="dxa"/>
            <w:tcBorders>
              <w:top w:val="single" w:sz="12" w:space="0" w:color="auto"/>
              <w:bottom w:val="single" w:sz="12" w:space="0" w:color="auto"/>
            </w:tcBorders>
            <w:shd w:val="clear" w:color="auto" w:fill="FBD4B4" w:themeFill="accent6" w:themeFillTint="66"/>
            <w:vAlign w:val="center"/>
          </w:tcPr>
          <w:p w14:paraId="239750F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30.5</w:t>
            </w:r>
          </w:p>
        </w:tc>
      </w:tr>
      <w:tr w:rsidR="00FC53AE" w:rsidRPr="00FC53AE" w14:paraId="347456B1" w14:textId="77777777" w:rsidTr="00721906">
        <w:trPr>
          <w:trHeight w:val="61"/>
        </w:trPr>
        <w:tc>
          <w:tcPr>
            <w:cnfStyle w:val="001000000000" w:firstRow="0" w:lastRow="0" w:firstColumn="1" w:lastColumn="0" w:oddVBand="0" w:evenVBand="0" w:oddHBand="0" w:evenHBand="0" w:firstRowFirstColumn="0" w:firstRowLastColumn="0" w:lastRowFirstColumn="0" w:lastRowLastColumn="0"/>
            <w:tcW w:w="4836" w:type="dxa"/>
            <w:noWrap/>
          </w:tcPr>
          <w:p w14:paraId="1559BC70" w14:textId="77777777" w:rsidR="00ED064C" w:rsidRPr="00FC53AE" w:rsidRDefault="00ED064C" w:rsidP="00721906">
            <w:pPr>
              <w:rPr>
                <w:b w:val="0"/>
                <w:color w:val="000000" w:themeColor="text1"/>
                <w:sz w:val="18"/>
                <w:szCs w:val="18"/>
              </w:rPr>
            </w:pPr>
          </w:p>
        </w:tc>
        <w:tc>
          <w:tcPr>
            <w:tcW w:w="1066" w:type="dxa"/>
            <w:tcBorders>
              <w:top w:val="single" w:sz="12" w:space="0" w:color="auto"/>
            </w:tcBorders>
            <w:noWrap/>
          </w:tcPr>
          <w:p w14:paraId="2E9ED85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66" w:type="dxa"/>
            <w:tcBorders>
              <w:top w:val="single" w:sz="12" w:space="0" w:color="auto"/>
            </w:tcBorders>
            <w:noWrap/>
          </w:tcPr>
          <w:p w14:paraId="1EDEA8FF"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66" w:type="dxa"/>
            <w:tcBorders>
              <w:top w:val="single" w:sz="12" w:space="0" w:color="auto"/>
            </w:tcBorders>
            <w:shd w:val="clear" w:color="auto" w:fill="FABF8F" w:themeFill="accent6" w:themeFillTint="99"/>
            <w:noWrap/>
          </w:tcPr>
          <w:p w14:paraId="5F06103B"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66" w:type="dxa"/>
            <w:tcBorders>
              <w:top w:val="single" w:sz="12" w:space="0" w:color="auto"/>
            </w:tcBorders>
            <w:shd w:val="clear" w:color="auto" w:fill="FBD4B4" w:themeFill="accent6" w:themeFillTint="66"/>
          </w:tcPr>
          <w:p w14:paraId="06A9A03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FC53AE" w:rsidRPr="00FC53AE" w14:paraId="2952ABAB" w14:textId="77777777" w:rsidTr="00721906">
        <w:trPr>
          <w:trHeight w:val="108"/>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14:paraId="6E2E8FAD"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Imposta sugli utili immobiliari</w:t>
            </w:r>
          </w:p>
        </w:tc>
        <w:tc>
          <w:tcPr>
            <w:tcW w:w="1066" w:type="dxa"/>
            <w:noWrap/>
            <w:vAlign w:val="center"/>
            <w:hideMark/>
          </w:tcPr>
          <w:p w14:paraId="0B4AD5B7"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100.3</w:t>
            </w:r>
          </w:p>
        </w:tc>
        <w:tc>
          <w:tcPr>
            <w:tcW w:w="1066" w:type="dxa"/>
            <w:noWrap/>
            <w:vAlign w:val="center"/>
            <w:hideMark/>
          </w:tcPr>
          <w:p w14:paraId="50F5765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90.0</w:t>
            </w:r>
          </w:p>
        </w:tc>
        <w:tc>
          <w:tcPr>
            <w:tcW w:w="1066" w:type="dxa"/>
            <w:shd w:val="clear" w:color="auto" w:fill="FABF8F" w:themeFill="accent6" w:themeFillTint="99"/>
            <w:noWrap/>
            <w:vAlign w:val="center"/>
            <w:hideMark/>
          </w:tcPr>
          <w:p w14:paraId="73C8DB0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89.4</w:t>
            </w:r>
          </w:p>
        </w:tc>
        <w:tc>
          <w:tcPr>
            <w:tcW w:w="1066" w:type="dxa"/>
            <w:shd w:val="clear" w:color="auto" w:fill="FBD4B4" w:themeFill="accent6" w:themeFillTint="66"/>
            <w:vAlign w:val="center"/>
          </w:tcPr>
          <w:p w14:paraId="7B87F1C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-0.6</w:t>
            </w:r>
          </w:p>
        </w:tc>
      </w:tr>
      <w:tr w:rsidR="00FC53AE" w:rsidRPr="00FC53AE" w14:paraId="29665BDC" w14:textId="77777777" w:rsidTr="00721906">
        <w:trPr>
          <w:trHeight w:val="192"/>
        </w:trPr>
        <w:tc>
          <w:tcPr>
            <w:cnfStyle w:val="001000000000" w:firstRow="0" w:lastRow="0" w:firstColumn="1" w:lastColumn="0" w:oddVBand="0" w:evenVBand="0" w:oddHBand="0" w:evenHBand="0" w:firstRowFirstColumn="0" w:firstRowLastColumn="0" w:lastRowFirstColumn="0" w:lastRowLastColumn="0"/>
            <w:tcW w:w="4836" w:type="dxa"/>
            <w:noWrap/>
            <w:hideMark/>
          </w:tcPr>
          <w:p w14:paraId="63909344" w14:textId="77777777" w:rsidR="00ED064C" w:rsidRPr="00FC53AE" w:rsidRDefault="00ED064C" w:rsidP="00721906">
            <w:pPr>
              <w:rPr>
                <w:b w:val="0"/>
                <w:color w:val="000000" w:themeColor="text1"/>
                <w:sz w:val="18"/>
                <w:szCs w:val="18"/>
              </w:rPr>
            </w:pPr>
            <w:r w:rsidRPr="00FC53AE">
              <w:rPr>
                <w:b w:val="0"/>
                <w:color w:val="000000" w:themeColor="text1"/>
                <w:sz w:val="18"/>
                <w:szCs w:val="18"/>
              </w:rPr>
              <w:t>Tasse iscrizione al registro fondiario</w:t>
            </w:r>
          </w:p>
        </w:tc>
        <w:tc>
          <w:tcPr>
            <w:tcW w:w="1066" w:type="dxa"/>
            <w:noWrap/>
            <w:vAlign w:val="center"/>
            <w:hideMark/>
          </w:tcPr>
          <w:p w14:paraId="3C6E70D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71.3</w:t>
            </w:r>
          </w:p>
        </w:tc>
        <w:tc>
          <w:tcPr>
            <w:tcW w:w="1066" w:type="dxa"/>
            <w:noWrap/>
            <w:vAlign w:val="center"/>
            <w:hideMark/>
          </w:tcPr>
          <w:p w14:paraId="73ECD454"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82.0</w:t>
            </w:r>
          </w:p>
        </w:tc>
        <w:tc>
          <w:tcPr>
            <w:tcW w:w="1066" w:type="dxa"/>
            <w:shd w:val="clear" w:color="auto" w:fill="FABF8F" w:themeFill="accent6" w:themeFillTint="99"/>
            <w:noWrap/>
            <w:vAlign w:val="center"/>
            <w:hideMark/>
          </w:tcPr>
          <w:p w14:paraId="5F9A98F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70.1</w:t>
            </w:r>
          </w:p>
        </w:tc>
        <w:tc>
          <w:tcPr>
            <w:tcW w:w="1066" w:type="dxa"/>
            <w:shd w:val="clear" w:color="auto" w:fill="FBD4B4" w:themeFill="accent6" w:themeFillTint="66"/>
            <w:vAlign w:val="center"/>
          </w:tcPr>
          <w:p w14:paraId="48EC397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-11.9</w:t>
            </w:r>
          </w:p>
        </w:tc>
      </w:tr>
      <w:tr w:rsidR="00FC53AE" w:rsidRPr="00FC53AE" w14:paraId="6270ACCB" w14:textId="77777777" w:rsidTr="00721906">
        <w:trPr>
          <w:trHeight w:val="100"/>
        </w:trPr>
        <w:tc>
          <w:tcPr>
            <w:cnfStyle w:val="001000000000" w:firstRow="0" w:lastRow="0" w:firstColumn="1" w:lastColumn="0" w:oddVBand="0" w:evenVBand="0" w:oddHBand="0" w:evenHBand="0" w:firstRowFirstColumn="0" w:firstRowLastColumn="0" w:lastRowFirstColumn="0" w:lastRowLastColumn="0"/>
            <w:tcW w:w="4836" w:type="dxa"/>
            <w:noWrap/>
            <w:hideMark/>
          </w:tcPr>
          <w:p w14:paraId="56DECC87"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Imposta di bollo</w:t>
            </w:r>
          </w:p>
        </w:tc>
        <w:tc>
          <w:tcPr>
            <w:tcW w:w="1066" w:type="dxa"/>
            <w:noWrap/>
            <w:vAlign w:val="center"/>
            <w:hideMark/>
          </w:tcPr>
          <w:p w14:paraId="3C594D6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35.7</w:t>
            </w:r>
          </w:p>
        </w:tc>
        <w:tc>
          <w:tcPr>
            <w:tcW w:w="1066" w:type="dxa"/>
            <w:noWrap/>
            <w:vAlign w:val="center"/>
            <w:hideMark/>
          </w:tcPr>
          <w:p w14:paraId="48FC4E80"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42.0</w:t>
            </w:r>
          </w:p>
        </w:tc>
        <w:tc>
          <w:tcPr>
            <w:tcW w:w="1066" w:type="dxa"/>
            <w:shd w:val="clear" w:color="auto" w:fill="FABF8F" w:themeFill="accent6" w:themeFillTint="99"/>
            <w:noWrap/>
            <w:vAlign w:val="center"/>
            <w:hideMark/>
          </w:tcPr>
          <w:p w14:paraId="125C60A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36.0</w:t>
            </w:r>
          </w:p>
        </w:tc>
        <w:tc>
          <w:tcPr>
            <w:tcW w:w="1066" w:type="dxa"/>
            <w:shd w:val="clear" w:color="auto" w:fill="FBD4B4" w:themeFill="accent6" w:themeFillTint="66"/>
            <w:vAlign w:val="center"/>
          </w:tcPr>
          <w:p w14:paraId="7CF51D44"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-6.0</w:t>
            </w:r>
          </w:p>
        </w:tc>
      </w:tr>
      <w:tr w:rsidR="00FC53AE" w:rsidRPr="00FC53AE" w14:paraId="323A54DF" w14:textId="77777777" w:rsidTr="00721906">
        <w:trPr>
          <w:trHeight w:val="166"/>
        </w:trPr>
        <w:tc>
          <w:tcPr>
            <w:cnfStyle w:val="001000000000" w:firstRow="0" w:lastRow="0" w:firstColumn="1" w:lastColumn="0" w:oddVBand="0" w:evenVBand="0" w:oddHBand="0" w:evenHBand="0" w:firstRowFirstColumn="0" w:firstRowLastColumn="0" w:lastRowFirstColumn="0" w:lastRowLastColumn="0"/>
            <w:tcW w:w="4836" w:type="dxa"/>
            <w:noWrap/>
            <w:hideMark/>
          </w:tcPr>
          <w:p w14:paraId="17A1C197"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di successione e donazione</w:t>
            </w:r>
          </w:p>
        </w:tc>
        <w:tc>
          <w:tcPr>
            <w:tcW w:w="1066" w:type="dxa"/>
            <w:noWrap/>
            <w:vAlign w:val="center"/>
            <w:hideMark/>
          </w:tcPr>
          <w:p w14:paraId="338C692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77.4</w:t>
            </w:r>
          </w:p>
        </w:tc>
        <w:tc>
          <w:tcPr>
            <w:tcW w:w="1066" w:type="dxa"/>
            <w:noWrap/>
            <w:vAlign w:val="center"/>
            <w:hideMark/>
          </w:tcPr>
          <w:p w14:paraId="2CAB49A6"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55.0</w:t>
            </w:r>
          </w:p>
        </w:tc>
        <w:tc>
          <w:tcPr>
            <w:tcW w:w="1066" w:type="dxa"/>
            <w:shd w:val="clear" w:color="auto" w:fill="FABF8F" w:themeFill="accent6" w:themeFillTint="99"/>
            <w:noWrap/>
            <w:vAlign w:val="center"/>
            <w:hideMark/>
          </w:tcPr>
          <w:p w14:paraId="42353388"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47.7</w:t>
            </w:r>
          </w:p>
        </w:tc>
        <w:tc>
          <w:tcPr>
            <w:tcW w:w="1066" w:type="dxa"/>
            <w:shd w:val="clear" w:color="auto" w:fill="FBD4B4" w:themeFill="accent6" w:themeFillTint="66"/>
            <w:vAlign w:val="center"/>
          </w:tcPr>
          <w:p w14:paraId="0E06B42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-7.3</w:t>
            </w:r>
          </w:p>
        </w:tc>
      </w:tr>
      <w:tr w:rsidR="00FC53AE" w:rsidRPr="00FC53AE" w14:paraId="5E13AB46" w14:textId="77777777" w:rsidTr="00721906">
        <w:trPr>
          <w:trHeight w:val="75"/>
        </w:trPr>
        <w:tc>
          <w:tcPr>
            <w:cnfStyle w:val="001000000000" w:firstRow="0" w:lastRow="0" w:firstColumn="1" w:lastColumn="0" w:oddVBand="0" w:evenVBand="0" w:oddHBand="0" w:evenHBand="0" w:firstRowFirstColumn="0" w:firstRowLastColumn="0" w:lastRowFirstColumn="0" w:lastRowLastColumn="0"/>
            <w:tcW w:w="4836" w:type="dxa"/>
            <w:noWrap/>
            <w:hideMark/>
          </w:tcPr>
          <w:p w14:paraId="02D6CFE6" w14:textId="77777777" w:rsidR="00ED064C" w:rsidRPr="00FC53AE" w:rsidRDefault="00ED064C" w:rsidP="00721906">
            <w:pPr>
              <w:rPr>
                <w:b w:val="0"/>
                <w:color w:val="000000" w:themeColor="text1"/>
                <w:sz w:val="18"/>
                <w:szCs w:val="18"/>
              </w:rPr>
            </w:pPr>
            <w:r w:rsidRPr="00FC53AE">
              <w:rPr>
                <w:b w:val="0"/>
                <w:color w:val="000000" w:themeColor="text1"/>
                <w:sz w:val="18"/>
                <w:szCs w:val="18"/>
              </w:rPr>
              <w:t>Tasse sulle case da gioco</w:t>
            </w:r>
          </w:p>
        </w:tc>
        <w:tc>
          <w:tcPr>
            <w:tcW w:w="1066" w:type="dxa"/>
            <w:noWrap/>
            <w:vAlign w:val="center"/>
            <w:hideMark/>
          </w:tcPr>
          <w:p w14:paraId="05F258B7"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18.0</w:t>
            </w:r>
          </w:p>
        </w:tc>
        <w:tc>
          <w:tcPr>
            <w:tcW w:w="1066" w:type="dxa"/>
            <w:noWrap/>
            <w:vAlign w:val="center"/>
            <w:hideMark/>
          </w:tcPr>
          <w:p w14:paraId="3D4213C3"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16.0</w:t>
            </w:r>
          </w:p>
        </w:tc>
        <w:tc>
          <w:tcPr>
            <w:tcW w:w="1066" w:type="dxa"/>
            <w:shd w:val="clear" w:color="auto" w:fill="FABF8F" w:themeFill="accent6" w:themeFillTint="99"/>
            <w:noWrap/>
            <w:vAlign w:val="center"/>
            <w:hideMark/>
          </w:tcPr>
          <w:p w14:paraId="2AFD01E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17.1</w:t>
            </w:r>
          </w:p>
        </w:tc>
        <w:tc>
          <w:tcPr>
            <w:tcW w:w="1066" w:type="dxa"/>
            <w:shd w:val="clear" w:color="auto" w:fill="FBD4B4" w:themeFill="accent6" w:themeFillTint="66"/>
            <w:vAlign w:val="center"/>
          </w:tcPr>
          <w:p w14:paraId="473F2FA5"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w:t>
            </w:r>
          </w:p>
        </w:tc>
      </w:tr>
      <w:tr w:rsidR="00FC53AE" w:rsidRPr="00FC53AE" w14:paraId="3205DB0C" w14:textId="77777777" w:rsidTr="00721906">
        <w:trPr>
          <w:trHeight w:val="158"/>
        </w:trPr>
        <w:tc>
          <w:tcPr>
            <w:cnfStyle w:val="001000000000" w:firstRow="0" w:lastRow="0" w:firstColumn="1" w:lastColumn="0" w:oddVBand="0" w:evenVBand="0" w:oddHBand="0" w:evenHBand="0" w:firstRowFirstColumn="0" w:firstRowLastColumn="0" w:lastRowFirstColumn="0" w:lastRowLastColumn="0"/>
            <w:tcW w:w="4836" w:type="dxa"/>
            <w:noWrap/>
            <w:hideMark/>
          </w:tcPr>
          <w:p w14:paraId="339E9092"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compagnie assicurazioni</w:t>
            </w:r>
          </w:p>
        </w:tc>
        <w:tc>
          <w:tcPr>
            <w:tcW w:w="1066" w:type="dxa"/>
            <w:noWrap/>
            <w:vAlign w:val="center"/>
            <w:hideMark/>
          </w:tcPr>
          <w:p w14:paraId="651CF958"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9.8</w:t>
            </w:r>
          </w:p>
        </w:tc>
        <w:tc>
          <w:tcPr>
            <w:tcW w:w="1066" w:type="dxa"/>
            <w:noWrap/>
            <w:vAlign w:val="center"/>
            <w:hideMark/>
          </w:tcPr>
          <w:p w14:paraId="239689AD"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9.8</w:t>
            </w:r>
          </w:p>
        </w:tc>
        <w:tc>
          <w:tcPr>
            <w:tcW w:w="1066" w:type="dxa"/>
            <w:shd w:val="clear" w:color="auto" w:fill="FABF8F" w:themeFill="accent6" w:themeFillTint="99"/>
            <w:noWrap/>
            <w:vAlign w:val="center"/>
            <w:hideMark/>
          </w:tcPr>
          <w:p w14:paraId="612C6A1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10.2</w:t>
            </w:r>
          </w:p>
        </w:tc>
        <w:tc>
          <w:tcPr>
            <w:tcW w:w="1066" w:type="dxa"/>
            <w:shd w:val="clear" w:color="auto" w:fill="FBD4B4" w:themeFill="accent6" w:themeFillTint="66"/>
            <w:vAlign w:val="center"/>
          </w:tcPr>
          <w:p w14:paraId="7FEFEA8B"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0.4</w:t>
            </w:r>
          </w:p>
        </w:tc>
      </w:tr>
      <w:tr w:rsidR="00FC53AE" w:rsidRPr="00FC53AE" w14:paraId="26EF3B98" w14:textId="77777777" w:rsidTr="00721906">
        <w:trPr>
          <w:trHeight w:val="61"/>
        </w:trPr>
        <w:tc>
          <w:tcPr>
            <w:cnfStyle w:val="001000000000" w:firstRow="0" w:lastRow="0" w:firstColumn="1" w:lastColumn="0" w:oddVBand="0" w:evenVBand="0" w:oddHBand="0" w:evenHBand="0" w:firstRowFirstColumn="0" w:firstRowLastColumn="0" w:lastRowFirstColumn="0" w:lastRowLastColumn="0"/>
            <w:tcW w:w="4836" w:type="dxa"/>
            <w:tcBorders>
              <w:bottom w:val="single" w:sz="2" w:space="0" w:color="auto"/>
            </w:tcBorders>
            <w:noWrap/>
            <w:hideMark/>
          </w:tcPr>
          <w:p w14:paraId="25B11B46" w14:textId="77777777" w:rsidR="00ED064C" w:rsidRPr="00FC53AE" w:rsidRDefault="00ED064C" w:rsidP="00721906">
            <w:pPr>
              <w:rPr>
                <w:b w:val="0"/>
                <w:color w:val="000000" w:themeColor="text1"/>
                <w:sz w:val="18"/>
                <w:szCs w:val="18"/>
              </w:rPr>
            </w:pPr>
            <w:r w:rsidRPr="00FC53AE">
              <w:rPr>
                <w:b w:val="0"/>
                <w:color w:val="000000" w:themeColor="text1"/>
                <w:sz w:val="18"/>
                <w:szCs w:val="18"/>
              </w:rPr>
              <w:t>Imposte di circolazione e navigazione</w:t>
            </w:r>
          </w:p>
        </w:tc>
        <w:tc>
          <w:tcPr>
            <w:tcW w:w="1066" w:type="dxa"/>
            <w:tcBorders>
              <w:bottom w:val="single" w:sz="2" w:space="0" w:color="auto"/>
            </w:tcBorders>
            <w:noWrap/>
            <w:vAlign w:val="center"/>
            <w:hideMark/>
          </w:tcPr>
          <w:p w14:paraId="167023F3"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C53AE">
              <w:rPr>
                <w:rFonts w:cs="Arial"/>
                <w:color w:val="000000" w:themeColor="text1"/>
                <w:sz w:val="18"/>
                <w:szCs w:val="18"/>
              </w:rPr>
              <w:t>116.1</w:t>
            </w:r>
          </w:p>
        </w:tc>
        <w:tc>
          <w:tcPr>
            <w:tcW w:w="1066" w:type="dxa"/>
            <w:tcBorders>
              <w:bottom w:val="single" w:sz="2" w:space="0" w:color="auto"/>
            </w:tcBorders>
            <w:noWrap/>
            <w:vAlign w:val="center"/>
            <w:hideMark/>
          </w:tcPr>
          <w:p w14:paraId="671FDABF"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114.2</w:t>
            </w:r>
          </w:p>
        </w:tc>
        <w:tc>
          <w:tcPr>
            <w:tcW w:w="1066" w:type="dxa"/>
            <w:tcBorders>
              <w:bottom w:val="single" w:sz="2" w:space="0" w:color="auto"/>
            </w:tcBorders>
            <w:shd w:val="clear" w:color="auto" w:fill="FABF8F" w:themeFill="accent6" w:themeFillTint="99"/>
            <w:noWrap/>
            <w:vAlign w:val="center"/>
            <w:hideMark/>
          </w:tcPr>
          <w:p w14:paraId="4C17B770"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118.4</w:t>
            </w:r>
          </w:p>
        </w:tc>
        <w:tc>
          <w:tcPr>
            <w:tcW w:w="1066" w:type="dxa"/>
            <w:tcBorders>
              <w:bottom w:val="single" w:sz="2" w:space="0" w:color="auto"/>
            </w:tcBorders>
            <w:shd w:val="clear" w:color="auto" w:fill="FBD4B4" w:themeFill="accent6" w:themeFillTint="66"/>
            <w:vAlign w:val="center"/>
          </w:tcPr>
          <w:p w14:paraId="44E52CA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FC53AE">
              <w:rPr>
                <w:rFonts w:cs="Arial"/>
                <w:color w:val="000000" w:themeColor="text1"/>
                <w:sz w:val="18"/>
                <w:szCs w:val="18"/>
              </w:rPr>
              <w:t>4.2</w:t>
            </w:r>
          </w:p>
        </w:tc>
      </w:tr>
      <w:tr w:rsidR="00FC53AE" w:rsidRPr="00FC53AE" w14:paraId="3FFD1ED7" w14:textId="77777777" w:rsidTr="00721906">
        <w:trPr>
          <w:trHeight w:val="133"/>
        </w:trPr>
        <w:tc>
          <w:tcPr>
            <w:cnfStyle w:val="001000000000" w:firstRow="0" w:lastRow="0" w:firstColumn="1" w:lastColumn="0" w:oddVBand="0" w:evenVBand="0" w:oddHBand="0" w:evenHBand="0" w:firstRowFirstColumn="0" w:firstRowLastColumn="0" w:lastRowFirstColumn="0" w:lastRowLastColumn="0"/>
            <w:tcW w:w="4836" w:type="dxa"/>
            <w:tcBorders>
              <w:top w:val="single" w:sz="2" w:space="0" w:color="auto"/>
            </w:tcBorders>
            <w:noWrap/>
            <w:hideMark/>
          </w:tcPr>
          <w:p w14:paraId="42CDF4C9" w14:textId="77777777" w:rsidR="00ED064C" w:rsidRPr="00FC53AE" w:rsidRDefault="00ED064C" w:rsidP="00721906">
            <w:pPr>
              <w:rPr>
                <w:color w:val="000000" w:themeColor="text1"/>
                <w:sz w:val="18"/>
                <w:szCs w:val="18"/>
              </w:rPr>
            </w:pPr>
            <w:r w:rsidRPr="00FC53AE">
              <w:rPr>
                <w:color w:val="000000" w:themeColor="text1"/>
                <w:sz w:val="18"/>
                <w:szCs w:val="18"/>
              </w:rPr>
              <w:t>Totale altri ricavi fiscali</w:t>
            </w:r>
          </w:p>
        </w:tc>
        <w:tc>
          <w:tcPr>
            <w:tcW w:w="1066" w:type="dxa"/>
            <w:tcBorders>
              <w:top w:val="single" w:sz="2" w:space="0" w:color="auto"/>
              <w:bottom w:val="single" w:sz="12" w:space="0" w:color="auto"/>
            </w:tcBorders>
            <w:noWrap/>
            <w:vAlign w:val="center"/>
            <w:hideMark/>
          </w:tcPr>
          <w:p w14:paraId="7234903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428.6</w:t>
            </w:r>
          </w:p>
        </w:tc>
        <w:tc>
          <w:tcPr>
            <w:tcW w:w="1066" w:type="dxa"/>
            <w:tcBorders>
              <w:top w:val="single" w:sz="2" w:space="0" w:color="auto"/>
              <w:bottom w:val="single" w:sz="12" w:space="0" w:color="auto"/>
            </w:tcBorders>
            <w:noWrap/>
            <w:vAlign w:val="center"/>
            <w:hideMark/>
          </w:tcPr>
          <w:p w14:paraId="658CAB73"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409.0</w:t>
            </w:r>
          </w:p>
        </w:tc>
        <w:tc>
          <w:tcPr>
            <w:tcW w:w="1066" w:type="dxa"/>
            <w:tcBorders>
              <w:top w:val="single" w:sz="2" w:space="0" w:color="auto"/>
              <w:bottom w:val="single" w:sz="12" w:space="0" w:color="auto"/>
            </w:tcBorders>
            <w:shd w:val="clear" w:color="auto" w:fill="FABF8F" w:themeFill="accent6" w:themeFillTint="99"/>
            <w:noWrap/>
            <w:vAlign w:val="center"/>
            <w:hideMark/>
          </w:tcPr>
          <w:p w14:paraId="609A3A29"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388.9</w:t>
            </w:r>
          </w:p>
        </w:tc>
        <w:tc>
          <w:tcPr>
            <w:tcW w:w="1066" w:type="dxa"/>
            <w:tcBorders>
              <w:top w:val="single" w:sz="2" w:space="0" w:color="auto"/>
              <w:bottom w:val="single" w:sz="12" w:space="0" w:color="auto"/>
            </w:tcBorders>
            <w:shd w:val="clear" w:color="auto" w:fill="FBD4B4" w:themeFill="accent6" w:themeFillTint="66"/>
            <w:vAlign w:val="center"/>
          </w:tcPr>
          <w:p w14:paraId="17B6198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FC53AE">
              <w:rPr>
                <w:rFonts w:cs="Arial"/>
                <w:b/>
                <w:color w:val="000000" w:themeColor="text1"/>
                <w:sz w:val="18"/>
                <w:szCs w:val="18"/>
              </w:rPr>
              <w:t>-20.1</w:t>
            </w:r>
          </w:p>
        </w:tc>
      </w:tr>
      <w:tr w:rsidR="00FC53AE" w:rsidRPr="00FC53AE" w14:paraId="467FE909" w14:textId="77777777" w:rsidTr="00721906">
        <w:trPr>
          <w:trHeight w:val="133"/>
        </w:trPr>
        <w:tc>
          <w:tcPr>
            <w:cnfStyle w:val="001000000000" w:firstRow="0" w:lastRow="0" w:firstColumn="1" w:lastColumn="0" w:oddVBand="0" w:evenVBand="0" w:oddHBand="0" w:evenHBand="0" w:firstRowFirstColumn="0" w:firstRowLastColumn="0" w:lastRowFirstColumn="0" w:lastRowLastColumn="0"/>
            <w:tcW w:w="4836" w:type="dxa"/>
            <w:tcBorders>
              <w:bottom w:val="single" w:sz="12" w:space="0" w:color="auto"/>
            </w:tcBorders>
            <w:noWrap/>
          </w:tcPr>
          <w:p w14:paraId="6C94E1B0" w14:textId="77777777" w:rsidR="00ED064C" w:rsidRPr="00FC53AE" w:rsidRDefault="00ED064C" w:rsidP="00721906">
            <w:pPr>
              <w:rPr>
                <w:b w:val="0"/>
                <w:color w:val="000000" w:themeColor="text1"/>
                <w:sz w:val="18"/>
                <w:szCs w:val="18"/>
              </w:rPr>
            </w:pPr>
          </w:p>
        </w:tc>
        <w:tc>
          <w:tcPr>
            <w:tcW w:w="1066" w:type="dxa"/>
            <w:tcBorders>
              <w:top w:val="single" w:sz="12" w:space="0" w:color="auto"/>
              <w:bottom w:val="single" w:sz="12" w:space="0" w:color="auto"/>
            </w:tcBorders>
            <w:noWrap/>
          </w:tcPr>
          <w:p w14:paraId="26A316FF"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bottom w:val="single" w:sz="12" w:space="0" w:color="auto"/>
            </w:tcBorders>
            <w:noWrap/>
          </w:tcPr>
          <w:p w14:paraId="59B60A6E"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bottom w:val="single" w:sz="12" w:space="0" w:color="auto"/>
            </w:tcBorders>
            <w:shd w:val="clear" w:color="auto" w:fill="FABF8F" w:themeFill="accent6" w:themeFillTint="99"/>
            <w:noWrap/>
          </w:tcPr>
          <w:p w14:paraId="37BAF6FA"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066" w:type="dxa"/>
            <w:tcBorders>
              <w:top w:val="single" w:sz="12" w:space="0" w:color="auto"/>
              <w:bottom w:val="single" w:sz="12" w:space="0" w:color="auto"/>
            </w:tcBorders>
            <w:shd w:val="clear" w:color="auto" w:fill="FBD4B4" w:themeFill="accent6" w:themeFillTint="66"/>
          </w:tcPr>
          <w:p w14:paraId="1AA1A69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r>
      <w:tr w:rsidR="00FC53AE" w:rsidRPr="00FC53AE" w14:paraId="28FCB493" w14:textId="77777777" w:rsidTr="00721906">
        <w:trPr>
          <w:trHeight w:val="200"/>
        </w:trPr>
        <w:tc>
          <w:tcPr>
            <w:cnfStyle w:val="001000000000" w:firstRow="0" w:lastRow="0" w:firstColumn="1" w:lastColumn="0" w:oddVBand="0" w:evenVBand="0" w:oddHBand="0" w:evenHBand="0" w:firstRowFirstColumn="0" w:firstRowLastColumn="0" w:lastRowFirstColumn="0" w:lastRowLastColumn="0"/>
            <w:tcW w:w="4836" w:type="dxa"/>
            <w:tcBorders>
              <w:top w:val="single" w:sz="12" w:space="0" w:color="auto"/>
            </w:tcBorders>
            <w:noWrap/>
            <w:hideMark/>
          </w:tcPr>
          <w:p w14:paraId="341BC860" w14:textId="77777777" w:rsidR="00ED064C" w:rsidRPr="00FC53AE" w:rsidRDefault="00ED064C" w:rsidP="00721906">
            <w:pPr>
              <w:rPr>
                <w:color w:val="000000" w:themeColor="text1"/>
                <w:sz w:val="18"/>
                <w:szCs w:val="18"/>
              </w:rPr>
            </w:pPr>
            <w:r w:rsidRPr="00FC53AE">
              <w:rPr>
                <w:color w:val="000000" w:themeColor="text1"/>
                <w:sz w:val="18"/>
                <w:szCs w:val="18"/>
              </w:rPr>
              <w:t>Totale complessivo</w:t>
            </w:r>
          </w:p>
        </w:tc>
        <w:tc>
          <w:tcPr>
            <w:tcW w:w="1066" w:type="dxa"/>
            <w:tcBorders>
              <w:top w:val="single" w:sz="12" w:space="0" w:color="auto"/>
              <w:bottom w:val="single" w:sz="12" w:space="0" w:color="auto"/>
            </w:tcBorders>
            <w:noWrap/>
            <w:vAlign w:val="center"/>
            <w:hideMark/>
          </w:tcPr>
          <w:p w14:paraId="28E2D70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2'154.8</w:t>
            </w:r>
          </w:p>
        </w:tc>
        <w:tc>
          <w:tcPr>
            <w:tcW w:w="1066" w:type="dxa"/>
            <w:tcBorders>
              <w:top w:val="single" w:sz="12" w:space="0" w:color="auto"/>
              <w:bottom w:val="single" w:sz="12" w:space="0" w:color="auto"/>
            </w:tcBorders>
            <w:noWrap/>
            <w:vAlign w:val="center"/>
            <w:hideMark/>
          </w:tcPr>
          <w:p w14:paraId="215F09D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2'168.8</w:t>
            </w:r>
          </w:p>
        </w:tc>
        <w:tc>
          <w:tcPr>
            <w:tcW w:w="1066" w:type="dxa"/>
            <w:tcBorders>
              <w:top w:val="single" w:sz="12" w:space="0" w:color="auto"/>
              <w:bottom w:val="single" w:sz="12" w:space="0" w:color="auto"/>
            </w:tcBorders>
            <w:shd w:val="clear" w:color="auto" w:fill="FABF8F" w:themeFill="accent6" w:themeFillTint="99"/>
            <w:noWrap/>
            <w:vAlign w:val="center"/>
            <w:hideMark/>
          </w:tcPr>
          <w:p w14:paraId="56088991"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2'218.7</w:t>
            </w:r>
          </w:p>
        </w:tc>
        <w:tc>
          <w:tcPr>
            <w:tcW w:w="1066" w:type="dxa"/>
            <w:tcBorders>
              <w:top w:val="single" w:sz="12" w:space="0" w:color="auto"/>
              <w:bottom w:val="single" w:sz="12" w:space="0" w:color="auto"/>
            </w:tcBorders>
            <w:shd w:val="clear" w:color="auto" w:fill="FBD4B4" w:themeFill="accent6" w:themeFillTint="66"/>
            <w:vAlign w:val="center"/>
          </w:tcPr>
          <w:p w14:paraId="20925612" w14:textId="77777777" w:rsidR="00ED064C" w:rsidRPr="00FC53AE" w:rsidRDefault="00ED064C" w:rsidP="00721906">
            <w:pPr>
              <w:jc w:val="right"/>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FC53AE">
              <w:rPr>
                <w:rFonts w:cs="Arial"/>
                <w:b/>
                <w:bCs/>
                <w:color w:val="000000" w:themeColor="text1"/>
                <w:sz w:val="18"/>
                <w:szCs w:val="18"/>
              </w:rPr>
              <w:t>49.9</w:t>
            </w:r>
          </w:p>
        </w:tc>
      </w:tr>
    </w:tbl>
    <w:p w14:paraId="01A8428C" w14:textId="77777777" w:rsidR="00ED064C" w:rsidRPr="00FC53AE" w:rsidRDefault="00ED064C" w:rsidP="006F47D4">
      <w:pPr>
        <w:autoSpaceDE w:val="0"/>
        <w:autoSpaceDN w:val="0"/>
        <w:adjustRightInd w:val="0"/>
        <w:spacing w:before="120" w:line="260" w:lineRule="atLeast"/>
        <w:rPr>
          <w:rFonts w:eastAsia="Calibri" w:cs="Arial"/>
          <w:color w:val="000000" w:themeColor="text1"/>
          <w:sz w:val="24"/>
          <w:szCs w:val="24"/>
        </w:rPr>
      </w:pPr>
      <w:r w:rsidRPr="00FC53AE">
        <w:rPr>
          <w:noProof/>
          <w:color w:val="000000" w:themeColor="text1"/>
          <w:lang w:eastAsia="it-CH"/>
        </w:rPr>
        <w:drawing>
          <wp:inline distT="0" distB="0" distL="0" distR="0" wp14:anchorId="140BEAA8" wp14:editId="2835FD7C">
            <wp:extent cx="5780598" cy="3578087"/>
            <wp:effectExtent l="0" t="0" r="0" b="3810"/>
            <wp:docPr id="312" name="Grafico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0DB1DA" w14:textId="77777777" w:rsidR="00ED064C" w:rsidRPr="00FC53AE" w:rsidRDefault="00ED064C"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Messaggio n. 8562, pag. 21</w:t>
      </w:r>
    </w:p>
    <w:p w14:paraId="3B6CCC7E" w14:textId="77777777" w:rsidR="0093790E" w:rsidRPr="00FC53AE" w:rsidRDefault="0093790E">
      <w:pPr>
        <w:rPr>
          <w:rFonts w:eastAsia="Calibri" w:cs="Arial"/>
          <w:color w:val="000000" w:themeColor="text1"/>
          <w:sz w:val="24"/>
          <w:szCs w:val="24"/>
        </w:rPr>
      </w:pPr>
    </w:p>
    <w:p w14:paraId="23EAE3D0" w14:textId="71205CD6"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Il totale delle entrate fiscali è in costante aumento dal 2003</w:t>
      </w:r>
    </w:p>
    <w:p w14:paraId="05326241" w14:textId="77777777" w:rsidR="004A2BCB" w:rsidRPr="00FC53AE" w:rsidRDefault="004A2BCB" w:rsidP="004A2BCB">
      <w:pPr>
        <w:rPr>
          <w:rFonts w:eastAsia="Calibri" w:cs="Arial"/>
          <w:color w:val="000000" w:themeColor="text1"/>
          <w:sz w:val="24"/>
          <w:szCs w:val="24"/>
        </w:rPr>
      </w:pPr>
    </w:p>
    <w:p w14:paraId="3F35CAD9" w14:textId="4A5CD189"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Persone fisiche: quota sempre più dominante</w:t>
      </w:r>
    </w:p>
    <w:p w14:paraId="0DB3B403" w14:textId="77777777"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Il gettito da persone fisiche cresce in modo continuo e rappresenta oggi la maggioranza netta del totale.</w:t>
      </w:r>
    </w:p>
    <w:p w14:paraId="420D8E03" w14:textId="77777777" w:rsidR="004A2BCB" w:rsidRPr="00FC53AE" w:rsidRDefault="004A2BCB" w:rsidP="004A2BCB">
      <w:pPr>
        <w:rPr>
          <w:rFonts w:eastAsia="Calibri" w:cs="Arial"/>
          <w:color w:val="000000" w:themeColor="text1"/>
          <w:sz w:val="24"/>
          <w:szCs w:val="24"/>
        </w:rPr>
      </w:pPr>
    </w:p>
    <w:p w14:paraId="1D0DE867" w14:textId="77777777"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Il peso relativo di questa componente aumenta nel tempo.</w:t>
      </w:r>
    </w:p>
    <w:p w14:paraId="39996CB1" w14:textId="77777777" w:rsidR="004A2BCB" w:rsidRPr="00FC53AE" w:rsidRDefault="004A2BCB" w:rsidP="004A2BCB">
      <w:pPr>
        <w:rPr>
          <w:rFonts w:eastAsia="Calibri" w:cs="Arial"/>
          <w:color w:val="000000" w:themeColor="text1"/>
          <w:sz w:val="24"/>
          <w:szCs w:val="24"/>
        </w:rPr>
      </w:pPr>
    </w:p>
    <w:p w14:paraId="4DEBA1C2" w14:textId="090579D0"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Persone giuridiche: stagnazione e recupero recente</w:t>
      </w:r>
    </w:p>
    <w:p w14:paraId="4EAF53AF" w14:textId="77777777"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Dopo un periodo stabile (2008–2019), con valori tra i 350–400 milioni, si nota una flessione tra il 2020 e 2022. Nel 2024 torna a salire.</w:t>
      </w:r>
    </w:p>
    <w:p w14:paraId="6A929055" w14:textId="77777777" w:rsidR="004A2BCB" w:rsidRPr="00FC53AE" w:rsidRDefault="004A2BCB" w:rsidP="004A2BCB">
      <w:pPr>
        <w:rPr>
          <w:rFonts w:eastAsia="Calibri" w:cs="Arial"/>
          <w:color w:val="000000" w:themeColor="text1"/>
          <w:sz w:val="24"/>
          <w:szCs w:val="24"/>
        </w:rPr>
      </w:pPr>
    </w:p>
    <w:p w14:paraId="341F9779" w14:textId="62D70CAD"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Nonostante l’aumento costante del gettito complessivo, il grafico evidenzia in modo inequivocabile la stagnazione del gettito fiscale proveniente dalle persone giuridiche, che negli ultimi vent’anni si è mantenuto su livelli relativamente stabili, con leggere flessioni negli anni recenti e solo un parziale recupero nel 2024. Questo dato non è casuale, ma riflette una struttura economica basata su vantaggi di posizione piuttosto che su un'elevata competitività e autonoma, e su una serie di alleggerimenti fiscali concessi alle imprese nel corso degli anni.</w:t>
      </w:r>
    </w:p>
    <w:p w14:paraId="3B02CC02" w14:textId="77777777" w:rsidR="004A2BCB" w:rsidRPr="00FC53AE" w:rsidRDefault="004A2BCB" w:rsidP="004A2BCB">
      <w:pPr>
        <w:rPr>
          <w:rFonts w:eastAsia="Calibri" w:cs="Arial"/>
          <w:color w:val="000000" w:themeColor="text1"/>
          <w:sz w:val="24"/>
          <w:szCs w:val="24"/>
        </w:rPr>
      </w:pPr>
    </w:p>
    <w:p w14:paraId="75593467" w14:textId="77777777" w:rsidR="004A2BCB"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In parallelo, le persone fisiche sono diventate la colonna portante delle finanze pubbliche, contribuendo in misura crescente al gettito complessivo, nonostante salari mediamente inferiori rispetto al resto della Svizzera. Si tratta di una distribuzione squilibrata del carico fiscale, in cui sono i cittadini a sostenere, con le proprie imposte, le infrastrutture pubbliche e i servizi di cui beneficiano anche le aziende, senza che queste ultime restituiscano proporzionalmente in termini di fiscalità.</w:t>
      </w:r>
    </w:p>
    <w:p w14:paraId="7A3C3EC9" w14:textId="77777777" w:rsidR="004A2BCB" w:rsidRPr="00FC53AE" w:rsidRDefault="004A2BCB" w:rsidP="004A2BCB">
      <w:pPr>
        <w:rPr>
          <w:rFonts w:eastAsia="Calibri" w:cs="Arial"/>
          <w:color w:val="000000" w:themeColor="text1"/>
          <w:sz w:val="24"/>
          <w:szCs w:val="24"/>
        </w:rPr>
      </w:pPr>
    </w:p>
    <w:p w14:paraId="57EDCA03" w14:textId="6F0E224F" w:rsidR="00CB216A" w:rsidRPr="00FC53AE" w:rsidRDefault="004A2BCB" w:rsidP="004A2BCB">
      <w:pPr>
        <w:rPr>
          <w:rFonts w:eastAsia="Calibri" w:cs="Arial"/>
          <w:color w:val="000000" w:themeColor="text1"/>
          <w:sz w:val="24"/>
          <w:szCs w:val="24"/>
        </w:rPr>
      </w:pPr>
      <w:r w:rsidRPr="00FC53AE">
        <w:rPr>
          <w:rFonts w:eastAsia="Calibri" w:cs="Arial"/>
          <w:color w:val="000000" w:themeColor="text1"/>
          <w:sz w:val="24"/>
          <w:szCs w:val="24"/>
        </w:rPr>
        <w:t>Questo squilibrio solleva interrogativi rilevanti sulla sostenibilità sociale del modello fiscale cantonale.</w:t>
      </w:r>
      <w:r w:rsidR="00CB216A" w:rsidRPr="00FC53AE">
        <w:rPr>
          <w:rFonts w:eastAsia="Calibri" w:cs="Arial"/>
          <w:color w:val="000000" w:themeColor="text1"/>
          <w:sz w:val="24"/>
          <w:szCs w:val="24"/>
        </w:rPr>
        <w:br w:type="page"/>
      </w:r>
    </w:p>
    <w:p w14:paraId="586BBB24" w14:textId="77777777" w:rsidR="006F47D4" w:rsidRPr="00FC53AE" w:rsidRDefault="000D0508" w:rsidP="00AC1D16">
      <w:pPr>
        <w:spacing w:after="120"/>
        <w:rPr>
          <w:rFonts w:ascii="Gill Sans Light" w:hAnsi="Gill Sans Light" w:cs="Arial"/>
          <w:i/>
          <w:color w:val="000000" w:themeColor="text1"/>
          <w:sz w:val="24"/>
          <w:szCs w:val="24"/>
          <w:u w:val="single"/>
          <w:lang w:eastAsia="it-IT"/>
        </w:rPr>
      </w:pPr>
      <w:r w:rsidRPr="00FC53AE">
        <w:rPr>
          <w:rFonts w:eastAsia="Times New Roman" w:cs="Arial"/>
          <w:b/>
          <w:i/>
          <w:color w:val="000000" w:themeColor="text1"/>
          <w:sz w:val="24"/>
          <w:szCs w:val="24"/>
          <w:u w:val="single"/>
          <w:lang w:eastAsia="it-CH"/>
        </w:rPr>
        <w:lastRenderedPageBreak/>
        <w:t>Gettiti di competenza delle persone fisiche +/- rivalutazioni</w:t>
      </w:r>
    </w:p>
    <w:tbl>
      <w:tblPr>
        <w:tblW w:w="9210" w:type="dxa"/>
        <w:tblCellMar>
          <w:left w:w="70" w:type="dxa"/>
          <w:right w:w="70" w:type="dxa"/>
        </w:tblCellMar>
        <w:tblLook w:val="04A0" w:firstRow="1" w:lastRow="0" w:firstColumn="1" w:lastColumn="0" w:noHBand="0" w:noVBand="1"/>
      </w:tblPr>
      <w:tblGrid>
        <w:gridCol w:w="3261"/>
        <w:gridCol w:w="407"/>
        <w:gridCol w:w="407"/>
        <w:gridCol w:w="440"/>
        <w:gridCol w:w="527"/>
        <w:gridCol w:w="537"/>
        <w:gridCol w:w="532"/>
        <w:gridCol w:w="532"/>
        <w:gridCol w:w="520"/>
        <w:gridCol w:w="532"/>
        <w:gridCol w:w="532"/>
        <w:gridCol w:w="537"/>
        <w:gridCol w:w="527"/>
      </w:tblGrid>
      <w:tr w:rsidR="00FC53AE" w:rsidRPr="00FC53AE" w14:paraId="7F226558" w14:textId="77777777" w:rsidTr="00144D76">
        <w:trPr>
          <w:trHeight w:val="273"/>
        </w:trPr>
        <w:tc>
          <w:tcPr>
            <w:tcW w:w="3261" w:type="dxa"/>
            <w:tcBorders>
              <w:top w:val="single" w:sz="4" w:space="0" w:color="auto"/>
              <w:left w:val="single" w:sz="4" w:space="0" w:color="auto"/>
              <w:bottom w:val="single" w:sz="4" w:space="0" w:color="auto"/>
            </w:tcBorders>
            <w:shd w:val="clear" w:color="auto" w:fill="auto"/>
            <w:noWrap/>
            <w:vAlign w:val="bottom"/>
          </w:tcPr>
          <w:p w14:paraId="37F73D0E" w14:textId="77777777" w:rsidR="006F47D4" w:rsidRPr="00FC53AE" w:rsidRDefault="006F47D4" w:rsidP="00144D76">
            <w:pPr>
              <w:rPr>
                <w:rFonts w:eastAsia="Times New Roman" w:cs="Arial"/>
                <w:b/>
                <w:color w:val="000000" w:themeColor="text1"/>
                <w:szCs w:val="20"/>
                <w:lang w:eastAsia="it-CH"/>
              </w:rPr>
            </w:pPr>
            <w:r w:rsidRPr="00FC53AE">
              <w:rPr>
                <w:rFonts w:eastAsia="Times New Roman" w:cs="Arial"/>
                <w:b/>
                <w:color w:val="000000" w:themeColor="text1"/>
                <w:szCs w:val="20"/>
                <w:lang w:eastAsia="it-CH"/>
              </w:rPr>
              <w:t>Stato al 31.12.</w:t>
            </w:r>
            <w:r w:rsidRPr="00FC53AE">
              <w:rPr>
                <w:rFonts w:eastAsia="Times New Roman" w:cs="Arial"/>
                <w:b/>
                <w:bCs/>
                <w:color w:val="000000" w:themeColor="text1"/>
                <w:szCs w:val="20"/>
                <w:lang w:eastAsia="it-CH"/>
              </w:rPr>
              <w:t>2024</w:t>
            </w:r>
          </w:p>
        </w:tc>
        <w:tc>
          <w:tcPr>
            <w:tcW w:w="405" w:type="dxa"/>
            <w:tcBorders>
              <w:top w:val="single" w:sz="4" w:space="0" w:color="auto"/>
              <w:bottom w:val="single" w:sz="4" w:space="0" w:color="auto"/>
            </w:tcBorders>
            <w:shd w:val="clear" w:color="auto" w:fill="auto"/>
            <w:noWrap/>
            <w:textDirection w:val="btLr"/>
            <w:vAlign w:val="bottom"/>
          </w:tcPr>
          <w:p w14:paraId="22EE07EC" w14:textId="77777777" w:rsidR="006F47D4" w:rsidRPr="00FC53AE" w:rsidRDefault="006F47D4" w:rsidP="00144D76">
            <w:pPr>
              <w:jc w:val="right"/>
              <w:rPr>
                <w:rFonts w:eastAsia="Times New Roman" w:cs="Arial"/>
                <w:b/>
                <w:color w:val="000000" w:themeColor="text1"/>
                <w:sz w:val="16"/>
                <w:szCs w:val="16"/>
                <w:lang w:eastAsia="it-CH"/>
              </w:rPr>
            </w:pPr>
          </w:p>
        </w:tc>
        <w:tc>
          <w:tcPr>
            <w:tcW w:w="405" w:type="dxa"/>
            <w:tcBorders>
              <w:top w:val="single" w:sz="4" w:space="0" w:color="auto"/>
              <w:bottom w:val="single" w:sz="4" w:space="0" w:color="auto"/>
            </w:tcBorders>
            <w:shd w:val="clear" w:color="auto" w:fill="auto"/>
            <w:noWrap/>
            <w:textDirection w:val="btLr"/>
            <w:vAlign w:val="bottom"/>
          </w:tcPr>
          <w:p w14:paraId="20B2A74D" w14:textId="77777777" w:rsidR="006F47D4" w:rsidRPr="00FC53AE" w:rsidRDefault="006F47D4" w:rsidP="00144D76">
            <w:pPr>
              <w:jc w:val="right"/>
              <w:rPr>
                <w:rFonts w:eastAsia="Times New Roman" w:cs="Arial"/>
                <w:b/>
                <w:color w:val="000000" w:themeColor="text1"/>
                <w:sz w:val="16"/>
                <w:szCs w:val="16"/>
                <w:lang w:eastAsia="it-CH"/>
              </w:rPr>
            </w:pPr>
          </w:p>
        </w:tc>
        <w:tc>
          <w:tcPr>
            <w:tcW w:w="440" w:type="dxa"/>
            <w:tcBorders>
              <w:top w:val="single" w:sz="4" w:space="0" w:color="auto"/>
              <w:bottom w:val="single" w:sz="4" w:space="0" w:color="auto"/>
            </w:tcBorders>
            <w:shd w:val="clear" w:color="auto" w:fill="auto"/>
            <w:textDirection w:val="btLr"/>
            <w:vAlign w:val="bottom"/>
          </w:tcPr>
          <w:p w14:paraId="00C90227" w14:textId="77777777" w:rsidR="006F47D4" w:rsidRPr="00FC53AE" w:rsidRDefault="006F47D4" w:rsidP="00144D76">
            <w:pPr>
              <w:jc w:val="center"/>
              <w:rPr>
                <w:rFonts w:eastAsia="Times New Roman" w:cs="Arial"/>
                <w:b/>
                <w:color w:val="000000" w:themeColor="text1"/>
                <w:sz w:val="16"/>
                <w:szCs w:val="16"/>
                <w:lang w:eastAsia="it-CH"/>
              </w:rPr>
            </w:pPr>
          </w:p>
        </w:tc>
        <w:tc>
          <w:tcPr>
            <w:tcW w:w="440" w:type="dxa"/>
            <w:tcBorders>
              <w:top w:val="single" w:sz="4" w:space="0" w:color="auto"/>
              <w:bottom w:val="single" w:sz="4" w:space="0" w:color="auto"/>
            </w:tcBorders>
            <w:shd w:val="clear" w:color="auto" w:fill="auto"/>
            <w:textDirection w:val="btLr"/>
            <w:vAlign w:val="bottom"/>
          </w:tcPr>
          <w:p w14:paraId="3A644917" w14:textId="77777777" w:rsidR="006F47D4" w:rsidRPr="00FC53AE" w:rsidRDefault="006F47D4" w:rsidP="00144D76">
            <w:pPr>
              <w:jc w:val="center"/>
              <w:rPr>
                <w:rFonts w:eastAsia="Times New Roman" w:cs="Arial"/>
                <w:b/>
                <w:color w:val="000000" w:themeColor="text1"/>
                <w:sz w:val="16"/>
                <w:szCs w:val="16"/>
                <w:lang w:eastAsia="it-CH"/>
              </w:rPr>
            </w:pPr>
          </w:p>
        </w:tc>
        <w:tc>
          <w:tcPr>
            <w:tcW w:w="537" w:type="dxa"/>
            <w:tcBorders>
              <w:top w:val="single" w:sz="4" w:space="0" w:color="auto"/>
              <w:bottom w:val="single" w:sz="4" w:space="0" w:color="auto"/>
            </w:tcBorders>
            <w:shd w:val="clear" w:color="auto" w:fill="auto"/>
            <w:textDirection w:val="btLr"/>
            <w:vAlign w:val="bottom"/>
          </w:tcPr>
          <w:p w14:paraId="3454D6AB" w14:textId="77777777" w:rsidR="006F47D4" w:rsidRPr="00FC53AE" w:rsidRDefault="006F47D4" w:rsidP="00144D76">
            <w:pPr>
              <w:jc w:val="center"/>
              <w:rPr>
                <w:rFonts w:eastAsia="Times New Roman" w:cs="Arial"/>
                <w:b/>
                <w:color w:val="000000" w:themeColor="text1"/>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14:paraId="35BC1EDC" w14:textId="77777777" w:rsidR="006F47D4" w:rsidRPr="00FC53AE" w:rsidRDefault="006F47D4" w:rsidP="00144D76">
            <w:pPr>
              <w:jc w:val="center"/>
              <w:rPr>
                <w:rFonts w:eastAsia="Times New Roman" w:cs="Arial"/>
                <w:b/>
                <w:color w:val="000000" w:themeColor="text1"/>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14:paraId="0CF8B55E" w14:textId="77777777" w:rsidR="006F47D4" w:rsidRPr="00FC53AE" w:rsidRDefault="006F47D4" w:rsidP="00144D76">
            <w:pPr>
              <w:jc w:val="center"/>
              <w:rPr>
                <w:rFonts w:eastAsia="Times New Roman" w:cs="Arial"/>
                <w:b/>
                <w:color w:val="000000" w:themeColor="text1"/>
                <w:sz w:val="16"/>
                <w:szCs w:val="16"/>
                <w:lang w:eastAsia="it-CH"/>
              </w:rPr>
            </w:pPr>
          </w:p>
        </w:tc>
        <w:tc>
          <w:tcPr>
            <w:tcW w:w="520" w:type="dxa"/>
            <w:tcBorders>
              <w:top w:val="single" w:sz="4" w:space="0" w:color="auto"/>
              <w:bottom w:val="single" w:sz="4" w:space="0" w:color="auto"/>
            </w:tcBorders>
            <w:shd w:val="clear" w:color="auto" w:fill="auto"/>
            <w:textDirection w:val="btLr"/>
            <w:vAlign w:val="bottom"/>
          </w:tcPr>
          <w:p w14:paraId="3C5289A7" w14:textId="77777777" w:rsidR="006F47D4" w:rsidRPr="00FC53AE" w:rsidRDefault="006F47D4" w:rsidP="00144D76">
            <w:pPr>
              <w:jc w:val="center"/>
              <w:rPr>
                <w:rFonts w:eastAsia="Times New Roman" w:cs="Arial"/>
                <w:b/>
                <w:color w:val="000000" w:themeColor="text1"/>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14:paraId="45778F7A" w14:textId="77777777" w:rsidR="006F47D4" w:rsidRPr="00FC53AE" w:rsidRDefault="006F47D4" w:rsidP="00144D76">
            <w:pPr>
              <w:jc w:val="center"/>
              <w:rPr>
                <w:rFonts w:eastAsia="Times New Roman" w:cs="Arial"/>
                <w:b/>
                <w:color w:val="000000" w:themeColor="text1"/>
                <w:sz w:val="16"/>
                <w:szCs w:val="16"/>
                <w:lang w:eastAsia="it-CH"/>
              </w:rPr>
            </w:pPr>
          </w:p>
        </w:tc>
        <w:tc>
          <w:tcPr>
            <w:tcW w:w="532" w:type="dxa"/>
            <w:tcBorders>
              <w:top w:val="single" w:sz="4" w:space="0" w:color="auto"/>
              <w:bottom w:val="single" w:sz="4" w:space="0" w:color="auto"/>
            </w:tcBorders>
            <w:shd w:val="clear" w:color="auto" w:fill="auto"/>
            <w:textDirection w:val="btLr"/>
            <w:vAlign w:val="bottom"/>
          </w:tcPr>
          <w:p w14:paraId="16C823EC" w14:textId="77777777" w:rsidR="006F47D4" w:rsidRPr="00FC53AE" w:rsidRDefault="006F47D4" w:rsidP="00144D76">
            <w:pPr>
              <w:jc w:val="center"/>
              <w:rPr>
                <w:rFonts w:eastAsia="Times New Roman" w:cs="Arial"/>
                <w:b/>
                <w:color w:val="000000" w:themeColor="text1"/>
                <w:sz w:val="16"/>
                <w:szCs w:val="16"/>
                <w:lang w:eastAsia="it-CH"/>
              </w:rPr>
            </w:pPr>
          </w:p>
        </w:tc>
        <w:tc>
          <w:tcPr>
            <w:tcW w:w="537" w:type="dxa"/>
            <w:tcBorders>
              <w:top w:val="single" w:sz="4" w:space="0" w:color="auto"/>
              <w:bottom w:val="single" w:sz="4" w:space="0" w:color="auto"/>
            </w:tcBorders>
            <w:shd w:val="clear" w:color="auto" w:fill="auto"/>
            <w:textDirection w:val="btLr"/>
          </w:tcPr>
          <w:p w14:paraId="1716DE18" w14:textId="77777777" w:rsidR="006F47D4" w:rsidRPr="00FC53AE" w:rsidRDefault="006F47D4" w:rsidP="00144D76">
            <w:pPr>
              <w:jc w:val="center"/>
              <w:rPr>
                <w:rFonts w:eastAsia="Times New Roman" w:cs="Arial"/>
                <w:b/>
                <w:color w:val="000000" w:themeColor="text1"/>
                <w:sz w:val="16"/>
                <w:szCs w:val="16"/>
                <w:lang w:eastAsia="it-CH"/>
              </w:rPr>
            </w:pPr>
          </w:p>
        </w:tc>
        <w:tc>
          <w:tcPr>
            <w:tcW w:w="537" w:type="dxa"/>
            <w:tcBorders>
              <w:top w:val="single" w:sz="4" w:space="0" w:color="auto"/>
              <w:bottom w:val="single" w:sz="4" w:space="0" w:color="auto"/>
              <w:right w:val="single" w:sz="4" w:space="0" w:color="auto"/>
            </w:tcBorders>
            <w:textDirection w:val="btLr"/>
          </w:tcPr>
          <w:p w14:paraId="6352EB86" w14:textId="77777777" w:rsidR="006F47D4" w:rsidRPr="00FC53AE" w:rsidRDefault="006F47D4" w:rsidP="00144D76">
            <w:pPr>
              <w:jc w:val="center"/>
              <w:rPr>
                <w:rFonts w:eastAsia="Times New Roman" w:cs="Arial"/>
                <w:b/>
                <w:color w:val="000000" w:themeColor="text1"/>
                <w:sz w:val="16"/>
                <w:szCs w:val="16"/>
                <w:lang w:eastAsia="it-CH"/>
              </w:rPr>
            </w:pPr>
          </w:p>
        </w:tc>
      </w:tr>
      <w:tr w:rsidR="00FC53AE" w:rsidRPr="00FC53AE" w14:paraId="3B56AF6A" w14:textId="77777777" w:rsidTr="00144D76">
        <w:trPr>
          <w:trHeight w:val="460"/>
        </w:trPr>
        <w:tc>
          <w:tcPr>
            <w:tcW w:w="3261" w:type="dxa"/>
            <w:tcBorders>
              <w:top w:val="single" w:sz="4" w:space="0" w:color="auto"/>
              <w:left w:val="single" w:sz="4" w:space="0" w:color="auto"/>
              <w:bottom w:val="single" w:sz="8" w:space="0" w:color="auto"/>
              <w:right w:val="nil"/>
            </w:tcBorders>
            <w:shd w:val="clear" w:color="auto" w:fill="auto"/>
            <w:noWrap/>
            <w:vAlign w:val="center"/>
            <w:hideMark/>
          </w:tcPr>
          <w:p w14:paraId="6596CFDC" w14:textId="77777777" w:rsidR="006F47D4" w:rsidRPr="00FC53AE" w:rsidRDefault="006F47D4" w:rsidP="00144D76">
            <w:pPr>
              <w:rPr>
                <w:rFonts w:eastAsia="Times New Roman" w:cs="Arial"/>
                <w:b/>
                <w:color w:val="000000" w:themeColor="text1"/>
                <w:sz w:val="16"/>
                <w:szCs w:val="16"/>
                <w:lang w:eastAsia="it-CH"/>
              </w:rPr>
            </w:pPr>
            <w:r w:rsidRPr="00FC53AE">
              <w:rPr>
                <w:rFonts w:eastAsia="Times New Roman" w:cs="Arial"/>
                <w:b/>
                <w:color w:val="000000" w:themeColor="text1"/>
                <w:sz w:val="16"/>
                <w:szCs w:val="16"/>
                <w:lang w:eastAsia="it-CH"/>
              </w:rPr>
              <w:t>PERSONE  FISICHE</w:t>
            </w:r>
          </w:p>
        </w:tc>
        <w:tc>
          <w:tcPr>
            <w:tcW w:w="405" w:type="dxa"/>
            <w:tcBorders>
              <w:top w:val="single" w:sz="4" w:space="0" w:color="auto"/>
              <w:left w:val="single" w:sz="4" w:space="0" w:color="auto"/>
              <w:bottom w:val="single" w:sz="8" w:space="0" w:color="auto"/>
              <w:right w:val="single" w:sz="4" w:space="0" w:color="auto"/>
            </w:tcBorders>
            <w:shd w:val="clear" w:color="auto" w:fill="auto"/>
            <w:noWrap/>
            <w:textDirection w:val="btLr"/>
            <w:vAlign w:val="center"/>
            <w:hideMark/>
          </w:tcPr>
          <w:p w14:paraId="65B12487" w14:textId="77777777" w:rsidR="006F47D4" w:rsidRPr="00FC53AE" w:rsidRDefault="006F47D4" w:rsidP="00144D76">
            <w:pPr>
              <w:jc w:val="center"/>
              <w:rPr>
                <w:rFonts w:eastAsia="Times New Roman" w:cs="Arial"/>
                <w:b/>
                <w:color w:val="000000" w:themeColor="text1"/>
                <w:sz w:val="16"/>
                <w:szCs w:val="16"/>
                <w:lang w:eastAsia="it-CH"/>
              </w:rPr>
            </w:pPr>
            <w:proofErr w:type="spellStart"/>
            <w:r w:rsidRPr="00FC53AE">
              <w:rPr>
                <w:rFonts w:eastAsia="Times New Roman" w:cs="Arial"/>
                <w:b/>
                <w:color w:val="000000" w:themeColor="text1"/>
                <w:sz w:val="16"/>
                <w:szCs w:val="16"/>
                <w:lang w:eastAsia="it-CH"/>
              </w:rPr>
              <w:t>Riv</w:t>
            </w:r>
            <w:proofErr w:type="spellEnd"/>
            <w:r w:rsidRPr="00FC53AE">
              <w:rPr>
                <w:rFonts w:eastAsia="Times New Roman" w:cs="Arial"/>
                <w:b/>
                <w:color w:val="000000" w:themeColor="text1"/>
                <w:sz w:val="16"/>
                <w:szCs w:val="16"/>
                <w:lang w:eastAsia="it-CH"/>
              </w:rPr>
              <w:t>.</w:t>
            </w:r>
          </w:p>
        </w:tc>
        <w:tc>
          <w:tcPr>
            <w:tcW w:w="405" w:type="dxa"/>
            <w:tcBorders>
              <w:top w:val="single" w:sz="4" w:space="0" w:color="auto"/>
              <w:left w:val="nil"/>
              <w:bottom w:val="single" w:sz="8" w:space="0" w:color="auto"/>
              <w:right w:val="single" w:sz="4" w:space="0" w:color="auto"/>
            </w:tcBorders>
            <w:shd w:val="clear" w:color="auto" w:fill="auto"/>
            <w:noWrap/>
            <w:textDirection w:val="btLr"/>
            <w:vAlign w:val="center"/>
            <w:hideMark/>
          </w:tcPr>
          <w:p w14:paraId="57D347AD" w14:textId="77777777" w:rsidR="006F47D4" w:rsidRPr="00FC53AE" w:rsidRDefault="006F47D4" w:rsidP="00144D76">
            <w:pPr>
              <w:jc w:val="center"/>
              <w:rPr>
                <w:rFonts w:eastAsia="Times New Roman" w:cs="Arial"/>
                <w:b/>
                <w:color w:val="000000" w:themeColor="text1"/>
                <w:sz w:val="16"/>
                <w:szCs w:val="16"/>
                <w:lang w:eastAsia="it-CH"/>
              </w:rPr>
            </w:pPr>
            <w:proofErr w:type="spellStart"/>
            <w:r w:rsidRPr="00FC53AE">
              <w:rPr>
                <w:rFonts w:eastAsia="Times New Roman" w:cs="Arial"/>
                <w:b/>
                <w:color w:val="000000" w:themeColor="text1"/>
                <w:sz w:val="16"/>
                <w:szCs w:val="16"/>
                <w:lang w:eastAsia="it-CH"/>
              </w:rPr>
              <w:t>prec</w:t>
            </w:r>
            <w:proofErr w:type="spellEnd"/>
            <w:r w:rsidRPr="00FC53AE">
              <w:rPr>
                <w:rFonts w:eastAsia="Times New Roman" w:cs="Arial"/>
                <w:b/>
                <w:color w:val="000000" w:themeColor="text1"/>
                <w:sz w:val="16"/>
                <w:szCs w:val="16"/>
                <w:lang w:eastAsia="it-CH"/>
              </w:rPr>
              <w:t>.</w:t>
            </w:r>
          </w:p>
        </w:tc>
        <w:tc>
          <w:tcPr>
            <w:tcW w:w="440" w:type="dxa"/>
            <w:tcBorders>
              <w:top w:val="single" w:sz="4" w:space="0" w:color="auto"/>
              <w:left w:val="nil"/>
              <w:bottom w:val="single" w:sz="8" w:space="0" w:color="auto"/>
              <w:right w:val="single" w:sz="4" w:space="0" w:color="auto"/>
            </w:tcBorders>
            <w:shd w:val="clear" w:color="auto" w:fill="auto"/>
            <w:textDirection w:val="btLr"/>
            <w:vAlign w:val="center"/>
            <w:hideMark/>
          </w:tcPr>
          <w:p w14:paraId="5F71A29E"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2015</w:t>
            </w:r>
          </w:p>
        </w:tc>
        <w:tc>
          <w:tcPr>
            <w:tcW w:w="440" w:type="dxa"/>
            <w:tcBorders>
              <w:top w:val="single" w:sz="4" w:space="0" w:color="auto"/>
              <w:left w:val="nil"/>
              <w:bottom w:val="single" w:sz="8" w:space="0" w:color="auto"/>
              <w:right w:val="single" w:sz="4" w:space="0" w:color="auto"/>
            </w:tcBorders>
            <w:shd w:val="clear" w:color="auto" w:fill="auto"/>
            <w:textDirection w:val="btLr"/>
            <w:vAlign w:val="center"/>
            <w:hideMark/>
          </w:tcPr>
          <w:p w14:paraId="25788162"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2016</w:t>
            </w:r>
          </w:p>
        </w:tc>
        <w:tc>
          <w:tcPr>
            <w:tcW w:w="537" w:type="dxa"/>
            <w:tcBorders>
              <w:top w:val="single" w:sz="4" w:space="0" w:color="auto"/>
              <w:left w:val="nil"/>
              <w:bottom w:val="single" w:sz="8" w:space="0" w:color="auto"/>
              <w:right w:val="single" w:sz="4" w:space="0" w:color="auto"/>
            </w:tcBorders>
            <w:shd w:val="clear" w:color="auto" w:fill="auto"/>
            <w:textDirection w:val="btLr"/>
            <w:vAlign w:val="center"/>
            <w:hideMark/>
          </w:tcPr>
          <w:p w14:paraId="1B085B5B"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2017</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14:paraId="2AA561DD"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2018</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14:paraId="25A830C8"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2019</w:t>
            </w:r>
          </w:p>
        </w:tc>
        <w:tc>
          <w:tcPr>
            <w:tcW w:w="520" w:type="dxa"/>
            <w:tcBorders>
              <w:top w:val="single" w:sz="4" w:space="0" w:color="auto"/>
              <w:left w:val="nil"/>
              <w:bottom w:val="single" w:sz="8" w:space="0" w:color="auto"/>
              <w:right w:val="single" w:sz="4" w:space="0" w:color="auto"/>
            </w:tcBorders>
            <w:shd w:val="clear" w:color="auto" w:fill="auto"/>
            <w:textDirection w:val="btLr"/>
            <w:vAlign w:val="center"/>
            <w:hideMark/>
          </w:tcPr>
          <w:p w14:paraId="406425CC"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2020</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14:paraId="5D0AE557"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2021</w:t>
            </w:r>
          </w:p>
        </w:tc>
        <w:tc>
          <w:tcPr>
            <w:tcW w:w="532" w:type="dxa"/>
            <w:tcBorders>
              <w:top w:val="single" w:sz="4" w:space="0" w:color="auto"/>
              <w:left w:val="nil"/>
              <w:bottom w:val="single" w:sz="8" w:space="0" w:color="auto"/>
              <w:right w:val="single" w:sz="4" w:space="0" w:color="auto"/>
            </w:tcBorders>
            <w:shd w:val="clear" w:color="auto" w:fill="auto"/>
            <w:textDirection w:val="btLr"/>
            <w:vAlign w:val="center"/>
            <w:hideMark/>
          </w:tcPr>
          <w:p w14:paraId="060D1978"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2022</w:t>
            </w:r>
          </w:p>
        </w:tc>
        <w:tc>
          <w:tcPr>
            <w:tcW w:w="537" w:type="dxa"/>
            <w:tcBorders>
              <w:top w:val="single" w:sz="4" w:space="0" w:color="auto"/>
              <w:left w:val="nil"/>
              <w:bottom w:val="single" w:sz="8" w:space="0" w:color="auto"/>
              <w:right w:val="single" w:sz="4" w:space="0" w:color="auto"/>
            </w:tcBorders>
            <w:shd w:val="clear" w:color="auto" w:fill="auto"/>
            <w:textDirection w:val="btLr"/>
            <w:vAlign w:val="center"/>
            <w:hideMark/>
          </w:tcPr>
          <w:p w14:paraId="3F96C26C"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2023</w:t>
            </w:r>
          </w:p>
        </w:tc>
        <w:tc>
          <w:tcPr>
            <w:tcW w:w="537" w:type="dxa"/>
            <w:tcBorders>
              <w:top w:val="single" w:sz="4" w:space="0" w:color="auto"/>
              <w:left w:val="nil"/>
              <w:bottom w:val="single" w:sz="8" w:space="0" w:color="auto"/>
              <w:right w:val="single" w:sz="4" w:space="0" w:color="auto"/>
            </w:tcBorders>
            <w:textDirection w:val="btLr"/>
          </w:tcPr>
          <w:p w14:paraId="15AD7B0F" w14:textId="77777777" w:rsidR="006F47D4" w:rsidRPr="00FC53AE" w:rsidRDefault="006F47D4" w:rsidP="00144D76">
            <w:pPr>
              <w:jc w:val="center"/>
              <w:rPr>
                <w:rFonts w:eastAsia="Times New Roman" w:cs="Arial"/>
                <w:b/>
                <w:bCs/>
                <w:color w:val="000000" w:themeColor="text1"/>
                <w:sz w:val="16"/>
                <w:szCs w:val="16"/>
                <w:lang w:eastAsia="it-CH"/>
              </w:rPr>
            </w:pPr>
            <w:r w:rsidRPr="00FC53AE">
              <w:rPr>
                <w:rFonts w:eastAsia="Times New Roman" w:cs="Arial"/>
                <w:b/>
                <w:bCs/>
                <w:color w:val="000000" w:themeColor="text1"/>
                <w:sz w:val="16"/>
                <w:szCs w:val="16"/>
                <w:lang w:eastAsia="it-CH"/>
              </w:rPr>
              <w:t>2024</w:t>
            </w:r>
          </w:p>
        </w:tc>
      </w:tr>
      <w:tr w:rsidR="00FC53AE" w:rsidRPr="00FC53AE" w14:paraId="2054FE4F"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943B7F"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xml:space="preserve">Gettito iniziale a consuntivo (mio </w:t>
            </w:r>
            <w:proofErr w:type="spellStart"/>
            <w:r w:rsidRPr="00FC53AE">
              <w:rPr>
                <w:rFonts w:eastAsia="Times New Roman" w:cs="Arial"/>
                <w:color w:val="000000" w:themeColor="text1"/>
                <w:sz w:val="16"/>
                <w:szCs w:val="16"/>
                <w:lang w:eastAsia="it-CH"/>
              </w:rPr>
              <w:t>fr</w:t>
            </w:r>
            <w:proofErr w:type="spellEnd"/>
            <w:r w:rsidRPr="00FC53AE">
              <w:rPr>
                <w:rFonts w:eastAsia="Times New Roman" w:cs="Arial"/>
                <w:color w:val="000000" w:themeColor="text1"/>
                <w:sz w:val="16"/>
                <w:szCs w:val="16"/>
                <w:lang w:eastAsia="it-CH"/>
              </w:rPr>
              <w:t>)</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BB1D4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5EF1B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6C4A9C"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911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76F494"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930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91843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995</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89460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1'041</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4F9E6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1'063</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BDF6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982</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66F7A"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1'079</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5F54DD"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1'110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478F50"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 w:val="16"/>
                <w:szCs w:val="16"/>
                <w:lang w:eastAsia="it-CH"/>
              </w:rPr>
              <w:t>1'144</w:t>
            </w:r>
          </w:p>
        </w:tc>
        <w:tc>
          <w:tcPr>
            <w:tcW w:w="537" w:type="dxa"/>
            <w:tcBorders>
              <w:top w:val="single" w:sz="8" w:space="0" w:color="auto"/>
              <w:left w:val="single" w:sz="8" w:space="0" w:color="auto"/>
              <w:bottom w:val="single" w:sz="8" w:space="0" w:color="auto"/>
              <w:right w:val="single" w:sz="8" w:space="0" w:color="auto"/>
            </w:tcBorders>
            <w:vAlign w:val="bottom"/>
          </w:tcPr>
          <w:p w14:paraId="52519F3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1'179</w:t>
            </w:r>
          </w:p>
        </w:tc>
      </w:tr>
      <w:tr w:rsidR="00FC53AE" w:rsidRPr="00FC53AE" w14:paraId="6711E98D"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ACD890"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2015: 6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D118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6</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968D1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6</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B04AE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376B8B"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25A09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EACA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3514D"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D2B26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1281B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082094"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D69D56"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2F5EE8B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770B7AF3"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9ADD9"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2016:13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F3FB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13</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CB255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13</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63813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61432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5A36DD"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F7944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FF3E8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0EB4BB"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38552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27B69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4E7F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6593ED8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0AF0613C"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78BD9B"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2017: 26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0EAA9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26</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B24C8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26</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F88D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A0EB0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66613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AC286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963AA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4E69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1F2B7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D32A54"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0BB7E6"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6C9AD52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21DBEDA7"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CEFE75"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2018: 33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4A92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DAA83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43EC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12</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98B78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C6679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814E7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B462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F1EBB"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3AE09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C7206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1F81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2F065AF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2F9F4F81"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8F431"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2019: 54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FCAB1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54</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3C0FB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51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336CB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DF94A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55DBF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E5BAF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42CDA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D9634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C2772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62F82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D5CA5A"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4FC0B9A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7AC19A91"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B9C9CE"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2020: 61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7F915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61</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F6B41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21</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67536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20</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89FF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1CB97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04E18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4DC2D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38FCDC"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4971D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130DA"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DBFCD5"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6F7F1E7D"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17910991"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53B8DD"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2021: 49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E7F0C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49</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D74F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34</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4DCE3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8</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EC4E8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7</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8D35F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CD1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44B8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1B2F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A6CA4"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6A60C"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3CE55D"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6237F3C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1F8FB2D8" w14:textId="77777777" w:rsidTr="00144D76">
        <w:trPr>
          <w:trHeight w:val="260"/>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28D073"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2022: 50 mio</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D19E4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50</w:t>
            </w:r>
          </w:p>
        </w:tc>
        <w:tc>
          <w:tcPr>
            <w:tcW w:w="40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B1BCB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5</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A2B2A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25</w:t>
            </w:r>
          </w:p>
        </w:tc>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3AC33D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20</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04CA48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50B37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E010589"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3E52E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FF44C1"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FD7BFA"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789F3D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single" w:sz="8" w:space="0" w:color="auto"/>
              <w:right w:val="single" w:sz="8" w:space="0" w:color="auto"/>
            </w:tcBorders>
            <w:vAlign w:val="bottom"/>
          </w:tcPr>
          <w:p w14:paraId="525B9C80"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3370908D" w14:textId="77777777" w:rsidTr="00144D76">
        <w:trPr>
          <w:trHeight w:val="270"/>
        </w:trPr>
        <w:tc>
          <w:tcPr>
            <w:tcW w:w="3261"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66CCC1DD"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2023: 47 mio</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58361A5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47</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2E9E753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5</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1004B75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1FFA936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12</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6AF651A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12</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06A74F1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8</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5B91A32E"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7D2E11A5"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6B67E365"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0B8B8EA8"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hideMark/>
          </w:tcPr>
          <w:p w14:paraId="03EC8B57"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double" w:sz="6" w:space="0" w:color="auto"/>
              <w:right w:val="single" w:sz="8" w:space="0" w:color="auto"/>
            </w:tcBorders>
            <w:vAlign w:val="bottom"/>
          </w:tcPr>
          <w:p w14:paraId="24AA46F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7A477D89" w14:textId="77777777" w:rsidTr="00144D76">
        <w:trPr>
          <w:trHeight w:val="270"/>
        </w:trPr>
        <w:tc>
          <w:tcPr>
            <w:tcW w:w="3261" w:type="dxa"/>
            <w:tcBorders>
              <w:top w:val="single" w:sz="8" w:space="0" w:color="auto"/>
              <w:left w:val="single" w:sz="8" w:space="0" w:color="auto"/>
              <w:bottom w:val="double" w:sz="6" w:space="0" w:color="auto"/>
              <w:right w:val="single" w:sz="8" w:space="0" w:color="auto"/>
            </w:tcBorders>
            <w:shd w:val="clear" w:color="auto" w:fill="auto"/>
            <w:noWrap/>
            <w:vAlign w:val="bottom"/>
          </w:tcPr>
          <w:p w14:paraId="00663483"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2024: 84 mio</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tcPr>
          <w:p w14:paraId="6BF93D6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84</w:t>
            </w:r>
          </w:p>
        </w:tc>
        <w:tc>
          <w:tcPr>
            <w:tcW w:w="405" w:type="dxa"/>
            <w:tcBorders>
              <w:top w:val="single" w:sz="8" w:space="0" w:color="auto"/>
              <w:left w:val="single" w:sz="8" w:space="0" w:color="auto"/>
              <w:bottom w:val="double" w:sz="6" w:space="0" w:color="auto"/>
              <w:right w:val="single" w:sz="8" w:space="0" w:color="auto"/>
            </w:tcBorders>
            <w:shd w:val="clear" w:color="auto" w:fill="auto"/>
            <w:noWrap/>
            <w:vAlign w:val="bottom"/>
          </w:tcPr>
          <w:p w14:paraId="53B5CB5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tcPr>
          <w:p w14:paraId="0046F44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w:t>
            </w:r>
          </w:p>
        </w:tc>
        <w:tc>
          <w:tcPr>
            <w:tcW w:w="440" w:type="dxa"/>
            <w:tcBorders>
              <w:top w:val="single" w:sz="8" w:space="0" w:color="auto"/>
              <w:left w:val="single" w:sz="8" w:space="0" w:color="auto"/>
              <w:bottom w:val="double" w:sz="6" w:space="0" w:color="auto"/>
              <w:right w:val="single" w:sz="8" w:space="0" w:color="auto"/>
            </w:tcBorders>
            <w:shd w:val="clear" w:color="auto" w:fill="auto"/>
            <w:noWrap/>
            <w:vAlign w:val="bottom"/>
          </w:tcPr>
          <w:p w14:paraId="3D15B3D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25</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tcPr>
          <w:p w14:paraId="04A1F2F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36</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14:paraId="53F3A3A2" w14:textId="77777777" w:rsidR="006F47D4" w:rsidRPr="00FC53AE" w:rsidRDefault="006F47D4" w:rsidP="00144D76">
            <w:pPr>
              <w:jc w:val="right"/>
              <w:rPr>
                <w:rFonts w:eastAsia="Times New Roman" w:cs="Arial"/>
                <w:color w:val="000000" w:themeColor="text1"/>
                <w:sz w:val="16"/>
                <w:szCs w:val="16"/>
                <w:lang w:eastAsia="it-CH"/>
              </w:rPr>
            </w:pP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14:paraId="44D961E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20" w:type="dxa"/>
            <w:tcBorders>
              <w:top w:val="single" w:sz="8" w:space="0" w:color="auto"/>
              <w:left w:val="single" w:sz="8" w:space="0" w:color="auto"/>
              <w:bottom w:val="double" w:sz="6" w:space="0" w:color="auto"/>
              <w:right w:val="single" w:sz="8" w:space="0" w:color="auto"/>
            </w:tcBorders>
            <w:shd w:val="clear" w:color="auto" w:fill="auto"/>
            <w:noWrap/>
            <w:vAlign w:val="bottom"/>
          </w:tcPr>
          <w:p w14:paraId="628CE16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14:paraId="51AF54FA"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2" w:type="dxa"/>
            <w:tcBorders>
              <w:top w:val="single" w:sz="8" w:space="0" w:color="auto"/>
              <w:left w:val="single" w:sz="8" w:space="0" w:color="auto"/>
              <w:bottom w:val="double" w:sz="6" w:space="0" w:color="auto"/>
              <w:right w:val="single" w:sz="8" w:space="0" w:color="auto"/>
            </w:tcBorders>
            <w:shd w:val="clear" w:color="auto" w:fill="auto"/>
            <w:noWrap/>
            <w:vAlign w:val="bottom"/>
          </w:tcPr>
          <w:p w14:paraId="4E5BD5A2"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double" w:sz="6" w:space="0" w:color="auto"/>
              <w:right w:val="single" w:sz="8" w:space="0" w:color="auto"/>
            </w:tcBorders>
            <w:shd w:val="clear" w:color="auto" w:fill="auto"/>
            <w:noWrap/>
            <w:vAlign w:val="bottom"/>
          </w:tcPr>
          <w:p w14:paraId="341F8763"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c>
          <w:tcPr>
            <w:tcW w:w="537" w:type="dxa"/>
            <w:tcBorders>
              <w:top w:val="single" w:sz="8" w:space="0" w:color="auto"/>
              <w:left w:val="single" w:sz="8" w:space="0" w:color="auto"/>
              <w:bottom w:val="double" w:sz="6" w:space="0" w:color="auto"/>
              <w:right w:val="single" w:sz="8" w:space="0" w:color="auto"/>
            </w:tcBorders>
            <w:vAlign w:val="bottom"/>
          </w:tcPr>
          <w:p w14:paraId="3899AB25" w14:textId="77777777" w:rsidR="006F47D4" w:rsidRPr="00FC53AE" w:rsidRDefault="006F47D4" w:rsidP="00144D76">
            <w:pPr>
              <w:jc w:val="right"/>
              <w:rPr>
                <w:rFonts w:eastAsia="Times New Roman" w:cs="Arial"/>
                <w:color w:val="000000" w:themeColor="text1"/>
                <w:szCs w:val="20"/>
                <w:lang w:eastAsia="it-CH"/>
              </w:rPr>
            </w:pPr>
            <w:r w:rsidRPr="00FC53AE">
              <w:rPr>
                <w:rFonts w:eastAsia="Times New Roman" w:cs="Arial"/>
                <w:color w:val="000000" w:themeColor="text1"/>
                <w:szCs w:val="20"/>
                <w:lang w:eastAsia="it-CH"/>
              </w:rPr>
              <w:t> </w:t>
            </w:r>
          </w:p>
        </w:tc>
      </w:tr>
      <w:tr w:rsidR="00FC53AE" w:rsidRPr="00FC53AE" w14:paraId="58701CE3" w14:textId="77777777" w:rsidTr="00144D76">
        <w:trPr>
          <w:trHeight w:val="270"/>
        </w:trPr>
        <w:tc>
          <w:tcPr>
            <w:tcW w:w="326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3A7DB78"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b/>
                <w:color w:val="000000" w:themeColor="text1"/>
                <w:sz w:val="16"/>
                <w:szCs w:val="16"/>
                <w:lang w:eastAsia="it-CH"/>
              </w:rPr>
              <w:t>Gettito rivalutato a consuntivo</w:t>
            </w:r>
          </w:p>
        </w:tc>
        <w:tc>
          <w:tcPr>
            <w:tcW w:w="40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99B573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433</w:t>
            </w:r>
          </w:p>
        </w:tc>
        <w:tc>
          <w:tcPr>
            <w:tcW w:w="40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76EDEC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186</w:t>
            </w:r>
          </w:p>
        </w:tc>
        <w:tc>
          <w:tcPr>
            <w:tcW w:w="44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3648E6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998</w:t>
            </w:r>
          </w:p>
        </w:tc>
        <w:tc>
          <w:tcPr>
            <w:tcW w:w="44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3B885D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1'024</w:t>
            </w:r>
          </w:p>
        </w:tc>
        <w:tc>
          <w:tcPr>
            <w:tcW w:w="53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8F2B92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1'043</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2B614A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1'049</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E429AA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1'063</w:t>
            </w:r>
          </w:p>
        </w:tc>
        <w:tc>
          <w:tcPr>
            <w:tcW w:w="52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C334ED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982</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51A2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1'079</w:t>
            </w:r>
          </w:p>
        </w:tc>
        <w:tc>
          <w:tcPr>
            <w:tcW w:w="53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CA80D0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1'110</w:t>
            </w:r>
          </w:p>
        </w:tc>
        <w:tc>
          <w:tcPr>
            <w:tcW w:w="537"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60973E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1'144</w:t>
            </w:r>
          </w:p>
        </w:tc>
        <w:tc>
          <w:tcPr>
            <w:tcW w:w="537" w:type="dxa"/>
            <w:tcBorders>
              <w:top w:val="double" w:sz="6" w:space="0" w:color="auto"/>
              <w:left w:val="single" w:sz="8" w:space="0" w:color="auto"/>
              <w:bottom w:val="single" w:sz="8" w:space="0" w:color="auto"/>
              <w:right w:val="single" w:sz="8" w:space="0" w:color="auto"/>
            </w:tcBorders>
            <w:vAlign w:val="bottom"/>
          </w:tcPr>
          <w:p w14:paraId="63AF558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1'179</w:t>
            </w:r>
          </w:p>
        </w:tc>
      </w:tr>
    </w:tbl>
    <w:p w14:paraId="6011274D" w14:textId="77777777" w:rsidR="00450E21" w:rsidRPr="00FC53AE" w:rsidRDefault="00450E21"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 xml:space="preserve">Fonte: Messaggio n. </w:t>
      </w:r>
      <w:r w:rsidR="000B1ECA" w:rsidRPr="00FC53AE">
        <w:rPr>
          <w:rFonts w:eastAsia="Calibri" w:cs="Arial"/>
          <w:color w:val="000000" w:themeColor="text1"/>
        </w:rPr>
        <w:t>8562, pag. 25</w:t>
      </w:r>
    </w:p>
    <w:p w14:paraId="0D1D91F6" w14:textId="77777777" w:rsidR="000B1ECA" w:rsidRPr="00FC53AE" w:rsidRDefault="000B1ECA" w:rsidP="00AC1D16">
      <w:pPr>
        <w:tabs>
          <w:tab w:val="left" w:pos="0"/>
          <w:tab w:val="left" w:pos="2268"/>
        </w:tabs>
        <w:rPr>
          <w:rFonts w:asciiTheme="minorHAnsi" w:hAnsiTheme="minorHAnsi" w:cstheme="minorHAnsi"/>
          <w:color w:val="000000" w:themeColor="text1"/>
          <w:sz w:val="24"/>
          <w:szCs w:val="24"/>
        </w:rPr>
      </w:pPr>
    </w:p>
    <w:p w14:paraId="42754DCE" w14:textId="77777777" w:rsidR="00AC1D16" w:rsidRPr="00FC53AE" w:rsidRDefault="00AC1D16" w:rsidP="00AC1D16">
      <w:pPr>
        <w:tabs>
          <w:tab w:val="left" w:pos="0"/>
          <w:tab w:val="left" w:pos="2268"/>
        </w:tabs>
        <w:rPr>
          <w:rFonts w:asciiTheme="minorHAnsi" w:hAnsiTheme="minorHAnsi" w:cstheme="minorHAnsi"/>
          <w:color w:val="000000" w:themeColor="text1"/>
          <w:sz w:val="24"/>
          <w:szCs w:val="24"/>
        </w:rPr>
      </w:pPr>
    </w:p>
    <w:p w14:paraId="29369D99" w14:textId="77777777" w:rsidR="006F47D4" w:rsidRPr="00FC53AE" w:rsidRDefault="000D0508" w:rsidP="006F47D4">
      <w:pPr>
        <w:tabs>
          <w:tab w:val="left" w:pos="0"/>
          <w:tab w:val="left" w:pos="2268"/>
        </w:tabs>
        <w:spacing w:after="60"/>
        <w:rPr>
          <w:rFonts w:ascii="Gill Sans Light" w:hAnsi="Gill Sans Light"/>
          <w:i/>
          <w:color w:val="000000" w:themeColor="text1"/>
          <w:sz w:val="24"/>
          <w:szCs w:val="24"/>
          <w:u w:val="single"/>
        </w:rPr>
      </w:pPr>
      <w:r w:rsidRPr="00FC53AE">
        <w:rPr>
          <w:rFonts w:eastAsia="Times New Roman" w:cs="Arial"/>
          <w:b/>
          <w:i/>
          <w:color w:val="000000" w:themeColor="text1"/>
          <w:sz w:val="24"/>
          <w:szCs w:val="24"/>
          <w:u w:val="single"/>
          <w:lang w:eastAsia="it-CH"/>
        </w:rPr>
        <w:t>Gettiti di competenza delle persone giuridiche +/- rivalutazioni</w:t>
      </w:r>
    </w:p>
    <w:tbl>
      <w:tblPr>
        <w:tblW w:w="8750" w:type="dxa"/>
        <w:tblCellMar>
          <w:left w:w="70" w:type="dxa"/>
          <w:right w:w="70" w:type="dxa"/>
        </w:tblCellMar>
        <w:tblLook w:val="04A0" w:firstRow="1" w:lastRow="0" w:firstColumn="1" w:lastColumn="0" w:noHBand="0" w:noVBand="1"/>
      </w:tblPr>
      <w:tblGrid>
        <w:gridCol w:w="3260"/>
        <w:gridCol w:w="142"/>
        <w:gridCol w:w="265"/>
        <w:gridCol w:w="142"/>
        <w:gridCol w:w="265"/>
        <w:gridCol w:w="218"/>
        <w:gridCol w:w="265"/>
        <w:gridCol w:w="218"/>
        <w:gridCol w:w="265"/>
        <w:gridCol w:w="218"/>
        <w:gridCol w:w="265"/>
        <w:gridCol w:w="244"/>
        <w:gridCol w:w="265"/>
        <w:gridCol w:w="259"/>
        <w:gridCol w:w="265"/>
        <w:gridCol w:w="195"/>
        <w:gridCol w:w="265"/>
        <w:gridCol w:w="195"/>
        <w:gridCol w:w="265"/>
        <w:gridCol w:w="195"/>
        <w:gridCol w:w="182"/>
        <w:gridCol w:w="83"/>
        <w:gridCol w:w="324"/>
        <w:gridCol w:w="83"/>
        <w:gridCol w:w="407"/>
      </w:tblGrid>
      <w:tr w:rsidR="00FC53AE" w:rsidRPr="00FC53AE" w14:paraId="4880344A" w14:textId="77777777" w:rsidTr="00144D76">
        <w:trPr>
          <w:gridAfter w:val="2"/>
          <w:wAfter w:w="490" w:type="dxa"/>
          <w:trHeight w:val="225"/>
        </w:trPr>
        <w:tc>
          <w:tcPr>
            <w:tcW w:w="3402" w:type="dxa"/>
            <w:gridSpan w:val="2"/>
            <w:tcBorders>
              <w:top w:val="nil"/>
              <w:left w:val="nil"/>
              <w:bottom w:val="single" w:sz="4" w:space="0" w:color="auto"/>
              <w:right w:val="nil"/>
            </w:tcBorders>
            <w:shd w:val="clear" w:color="auto" w:fill="auto"/>
            <w:noWrap/>
            <w:vAlign w:val="bottom"/>
            <w:hideMark/>
          </w:tcPr>
          <w:p w14:paraId="2F48AE2E" w14:textId="77777777" w:rsidR="006F47D4" w:rsidRPr="00FC53AE" w:rsidRDefault="006F47D4" w:rsidP="00144D76">
            <w:pPr>
              <w:rPr>
                <w:rFonts w:eastAsia="Times New Roman" w:cs="Arial"/>
                <w:color w:val="000000" w:themeColor="text1"/>
                <w:sz w:val="16"/>
                <w:szCs w:val="16"/>
                <w:lang w:eastAsia="it-CH"/>
              </w:rPr>
            </w:pPr>
          </w:p>
        </w:tc>
        <w:tc>
          <w:tcPr>
            <w:tcW w:w="407" w:type="dxa"/>
            <w:gridSpan w:val="2"/>
            <w:tcBorders>
              <w:top w:val="nil"/>
              <w:left w:val="nil"/>
              <w:bottom w:val="single" w:sz="4" w:space="0" w:color="auto"/>
              <w:right w:val="nil"/>
            </w:tcBorders>
            <w:shd w:val="clear" w:color="auto" w:fill="auto"/>
            <w:noWrap/>
            <w:vAlign w:val="bottom"/>
            <w:hideMark/>
          </w:tcPr>
          <w:p w14:paraId="124EEC03" w14:textId="77777777" w:rsidR="006F47D4" w:rsidRPr="00FC53AE" w:rsidRDefault="006F47D4" w:rsidP="00144D76">
            <w:pPr>
              <w:rPr>
                <w:rFonts w:eastAsia="Times New Roman" w:cs="Arial"/>
                <w:color w:val="000000" w:themeColor="text1"/>
                <w:sz w:val="16"/>
                <w:szCs w:val="16"/>
                <w:lang w:eastAsia="it-CH"/>
              </w:rPr>
            </w:pPr>
          </w:p>
        </w:tc>
        <w:tc>
          <w:tcPr>
            <w:tcW w:w="483" w:type="dxa"/>
            <w:gridSpan w:val="2"/>
            <w:tcBorders>
              <w:top w:val="nil"/>
              <w:left w:val="nil"/>
              <w:bottom w:val="single" w:sz="4" w:space="0" w:color="auto"/>
              <w:right w:val="nil"/>
            </w:tcBorders>
            <w:shd w:val="clear" w:color="auto" w:fill="auto"/>
            <w:noWrap/>
            <w:vAlign w:val="bottom"/>
            <w:hideMark/>
          </w:tcPr>
          <w:p w14:paraId="78C0E5A2" w14:textId="77777777" w:rsidR="006F47D4" w:rsidRPr="00FC53AE" w:rsidRDefault="006F47D4" w:rsidP="00144D76">
            <w:pPr>
              <w:rPr>
                <w:rFonts w:eastAsia="Times New Roman" w:cs="Arial"/>
                <w:color w:val="000000" w:themeColor="text1"/>
                <w:sz w:val="16"/>
                <w:szCs w:val="16"/>
                <w:lang w:eastAsia="it-CH"/>
              </w:rPr>
            </w:pPr>
          </w:p>
        </w:tc>
        <w:tc>
          <w:tcPr>
            <w:tcW w:w="483" w:type="dxa"/>
            <w:gridSpan w:val="2"/>
            <w:tcBorders>
              <w:top w:val="nil"/>
              <w:left w:val="nil"/>
              <w:bottom w:val="single" w:sz="4" w:space="0" w:color="auto"/>
              <w:right w:val="nil"/>
            </w:tcBorders>
            <w:shd w:val="clear" w:color="auto" w:fill="auto"/>
            <w:noWrap/>
            <w:vAlign w:val="bottom"/>
            <w:hideMark/>
          </w:tcPr>
          <w:p w14:paraId="1B36810C"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483" w:type="dxa"/>
            <w:gridSpan w:val="2"/>
            <w:tcBorders>
              <w:top w:val="nil"/>
              <w:left w:val="nil"/>
              <w:bottom w:val="single" w:sz="4" w:space="0" w:color="auto"/>
              <w:right w:val="nil"/>
            </w:tcBorders>
            <w:shd w:val="clear" w:color="auto" w:fill="auto"/>
            <w:noWrap/>
            <w:vAlign w:val="bottom"/>
            <w:hideMark/>
          </w:tcPr>
          <w:p w14:paraId="15017351"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509" w:type="dxa"/>
            <w:gridSpan w:val="2"/>
            <w:tcBorders>
              <w:top w:val="nil"/>
              <w:left w:val="nil"/>
              <w:bottom w:val="single" w:sz="4" w:space="0" w:color="auto"/>
              <w:right w:val="nil"/>
            </w:tcBorders>
            <w:shd w:val="clear" w:color="auto" w:fill="auto"/>
            <w:noWrap/>
            <w:vAlign w:val="bottom"/>
            <w:hideMark/>
          </w:tcPr>
          <w:p w14:paraId="73B1A89D"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524" w:type="dxa"/>
            <w:gridSpan w:val="2"/>
            <w:tcBorders>
              <w:top w:val="nil"/>
              <w:left w:val="nil"/>
              <w:bottom w:val="single" w:sz="4" w:space="0" w:color="auto"/>
              <w:right w:val="nil"/>
            </w:tcBorders>
            <w:shd w:val="clear" w:color="auto" w:fill="auto"/>
            <w:noWrap/>
            <w:vAlign w:val="bottom"/>
            <w:hideMark/>
          </w:tcPr>
          <w:p w14:paraId="019E861A"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14:paraId="398B38AF"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14:paraId="2D0A75FB"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460" w:type="dxa"/>
            <w:gridSpan w:val="2"/>
            <w:tcBorders>
              <w:top w:val="nil"/>
              <w:left w:val="nil"/>
              <w:bottom w:val="single" w:sz="4" w:space="0" w:color="auto"/>
              <w:right w:val="nil"/>
            </w:tcBorders>
            <w:shd w:val="clear" w:color="auto" w:fill="auto"/>
            <w:noWrap/>
            <w:vAlign w:val="bottom"/>
            <w:hideMark/>
          </w:tcPr>
          <w:p w14:paraId="055CEC6A"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182" w:type="dxa"/>
            <w:tcBorders>
              <w:top w:val="nil"/>
              <w:left w:val="nil"/>
              <w:bottom w:val="single" w:sz="4" w:space="0" w:color="auto"/>
              <w:right w:val="nil"/>
            </w:tcBorders>
            <w:shd w:val="clear" w:color="auto" w:fill="auto"/>
            <w:noWrap/>
            <w:vAlign w:val="bottom"/>
            <w:hideMark/>
          </w:tcPr>
          <w:p w14:paraId="58E643E5"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c>
          <w:tcPr>
            <w:tcW w:w="407" w:type="dxa"/>
            <w:gridSpan w:val="2"/>
            <w:tcBorders>
              <w:top w:val="nil"/>
              <w:left w:val="nil"/>
              <w:bottom w:val="single" w:sz="4" w:space="0" w:color="auto"/>
              <w:right w:val="nil"/>
            </w:tcBorders>
          </w:tcPr>
          <w:p w14:paraId="14C79A89" w14:textId="77777777" w:rsidR="006F47D4" w:rsidRPr="00FC53AE" w:rsidRDefault="006F47D4" w:rsidP="00144D76">
            <w:pPr>
              <w:rPr>
                <w:rFonts w:ascii="Times New Roman" w:eastAsia="Times New Roman" w:hAnsi="Times New Roman" w:cs="Times New Roman"/>
                <w:color w:val="000000" w:themeColor="text1"/>
                <w:szCs w:val="20"/>
                <w:lang w:eastAsia="it-CH"/>
              </w:rPr>
            </w:pPr>
          </w:p>
        </w:tc>
      </w:tr>
      <w:tr w:rsidR="00FC53AE" w:rsidRPr="00FC53AE" w14:paraId="07F70AB1" w14:textId="77777777" w:rsidTr="00144D76">
        <w:trPr>
          <w:trHeight w:val="215"/>
        </w:trPr>
        <w:tc>
          <w:tcPr>
            <w:tcW w:w="3260" w:type="dxa"/>
            <w:tcBorders>
              <w:top w:val="single" w:sz="4" w:space="0" w:color="auto"/>
              <w:left w:val="single" w:sz="4" w:space="0" w:color="auto"/>
              <w:bottom w:val="single" w:sz="4" w:space="0" w:color="auto"/>
            </w:tcBorders>
            <w:shd w:val="clear" w:color="auto" w:fill="auto"/>
            <w:noWrap/>
            <w:vAlign w:val="center"/>
          </w:tcPr>
          <w:p w14:paraId="7962CF66" w14:textId="77777777" w:rsidR="006F47D4" w:rsidRPr="00FC53AE" w:rsidRDefault="006F47D4" w:rsidP="00144D76">
            <w:pPr>
              <w:rPr>
                <w:rFonts w:eastAsia="Times New Roman" w:cs="Arial"/>
                <w:b/>
                <w:color w:val="000000" w:themeColor="text1"/>
                <w:sz w:val="16"/>
                <w:szCs w:val="16"/>
                <w:lang w:eastAsia="it-CH"/>
              </w:rPr>
            </w:pPr>
            <w:r w:rsidRPr="00FC53AE">
              <w:rPr>
                <w:rFonts w:eastAsia="Times New Roman" w:cs="Arial"/>
                <w:b/>
                <w:color w:val="000000" w:themeColor="text1"/>
                <w:szCs w:val="20"/>
                <w:lang w:eastAsia="it-CH"/>
              </w:rPr>
              <w:t>Stato al 31.12.</w:t>
            </w:r>
            <w:r w:rsidRPr="00FC53AE">
              <w:rPr>
                <w:rFonts w:eastAsia="Times New Roman" w:cs="Arial"/>
                <w:b/>
                <w:bCs/>
                <w:color w:val="000000" w:themeColor="text1"/>
                <w:szCs w:val="20"/>
                <w:lang w:eastAsia="it-CH"/>
              </w:rPr>
              <w:t>2024</w:t>
            </w:r>
          </w:p>
        </w:tc>
        <w:tc>
          <w:tcPr>
            <w:tcW w:w="407" w:type="dxa"/>
            <w:gridSpan w:val="2"/>
            <w:tcBorders>
              <w:top w:val="single" w:sz="4" w:space="0" w:color="auto"/>
              <w:bottom w:val="single" w:sz="4" w:space="0" w:color="auto"/>
            </w:tcBorders>
            <w:shd w:val="clear" w:color="auto" w:fill="auto"/>
            <w:noWrap/>
            <w:textDirection w:val="btLr"/>
            <w:vAlign w:val="center"/>
          </w:tcPr>
          <w:p w14:paraId="5EBB780F" w14:textId="77777777" w:rsidR="006F47D4" w:rsidRPr="00FC53AE" w:rsidRDefault="006F47D4" w:rsidP="00144D76">
            <w:pPr>
              <w:jc w:val="center"/>
              <w:rPr>
                <w:rFonts w:eastAsia="Times New Roman" w:cs="Arial"/>
                <w:b/>
                <w:color w:val="000000" w:themeColor="text1"/>
                <w:sz w:val="16"/>
                <w:szCs w:val="16"/>
                <w:lang w:eastAsia="it-CH"/>
              </w:rPr>
            </w:pPr>
          </w:p>
        </w:tc>
        <w:tc>
          <w:tcPr>
            <w:tcW w:w="407" w:type="dxa"/>
            <w:gridSpan w:val="2"/>
            <w:tcBorders>
              <w:top w:val="single" w:sz="4" w:space="0" w:color="auto"/>
              <w:bottom w:val="single" w:sz="4" w:space="0" w:color="auto"/>
            </w:tcBorders>
            <w:shd w:val="clear" w:color="auto" w:fill="auto"/>
            <w:noWrap/>
            <w:textDirection w:val="btLr"/>
            <w:vAlign w:val="center"/>
          </w:tcPr>
          <w:p w14:paraId="58F9C8F7" w14:textId="77777777" w:rsidR="006F47D4" w:rsidRPr="00FC53AE" w:rsidRDefault="006F47D4" w:rsidP="00144D76">
            <w:pPr>
              <w:jc w:val="center"/>
              <w:rPr>
                <w:rFonts w:eastAsia="Times New Roman" w:cs="Arial"/>
                <w:b/>
                <w:color w:val="000000" w:themeColor="text1"/>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14:paraId="019F8CB1" w14:textId="77777777" w:rsidR="006F47D4" w:rsidRPr="00FC53AE" w:rsidRDefault="006F47D4" w:rsidP="00144D76">
            <w:pPr>
              <w:jc w:val="center"/>
              <w:rPr>
                <w:rFonts w:eastAsia="Times New Roman" w:cs="Arial"/>
                <w:b/>
                <w:color w:val="000000" w:themeColor="text1"/>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14:paraId="60E5176C" w14:textId="77777777" w:rsidR="006F47D4" w:rsidRPr="00FC53AE" w:rsidRDefault="006F47D4" w:rsidP="00144D76">
            <w:pPr>
              <w:jc w:val="center"/>
              <w:rPr>
                <w:rFonts w:eastAsia="Times New Roman" w:cs="Arial"/>
                <w:b/>
                <w:color w:val="000000" w:themeColor="text1"/>
                <w:sz w:val="16"/>
                <w:szCs w:val="16"/>
                <w:lang w:eastAsia="it-CH"/>
              </w:rPr>
            </w:pPr>
          </w:p>
        </w:tc>
        <w:tc>
          <w:tcPr>
            <w:tcW w:w="483" w:type="dxa"/>
            <w:gridSpan w:val="2"/>
            <w:tcBorders>
              <w:top w:val="single" w:sz="4" w:space="0" w:color="auto"/>
              <w:bottom w:val="single" w:sz="4" w:space="0" w:color="auto"/>
            </w:tcBorders>
            <w:shd w:val="clear" w:color="auto" w:fill="auto"/>
            <w:textDirection w:val="btLr"/>
            <w:vAlign w:val="center"/>
          </w:tcPr>
          <w:p w14:paraId="4FC0821F" w14:textId="77777777" w:rsidR="006F47D4" w:rsidRPr="00FC53AE" w:rsidRDefault="006F47D4" w:rsidP="00144D76">
            <w:pPr>
              <w:jc w:val="center"/>
              <w:rPr>
                <w:rFonts w:eastAsia="Times New Roman" w:cs="Arial"/>
                <w:b/>
                <w:color w:val="000000" w:themeColor="text1"/>
                <w:sz w:val="16"/>
                <w:szCs w:val="16"/>
                <w:lang w:eastAsia="it-CH"/>
              </w:rPr>
            </w:pPr>
          </w:p>
        </w:tc>
        <w:tc>
          <w:tcPr>
            <w:tcW w:w="509" w:type="dxa"/>
            <w:gridSpan w:val="2"/>
            <w:tcBorders>
              <w:top w:val="single" w:sz="4" w:space="0" w:color="auto"/>
              <w:bottom w:val="single" w:sz="4" w:space="0" w:color="auto"/>
            </w:tcBorders>
            <w:shd w:val="clear" w:color="auto" w:fill="auto"/>
            <w:textDirection w:val="btLr"/>
            <w:vAlign w:val="center"/>
          </w:tcPr>
          <w:p w14:paraId="274CB62E" w14:textId="77777777" w:rsidR="006F47D4" w:rsidRPr="00FC53AE" w:rsidRDefault="006F47D4" w:rsidP="00144D76">
            <w:pPr>
              <w:jc w:val="center"/>
              <w:rPr>
                <w:rFonts w:eastAsia="Times New Roman" w:cs="Arial"/>
                <w:b/>
                <w:color w:val="000000" w:themeColor="text1"/>
                <w:sz w:val="16"/>
                <w:szCs w:val="16"/>
                <w:lang w:eastAsia="it-CH"/>
              </w:rPr>
            </w:pPr>
          </w:p>
        </w:tc>
        <w:tc>
          <w:tcPr>
            <w:tcW w:w="524" w:type="dxa"/>
            <w:gridSpan w:val="2"/>
            <w:tcBorders>
              <w:top w:val="single" w:sz="4" w:space="0" w:color="auto"/>
              <w:bottom w:val="single" w:sz="4" w:space="0" w:color="auto"/>
            </w:tcBorders>
            <w:shd w:val="clear" w:color="auto" w:fill="auto"/>
            <w:textDirection w:val="btLr"/>
            <w:vAlign w:val="center"/>
          </w:tcPr>
          <w:p w14:paraId="44F5D129" w14:textId="77777777" w:rsidR="006F47D4" w:rsidRPr="00FC53AE" w:rsidRDefault="006F47D4" w:rsidP="00144D76">
            <w:pPr>
              <w:jc w:val="center"/>
              <w:rPr>
                <w:rFonts w:eastAsia="Times New Roman" w:cs="Arial"/>
                <w:b/>
                <w:color w:val="000000" w:themeColor="text1"/>
                <w:sz w:val="16"/>
                <w:szCs w:val="16"/>
                <w:lang w:eastAsia="it-CH"/>
              </w:rPr>
            </w:pPr>
          </w:p>
        </w:tc>
        <w:tc>
          <w:tcPr>
            <w:tcW w:w="460" w:type="dxa"/>
            <w:gridSpan w:val="2"/>
            <w:tcBorders>
              <w:top w:val="single" w:sz="4" w:space="0" w:color="auto"/>
              <w:bottom w:val="single" w:sz="4" w:space="0" w:color="auto"/>
            </w:tcBorders>
            <w:shd w:val="clear" w:color="auto" w:fill="auto"/>
            <w:textDirection w:val="btLr"/>
            <w:vAlign w:val="center"/>
          </w:tcPr>
          <w:p w14:paraId="2565F28E" w14:textId="77777777" w:rsidR="006F47D4" w:rsidRPr="00FC53AE" w:rsidRDefault="006F47D4" w:rsidP="00144D76">
            <w:pPr>
              <w:jc w:val="center"/>
              <w:rPr>
                <w:rFonts w:eastAsia="Times New Roman" w:cs="Arial"/>
                <w:b/>
                <w:color w:val="000000" w:themeColor="text1"/>
                <w:sz w:val="16"/>
                <w:szCs w:val="16"/>
                <w:lang w:eastAsia="it-CH"/>
              </w:rPr>
            </w:pPr>
          </w:p>
        </w:tc>
        <w:tc>
          <w:tcPr>
            <w:tcW w:w="460" w:type="dxa"/>
            <w:gridSpan w:val="2"/>
            <w:tcBorders>
              <w:top w:val="single" w:sz="4" w:space="0" w:color="auto"/>
              <w:bottom w:val="single" w:sz="4" w:space="0" w:color="auto"/>
            </w:tcBorders>
            <w:shd w:val="clear" w:color="auto" w:fill="auto"/>
            <w:textDirection w:val="btLr"/>
            <w:vAlign w:val="center"/>
          </w:tcPr>
          <w:p w14:paraId="5316F133" w14:textId="77777777" w:rsidR="006F47D4" w:rsidRPr="00FC53AE" w:rsidRDefault="006F47D4" w:rsidP="00144D76">
            <w:pPr>
              <w:jc w:val="center"/>
              <w:rPr>
                <w:rFonts w:eastAsia="Times New Roman" w:cs="Arial"/>
                <w:b/>
                <w:color w:val="000000" w:themeColor="text1"/>
                <w:sz w:val="16"/>
                <w:szCs w:val="16"/>
                <w:lang w:eastAsia="it-CH"/>
              </w:rPr>
            </w:pPr>
          </w:p>
        </w:tc>
        <w:tc>
          <w:tcPr>
            <w:tcW w:w="460" w:type="dxa"/>
            <w:gridSpan w:val="3"/>
            <w:tcBorders>
              <w:top w:val="single" w:sz="4" w:space="0" w:color="auto"/>
              <w:bottom w:val="single" w:sz="4" w:space="0" w:color="auto"/>
            </w:tcBorders>
            <w:shd w:val="clear" w:color="auto" w:fill="auto"/>
            <w:textDirection w:val="btLr"/>
            <w:vAlign w:val="center"/>
          </w:tcPr>
          <w:p w14:paraId="32301389" w14:textId="77777777" w:rsidR="006F47D4" w:rsidRPr="00FC53AE" w:rsidRDefault="006F47D4" w:rsidP="00144D76">
            <w:pPr>
              <w:jc w:val="center"/>
              <w:rPr>
                <w:rFonts w:eastAsia="Times New Roman" w:cs="Arial"/>
                <w:b/>
                <w:color w:val="000000" w:themeColor="text1"/>
                <w:sz w:val="16"/>
                <w:szCs w:val="16"/>
                <w:lang w:eastAsia="it-CH"/>
              </w:rPr>
            </w:pPr>
          </w:p>
        </w:tc>
        <w:tc>
          <w:tcPr>
            <w:tcW w:w="407" w:type="dxa"/>
            <w:gridSpan w:val="2"/>
            <w:tcBorders>
              <w:top w:val="single" w:sz="4" w:space="0" w:color="auto"/>
              <w:bottom w:val="single" w:sz="4" w:space="0" w:color="auto"/>
            </w:tcBorders>
            <w:shd w:val="clear" w:color="auto" w:fill="auto"/>
            <w:textDirection w:val="btLr"/>
          </w:tcPr>
          <w:p w14:paraId="796A38B8" w14:textId="77777777" w:rsidR="006F47D4" w:rsidRPr="00FC53AE" w:rsidRDefault="006F47D4" w:rsidP="00144D76">
            <w:pPr>
              <w:jc w:val="center"/>
              <w:rPr>
                <w:rFonts w:eastAsia="Times New Roman" w:cs="Arial"/>
                <w:b/>
                <w:color w:val="000000" w:themeColor="text1"/>
                <w:sz w:val="16"/>
                <w:szCs w:val="16"/>
                <w:lang w:eastAsia="it-CH"/>
              </w:rPr>
            </w:pPr>
          </w:p>
        </w:tc>
        <w:tc>
          <w:tcPr>
            <w:tcW w:w="407" w:type="dxa"/>
            <w:tcBorders>
              <w:top w:val="single" w:sz="4" w:space="0" w:color="auto"/>
              <w:bottom w:val="single" w:sz="4" w:space="0" w:color="auto"/>
              <w:right w:val="single" w:sz="4" w:space="0" w:color="auto"/>
            </w:tcBorders>
            <w:textDirection w:val="btLr"/>
          </w:tcPr>
          <w:p w14:paraId="7B0EF5C2" w14:textId="77777777" w:rsidR="006F47D4" w:rsidRPr="00FC53AE" w:rsidRDefault="006F47D4" w:rsidP="00144D76">
            <w:pPr>
              <w:jc w:val="center"/>
              <w:rPr>
                <w:rFonts w:eastAsia="Times New Roman" w:cs="Arial"/>
                <w:b/>
                <w:color w:val="000000" w:themeColor="text1"/>
                <w:sz w:val="16"/>
                <w:szCs w:val="16"/>
                <w:lang w:eastAsia="it-CH"/>
              </w:rPr>
            </w:pPr>
          </w:p>
        </w:tc>
      </w:tr>
      <w:tr w:rsidR="00FC53AE" w:rsidRPr="00FC53AE" w14:paraId="12F5C782" w14:textId="77777777" w:rsidTr="00144D76">
        <w:trPr>
          <w:trHeight w:val="470"/>
        </w:trPr>
        <w:tc>
          <w:tcPr>
            <w:tcW w:w="3260" w:type="dxa"/>
            <w:tcBorders>
              <w:top w:val="single" w:sz="4" w:space="0" w:color="auto"/>
              <w:left w:val="single" w:sz="4" w:space="0" w:color="auto"/>
              <w:bottom w:val="single" w:sz="8" w:space="0" w:color="auto"/>
              <w:right w:val="nil"/>
            </w:tcBorders>
            <w:shd w:val="clear" w:color="auto" w:fill="auto"/>
            <w:noWrap/>
            <w:vAlign w:val="center"/>
            <w:hideMark/>
          </w:tcPr>
          <w:p w14:paraId="2B61DB7A" w14:textId="77777777" w:rsidR="006F47D4" w:rsidRPr="00FC53AE" w:rsidRDefault="006F47D4" w:rsidP="00144D76">
            <w:pPr>
              <w:rPr>
                <w:rFonts w:eastAsia="Times New Roman" w:cs="Arial"/>
                <w:b/>
                <w:color w:val="000000" w:themeColor="text1"/>
                <w:sz w:val="16"/>
                <w:szCs w:val="16"/>
                <w:lang w:eastAsia="it-CH"/>
              </w:rPr>
            </w:pPr>
            <w:r w:rsidRPr="00FC53AE">
              <w:rPr>
                <w:rFonts w:eastAsia="Times New Roman" w:cs="Arial"/>
                <w:b/>
                <w:color w:val="000000" w:themeColor="text1"/>
                <w:sz w:val="16"/>
                <w:szCs w:val="16"/>
                <w:lang w:eastAsia="it-CH"/>
              </w:rPr>
              <w:t>PERSONE  GIURIDICHE</w:t>
            </w:r>
          </w:p>
        </w:tc>
        <w:tc>
          <w:tcPr>
            <w:tcW w:w="407" w:type="dxa"/>
            <w:gridSpan w:val="2"/>
            <w:tcBorders>
              <w:top w:val="single" w:sz="4" w:space="0" w:color="auto"/>
              <w:left w:val="single" w:sz="4" w:space="0" w:color="auto"/>
              <w:bottom w:val="single" w:sz="8" w:space="0" w:color="auto"/>
              <w:right w:val="single" w:sz="4" w:space="0" w:color="auto"/>
            </w:tcBorders>
            <w:shd w:val="clear" w:color="auto" w:fill="auto"/>
            <w:noWrap/>
            <w:textDirection w:val="btLr"/>
            <w:vAlign w:val="center"/>
            <w:hideMark/>
          </w:tcPr>
          <w:p w14:paraId="642DB37B" w14:textId="77777777" w:rsidR="006F47D4" w:rsidRPr="00FC53AE" w:rsidRDefault="006F47D4" w:rsidP="00144D76">
            <w:pPr>
              <w:jc w:val="center"/>
              <w:rPr>
                <w:rFonts w:eastAsia="Times New Roman" w:cs="Arial"/>
                <w:b/>
                <w:color w:val="000000" w:themeColor="text1"/>
                <w:sz w:val="16"/>
                <w:szCs w:val="16"/>
                <w:lang w:eastAsia="it-CH"/>
              </w:rPr>
            </w:pPr>
            <w:proofErr w:type="spellStart"/>
            <w:r w:rsidRPr="00FC53AE">
              <w:rPr>
                <w:rFonts w:eastAsia="Times New Roman" w:cs="Arial"/>
                <w:b/>
                <w:color w:val="000000" w:themeColor="text1"/>
                <w:sz w:val="16"/>
                <w:szCs w:val="16"/>
                <w:lang w:eastAsia="it-CH"/>
              </w:rPr>
              <w:t>Riv</w:t>
            </w:r>
            <w:proofErr w:type="spellEnd"/>
            <w:r w:rsidRPr="00FC53AE">
              <w:rPr>
                <w:rFonts w:eastAsia="Times New Roman" w:cs="Arial"/>
                <w:b/>
                <w:color w:val="000000" w:themeColor="text1"/>
                <w:sz w:val="16"/>
                <w:szCs w:val="16"/>
                <w:lang w:eastAsia="it-CH"/>
              </w:rPr>
              <w:t>.</w:t>
            </w:r>
          </w:p>
        </w:tc>
        <w:tc>
          <w:tcPr>
            <w:tcW w:w="407" w:type="dxa"/>
            <w:gridSpan w:val="2"/>
            <w:tcBorders>
              <w:top w:val="single" w:sz="4" w:space="0" w:color="auto"/>
              <w:left w:val="nil"/>
              <w:bottom w:val="single" w:sz="8" w:space="0" w:color="auto"/>
              <w:right w:val="single" w:sz="4" w:space="0" w:color="auto"/>
            </w:tcBorders>
            <w:shd w:val="clear" w:color="auto" w:fill="auto"/>
            <w:noWrap/>
            <w:textDirection w:val="btLr"/>
            <w:vAlign w:val="center"/>
            <w:hideMark/>
          </w:tcPr>
          <w:p w14:paraId="484B5F8F" w14:textId="77777777" w:rsidR="006F47D4" w:rsidRPr="00FC53AE" w:rsidRDefault="006F47D4" w:rsidP="00144D76">
            <w:pPr>
              <w:jc w:val="center"/>
              <w:rPr>
                <w:rFonts w:eastAsia="Times New Roman" w:cs="Arial"/>
                <w:b/>
                <w:color w:val="000000" w:themeColor="text1"/>
                <w:sz w:val="16"/>
                <w:szCs w:val="16"/>
                <w:lang w:eastAsia="it-CH"/>
              </w:rPr>
            </w:pPr>
            <w:proofErr w:type="spellStart"/>
            <w:r w:rsidRPr="00FC53AE">
              <w:rPr>
                <w:rFonts w:eastAsia="Times New Roman" w:cs="Arial"/>
                <w:b/>
                <w:color w:val="000000" w:themeColor="text1"/>
                <w:sz w:val="16"/>
                <w:szCs w:val="16"/>
                <w:lang w:eastAsia="it-CH"/>
              </w:rPr>
              <w:t>Prec</w:t>
            </w:r>
            <w:proofErr w:type="spellEnd"/>
            <w:r w:rsidRPr="00FC53AE">
              <w:rPr>
                <w:rFonts w:eastAsia="Times New Roman" w:cs="Arial"/>
                <w:b/>
                <w:color w:val="000000" w:themeColor="text1"/>
                <w:sz w:val="16"/>
                <w:szCs w:val="16"/>
                <w:lang w:eastAsia="it-CH"/>
              </w:rPr>
              <w:t>.</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0E9DBDAE"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2015</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54826FB0"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2016</w:t>
            </w:r>
          </w:p>
        </w:tc>
        <w:tc>
          <w:tcPr>
            <w:tcW w:w="48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2B03849C"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2017</w:t>
            </w:r>
          </w:p>
        </w:tc>
        <w:tc>
          <w:tcPr>
            <w:tcW w:w="509"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41032E10"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2018</w:t>
            </w:r>
          </w:p>
        </w:tc>
        <w:tc>
          <w:tcPr>
            <w:tcW w:w="524"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320AEA0A"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2019</w:t>
            </w:r>
          </w:p>
        </w:tc>
        <w:tc>
          <w:tcPr>
            <w:tcW w:w="460"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67C14D62"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2020</w:t>
            </w:r>
          </w:p>
        </w:tc>
        <w:tc>
          <w:tcPr>
            <w:tcW w:w="460" w:type="dxa"/>
            <w:gridSpan w:val="2"/>
            <w:tcBorders>
              <w:top w:val="single" w:sz="4" w:space="0" w:color="auto"/>
              <w:left w:val="nil"/>
              <w:bottom w:val="single" w:sz="8" w:space="0" w:color="auto"/>
              <w:right w:val="single" w:sz="4" w:space="0" w:color="000000"/>
            </w:tcBorders>
            <w:shd w:val="clear" w:color="auto" w:fill="auto"/>
            <w:textDirection w:val="btLr"/>
            <w:vAlign w:val="center"/>
            <w:hideMark/>
          </w:tcPr>
          <w:p w14:paraId="7DC29AF0"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2021</w:t>
            </w:r>
          </w:p>
        </w:tc>
        <w:tc>
          <w:tcPr>
            <w:tcW w:w="460" w:type="dxa"/>
            <w:gridSpan w:val="3"/>
            <w:tcBorders>
              <w:top w:val="single" w:sz="4" w:space="0" w:color="auto"/>
              <w:left w:val="nil"/>
              <w:bottom w:val="single" w:sz="8" w:space="0" w:color="auto"/>
              <w:right w:val="single" w:sz="4" w:space="0" w:color="auto"/>
            </w:tcBorders>
            <w:shd w:val="clear" w:color="auto" w:fill="auto"/>
            <w:textDirection w:val="btLr"/>
            <w:vAlign w:val="center"/>
            <w:hideMark/>
          </w:tcPr>
          <w:p w14:paraId="2DBEF06F"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2022</w:t>
            </w:r>
          </w:p>
        </w:tc>
        <w:tc>
          <w:tcPr>
            <w:tcW w:w="407"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14:paraId="111AA6EC" w14:textId="77777777" w:rsidR="006F47D4" w:rsidRPr="00FC53AE" w:rsidRDefault="006F47D4" w:rsidP="00144D76">
            <w:pPr>
              <w:jc w:val="center"/>
              <w:rPr>
                <w:rFonts w:eastAsia="Times New Roman" w:cs="Arial"/>
                <w:b/>
                <w:color w:val="000000" w:themeColor="text1"/>
                <w:sz w:val="16"/>
                <w:szCs w:val="16"/>
                <w:lang w:eastAsia="it-CH"/>
              </w:rPr>
            </w:pPr>
            <w:r w:rsidRPr="00FC53AE">
              <w:rPr>
                <w:rFonts w:eastAsia="Times New Roman" w:cs="Arial"/>
                <w:b/>
                <w:bCs/>
                <w:color w:val="000000" w:themeColor="text1"/>
                <w:sz w:val="16"/>
                <w:szCs w:val="16"/>
                <w:lang w:eastAsia="it-CH"/>
              </w:rPr>
              <w:t>2023</w:t>
            </w:r>
          </w:p>
        </w:tc>
        <w:tc>
          <w:tcPr>
            <w:tcW w:w="407" w:type="dxa"/>
            <w:tcBorders>
              <w:top w:val="single" w:sz="4" w:space="0" w:color="auto"/>
              <w:left w:val="nil"/>
              <w:bottom w:val="single" w:sz="8" w:space="0" w:color="auto"/>
              <w:right w:val="single" w:sz="4" w:space="0" w:color="auto"/>
            </w:tcBorders>
            <w:textDirection w:val="btLr"/>
          </w:tcPr>
          <w:p w14:paraId="468261FB" w14:textId="77777777" w:rsidR="006F47D4" w:rsidRPr="00FC53AE" w:rsidRDefault="006F47D4" w:rsidP="00144D76">
            <w:pPr>
              <w:jc w:val="center"/>
              <w:rPr>
                <w:rFonts w:eastAsia="Times New Roman" w:cs="Arial"/>
                <w:b/>
                <w:bCs/>
                <w:color w:val="000000" w:themeColor="text1"/>
                <w:sz w:val="16"/>
                <w:szCs w:val="16"/>
                <w:lang w:eastAsia="it-CH"/>
              </w:rPr>
            </w:pPr>
            <w:r w:rsidRPr="00FC53AE">
              <w:rPr>
                <w:rFonts w:eastAsia="Times New Roman" w:cs="Arial"/>
                <w:b/>
                <w:bCs/>
                <w:color w:val="000000" w:themeColor="text1"/>
                <w:sz w:val="16"/>
                <w:szCs w:val="16"/>
                <w:lang w:eastAsia="it-CH"/>
              </w:rPr>
              <w:t>2024</w:t>
            </w:r>
          </w:p>
        </w:tc>
      </w:tr>
      <w:tr w:rsidR="00FC53AE" w:rsidRPr="00FC53AE" w14:paraId="735DD7DF"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37A39"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xml:space="preserve">Gettito iniziale a consuntivo (mio </w:t>
            </w:r>
            <w:proofErr w:type="spellStart"/>
            <w:r w:rsidRPr="00FC53AE">
              <w:rPr>
                <w:rFonts w:eastAsia="Times New Roman" w:cs="Arial"/>
                <w:color w:val="000000" w:themeColor="text1"/>
                <w:sz w:val="16"/>
                <w:szCs w:val="16"/>
                <w:lang w:eastAsia="it-CH"/>
              </w:rPr>
              <w:t>fr</w:t>
            </w:r>
            <w:proofErr w:type="spellEnd"/>
            <w:r w:rsidRPr="00FC53AE">
              <w:rPr>
                <w:rFonts w:eastAsia="Times New Roman" w:cs="Arial"/>
                <w:color w:val="000000" w:themeColor="text1"/>
                <w:sz w:val="16"/>
                <w:szCs w:val="16"/>
                <w:lang w:eastAsia="it-CH"/>
              </w:rPr>
              <w:t>)</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A4DF2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11E48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784D6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320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3E642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93F53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335</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32434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335</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4BB29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294</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0175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275</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5B2F9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280</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D2C1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300</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D03FD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333</w:t>
            </w:r>
          </w:p>
        </w:tc>
        <w:tc>
          <w:tcPr>
            <w:tcW w:w="407" w:type="dxa"/>
            <w:tcBorders>
              <w:top w:val="single" w:sz="8" w:space="0" w:color="auto"/>
              <w:left w:val="single" w:sz="8" w:space="0" w:color="auto"/>
              <w:bottom w:val="single" w:sz="8" w:space="0" w:color="auto"/>
              <w:right w:val="single" w:sz="8" w:space="0" w:color="auto"/>
            </w:tcBorders>
            <w:vAlign w:val="center"/>
          </w:tcPr>
          <w:p w14:paraId="722E401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358</w:t>
            </w:r>
          </w:p>
        </w:tc>
      </w:tr>
      <w:tr w:rsidR="00FC53AE" w:rsidRPr="00FC53AE" w14:paraId="311C949E"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2F694A"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2015: 0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72FA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0</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1BBF3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832E2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F004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09F69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6AAA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0D4BF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281C4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15F3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3F1DF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6C99A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4B4F026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15816D22"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7E51C2"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2016: 9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13499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FAA54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29D6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E77A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2054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51886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EAAAD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A7CDD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90C0F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47BA5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C48A0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55F0E4A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6EDC22CA"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4723E"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2017: 16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DF738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16</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045C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16</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0E80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B282E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54A56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9E67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EC183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A92E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93AC3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1DE0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02AB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60A32C0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5E9366C2"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2F85F7"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2018: 17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32FB7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17</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600E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17</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DCE1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78A2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9C503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BF0BF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3B4B2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BF5FD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C0C2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A05D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BDBC6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45F18BF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7DF0897F"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DA0D1F"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2019: 14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3646A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40B60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940A1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536B7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4DC78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EBB0E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EF40C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93D89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A218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161D9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7A6EB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36F55CA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59CA1005"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D7BFA1"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2020: 21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DF4BF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21</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714F3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15</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F7E13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6</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6FF3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F91EA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1A697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4D419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B0B2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7152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3787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3184B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09BE04C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61F10EE5"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D585D4"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2021: 12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BF31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12</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2910A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11</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1581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4E7B9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E86A6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7F39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59152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8DCB4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BD5D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07160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E51FF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69078E7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303339AB" w14:textId="77777777" w:rsidTr="00144D76">
        <w:trPr>
          <w:trHeight w:val="25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D552B6"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2022: 15 mio</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DD3030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15</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329228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C1D705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10</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06BFD1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w:t>
            </w:r>
          </w:p>
        </w:tc>
        <w:tc>
          <w:tcPr>
            <w:tcW w:w="4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9D957BC"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w:t>
            </w:r>
          </w:p>
        </w:tc>
        <w:tc>
          <w:tcPr>
            <w:tcW w:w="5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207B53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CBFEAB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99CC30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DF3AFA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8A5682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C99E15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single" w:sz="8" w:space="0" w:color="auto"/>
              <w:right w:val="single" w:sz="8" w:space="0" w:color="auto"/>
            </w:tcBorders>
            <w:vAlign w:val="center"/>
          </w:tcPr>
          <w:p w14:paraId="56665E0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432764A7" w14:textId="77777777" w:rsidTr="00144D76">
        <w:trPr>
          <w:trHeight w:val="260"/>
        </w:trPr>
        <w:tc>
          <w:tcPr>
            <w:tcW w:w="32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8383541"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2023: 14 mio</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5F5FDA2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7B41C8D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25C2A77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379E4A88"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E9E0AE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w:t>
            </w:r>
          </w:p>
        </w:tc>
        <w:tc>
          <w:tcPr>
            <w:tcW w:w="509"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20148B3F"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524"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F2EAF2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D01442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4A06AB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592B444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6BE62D8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double" w:sz="6" w:space="0" w:color="auto"/>
              <w:right w:val="single" w:sz="8" w:space="0" w:color="auto"/>
            </w:tcBorders>
            <w:vAlign w:val="center"/>
          </w:tcPr>
          <w:p w14:paraId="786E8669"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44AC5C54" w14:textId="77777777" w:rsidTr="00144D76">
        <w:trPr>
          <w:trHeight w:val="260"/>
        </w:trPr>
        <w:tc>
          <w:tcPr>
            <w:tcW w:w="3260" w:type="dxa"/>
            <w:tcBorders>
              <w:top w:val="single" w:sz="8" w:space="0" w:color="auto"/>
              <w:left w:val="single" w:sz="8" w:space="0" w:color="auto"/>
              <w:bottom w:val="double" w:sz="6" w:space="0" w:color="auto"/>
              <w:right w:val="single" w:sz="8" w:space="0" w:color="auto"/>
            </w:tcBorders>
            <w:shd w:val="clear" w:color="auto" w:fill="auto"/>
            <w:noWrap/>
            <w:vAlign w:val="center"/>
          </w:tcPr>
          <w:p w14:paraId="594D33E8"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Rivalutazioni contabilizzate nel 2024: 28 mio</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01CD31F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28</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380171D2"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2A78508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6</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64B5D6E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83"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2F016A6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w:t>
            </w:r>
          </w:p>
        </w:tc>
        <w:tc>
          <w:tcPr>
            <w:tcW w:w="509"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645BC42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4</w:t>
            </w:r>
          </w:p>
        </w:tc>
        <w:tc>
          <w:tcPr>
            <w:tcW w:w="524"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2F8060F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6B139214"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68D800A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60" w:type="dxa"/>
            <w:gridSpan w:val="3"/>
            <w:tcBorders>
              <w:top w:val="single" w:sz="8" w:space="0" w:color="auto"/>
              <w:left w:val="single" w:sz="8" w:space="0" w:color="auto"/>
              <w:bottom w:val="double" w:sz="6" w:space="0" w:color="auto"/>
              <w:right w:val="single" w:sz="8" w:space="0" w:color="auto"/>
            </w:tcBorders>
            <w:shd w:val="clear" w:color="auto" w:fill="auto"/>
            <w:noWrap/>
            <w:vAlign w:val="center"/>
          </w:tcPr>
          <w:p w14:paraId="419CE19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gridSpan w:val="2"/>
            <w:tcBorders>
              <w:top w:val="single" w:sz="8" w:space="0" w:color="auto"/>
              <w:left w:val="single" w:sz="8" w:space="0" w:color="auto"/>
              <w:bottom w:val="double" w:sz="6" w:space="0" w:color="auto"/>
              <w:right w:val="single" w:sz="8" w:space="0" w:color="auto"/>
            </w:tcBorders>
            <w:shd w:val="clear" w:color="auto" w:fill="auto"/>
            <w:noWrap/>
            <w:vAlign w:val="center"/>
          </w:tcPr>
          <w:p w14:paraId="3A87A4DE"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c>
          <w:tcPr>
            <w:tcW w:w="407" w:type="dxa"/>
            <w:tcBorders>
              <w:top w:val="single" w:sz="8" w:space="0" w:color="auto"/>
              <w:left w:val="single" w:sz="8" w:space="0" w:color="auto"/>
              <w:bottom w:val="double" w:sz="6" w:space="0" w:color="auto"/>
              <w:right w:val="single" w:sz="8" w:space="0" w:color="auto"/>
            </w:tcBorders>
            <w:vAlign w:val="center"/>
          </w:tcPr>
          <w:p w14:paraId="00CC9CE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 </w:t>
            </w:r>
          </w:p>
        </w:tc>
      </w:tr>
      <w:tr w:rsidR="00FC53AE" w:rsidRPr="00FC53AE" w14:paraId="1BA39E89" w14:textId="77777777" w:rsidTr="00144D76">
        <w:trPr>
          <w:trHeight w:val="270"/>
        </w:trPr>
        <w:tc>
          <w:tcPr>
            <w:tcW w:w="326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35ED983" w14:textId="77777777" w:rsidR="006F47D4" w:rsidRPr="00FC53AE" w:rsidRDefault="006F47D4" w:rsidP="00144D76">
            <w:pPr>
              <w:rPr>
                <w:rFonts w:eastAsia="Times New Roman" w:cs="Arial"/>
                <w:color w:val="000000" w:themeColor="text1"/>
                <w:sz w:val="16"/>
                <w:szCs w:val="16"/>
                <w:lang w:eastAsia="it-CH"/>
              </w:rPr>
            </w:pPr>
            <w:r w:rsidRPr="00FC53AE">
              <w:rPr>
                <w:rFonts w:eastAsia="Times New Roman" w:cs="Arial"/>
                <w:b/>
                <w:color w:val="000000" w:themeColor="text1"/>
                <w:sz w:val="16"/>
                <w:szCs w:val="16"/>
                <w:lang w:eastAsia="it-CH"/>
              </w:rPr>
              <w:t>Gettito rivalutato a consuntivo</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08CB311D"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146</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627D3B0"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92</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70F102F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352</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690AC911"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327</w:t>
            </w:r>
          </w:p>
        </w:tc>
        <w:tc>
          <w:tcPr>
            <w:tcW w:w="483"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5DD0723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355</w:t>
            </w:r>
          </w:p>
        </w:tc>
        <w:tc>
          <w:tcPr>
            <w:tcW w:w="509"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0BA3DB6"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339</w:t>
            </w:r>
          </w:p>
        </w:tc>
        <w:tc>
          <w:tcPr>
            <w:tcW w:w="524"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3DE3C8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295</w:t>
            </w:r>
          </w:p>
        </w:tc>
        <w:tc>
          <w:tcPr>
            <w:tcW w:w="460"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FC48625"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275</w:t>
            </w:r>
          </w:p>
        </w:tc>
        <w:tc>
          <w:tcPr>
            <w:tcW w:w="460"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515B0C63"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280</w:t>
            </w:r>
          </w:p>
        </w:tc>
        <w:tc>
          <w:tcPr>
            <w:tcW w:w="460" w:type="dxa"/>
            <w:gridSpan w:val="3"/>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F70EBA"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300</w:t>
            </w:r>
          </w:p>
        </w:tc>
        <w:tc>
          <w:tcPr>
            <w:tcW w:w="407"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1CFCCA77"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333</w:t>
            </w:r>
          </w:p>
        </w:tc>
        <w:tc>
          <w:tcPr>
            <w:tcW w:w="407" w:type="dxa"/>
            <w:tcBorders>
              <w:top w:val="double" w:sz="6" w:space="0" w:color="auto"/>
              <w:left w:val="single" w:sz="8" w:space="0" w:color="auto"/>
              <w:bottom w:val="single" w:sz="8" w:space="0" w:color="auto"/>
              <w:right w:val="single" w:sz="8" w:space="0" w:color="auto"/>
            </w:tcBorders>
            <w:vAlign w:val="center"/>
          </w:tcPr>
          <w:p w14:paraId="28F0095B" w14:textId="77777777" w:rsidR="006F47D4" w:rsidRPr="00FC53AE" w:rsidRDefault="006F47D4" w:rsidP="00144D76">
            <w:pPr>
              <w:jc w:val="right"/>
              <w:rPr>
                <w:rFonts w:eastAsia="Times New Roman" w:cs="Arial"/>
                <w:color w:val="000000" w:themeColor="text1"/>
                <w:sz w:val="16"/>
                <w:szCs w:val="16"/>
                <w:lang w:eastAsia="it-CH"/>
              </w:rPr>
            </w:pPr>
            <w:r w:rsidRPr="00FC53AE">
              <w:rPr>
                <w:rFonts w:eastAsia="Times New Roman" w:cs="Arial"/>
                <w:color w:val="000000" w:themeColor="text1"/>
                <w:sz w:val="16"/>
                <w:szCs w:val="16"/>
                <w:lang w:eastAsia="it-CH"/>
              </w:rPr>
              <w:t>358</w:t>
            </w:r>
          </w:p>
        </w:tc>
      </w:tr>
    </w:tbl>
    <w:p w14:paraId="6F05A344" w14:textId="77777777" w:rsidR="006F47D4" w:rsidRPr="00FC53AE" w:rsidRDefault="00ED064C"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 xml:space="preserve">Fonte: Messaggio n. 8562, pag. 21 </w:t>
      </w:r>
    </w:p>
    <w:p w14:paraId="46555C11" w14:textId="77777777" w:rsidR="00576A44" w:rsidRPr="00FC53AE" w:rsidRDefault="00576A44" w:rsidP="00576A44">
      <w:pPr>
        <w:autoSpaceDE w:val="0"/>
        <w:autoSpaceDN w:val="0"/>
        <w:adjustRightInd w:val="0"/>
        <w:rPr>
          <w:rFonts w:eastAsia="Calibri" w:cs="Arial"/>
          <w:color w:val="000000" w:themeColor="text1"/>
          <w:sz w:val="24"/>
          <w:szCs w:val="24"/>
        </w:rPr>
      </w:pPr>
    </w:p>
    <w:p w14:paraId="53B9D576" w14:textId="77777777" w:rsidR="00CB216A" w:rsidRPr="00FC53AE" w:rsidRDefault="00CB216A">
      <w:pPr>
        <w:rPr>
          <w:rFonts w:eastAsia="Calibri" w:cs="Arial"/>
          <w:color w:val="000000" w:themeColor="text1"/>
          <w:sz w:val="24"/>
          <w:szCs w:val="24"/>
        </w:rPr>
      </w:pPr>
      <w:r w:rsidRPr="00FC53AE">
        <w:rPr>
          <w:rFonts w:eastAsia="Calibri" w:cs="Arial"/>
          <w:color w:val="000000" w:themeColor="text1"/>
          <w:sz w:val="24"/>
          <w:szCs w:val="24"/>
        </w:rPr>
        <w:br w:type="page"/>
      </w:r>
    </w:p>
    <w:p w14:paraId="1B3EEF2E" w14:textId="77777777" w:rsidR="0093790E" w:rsidRPr="00FC53AE" w:rsidRDefault="00DF3A1A" w:rsidP="000D0508">
      <w:pPr>
        <w:pStyle w:val="Titolo2"/>
        <w:numPr>
          <w:ilvl w:val="0"/>
          <w:numId w:val="20"/>
        </w:numPr>
        <w:tabs>
          <w:tab w:val="left" w:pos="567"/>
        </w:tabs>
        <w:spacing w:before="0" w:after="120"/>
        <w:ind w:left="567" w:hanging="567"/>
        <w:jc w:val="both"/>
        <w:rPr>
          <w:rFonts w:eastAsia="Calibri" w:cs="Times New Roman"/>
          <w:color w:val="000000" w:themeColor="text1"/>
          <w:sz w:val="24"/>
          <w:szCs w:val="24"/>
          <w:lang w:val="it-IT" w:eastAsia="it-IT"/>
        </w:rPr>
      </w:pPr>
      <w:bookmarkStart w:id="4" w:name="_Toc199249361"/>
      <w:r w:rsidRPr="00FC53AE">
        <w:rPr>
          <w:rFonts w:eastAsia="Calibri" w:cs="Times New Roman"/>
          <w:color w:val="000000" w:themeColor="text1"/>
          <w:sz w:val="24"/>
          <w:szCs w:val="24"/>
          <w:lang w:val="it-IT" w:eastAsia="it-IT"/>
        </w:rPr>
        <w:lastRenderedPageBreak/>
        <w:t xml:space="preserve">EVOLUZIONE DELLE SPESE E DEI RICAVI – ANNI DAL </w:t>
      </w:r>
      <w:r w:rsidR="0093790E" w:rsidRPr="00FC53AE">
        <w:rPr>
          <w:rFonts w:eastAsia="Calibri" w:cs="Times New Roman"/>
          <w:color w:val="000000" w:themeColor="text1"/>
          <w:sz w:val="24"/>
          <w:szCs w:val="24"/>
          <w:lang w:val="it-IT" w:eastAsia="it-IT"/>
        </w:rPr>
        <w:t xml:space="preserve">2001 </w:t>
      </w:r>
      <w:r w:rsidRPr="00FC53AE">
        <w:rPr>
          <w:rFonts w:eastAsia="Calibri" w:cs="Times New Roman"/>
          <w:color w:val="000000" w:themeColor="text1"/>
          <w:sz w:val="24"/>
          <w:szCs w:val="24"/>
          <w:lang w:val="it-IT" w:eastAsia="it-IT"/>
        </w:rPr>
        <w:t>AL</w:t>
      </w:r>
      <w:r w:rsidR="0093790E" w:rsidRPr="00FC53AE">
        <w:rPr>
          <w:rFonts w:eastAsia="Calibri" w:cs="Times New Roman"/>
          <w:color w:val="000000" w:themeColor="text1"/>
          <w:sz w:val="24"/>
          <w:szCs w:val="24"/>
          <w:lang w:val="it-IT" w:eastAsia="it-IT"/>
        </w:rPr>
        <w:t xml:space="preserve"> 2024</w:t>
      </w:r>
      <w:bookmarkEnd w:id="4"/>
    </w:p>
    <w:p w14:paraId="586A6CFC" w14:textId="77777777" w:rsidR="0093790E" w:rsidRPr="00FC53AE" w:rsidRDefault="0093790E" w:rsidP="0093790E">
      <w:pPr>
        <w:rPr>
          <w:color w:val="000000" w:themeColor="text1"/>
        </w:rPr>
      </w:pPr>
      <w:r w:rsidRPr="00FC53AE">
        <w:rPr>
          <w:noProof/>
          <w:color w:val="000000" w:themeColor="text1"/>
          <w:lang w:eastAsia="it-CH"/>
        </w:rPr>
        <w:drawing>
          <wp:inline distT="0" distB="0" distL="0" distR="0" wp14:anchorId="12645B53" wp14:editId="68DA7E09">
            <wp:extent cx="6120130" cy="3442335"/>
            <wp:effectExtent l="19050" t="19050" r="13970" b="24765"/>
            <wp:docPr id="447681818" name="Immagine 447681818" descr="Immagine che contiene testo, schermat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81818" name="Immagine 447681818" descr="Immagine che contiene testo, schermata, linea, Diagramma&#10;&#10;Il contenuto generato dall'IA potrebbe non essere corretto."/>
                    <pic:cNvPicPr/>
                  </pic:nvPicPr>
                  <pic:blipFill>
                    <a:blip r:embed="rId14">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14:paraId="05E3DF02" w14:textId="77777777" w:rsidR="0093790E" w:rsidRPr="00FC53AE" w:rsidRDefault="0093790E"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Audizione del Consiglio di Stato</w:t>
      </w:r>
      <w:r w:rsidR="00AC1D16" w:rsidRPr="00FC53AE">
        <w:rPr>
          <w:rFonts w:eastAsia="Calibri" w:cs="Arial"/>
          <w:color w:val="000000" w:themeColor="text1"/>
        </w:rPr>
        <w:t>,</w:t>
      </w:r>
      <w:r w:rsidRPr="00FC53AE">
        <w:rPr>
          <w:rFonts w:eastAsia="Calibri" w:cs="Arial"/>
          <w:color w:val="000000" w:themeColor="text1"/>
        </w:rPr>
        <w:t xml:space="preserve"> 6 maggio</w:t>
      </w:r>
      <w:r w:rsidR="00AC1D16" w:rsidRPr="00FC53AE">
        <w:rPr>
          <w:rFonts w:eastAsia="Calibri" w:cs="Arial"/>
          <w:color w:val="000000" w:themeColor="text1"/>
        </w:rPr>
        <w:t xml:space="preserve"> 2025</w:t>
      </w:r>
      <w:r w:rsidRPr="00FC53AE">
        <w:rPr>
          <w:rFonts w:eastAsia="Calibri" w:cs="Arial"/>
          <w:color w:val="000000" w:themeColor="text1"/>
        </w:rPr>
        <w:t>, slide 7</w:t>
      </w:r>
    </w:p>
    <w:p w14:paraId="11EF12F1" w14:textId="77777777" w:rsidR="00576A44" w:rsidRPr="00FC53AE" w:rsidRDefault="00576A44" w:rsidP="00576A44">
      <w:pPr>
        <w:autoSpaceDE w:val="0"/>
        <w:autoSpaceDN w:val="0"/>
        <w:adjustRightInd w:val="0"/>
        <w:rPr>
          <w:rFonts w:eastAsia="Calibri" w:cs="Arial"/>
          <w:color w:val="000000" w:themeColor="text1"/>
          <w:sz w:val="24"/>
          <w:szCs w:val="24"/>
        </w:rPr>
      </w:pPr>
    </w:p>
    <w:p w14:paraId="1BB65868" w14:textId="77777777" w:rsidR="00896A3E" w:rsidRPr="00FC53AE" w:rsidRDefault="00896A3E" w:rsidP="00896A3E">
      <w:pPr>
        <w:rPr>
          <w:color w:val="000000" w:themeColor="text1"/>
          <w:sz w:val="24"/>
          <w:szCs w:val="24"/>
        </w:rPr>
      </w:pPr>
      <w:r w:rsidRPr="00FC53AE">
        <w:rPr>
          <w:color w:val="000000" w:themeColor="text1"/>
          <w:sz w:val="24"/>
          <w:szCs w:val="24"/>
        </w:rPr>
        <w:t>La spesa cresce costantemente dal 2001. Si è un poco assestata tra il 2015 e il 2019, ma nel 2020 è esplosa a causa del Covid-19. L'effetto del Covid-19 si nota anche presso gli altri Cantoni e la Confederazione</w:t>
      </w:r>
      <w:r w:rsidR="0083524B" w:rsidRPr="00FC53AE">
        <w:rPr>
          <w:color w:val="000000" w:themeColor="text1"/>
          <w:sz w:val="24"/>
          <w:szCs w:val="24"/>
        </w:rPr>
        <w:t>.</w:t>
      </w:r>
      <w:r w:rsidRPr="00FC53AE">
        <w:rPr>
          <w:color w:val="000000" w:themeColor="text1"/>
          <w:sz w:val="24"/>
          <w:szCs w:val="24"/>
        </w:rPr>
        <w:t xml:space="preserve"> I ricavi hanno </w:t>
      </w:r>
      <w:r w:rsidR="00AC1D16" w:rsidRPr="00FC53AE">
        <w:rPr>
          <w:color w:val="000000" w:themeColor="text1"/>
          <w:sz w:val="24"/>
          <w:szCs w:val="24"/>
        </w:rPr>
        <w:t xml:space="preserve">un </w:t>
      </w:r>
      <w:r w:rsidRPr="00FC53AE">
        <w:rPr>
          <w:color w:val="000000" w:themeColor="text1"/>
          <w:sz w:val="24"/>
          <w:szCs w:val="24"/>
        </w:rPr>
        <w:t>andamento di crescita abbastanza costante, con il picco del 2005 (</w:t>
      </w:r>
      <w:r w:rsidR="0083524B" w:rsidRPr="00FC53AE">
        <w:rPr>
          <w:color w:val="000000" w:themeColor="text1"/>
          <w:sz w:val="24"/>
          <w:szCs w:val="24"/>
        </w:rPr>
        <w:t>700</w:t>
      </w:r>
      <w:r w:rsidR="00AC1D16" w:rsidRPr="00FC53AE">
        <w:rPr>
          <w:color w:val="000000" w:themeColor="text1"/>
          <w:sz w:val="24"/>
          <w:szCs w:val="24"/>
        </w:rPr>
        <w:t xml:space="preserve"> milioni di franchi derivanti dalla </w:t>
      </w:r>
      <w:r w:rsidRPr="00FC53AE">
        <w:rPr>
          <w:color w:val="000000" w:themeColor="text1"/>
          <w:sz w:val="24"/>
          <w:szCs w:val="24"/>
        </w:rPr>
        <w:t xml:space="preserve">distribuzione </w:t>
      </w:r>
      <w:r w:rsidR="00AC1D16" w:rsidRPr="00FC53AE">
        <w:rPr>
          <w:color w:val="000000" w:themeColor="text1"/>
          <w:sz w:val="24"/>
          <w:szCs w:val="24"/>
        </w:rPr>
        <w:t xml:space="preserve">dei proventi </w:t>
      </w:r>
      <w:r w:rsidRPr="00FC53AE">
        <w:rPr>
          <w:color w:val="000000" w:themeColor="text1"/>
          <w:sz w:val="24"/>
          <w:szCs w:val="24"/>
        </w:rPr>
        <w:t>dell</w:t>
      </w:r>
      <w:r w:rsidR="00AC1D16" w:rsidRPr="00FC53AE">
        <w:rPr>
          <w:color w:val="000000" w:themeColor="text1"/>
          <w:sz w:val="24"/>
          <w:szCs w:val="24"/>
        </w:rPr>
        <w:t>a vendita dell</w:t>
      </w:r>
      <w:r w:rsidRPr="00FC53AE">
        <w:rPr>
          <w:color w:val="000000" w:themeColor="text1"/>
          <w:sz w:val="24"/>
          <w:szCs w:val="24"/>
        </w:rPr>
        <w:t>'oro della Banca Nazionale) e la diminuzione del 2020, compensata però dal rimbalzo nel 2022. A incidere sul grafico c'è anche l'azzeramento della distribuzione degli utili della Banca Nazionale, in particolare per il periodo dal 2020 al 2023.</w:t>
      </w:r>
    </w:p>
    <w:p w14:paraId="05B43FF4" w14:textId="77777777" w:rsidR="00D862C4" w:rsidRPr="00FC53AE" w:rsidRDefault="00D862C4" w:rsidP="00896A3E">
      <w:pPr>
        <w:rPr>
          <w:color w:val="000000" w:themeColor="text1"/>
          <w:sz w:val="24"/>
          <w:szCs w:val="24"/>
        </w:rPr>
      </w:pPr>
    </w:p>
    <w:p w14:paraId="652D410C" w14:textId="77777777" w:rsidR="00D862C4" w:rsidRPr="00FC53AE" w:rsidRDefault="00D862C4" w:rsidP="00D862C4">
      <w:pPr>
        <w:rPr>
          <w:color w:val="000000" w:themeColor="text1"/>
          <w:sz w:val="24"/>
          <w:szCs w:val="24"/>
        </w:rPr>
      </w:pPr>
      <w:r w:rsidRPr="00FC53AE">
        <w:rPr>
          <w:color w:val="000000" w:themeColor="text1"/>
          <w:sz w:val="24"/>
          <w:szCs w:val="24"/>
        </w:rPr>
        <w:t>Il grafico evidenzia come spese e ricavi dello Stato si siano finora mossi in modo relativamente armonico, crescita parallela che riflette l’aumento del PIL e la naturale espansione del ruolo dello Stato nell’economia e nella società. Questo equilibrio è essenziale per garantire la sostenibilità finanziaria e il buon funzionamento delle istituzioni pubbliche.</w:t>
      </w:r>
    </w:p>
    <w:p w14:paraId="14254560" w14:textId="77777777" w:rsidR="00D862C4" w:rsidRPr="00FC53AE" w:rsidRDefault="00D862C4" w:rsidP="00D862C4">
      <w:pPr>
        <w:rPr>
          <w:color w:val="000000" w:themeColor="text1"/>
          <w:sz w:val="24"/>
          <w:szCs w:val="24"/>
        </w:rPr>
      </w:pPr>
    </w:p>
    <w:p w14:paraId="74E32972" w14:textId="77777777" w:rsidR="00D862C4" w:rsidRPr="00FC53AE" w:rsidRDefault="00D862C4" w:rsidP="00D862C4">
      <w:pPr>
        <w:rPr>
          <w:color w:val="000000" w:themeColor="text1"/>
          <w:sz w:val="24"/>
          <w:szCs w:val="24"/>
        </w:rPr>
      </w:pPr>
      <w:r w:rsidRPr="00FC53AE">
        <w:rPr>
          <w:color w:val="000000" w:themeColor="text1"/>
          <w:sz w:val="24"/>
          <w:szCs w:val="24"/>
        </w:rPr>
        <w:t>Tuttavia, ogni volta che queste due curve divergono, come accaduto in più occasioni, si apre un potenziale problema di natura politica ed economica. Se i ricavi crescono meno delle spese non a causa di crisi esterne, ma per scelte fiscali deliberate (come sgravi o riduzioni d’imposta), allora si compromette la capacità dello Stato di rispondere ai bisogni collettivi.</w:t>
      </w:r>
    </w:p>
    <w:p w14:paraId="49B9F5BF" w14:textId="77777777" w:rsidR="00D862C4" w:rsidRPr="00FC53AE" w:rsidRDefault="00D862C4" w:rsidP="00D862C4">
      <w:pPr>
        <w:rPr>
          <w:color w:val="000000" w:themeColor="text1"/>
          <w:sz w:val="24"/>
          <w:szCs w:val="24"/>
        </w:rPr>
      </w:pPr>
    </w:p>
    <w:p w14:paraId="7E15799F" w14:textId="77777777" w:rsidR="00D862C4" w:rsidRPr="00FC53AE" w:rsidRDefault="00D862C4" w:rsidP="00D862C4">
      <w:pPr>
        <w:rPr>
          <w:color w:val="000000" w:themeColor="text1"/>
          <w:sz w:val="24"/>
          <w:szCs w:val="24"/>
        </w:rPr>
      </w:pPr>
      <w:r w:rsidRPr="00FC53AE">
        <w:rPr>
          <w:color w:val="000000" w:themeColor="text1"/>
          <w:sz w:val="24"/>
          <w:szCs w:val="24"/>
        </w:rPr>
        <w:t>Lo Stato ha il dovere di raccogliere imposte in misura sufficiente a finanziare scuole, sanità, trasporti pubblici, edilizia sociale, e ogni altra funzione che sostiene la coesione e la qualità della vita. Una compressione artificiale del gettito non fa altro che spostare il problema nel tempo, aggravandolo e riducendo gli spazi di manovra futuri.</w:t>
      </w:r>
    </w:p>
    <w:p w14:paraId="18E7D5C8" w14:textId="77777777" w:rsidR="00D862C4" w:rsidRPr="00FC53AE" w:rsidRDefault="00D862C4" w:rsidP="00D862C4">
      <w:pPr>
        <w:rPr>
          <w:color w:val="000000" w:themeColor="text1"/>
          <w:sz w:val="24"/>
          <w:szCs w:val="24"/>
        </w:rPr>
      </w:pPr>
    </w:p>
    <w:p w14:paraId="5CD7BBE2" w14:textId="11010771" w:rsidR="00D862C4" w:rsidRPr="00FC53AE" w:rsidRDefault="00D862C4" w:rsidP="00D862C4">
      <w:pPr>
        <w:rPr>
          <w:color w:val="000000" w:themeColor="text1"/>
          <w:sz w:val="24"/>
          <w:szCs w:val="24"/>
        </w:rPr>
      </w:pPr>
      <w:r w:rsidRPr="00FC53AE">
        <w:rPr>
          <w:color w:val="000000" w:themeColor="text1"/>
          <w:sz w:val="24"/>
          <w:szCs w:val="24"/>
        </w:rPr>
        <w:lastRenderedPageBreak/>
        <w:t>Mantenere l’equilibrio tra spese e ricavi non è solo un’esigenza contabile, ma una responsabilità democratica e sociale: chi beneficia dei servizi deve contribuire in modo equo e proporzionale.</w:t>
      </w:r>
    </w:p>
    <w:p w14:paraId="2179A7AF" w14:textId="77777777" w:rsidR="004A2BCB" w:rsidRPr="00FC53AE" w:rsidRDefault="004A2BCB" w:rsidP="00896A3E">
      <w:pPr>
        <w:rPr>
          <w:color w:val="000000" w:themeColor="text1"/>
          <w:sz w:val="24"/>
          <w:szCs w:val="24"/>
        </w:rPr>
      </w:pPr>
    </w:p>
    <w:p w14:paraId="75F5A56E" w14:textId="77777777" w:rsidR="004A2BCB" w:rsidRPr="00FC53AE" w:rsidRDefault="004A2BCB" w:rsidP="00896A3E">
      <w:pPr>
        <w:rPr>
          <w:color w:val="000000" w:themeColor="text1"/>
          <w:sz w:val="24"/>
          <w:szCs w:val="24"/>
        </w:rPr>
      </w:pPr>
    </w:p>
    <w:p w14:paraId="3D6A51BE" w14:textId="77777777" w:rsidR="001E345D" w:rsidRPr="00FC53AE" w:rsidRDefault="001E345D" w:rsidP="001E345D">
      <w:pPr>
        <w:ind w:left="2268" w:hanging="2268"/>
        <w:rPr>
          <w:color w:val="000000" w:themeColor="text1"/>
          <w:sz w:val="24"/>
          <w:szCs w:val="24"/>
        </w:rPr>
      </w:pPr>
    </w:p>
    <w:p w14:paraId="32CEB633" w14:textId="77777777" w:rsidR="001E345D" w:rsidRPr="00FC53AE" w:rsidRDefault="001E345D" w:rsidP="001E345D">
      <w:pPr>
        <w:rPr>
          <w:color w:val="000000" w:themeColor="text1"/>
        </w:rPr>
      </w:pPr>
      <w:r w:rsidRPr="00FC53AE">
        <w:rPr>
          <w:noProof/>
          <w:color w:val="000000" w:themeColor="text1"/>
          <w:lang w:eastAsia="it-CH"/>
        </w:rPr>
        <w:drawing>
          <wp:inline distT="0" distB="0" distL="0" distR="0" wp14:anchorId="6DA400FC" wp14:editId="5190940D">
            <wp:extent cx="6120130" cy="3442335"/>
            <wp:effectExtent l="19050" t="19050" r="13970" b="24765"/>
            <wp:docPr id="2075549162" name="Immagine 2075549162" descr="Immagine che contiene testo, schermata, diagramm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49162" name="Immagine 2075549162" descr="Immagine che contiene testo, schermata, diagramma, Carattere&#10;&#10;Il contenuto generato dall'IA potrebbe non essere corretto."/>
                    <pic:cNvPicPr/>
                  </pic:nvPicPr>
                  <pic:blipFill>
                    <a:blip r:embed="rId15">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14:paraId="3F3083A4" w14:textId="77777777" w:rsidR="001E345D" w:rsidRPr="00FC53AE" w:rsidRDefault="001E345D"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audizione del Consiglio di Stato</w:t>
      </w:r>
      <w:r w:rsidR="00AC1D16" w:rsidRPr="00FC53AE">
        <w:rPr>
          <w:rFonts w:eastAsia="Calibri" w:cs="Arial"/>
          <w:color w:val="000000" w:themeColor="text1"/>
        </w:rPr>
        <w:t>,</w:t>
      </w:r>
      <w:r w:rsidRPr="00FC53AE">
        <w:rPr>
          <w:rFonts w:eastAsia="Calibri" w:cs="Arial"/>
          <w:color w:val="000000" w:themeColor="text1"/>
        </w:rPr>
        <w:t xml:space="preserve"> 6 maggio</w:t>
      </w:r>
      <w:r w:rsidR="00AC1D16" w:rsidRPr="00FC53AE">
        <w:rPr>
          <w:rFonts w:eastAsia="Calibri" w:cs="Arial"/>
          <w:color w:val="000000" w:themeColor="text1"/>
        </w:rPr>
        <w:t xml:space="preserve"> 2025</w:t>
      </w:r>
      <w:r w:rsidRPr="00FC53AE">
        <w:rPr>
          <w:rFonts w:eastAsia="Calibri" w:cs="Arial"/>
          <w:color w:val="000000" w:themeColor="text1"/>
        </w:rPr>
        <w:t>, slide 8</w:t>
      </w:r>
    </w:p>
    <w:p w14:paraId="4336FE7F" w14:textId="77777777" w:rsidR="001E345D" w:rsidRPr="00FC53AE" w:rsidRDefault="001E345D" w:rsidP="001E345D">
      <w:pPr>
        <w:ind w:left="2268" w:hanging="2268"/>
        <w:rPr>
          <w:color w:val="000000" w:themeColor="text1"/>
          <w:sz w:val="24"/>
          <w:szCs w:val="24"/>
        </w:rPr>
      </w:pPr>
    </w:p>
    <w:p w14:paraId="2FCE38C3" w14:textId="77777777" w:rsidR="001E345D" w:rsidRPr="00FC53AE" w:rsidRDefault="001E345D" w:rsidP="001E345D">
      <w:pPr>
        <w:rPr>
          <w:color w:val="000000" w:themeColor="text1"/>
          <w:sz w:val="24"/>
          <w:szCs w:val="24"/>
        </w:rPr>
      </w:pPr>
      <w:r w:rsidRPr="00FC53AE">
        <w:rPr>
          <w:color w:val="000000" w:themeColor="text1"/>
          <w:sz w:val="24"/>
          <w:szCs w:val="24"/>
        </w:rPr>
        <w:t>Il grafico, molto interessante, mostra l’evoluzione proporzionale dei cespiti di spesa principali.</w:t>
      </w:r>
      <w:r w:rsidR="002251EA" w:rsidRPr="00FC53AE">
        <w:rPr>
          <w:color w:val="000000" w:themeColor="text1"/>
          <w:sz w:val="24"/>
          <w:szCs w:val="24"/>
        </w:rPr>
        <w:t xml:space="preserve"> Dal 2001 al 2024 i</w:t>
      </w:r>
      <w:r w:rsidRPr="00FC53AE">
        <w:rPr>
          <w:color w:val="000000" w:themeColor="text1"/>
          <w:sz w:val="24"/>
          <w:szCs w:val="24"/>
        </w:rPr>
        <w:t xml:space="preserve"> contributi a enti pubblici e terzi sono </w:t>
      </w:r>
      <w:r w:rsidR="002251EA" w:rsidRPr="00FC53AE">
        <w:rPr>
          <w:color w:val="000000" w:themeColor="text1"/>
          <w:sz w:val="24"/>
          <w:szCs w:val="24"/>
        </w:rPr>
        <w:t xml:space="preserve">aumentati in percentuale rispetto al totale della spesa </w:t>
      </w:r>
      <w:r w:rsidRPr="00FC53AE">
        <w:rPr>
          <w:color w:val="000000" w:themeColor="text1"/>
          <w:sz w:val="24"/>
          <w:szCs w:val="24"/>
        </w:rPr>
        <w:t xml:space="preserve">dal 37% al 47%. Per la maggior parte </w:t>
      </w:r>
      <w:r w:rsidR="002251EA" w:rsidRPr="00FC53AE">
        <w:rPr>
          <w:color w:val="000000" w:themeColor="text1"/>
          <w:sz w:val="24"/>
          <w:szCs w:val="24"/>
        </w:rPr>
        <w:t xml:space="preserve">si tratta di </w:t>
      </w:r>
      <w:r w:rsidRPr="00FC53AE">
        <w:rPr>
          <w:color w:val="000000" w:themeColor="text1"/>
          <w:sz w:val="24"/>
          <w:szCs w:val="24"/>
        </w:rPr>
        <w:t>mandati</w:t>
      </w:r>
      <w:r w:rsidR="002251EA" w:rsidRPr="00FC53AE">
        <w:rPr>
          <w:color w:val="000000" w:themeColor="text1"/>
          <w:sz w:val="24"/>
          <w:szCs w:val="24"/>
        </w:rPr>
        <w:t xml:space="preserve">, </w:t>
      </w:r>
      <w:r w:rsidRPr="00FC53AE">
        <w:rPr>
          <w:color w:val="000000" w:themeColor="text1"/>
          <w:sz w:val="24"/>
          <w:szCs w:val="24"/>
        </w:rPr>
        <w:t>contratti di prestazione</w:t>
      </w:r>
      <w:r w:rsidR="002251EA" w:rsidRPr="00FC53AE">
        <w:rPr>
          <w:color w:val="000000" w:themeColor="text1"/>
          <w:sz w:val="24"/>
          <w:szCs w:val="24"/>
        </w:rPr>
        <w:t xml:space="preserve">, finanziamenti a terzi stabiliti per legge, </w:t>
      </w:r>
      <w:r w:rsidRPr="00FC53AE">
        <w:rPr>
          <w:color w:val="000000" w:themeColor="text1"/>
          <w:sz w:val="24"/>
          <w:szCs w:val="24"/>
        </w:rPr>
        <w:t>ecc.</w:t>
      </w:r>
      <w:r w:rsidR="002251EA" w:rsidRPr="00FC53AE">
        <w:rPr>
          <w:color w:val="000000" w:themeColor="text1"/>
          <w:sz w:val="24"/>
          <w:szCs w:val="24"/>
        </w:rPr>
        <w:t xml:space="preserve"> I trasferimenti </w:t>
      </w:r>
      <w:r w:rsidRPr="00FC53AE">
        <w:rPr>
          <w:color w:val="000000" w:themeColor="text1"/>
          <w:sz w:val="24"/>
          <w:szCs w:val="24"/>
        </w:rPr>
        <w:t xml:space="preserve">sono quasi la metà della spesa del Cantone. A Preventivo 2024 e 2025 è stato attuato un esercizio di contenimento dei </w:t>
      </w:r>
      <w:r w:rsidR="00AC1D16" w:rsidRPr="00FC53AE">
        <w:rPr>
          <w:color w:val="000000" w:themeColor="text1"/>
          <w:sz w:val="24"/>
          <w:szCs w:val="24"/>
        </w:rPr>
        <w:t>c</w:t>
      </w:r>
      <w:r w:rsidRPr="00FC53AE">
        <w:rPr>
          <w:color w:val="000000" w:themeColor="text1"/>
          <w:sz w:val="24"/>
          <w:szCs w:val="24"/>
        </w:rPr>
        <w:t xml:space="preserve">ontributi a enti pubblici e terzi, ma è una strada molto difficile da percorrere, perché non sono mancate le dimostranze da parte di coloro che hanno subito le misure. </w:t>
      </w:r>
    </w:p>
    <w:p w14:paraId="15645687" w14:textId="77777777" w:rsidR="002251EA" w:rsidRPr="00FC53AE" w:rsidRDefault="002251EA" w:rsidP="001E345D">
      <w:pPr>
        <w:rPr>
          <w:color w:val="000000" w:themeColor="text1"/>
          <w:sz w:val="24"/>
          <w:szCs w:val="24"/>
        </w:rPr>
      </w:pPr>
    </w:p>
    <w:p w14:paraId="455829AC" w14:textId="77777777" w:rsidR="002251EA" w:rsidRPr="00FC53AE" w:rsidRDefault="002251EA" w:rsidP="001E345D">
      <w:pPr>
        <w:rPr>
          <w:color w:val="000000" w:themeColor="text1"/>
          <w:sz w:val="24"/>
          <w:szCs w:val="24"/>
        </w:rPr>
      </w:pPr>
      <w:r w:rsidRPr="00FC53AE">
        <w:rPr>
          <w:color w:val="000000" w:themeColor="text1"/>
          <w:sz w:val="24"/>
          <w:szCs w:val="24"/>
        </w:rPr>
        <w:t xml:space="preserve">Sono diminuite proporzionalmente, dal 2001 al 2024, la spesa per il personale (passata dal 30% del totale della spesa nel 2001 al 27% nel 2024) e la spesa per beni e servizi (passata dal 10% del totale della spesa nel 2001 all’8% nel 2024). </w:t>
      </w:r>
    </w:p>
    <w:p w14:paraId="624380E7" w14:textId="77777777" w:rsidR="003F0EF0" w:rsidRPr="00FC53AE" w:rsidRDefault="003F0EF0" w:rsidP="00576A44">
      <w:pPr>
        <w:autoSpaceDE w:val="0"/>
        <w:autoSpaceDN w:val="0"/>
        <w:adjustRightInd w:val="0"/>
        <w:rPr>
          <w:rFonts w:eastAsia="Calibri" w:cs="Arial"/>
          <w:color w:val="000000" w:themeColor="text1"/>
          <w:sz w:val="24"/>
          <w:szCs w:val="24"/>
        </w:rPr>
      </w:pPr>
    </w:p>
    <w:p w14:paraId="00C78FA1" w14:textId="77777777" w:rsidR="00D862C4" w:rsidRPr="00FC53AE" w:rsidRDefault="00D862C4" w:rsidP="00D862C4">
      <w:pPr>
        <w:autoSpaceDE w:val="0"/>
        <w:autoSpaceDN w:val="0"/>
        <w:adjustRightInd w:val="0"/>
        <w:rPr>
          <w:rFonts w:eastAsia="Calibri" w:cs="Arial"/>
          <w:color w:val="000000" w:themeColor="text1"/>
          <w:sz w:val="24"/>
          <w:szCs w:val="24"/>
        </w:rPr>
      </w:pPr>
      <w:r w:rsidRPr="00FC53AE">
        <w:rPr>
          <w:rFonts w:eastAsia="Calibri" w:cs="Arial"/>
          <w:color w:val="000000" w:themeColor="text1"/>
          <w:sz w:val="24"/>
          <w:szCs w:val="24"/>
        </w:rPr>
        <w:t>Il grafico mostra con grande chiarezza come la voce “contributi a enti pubblici e terzi” sia cresciuta nel tempo fino a rappresentare oggi quasi la metà della spesa pubblica cantonale (47%). È evidente che una quota così rilevante della spesa corrisponde a trasferimenti essenziali per l’erogazione di servizi fondamentali da parte di fondazioni, enti sociali, strutture sociosanitarie e partner istituzionali.</w:t>
      </w:r>
    </w:p>
    <w:p w14:paraId="02DDD3EE" w14:textId="77777777" w:rsidR="00D862C4" w:rsidRPr="00FC53AE" w:rsidRDefault="00D862C4" w:rsidP="00D862C4">
      <w:pPr>
        <w:autoSpaceDE w:val="0"/>
        <w:autoSpaceDN w:val="0"/>
        <w:adjustRightInd w:val="0"/>
        <w:rPr>
          <w:rFonts w:eastAsia="Calibri" w:cs="Arial"/>
          <w:color w:val="000000" w:themeColor="text1"/>
          <w:sz w:val="24"/>
          <w:szCs w:val="24"/>
        </w:rPr>
      </w:pPr>
    </w:p>
    <w:p w14:paraId="13180D08" w14:textId="77777777" w:rsidR="00D862C4" w:rsidRPr="00FC53AE" w:rsidRDefault="00D862C4" w:rsidP="00D862C4">
      <w:pPr>
        <w:autoSpaceDE w:val="0"/>
        <w:autoSpaceDN w:val="0"/>
        <w:adjustRightInd w:val="0"/>
        <w:rPr>
          <w:rFonts w:eastAsia="Calibri" w:cs="Arial"/>
          <w:color w:val="000000" w:themeColor="text1"/>
          <w:sz w:val="24"/>
          <w:szCs w:val="24"/>
        </w:rPr>
      </w:pPr>
      <w:r w:rsidRPr="00FC53AE">
        <w:rPr>
          <w:rFonts w:eastAsia="Calibri" w:cs="Arial"/>
          <w:color w:val="000000" w:themeColor="text1"/>
          <w:sz w:val="24"/>
          <w:szCs w:val="24"/>
        </w:rPr>
        <w:t xml:space="preserve">In questo contesto, le riduzioni applicate a preventivo 2024 e 2025 proprio a questi contributi appaiono particolarmente critiche. Laddove si è tagliato, le conseguenze sono </w:t>
      </w:r>
      <w:r w:rsidRPr="00FC53AE">
        <w:rPr>
          <w:rFonts w:eastAsia="Calibri" w:cs="Arial"/>
          <w:color w:val="000000" w:themeColor="text1"/>
          <w:sz w:val="24"/>
          <w:szCs w:val="24"/>
        </w:rPr>
        <w:lastRenderedPageBreak/>
        <w:t>ricadute sui più fragili: anziani, invalidi, persone con problemi psichici o disabilità, giovani in difficoltà, spesso affidati a enti che operano in convenzione con lo Stato.</w:t>
      </w:r>
    </w:p>
    <w:p w14:paraId="1CB8BA65" w14:textId="77777777" w:rsidR="00D862C4" w:rsidRPr="00FC53AE" w:rsidRDefault="00D862C4" w:rsidP="00D862C4">
      <w:pPr>
        <w:autoSpaceDE w:val="0"/>
        <w:autoSpaceDN w:val="0"/>
        <w:adjustRightInd w:val="0"/>
        <w:rPr>
          <w:rFonts w:eastAsia="Calibri" w:cs="Arial"/>
          <w:color w:val="000000" w:themeColor="text1"/>
          <w:sz w:val="24"/>
          <w:szCs w:val="24"/>
        </w:rPr>
      </w:pPr>
    </w:p>
    <w:p w14:paraId="75D36EA5" w14:textId="77777777" w:rsidR="00D862C4" w:rsidRPr="00FC53AE" w:rsidRDefault="00D862C4" w:rsidP="00D862C4">
      <w:pPr>
        <w:autoSpaceDE w:val="0"/>
        <w:autoSpaceDN w:val="0"/>
        <w:adjustRightInd w:val="0"/>
        <w:rPr>
          <w:rFonts w:eastAsia="Calibri" w:cs="Arial"/>
          <w:color w:val="000000" w:themeColor="text1"/>
          <w:sz w:val="24"/>
          <w:szCs w:val="24"/>
        </w:rPr>
      </w:pPr>
      <w:r w:rsidRPr="00FC53AE">
        <w:rPr>
          <w:rFonts w:eastAsia="Calibri" w:cs="Arial"/>
          <w:color w:val="000000" w:themeColor="text1"/>
          <w:sz w:val="24"/>
          <w:szCs w:val="24"/>
        </w:rPr>
        <w:t>Definire queste misure solo come un “esercizio di contenimento” rischia di mascherare il loro impatto sociale reale. È difficile parlare di responsabilità finanziaria quando il prezzo dell’equilibrio di bilancio viene pagato da chi non ha voce per difendersi. La reazione delle organizzazioni colpite, come giustamente riportato, è un chiaro segnale: non si può fare politica sociale con la calcolatrice, soprattutto se si colpiscono i diritti fondamentali delle persone più vulnerabili.</w:t>
      </w:r>
    </w:p>
    <w:p w14:paraId="4B48B01B" w14:textId="77777777" w:rsidR="00D862C4" w:rsidRPr="00FC53AE" w:rsidRDefault="00D862C4" w:rsidP="00D862C4">
      <w:pPr>
        <w:autoSpaceDE w:val="0"/>
        <w:autoSpaceDN w:val="0"/>
        <w:adjustRightInd w:val="0"/>
        <w:rPr>
          <w:rFonts w:eastAsia="Calibri" w:cs="Arial"/>
          <w:color w:val="000000" w:themeColor="text1"/>
          <w:sz w:val="24"/>
          <w:szCs w:val="24"/>
        </w:rPr>
      </w:pPr>
    </w:p>
    <w:p w14:paraId="6AF2D1C3" w14:textId="3E98DD4A" w:rsidR="00D862C4" w:rsidRPr="00FC53AE" w:rsidRDefault="00D862C4" w:rsidP="00D862C4">
      <w:pPr>
        <w:autoSpaceDE w:val="0"/>
        <w:autoSpaceDN w:val="0"/>
        <w:adjustRightInd w:val="0"/>
        <w:rPr>
          <w:rFonts w:eastAsia="Calibri" w:cs="Arial"/>
          <w:color w:val="000000" w:themeColor="text1"/>
          <w:sz w:val="24"/>
          <w:szCs w:val="24"/>
        </w:rPr>
      </w:pPr>
      <w:r w:rsidRPr="00FC53AE">
        <w:rPr>
          <w:rFonts w:eastAsia="Calibri" w:cs="Arial"/>
          <w:color w:val="000000" w:themeColor="text1"/>
          <w:sz w:val="24"/>
          <w:szCs w:val="24"/>
        </w:rPr>
        <w:t>Occorre quindi invertire la logica: le finanze pubbliche devono essere al servizio della coesione e della dignità sociale, non viceversa. La riduzione dei contributi a enti pubblici e terzi, se indiscriminata, non è solo una scorciatoia tecnica: è una scelta politica. E in questo caso, è stata una scelta sbagliata e ingiusta.</w:t>
      </w:r>
    </w:p>
    <w:p w14:paraId="52B4FA74" w14:textId="5F3B563C" w:rsidR="00BF379C" w:rsidRDefault="00BF379C" w:rsidP="00576A44">
      <w:pPr>
        <w:autoSpaceDE w:val="0"/>
        <w:autoSpaceDN w:val="0"/>
        <w:adjustRightInd w:val="0"/>
        <w:rPr>
          <w:rFonts w:eastAsia="Calibri" w:cs="Arial"/>
          <w:color w:val="000000" w:themeColor="text1"/>
          <w:sz w:val="24"/>
          <w:szCs w:val="24"/>
        </w:rPr>
      </w:pPr>
    </w:p>
    <w:p w14:paraId="02682740" w14:textId="77777777" w:rsidR="00476F63" w:rsidRPr="00FC53AE" w:rsidRDefault="00476F63" w:rsidP="00576A44">
      <w:pPr>
        <w:autoSpaceDE w:val="0"/>
        <w:autoSpaceDN w:val="0"/>
        <w:adjustRightInd w:val="0"/>
        <w:rPr>
          <w:rFonts w:eastAsia="Calibri" w:cs="Arial"/>
          <w:color w:val="000000" w:themeColor="text1"/>
          <w:sz w:val="24"/>
          <w:szCs w:val="24"/>
        </w:rPr>
      </w:pPr>
    </w:p>
    <w:p w14:paraId="03F91A7F" w14:textId="77777777" w:rsidR="00B77BB3" w:rsidRPr="00FC53AE" w:rsidRDefault="006776DE" w:rsidP="000D0508">
      <w:pPr>
        <w:pStyle w:val="Titolo2"/>
        <w:numPr>
          <w:ilvl w:val="0"/>
          <w:numId w:val="0"/>
        </w:numPr>
        <w:tabs>
          <w:tab w:val="left" w:pos="567"/>
        </w:tabs>
        <w:spacing w:before="0" w:after="120"/>
        <w:jc w:val="both"/>
        <w:rPr>
          <w:rFonts w:eastAsia="Calibri" w:cs="Times New Roman"/>
          <w:color w:val="000000" w:themeColor="text1"/>
          <w:sz w:val="24"/>
          <w:szCs w:val="24"/>
          <w:lang w:val="it-IT" w:eastAsia="it-IT"/>
        </w:rPr>
      </w:pPr>
      <w:bookmarkStart w:id="5" w:name="_Toc199249362"/>
      <w:r w:rsidRPr="00FC53AE">
        <w:rPr>
          <w:rFonts w:eastAsia="Calibri" w:cs="Times New Roman"/>
          <w:color w:val="000000" w:themeColor="text1"/>
          <w:sz w:val="24"/>
          <w:szCs w:val="24"/>
          <w:lang w:val="it-IT" w:eastAsia="it-IT"/>
        </w:rPr>
        <w:t>5</w:t>
      </w:r>
      <w:r w:rsidR="006F47D4" w:rsidRPr="00FC53AE">
        <w:rPr>
          <w:rFonts w:eastAsia="Calibri" w:cs="Times New Roman"/>
          <w:color w:val="000000" w:themeColor="text1"/>
          <w:sz w:val="24"/>
          <w:szCs w:val="24"/>
          <w:lang w:val="it-IT" w:eastAsia="it-IT"/>
        </w:rPr>
        <w:t>.</w:t>
      </w:r>
      <w:r w:rsidR="00BA349E" w:rsidRPr="00FC53AE">
        <w:rPr>
          <w:rFonts w:eastAsia="Calibri" w:cs="Times New Roman"/>
          <w:color w:val="000000" w:themeColor="text1"/>
          <w:sz w:val="24"/>
          <w:szCs w:val="24"/>
          <w:lang w:val="it-IT" w:eastAsia="it-IT"/>
        </w:rPr>
        <w:tab/>
      </w:r>
      <w:r w:rsidR="00CB216A" w:rsidRPr="00FC53AE">
        <w:rPr>
          <w:rFonts w:eastAsia="Calibri" w:cs="Times New Roman"/>
          <w:color w:val="000000" w:themeColor="text1"/>
          <w:sz w:val="24"/>
          <w:szCs w:val="24"/>
          <w:lang w:val="it-IT" w:eastAsia="it-IT"/>
        </w:rPr>
        <w:t>SCOSTAMENTI PRINCIPALI RISPETTO AI DATI DI PREVENTIVO</w:t>
      </w:r>
      <w:bookmarkEnd w:id="5"/>
    </w:p>
    <w:p w14:paraId="067A3243" w14:textId="77777777" w:rsidR="006F47D4" w:rsidRPr="00FC53AE" w:rsidRDefault="00681BCF" w:rsidP="00576A44">
      <w:pPr>
        <w:rPr>
          <w:color w:val="000000" w:themeColor="text1"/>
          <w:sz w:val="24"/>
          <w:szCs w:val="24"/>
        </w:rPr>
      </w:pPr>
      <w:r w:rsidRPr="00FC53AE">
        <w:rPr>
          <w:color w:val="000000" w:themeColor="text1"/>
          <w:sz w:val="24"/>
          <w:szCs w:val="24"/>
        </w:rPr>
        <w:t>Le spese correnti sono cresciute di 63.9 milioni di franchi e le entrate correnti sono aumentate di 134 milioni rispetto al preventivo. La differenza non è bastata a riportare il risultato di esercizio in positivo.</w:t>
      </w:r>
    </w:p>
    <w:p w14:paraId="18E6E9B1" w14:textId="77777777" w:rsidR="00681BCF" w:rsidRPr="00FC53AE" w:rsidRDefault="00681BCF" w:rsidP="006F47D4">
      <w:pPr>
        <w:rPr>
          <w:color w:val="000000" w:themeColor="text1"/>
          <w:sz w:val="24"/>
          <w:szCs w:val="24"/>
        </w:rPr>
      </w:pPr>
    </w:p>
    <w:p w14:paraId="6D9FEB5D" w14:textId="77777777" w:rsidR="006F47D4" w:rsidRPr="00FC53AE" w:rsidRDefault="006F47D4" w:rsidP="006F47D4">
      <w:pPr>
        <w:rPr>
          <w:rFonts w:asciiTheme="minorHAnsi" w:hAnsiTheme="minorHAnsi" w:cstheme="minorHAnsi"/>
          <w:color w:val="000000" w:themeColor="text1"/>
          <w:sz w:val="24"/>
          <w:szCs w:val="24"/>
        </w:rPr>
      </w:pPr>
      <w:r w:rsidRPr="00FC53AE">
        <w:rPr>
          <w:color w:val="000000" w:themeColor="text1"/>
          <w:sz w:val="24"/>
          <w:szCs w:val="24"/>
        </w:rPr>
        <w:t>Lo scostamento tra preventivo e consuntivo 2024 è pari a 59 milioni di franchi</w:t>
      </w:r>
      <w:r w:rsidR="00681BCF" w:rsidRPr="00FC53AE">
        <w:rPr>
          <w:color w:val="000000" w:themeColor="text1"/>
          <w:sz w:val="24"/>
          <w:szCs w:val="24"/>
        </w:rPr>
        <w:t>.</w:t>
      </w:r>
      <w:r w:rsidRPr="00FC53AE">
        <w:rPr>
          <w:color w:val="000000" w:themeColor="text1"/>
          <w:sz w:val="24"/>
          <w:szCs w:val="24"/>
        </w:rPr>
        <w:t xml:space="preserve"> A migliorare rispetto al preventivo sono stati soprattutto i ricavi correnti: </w:t>
      </w:r>
      <w:r w:rsidR="00AC1D16" w:rsidRPr="00FC53AE">
        <w:rPr>
          <w:color w:val="000000" w:themeColor="text1"/>
          <w:sz w:val="24"/>
          <w:szCs w:val="24"/>
        </w:rPr>
        <w:t xml:space="preserve">si </w:t>
      </w:r>
      <w:r w:rsidRPr="00FC53AE">
        <w:rPr>
          <w:color w:val="000000" w:themeColor="text1"/>
          <w:sz w:val="24"/>
          <w:szCs w:val="24"/>
        </w:rPr>
        <w:t xml:space="preserve">registra un incremento di 72.6 milioni dei ricavi da trasferimento e una crescita di 49.9 milioni dei ricavi fiscali. La crescita dei ricavi da trasferimento, e di riflesso delle spese di trasferimento, è influenzata dalla gestione dei profughi ucraini, iscritta a preventivo solo dal 2025. L’incremento dei ricavi fiscali è invece da ascrivere principalmente alle sopravvenienze dei gettiti delle persone fisiche (+32.8 milioni), alle imposte delle persone giuridiche (+30.5 milioni nel loro </w:t>
      </w:r>
      <w:r w:rsidRPr="00FC53AE">
        <w:rPr>
          <w:rFonts w:asciiTheme="minorHAnsi" w:hAnsiTheme="minorHAnsi" w:cstheme="minorHAnsi"/>
          <w:color w:val="000000" w:themeColor="text1"/>
          <w:sz w:val="24"/>
          <w:szCs w:val="24"/>
        </w:rPr>
        <w:t>complesso), all’imposta alla fonte (+11.8 milioni), alle imposte delle persone fisiche (+5.2 milioni) e alle imposte di circolazione e navigazione (+4.2 milioni).</w:t>
      </w:r>
    </w:p>
    <w:p w14:paraId="5D6E4670" w14:textId="7BA7A42A" w:rsidR="00F8712E" w:rsidRPr="00FC53AE" w:rsidRDefault="00F8712E" w:rsidP="006F47D4">
      <w:pPr>
        <w:rPr>
          <w:rFonts w:asciiTheme="minorHAnsi" w:hAnsiTheme="minorHAnsi" w:cstheme="minorHAnsi"/>
          <w:color w:val="000000" w:themeColor="text1"/>
          <w:sz w:val="24"/>
          <w:szCs w:val="24"/>
        </w:rPr>
      </w:pPr>
    </w:p>
    <w:p w14:paraId="0ABDDB10" w14:textId="77777777" w:rsidR="00F8712E" w:rsidRPr="00FC53AE" w:rsidRDefault="00F8712E" w:rsidP="00F8712E">
      <w:pPr>
        <w:pStyle w:val="4-Testo"/>
        <w:rPr>
          <w:rFonts w:asciiTheme="minorHAnsi" w:hAnsiTheme="minorHAnsi" w:cstheme="minorHAnsi"/>
          <w:color w:val="000000" w:themeColor="text1"/>
          <w:sz w:val="24"/>
          <w:szCs w:val="24"/>
          <w:lang w:val="it-CH"/>
        </w:rPr>
      </w:pPr>
      <w:r w:rsidRPr="00FC53AE">
        <w:rPr>
          <w:rFonts w:asciiTheme="minorHAnsi" w:hAnsiTheme="minorHAnsi" w:cstheme="minorHAnsi"/>
          <w:color w:val="000000" w:themeColor="text1"/>
          <w:sz w:val="24"/>
          <w:szCs w:val="24"/>
          <w:lang w:val="it-CH"/>
        </w:rPr>
        <w:t>Lo scostamento positivo di 59 milioni tra preventivo e consuntivo 2024 è attribuibile, in larga parte, a un incremento inatteso dei ricavi correnti, in particolare dei trasferimenti legati alla gestione dei profughi ucraini e a un aumento delle entrate fiscali. Tuttavia, nel dettaglio, emergono elementi che meritano una lettura più prudente, in particolare per quanto riguarda i ricavi derivanti dalle persone giuridiche.</w:t>
      </w:r>
    </w:p>
    <w:p w14:paraId="3089AB36" w14:textId="77777777" w:rsidR="00F8712E" w:rsidRPr="00FC53AE" w:rsidRDefault="00F8712E" w:rsidP="00F8712E">
      <w:pPr>
        <w:pStyle w:val="4-Testo"/>
        <w:rPr>
          <w:rFonts w:asciiTheme="minorHAnsi" w:hAnsiTheme="minorHAnsi" w:cstheme="minorHAnsi"/>
          <w:color w:val="000000" w:themeColor="text1"/>
          <w:sz w:val="24"/>
          <w:szCs w:val="24"/>
          <w:lang w:val="it-CH"/>
        </w:rPr>
      </w:pPr>
    </w:p>
    <w:p w14:paraId="2C7A0B83" w14:textId="77777777" w:rsidR="00F8712E" w:rsidRPr="00FC53AE" w:rsidRDefault="00F8712E" w:rsidP="00F8712E">
      <w:pPr>
        <w:pStyle w:val="4-Testo"/>
        <w:rPr>
          <w:rFonts w:asciiTheme="minorHAnsi" w:hAnsiTheme="minorHAnsi" w:cstheme="minorHAnsi"/>
          <w:color w:val="000000" w:themeColor="text1"/>
          <w:sz w:val="24"/>
          <w:szCs w:val="24"/>
          <w:lang w:val="it-CH"/>
        </w:rPr>
      </w:pPr>
      <w:r w:rsidRPr="00FC53AE">
        <w:rPr>
          <w:rFonts w:asciiTheme="minorHAnsi" w:hAnsiTheme="minorHAnsi" w:cstheme="minorHAnsi"/>
          <w:color w:val="000000" w:themeColor="text1"/>
          <w:sz w:val="24"/>
          <w:szCs w:val="24"/>
          <w:lang w:val="it-CH"/>
        </w:rPr>
        <w:t>L’incremento di 30.5 milioni di franchi provenienti dalle imposte sulle persone giuridiche sembra avere un carattere puntuale e non strutturale. È verosimile che questo dato rifletta utili straordinari, in particolare nel settore del trading di materie prime, che ha beneficiato nel 2023 e 2024 di condizioni internazionali eccezionalmente favorevoli. Tali entrate non rappresentano un trend stabile, ma piuttosto un picco congiunturale legato a dinamiche esterne e volatili.</w:t>
      </w:r>
    </w:p>
    <w:p w14:paraId="611872B6" w14:textId="77777777" w:rsidR="00F8712E" w:rsidRPr="00FC53AE" w:rsidRDefault="00F8712E" w:rsidP="00F8712E">
      <w:pPr>
        <w:pStyle w:val="4-Testo"/>
        <w:rPr>
          <w:rFonts w:asciiTheme="minorHAnsi" w:hAnsiTheme="minorHAnsi" w:cstheme="minorHAnsi"/>
          <w:color w:val="000000" w:themeColor="text1"/>
          <w:sz w:val="24"/>
          <w:szCs w:val="24"/>
          <w:lang w:val="it-CH"/>
        </w:rPr>
      </w:pPr>
    </w:p>
    <w:p w14:paraId="2B15343D" w14:textId="01F58CF5" w:rsidR="006F47D4" w:rsidRPr="00FC53AE" w:rsidRDefault="00F8712E" w:rsidP="00F8712E">
      <w:pPr>
        <w:pStyle w:val="4-Testo"/>
        <w:spacing w:after="0"/>
        <w:rPr>
          <w:rFonts w:asciiTheme="minorHAnsi" w:hAnsiTheme="minorHAnsi" w:cstheme="minorHAnsi"/>
          <w:color w:val="000000" w:themeColor="text1"/>
          <w:sz w:val="24"/>
          <w:szCs w:val="24"/>
          <w:lang w:val="it-CH"/>
        </w:rPr>
      </w:pPr>
      <w:r w:rsidRPr="00FC53AE">
        <w:rPr>
          <w:rFonts w:asciiTheme="minorHAnsi" w:hAnsiTheme="minorHAnsi" w:cstheme="minorHAnsi"/>
          <w:color w:val="000000" w:themeColor="text1"/>
          <w:sz w:val="24"/>
          <w:szCs w:val="24"/>
          <w:lang w:val="it-CH"/>
        </w:rPr>
        <w:t>Inoltre, va sottolineato che a partire dal 2025 entrerà in vigore una drastica riduzione dell’aliquota cantonale sull’utile delle imprese, che passerà dall’8% al 5.5%.</w:t>
      </w:r>
    </w:p>
    <w:p w14:paraId="18434ADE" w14:textId="77777777" w:rsidR="00F8712E" w:rsidRPr="00FC53AE" w:rsidRDefault="00F8712E" w:rsidP="00F8712E">
      <w:pPr>
        <w:pStyle w:val="4-Testo"/>
        <w:spacing w:after="0"/>
        <w:rPr>
          <w:rFonts w:asciiTheme="minorHAnsi" w:hAnsiTheme="minorHAnsi" w:cstheme="minorHAnsi"/>
          <w:color w:val="000000" w:themeColor="text1"/>
          <w:sz w:val="24"/>
          <w:szCs w:val="24"/>
          <w:lang w:val="it-CH"/>
        </w:rPr>
      </w:pPr>
    </w:p>
    <w:p w14:paraId="41FFA1C6" w14:textId="2616F04A" w:rsidR="00F8712E" w:rsidRPr="00FC53AE" w:rsidRDefault="00F8712E" w:rsidP="00F8712E">
      <w:pPr>
        <w:pStyle w:val="4-Testo"/>
        <w:spacing w:after="0"/>
        <w:rPr>
          <w:rFonts w:asciiTheme="minorHAnsi" w:hAnsiTheme="minorHAnsi" w:cstheme="minorHAnsi"/>
          <w:color w:val="000000" w:themeColor="text1"/>
          <w:sz w:val="24"/>
          <w:szCs w:val="24"/>
          <w:lang w:val="it-CH"/>
        </w:rPr>
      </w:pPr>
      <w:r w:rsidRPr="00FC53AE">
        <w:rPr>
          <w:rFonts w:asciiTheme="minorHAnsi" w:hAnsiTheme="minorHAnsi" w:cstheme="minorHAnsi"/>
          <w:color w:val="000000" w:themeColor="text1"/>
          <w:sz w:val="24"/>
          <w:szCs w:val="24"/>
          <w:lang w:val="it-CH"/>
        </w:rPr>
        <w:lastRenderedPageBreak/>
        <w:t>Svuotare progressivamente l’imposizione sugli utili aziendali significa trasferire il peso fiscale sui cittadini, in un contesto in cui già oggi il carico sulle persone fisiche è largamente prevalente.</w:t>
      </w:r>
    </w:p>
    <w:p w14:paraId="632C7EBD" w14:textId="77777777" w:rsidR="00F8712E" w:rsidRPr="00FC53AE" w:rsidRDefault="00F8712E" w:rsidP="00F8712E">
      <w:pPr>
        <w:pStyle w:val="4-Testo"/>
        <w:spacing w:after="0"/>
        <w:rPr>
          <w:rFonts w:asciiTheme="minorHAnsi" w:hAnsiTheme="minorHAnsi" w:cstheme="minorHAnsi"/>
          <w:color w:val="000000" w:themeColor="text1"/>
          <w:sz w:val="24"/>
          <w:szCs w:val="24"/>
          <w:lang w:val="it-CH"/>
        </w:rPr>
      </w:pPr>
    </w:p>
    <w:p w14:paraId="6781DFE6" w14:textId="77777777" w:rsidR="006F47D4" w:rsidRPr="00FC53AE" w:rsidRDefault="006F47D4" w:rsidP="000D0508">
      <w:pPr>
        <w:rPr>
          <w:rFonts w:asciiTheme="minorHAnsi" w:hAnsiTheme="minorHAnsi" w:cstheme="minorHAnsi"/>
          <w:color w:val="000000" w:themeColor="text1"/>
          <w:sz w:val="24"/>
          <w:szCs w:val="24"/>
        </w:rPr>
      </w:pPr>
      <w:r w:rsidRPr="00FC53AE">
        <w:rPr>
          <w:rFonts w:asciiTheme="minorHAnsi" w:hAnsiTheme="minorHAnsi" w:cstheme="minorHAnsi"/>
          <w:color w:val="000000" w:themeColor="text1"/>
          <w:sz w:val="24"/>
          <w:szCs w:val="24"/>
        </w:rPr>
        <w:t xml:space="preserve">Le spese correnti (senza i contributi da riversare e gli addebiti interni), registrano un aumento complessivo di 69.3 milioni di franchi a seguito principalmente dell’incremento delle spese di trasferimento (+46.2 milioni) e della spesa del personale (+14 milioni). </w:t>
      </w:r>
    </w:p>
    <w:p w14:paraId="7C776F4A" w14:textId="77777777" w:rsidR="006F47D4" w:rsidRPr="00FC53AE" w:rsidRDefault="006F47D4" w:rsidP="006F47D4">
      <w:pPr>
        <w:rPr>
          <w:rFonts w:asciiTheme="minorHAnsi" w:hAnsiTheme="minorHAnsi" w:cstheme="minorHAnsi"/>
          <w:color w:val="000000" w:themeColor="text1"/>
          <w:sz w:val="24"/>
          <w:szCs w:val="24"/>
        </w:rPr>
      </w:pPr>
    </w:p>
    <w:p w14:paraId="0CF569F0" w14:textId="77777777" w:rsidR="006F47D4" w:rsidRPr="00FC53AE" w:rsidRDefault="006F47D4" w:rsidP="006F47D4">
      <w:pPr>
        <w:rPr>
          <w:rFonts w:asciiTheme="minorHAnsi" w:hAnsiTheme="minorHAnsi" w:cstheme="minorHAnsi"/>
          <w:color w:val="000000" w:themeColor="text1"/>
          <w:sz w:val="24"/>
          <w:szCs w:val="24"/>
        </w:rPr>
      </w:pPr>
      <w:r w:rsidRPr="00FC53AE">
        <w:rPr>
          <w:rFonts w:asciiTheme="minorHAnsi" w:hAnsiTheme="minorHAnsi" w:cstheme="minorHAnsi"/>
          <w:color w:val="000000" w:themeColor="text1"/>
          <w:sz w:val="24"/>
          <w:szCs w:val="24"/>
        </w:rPr>
        <w:t xml:space="preserve">L’incremento della spesa del personale concerne principalmente il personale docente (+13.6 milioni). L’aumento </w:t>
      </w:r>
      <w:r w:rsidR="00AC1D16" w:rsidRPr="00FC53AE">
        <w:rPr>
          <w:rFonts w:asciiTheme="minorHAnsi" w:hAnsiTheme="minorHAnsi" w:cstheme="minorHAnsi"/>
          <w:color w:val="000000" w:themeColor="text1"/>
          <w:sz w:val="24"/>
          <w:szCs w:val="24"/>
        </w:rPr>
        <w:t>riguarda</w:t>
      </w:r>
      <w:r w:rsidRPr="00FC53AE">
        <w:rPr>
          <w:rFonts w:asciiTheme="minorHAnsi" w:hAnsiTheme="minorHAnsi" w:cstheme="minorHAnsi"/>
          <w:color w:val="000000" w:themeColor="text1"/>
          <w:sz w:val="24"/>
          <w:szCs w:val="24"/>
        </w:rPr>
        <w:t xml:space="preserve"> le scuole medie (+6.6 milioni) in ragione dell’aumento del numero di sezioni e delle allieve e degli allievi che necessitano </w:t>
      </w:r>
      <w:r w:rsidR="00AC1D16" w:rsidRPr="00FC53AE">
        <w:rPr>
          <w:rFonts w:asciiTheme="minorHAnsi" w:hAnsiTheme="minorHAnsi" w:cstheme="minorHAnsi"/>
          <w:color w:val="000000" w:themeColor="text1"/>
          <w:sz w:val="24"/>
          <w:szCs w:val="24"/>
        </w:rPr>
        <w:t xml:space="preserve">di </w:t>
      </w:r>
      <w:r w:rsidRPr="00FC53AE">
        <w:rPr>
          <w:rFonts w:asciiTheme="minorHAnsi" w:hAnsiTheme="minorHAnsi" w:cstheme="minorHAnsi"/>
          <w:color w:val="000000" w:themeColor="text1"/>
          <w:sz w:val="24"/>
          <w:szCs w:val="24"/>
        </w:rPr>
        <w:t>un accompagnamento individualizzato (casi difficili e sostegno pedagogico), il settore della pedagogia speciale (+4.7 milioni) e la formazione professionale (+3.5).</w:t>
      </w:r>
    </w:p>
    <w:p w14:paraId="3DEDE000" w14:textId="77777777" w:rsidR="00CB216A" w:rsidRPr="00FC53AE" w:rsidRDefault="00CB216A" w:rsidP="006F47D4">
      <w:pPr>
        <w:rPr>
          <w:rFonts w:asciiTheme="minorHAnsi" w:hAnsiTheme="minorHAnsi" w:cstheme="minorHAnsi"/>
          <w:color w:val="000000" w:themeColor="text1"/>
          <w:sz w:val="24"/>
          <w:szCs w:val="24"/>
        </w:rPr>
      </w:pPr>
    </w:p>
    <w:p w14:paraId="69B7223C" w14:textId="77777777" w:rsidR="006F47D4" w:rsidRPr="00FC53AE" w:rsidRDefault="006F47D4" w:rsidP="006F47D4">
      <w:pPr>
        <w:rPr>
          <w:rFonts w:asciiTheme="minorHAnsi" w:hAnsiTheme="minorHAnsi" w:cstheme="minorHAnsi"/>
          <w:color w:val="000000" w:themeColor="text1"/>
          <w:sz w:val="24"/>
          <w:szCs w:val="24"/>
        </w:rPr>
      </w:pPr>
      <w:r w:rsidRPr="00FC53AE">
        <w:rPr>
          <w:rFonts w:asciiTheme="minorHAnsi" w:hAnsiTheme="minorHAnsi" w:cstheme="minorHAnsi"/>
          <w:color w:val="000000" w:themeColor="text1"/>
          <w:sz w:val="24"/>
          <w:szCs w:val="24"/>
        </w:rPr>
        <w:t>Diminuisce invece di 2 milioni di franchi la spesa per le scuole medie superiori</w:t>
      </w:r>
      <w:r w:rsidR="00AC1D16" w:rsidRPr="00FC53AE">
        <w:rPr>
          <w:rFonts w:asciiTheme="minorHAnsi" w:hAnsiTheme="minorHAnsi" w:cstheme="minorHAnsi"/>
          <w:color w:val="000000" w:themeColor="text1"/>
          <w:sz w:val="24"/>
          <w:szCs w:val="24"/>
        </w:rPr>
        <w:t>,</w:t>
      </w:r>
      <w:r w:rsidRPr="00FC53AE">
        <w:rPr>
          <w:rFonts w:asciiTheme="minorHAnsi" w:hAnsiTheme="minorHAnsi" w:cstheme="minorHAnsi"/>
          <w:color w:val="000000" w:themeColor="text1"/>
          <w:sz w:val="24"/>
          <w:szCs w:val="24"/>
        </w:rPr>
        <w:t xml:space="preserve"> quale conseguenza di una diminuzione delle sezioni. </w:t>
      </w:r>
    </w:p>
    <w:p w14:paraId="31A94784" w14:textId="77777777" w:rsidR="006F47D4" w:rsidRPr="00FC53AE" w:rsidRDefault="006F47D4" w:rsidP="006F47D4">
      <w:pPr>
        <w:rPr>
          <w:rFonts w:asciiTheme="minorHAnsi" w:hAnsiTheme="minorHAnsi" w:cstheme="minorHAnsi"/>
          <w:color w:val="000000" w:themeColor="text1"/>
          <w:sz w:val="24"/>
          <w:szCs w:val="24"/>
        </w:rPr>
      </w:pPr>
    </w:p>
    <w:p w14:paraId="46296620" w14:textId="77777777" w:rsidR="006F47D4" w:rsidRPr="00FC53AE" w:rsidRDefault="006F47D4" w:rsidP="006F47D4">
      <w:pPr>
        <w:rPr>
          <w:color w:val="000000" w:themeColor="text1"/>
          <w:sz w:val="24"/>
          <w:szCs w:val="24"/>
        </w:rPr>
      </w:pPr>
      <w:r w:rsidRPr="00FC53AE">
        <w:rPr>
          <w:rFonts w:asciiTheme="minorHAnsi" w:hAnsiTheme="minorHAnsi" w:cstheme="minorHAnsi"/>
          <w:color w:val="000000" w:themeColor="text1"/>
          <w:sz w:val="24"/>
          <w:szCs w:val="24"/>
        </w:rPr>
        <w:t>La spesa del personale amministrativo registra invece una riduzione di 1.3 milioni di franchi rispetto al preventivo 2024</w:t>
      </w:r>
      <w:r w:rsidR="00AC1D16" w:rsidRPr="00FC53AE">
        <w:rPr>
          <w:rFonts w:asciiTheme="minorHAnsi" w:hAnsiTheme="minorHAnsi" w:cstheme="minorHAnsi"/>
          <w:color w:val="000000" w:themeColor="text1"/>
          <w:sz w:val="24"/>
          <w:szCs w:val="24"/>
        </w:rPr>
        <w:t>,</w:t>
      </w:r>
      <w:r w:rsidRPr="00FC53AE">
        <w:rPr>
          <w:rFonts w:asciiTheme="minorHAnsi" w:hAnsiTheme="minorHAnsi" w:cstheme="minorHAnsi"/>
          <w:color w:val="000000" w:themeColor="text1"/>
          <w:sz w:val="24"/>
          <w:szCs w:val="24"/>
        </w:rPr>
        <w:t xml:space="preserve"> anche grazie a un contenimento della crescita complessiva del personale in unità equivalenti a tempo pieno. Si ricorda che nel 2024 il Consiglio di Stato ha concesso un’indennità completiva di </w:t>
      </w:r>
      <w:proofErr w:type="spellStart"/>
      <w:r w:rsidRPr="00FC53AE">
        <w:rPr>
          <w:rFonts w:asciiTheme="minorHAnsi" w:hAnsiTheme="minorHAnsi" w:cstheme="minorHAnsi"/>
          <w:color w:val="000000" w:themeColor="text1"/>
          <w:sz w:val="24"/>
          <w:szCs w:val="24"/>
        </w:rPr>
        <w:t>fr</w:t>
      </w:r>
      <w:proofErr w:type="spellEnd"/>
      <w:r w:rsidRPr="00FC53AE">
        <w:rPr>
          <w:rFonts w:asciiTheme="minorHAnsi" w:hAnsiTheme="minorHAnsi" w:cstheme="minorHAnsi"/>
          <w:color w:val="000000" w:themeColor="text1"/>
          <w:sz w:val="24"/>
          <w:szCs w:val="24"/>
        </w:rPr>
        <w:t xml:space="preserve">. 400 (in proporzione </w:t>
      </w:r>
      <w:r w:rsidR="00AC1D16" w:rsidRPr="00FC53AE">
        <w:rPr>
          <w:rFonts w:asciiTheme="minorHAnsi" w:hAnsiTheme="minorHAnsi" w:cstheme="minorHAnsi"/>
          <w:color w:val="000000" w:themeColor="text1"/>
          <w:sz w:val="24"/>
          <w:szCs w:val="24"/>
        </w:rPr>
        <w:t>a</w:t>
      </w:r>
      <w:r w:rsidRPr="00FC53AE">
        <w:rPr>
          <w:rFonts w:asciiTheme="minorHAnsi" w:hAnsiTheme="minorHAnsi" w:cstheme="minorHAnsi"/>
          <w:color w:val="000000" w:themeColor="text1"/>
          <w:sz w:val="24"/>
          <w:szCs w:val="24"/>
        </w:rPr>
        <w:t xml:space="preserve">l grado di attività fino a un minimo di </w:t>
      </w:r>
      <w:proofErr w:type="spellStart"/>
      <w:r w:rsidRPr="00FC53AE">
        <w:rPr>
          <w:rFonts w:asciiTheme="minorHAnsi" w:hAnsiTheme="minorHAnsi" w:cstheme="minorHAnsi"/>
          <w:color w:val="000000" w:themeColor="text1"/>
          <w:sz w:val="24"/>
          <w:szCs w:val="24"/>
        </w:rPr>
        <w:t>fr</w:t>
      </w:r>
      <w:proofErr w:type="spellEnd"/>
      <w:r w:rsidRPr="00FC53AE">
        <w:rPr>
          <w:rFonts w:asciiTheme="minorHAnsi" w:hAnsiTheme="minorHAnsi" w:cstheme="minorHAnsi"/>
          <w:color w:val="000000" w:themeColor="text1"/>
          <w:sz w:val="24"/>
          <w:szCs w:val="24"/>
        </w:rPr>
        <w:t xml:space="preserve">. 200) in applicazione dell’art. 5 </w:t>
      </w:r>
      <w:proofErr w:type="spellStart"/>
      <w:r w:rsidRPr="00FC53AE">
        <w:rPr>
          <w:rFonts w:asciiTheme="minorHAnsi" w:hAnsiTheme="minorHAnsi" w:cstheme="minorHAnsi"/>
          <w:color w:val="000000" w:themeColor="text1"/>
          <w:sz w:val="24"/>
          <w:szCs w:val="24"/>
        </w:rPr>
        <w:t>L</w:t>
      </w:r>
      <w:r w:rsidR="00AC1D16" w:rsidRPr="00FC53AE">
        <w:rPr>
          <w:rFonts w:asciiTheme="minorHAnsi" w:hAnsiTheme="minorHAnsi" w:cstheme="minorHAnsi"/>
          <w:color w:val="000000" w:themeColor="text1"/>
          <w:sz w:val="24"/>
          <w:szCs w:val="24"/>
        </w:rPr>
        <w:t>S</w:t>
      </w:r>
      <w:r w:rsidRPr="00FC53AE">
        <w:rPr>
          <w:rFonts w:asciiTheme="minorHAnsi" w:hAnsiTheme="minorHAnsi" w:cstheme="minorHAnsi"/>
          <w:color w:val="000000" w:themeColor="text1"/>
          <w:sz w:val="24"/>
          <w:szCs w:val="24"/>
        </w:rPr>
        <w:t>tip</w:t>
      </w:r>
      <w:proofErr w:type="spellEnd"/>
      <w:r w:rsidRPr="00FC53AE">
        <w:rPr>
          <w:rFonts w:asciiTheme="minorHAnsi" w:hAnsiTheme="minorHAnsi" w:cstheme="minorHAnsi"/>
          <w:color w:val="000000" w:themeColor="text1"/>
          <w:sz w:val="24"/>
          <w:szCs w:val="24"/>
        </w:rPr>
        <w:t xml:space="preserve">, non prevista nel messaggio sul </w:t>
      </w:r>
      <w:r w:rsidR="00AC1D16" w:rsidRPr="00FC53AE">
        <w:rPr>
          <w:rFonts w:asciiTheme="minorHAnsi" w:hAnsiTheme="minorHAnsi" w:cstheme="minorHAnsi"/>
          <w:color w:val="000000" w:themeColor="text1"/>
          <w:sz w:val="24"/>
          <w:szCs w:val="24"/>
        </w:rPr>
        <w:t>p</w:t>
      </w:r>
      <w:r w:rsidRPr="00FC53AE">
        <w:rPr>
          <w:rFonts w:asciiTheme="minorHAnsi" w:hAnsiTheme="minorHAnsi" w:cstheme="minorHAnsi"/>
          <w:color w:val="000000" w:themeColor="text1"/>
          <w:sz w:val="24"/>
          <w:szCs w:val="24"/>
        </w:rPr>
        <w:t>reventivo 2024, che ha comportato</w:t>
      </w:r>
      <w:r w:rsidRPr="00FC53AE">
        <w:rPr>
          <w:color w:val="000000" w:themeColor="text1"/>
          <w:sz w:val="24"/>
          <w:szCs w:val="24"/>
        </w:rPr>
        <w:t xml:space="preserve"> un onere di 4.25 milioni di franchi, 1.65 milioni a carico delle spese per i docenti e 2.6 milioni a carico delle spese per il personale amministrativo. Si segnala inoltre un aumento dei contributi del datore di lavoro di 4 milioni di franchi.</w:t>
      </w:r>
    </w:p>
    <w:p w14:paraId="3D3FA4EE" w14:textId="77777777" w:rsidR="006F47D4" w:rsidRPr="00FC53AE" w:rsidRDefault="006F47D4" w:rsidP="006F47D4">
      <w:pPr>
        <w:ind w:left="2268" w:hanging="2268"/>
        <w:rPr>
          <w:color w:val="000000" w:themeColor="text1"/>
          <w:sz w:val="24"/>
          <w:szCs w:val="24"/>
        </w:rPr>
      </w:pPr>
    </w:p>
    <w:p w14:paraId="4DA706FE" w14:textId="77777777" w:rsidR="006F47D4" w:rsidRPr="00FC53AE" w:rsidRDefault="006F47D4" w:rsidP="006F47D4">
      <w:pPr>
        <w:rPr>
          <w:color w:val="000000" w:themeColor="text1"/>
          <w:sz w:val="24"/>
          <w:szCs w:val="24"/>
        </w:rPr>
      </w:pPr>
      <w:r w:rsidRPr="00FC53AE">
        <w:rPr>
          <w:color w:val="000000" w:themeColor="text1"/>
          <w:sz w:val="24"/>
          <w:szCs w:val="24"/>
        </w:rPr>
        <w:t>Le spese finanziarie sono cresciute di 11.2 milioni di franchi (in termini di spese per interess</w:t>
      </w:r>
      <w:r w:rsidR="00AC1D16" w:rsidRPr="00FC53AE">
        <w:rPr>
          <w:color w:val="000000" w:themeColor="text1"/>
          <w:sz w:val="24"/>
          <w:szCs w:val="24"/>
        </w:rPr>
        <w:t>i</w:t>
      </w:r>
      <w:r w:rsidRPr="00FC53AE">
        <w:rPr>
          <w:color w:val="000000" w:themeColor="text1"/>
          <w:sz w:val="24"/>
          <w:szCs w:val="24"/>
        </w:rPr>
        <w:t xml:space="preserve">), in ragione del ritmo sostenuto degli investimenti e dell’aumento dei tassi di interesse (ultimamente sono in calo, ma continuano a incidere molto). Si evidenza una diminuzione di 6.5 milioni di franchi delle spese per beni e servizi. </w:t>
      </w:r>
    </w:p>
    <w:p w14:paraId="1BC41185" w14:textId="77777777" w:rsidR="006F47D4" w:rsidRPr="00FC53AE" w:rsidRDefault="006F47D4" w:rsidP="006F47D4">
      <w:pPr>
        <w:ind w:left="2268" w:hanging="2268"/>
        <w:rPr>
          <w:color w:val="000000" w:themeColor="text1"/>
          <w:sz w:val="24"/>
          <w:szCs w:val="24"/>
        </w:rPr>
      </w:pPr>
    </w:p>
    <w:p w14:paraId="4BE0ED96" w14:textId="77777777" w:rsidR="006F47D4" w:rsidRPr="00FC53AE" w:rsidRDefault="006F47D4" w:rsidP="006F47D4">
      <w:pPr>
        <w:ind w:left="2268" w:hanging="2268"/>
        <w:rPr>
          <w:color w:val="000000" w:themeColor="text1"/>
          <w:sz w:val="24"/>
          <w:szCs w:val="24"/>
        </w:rPr>
      </w:pPr>
      <w:r w:rsidRPr="00FC53AE">
        <w:rPr>
          <w:color w:val="000000" w:themeColor="text1"/>
          <w:sz w:val="24"/>
          <w:szCs w:val="24"/>
        </w:rPr>
        <w:t xml:space="preserve">La prossima diapositiva indica gli scostamenti principali tra </w:t>
      </w:r>
      <w:r w:rsidR="00AC1D16" w:rsidRPr="00FC53AE">
        <w:rPr>
          <w:color w:val="000000" w:themeColor="text1"/>
          <w:sz w:val="24"/>
          <w:szCs w:val="24"/>
        </w:rPr>
        <w:t>p</w:t>
      </w:r>
      <w:r w:rsidRPr="00FC53AE">
        <w:rPr>
          <w:color w:val="000000" w:themeColor="text1"/>
          <w:sz w:val="24"/>
          <w:szCs w:val="24"/>
        </w:rPr>
        <w:t xml:space="preserve">reventivo e </w:t>
      </w:r>
      <w:r w:rsidR="00AC1D16" w:rsidRPr="00FC53AE">
        <w:rPr>
          <w:color w:val="000000" w:themeColor="text1"/>
          <w:sz w:val="24"/>
          <w:szCs w:val="24"/>
        </w:rPr>
        <w:t>c</w:t>
      </w:r>
      <w:r w:rsidRPr="00FC53AE">
        <w:rPr>
          <w:color w:val="000000" w:themeColor="text1"/>
          <w:sz w:val="24"/>
          <w:szCs w:val="24"/>
        </w:rPr>
        <w:t>onsuntivo 2024.</w:t>
      </w:r>
    </w:p>
    <w:p w14:paraId="0F077E45" w14:textId="77777777" w:rsidR="00793A77" w:rsidRPr="00FC53AE" w:rsidRDefault="00793A77" w:rsidP="006F47D4">
      <w:pPr>
        <w:ind w:left="2268" w:hanging="2268"/>
        <w:rPr>
          <w:color w:val="000000" w:themeColor="text1"/>
          <w:sz w:val="24"/>
          <w:szCs w:val="24"/>
        </w:rPr>
      </w:pPr>
    </w:p>
    <w:p w14:paraId="2D83CA53" w14:textId="77777777" w:rsidR="006F47D4" w:rsidRPr="00FC53AE" w:rsidRDefault="006F47D4" w:rsidP="006F47D4">
      <w:pPr>
        <w:rPr>
          <w:color w:val="000000" w:themeColor="text1"/>
        </w:rPr>
      </w:pPr>
      <w:r w:rsidRPr="00FC53AE">
        <w:rPr>
          <w:noProof/>
          <w:color w:val="000000" w:themeColor="text1"/>
          <w:lang w:eastAsia="it-CH"/>
        </w:rPr>
        <w:lastRenderedPageBreak/>
        <w:drawing>
          <wp:inline distT="0" distB="0" distL="0" distR="0" wp14:anchorId="44DA49EC" wp14:editId="7E8249B5">
            <wp:extent cx="6120130" cy="3442335"/>
            <wp:effectExtent l="19050" t="19050" r="13970" b="247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a4.JPG"/>
                    <pic:cNvPicPr/>
                  </pic:nvPicPr>
                  <pic:blipFill>
                    <a:blip r:embed="rId16">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14:paraId="33F5A0E7" w14:textId="77777777" w:rsidR="000B1ECA" w:rsidRPr="00FC53AE" w:rsidRDefault="000B1ECA"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Audizione del Consiglio di Sato</w:t>
      </w:r>
      <w:r w:rsidR="00AC1D16" w:rsidRPr="00FC53AE">
        <w:rPr>
          <w:rFonts w:eastAsia="Calibri" w:cs="Arial"/>
          <w:color w:val="000000" w:themeColor="text1"/>
        </w:rPr>
        <w:t>,</w:t>
      </w:r>
      <w:r w:rsidRPr="00FC53AE">
        <w:rPr>
          <w:rFonts w:eastAsia="Calibri" w:cs="Arial"/>
          <w:color w:val="000000" w:themeColor="text1"/>
        </w:rPr>
        <w:t xml:space="preserve"> 6 maggio 2025, slide 4</w:t>
      </w:r>
    </w:p>
    <w:p w14:paraId="712A9415" w14:textId="77777777" w:rsidR="000D0508" w:rsidRPr="00FC53AE" w:rsidRDefault="000D0508" w:rsidP="006F47D4">
      <w:pPr>
        <w:ind w:left="2268" w:hanging="2268"/>
        <w:rPr>
          <w:color w:val="000000" w:themeColor="text1"/>
          <w:sz w:val="24"/>
          <w:szCs w:val="24"/>
        </w:rPr>
      </w:pPr>
    </w:p>
    <w:p w14:paraId="097FE57D" w14:textId="77777777" w:rsidR="000D0508" w:rsidRPr="00FC53AE" w:rsidRDefault="000D0508" w:rsidP="006F47D4">
      <w:pPr>
        <w:ind w:left="2268" w:hanging="2268"/>
        <w:rPr>
          <w:color w:val="000000" w:themeColor="text1"/>
          <w:sz w:val="24"/>
          <w:szCs w:val="24"/>
        </w:rPr>
      </w:pPr>
    </w:p>
    <w:p w14:paraId="0A93A9A1" w14:textId="77777777" w:rsidR="003F0EF0" w:rsidRPr="00FC53AE" w:rsidRDefault="003F0EF0" w:rsidP="000D0508">
      <w:pPr>
        <w:pStyle w:val="Titolo1"/>
        <w:numPr>
          <w:ilvl w:val="0"/>
          <w:numId w:val="35"/>
        </w:numPr>
        <w:spacing w:before="0"/>
        <w:ind w:left="567" w:hanging="567"/>
        <w:rPr>
          <w:color w:val="000000" w:themeColor="text1"/>
        </w:rPr>
      </w:pPr>
      <w:bookmarkStart w:id="6" w:name="_Toc199249363"/>
      <w:r w:rsidRPr="00FC53AE">
        <w:rPr>
          <w:rFonts w:eastAsia="Calibri" w:cs="Times New Roman"/>
          <w:color w:val="000000" w:themeColor="text1"/>
          <w:lang w:val="it-IT" w:eastAsia="it-IT"/>
        </w:rPr>
        <w:t>F</w:t>
      </w:r>
      <w:r w:rsidRPr="00FC53AE">
        <w:rPr>
          <w:color w:val="000000" w:themeColor="text1"/>
        </w:rPr>
        <w:t xml:space="preserve">RENO </w:t>
      </w:r>
      <w:r w:rsidR="00AC1D16" w:rsidRPr="00FC53AE">
        <w:rPr>
          <w:color w:val="000000" w:themeColor="text1"/>
        </w:rPr>
        <w:t xml:space="preserve">AL </w:t>
      </w:r>
      <w:r w:rsidRPr="00FC53AE">
        <w:rPr>
          <w:color w:val="000000" w:themeColor="text1"/>
        </w:rPr>
        <w:t>DISAVANZ</w:t>
      </w:r>
      <w:r w:rsidR="00DF3A1A" w:rsidRPr="00FC53AE">
        <w:rPr>
          <w:color w:val="000000" w:themeColor="text1"/>
        </w:rPr>
        <w:t>O</w:t>
      </w:r>
      <w:bookmarkEnd w:id="6"/>
    </w:p>
    <w:p w14:paraId="5DDF4853" w14:textId="77777777" w:rsidR="003F0EF0" w:rsidRPr="00FC53AE" w:rsidRDefault="003F0EF0" w:rsidP="003F0EF0">
      <w:pPr>
        <w:rPr>
          <w:color w:val="000000" w:themeColor="text1"/>
        </w:rPr>
      </w:pPr>
      <w:r w:rsidRPr="00FC53AE">
        <w:rPr>
          <w:noProof/>
          <w:color w:val="000000" w:themeColor="text1"/>
          <w:lang w:eastAsia="it-CH"/>
        </w:rPr>
        <w:drawing>
          <wp:inline distT="0" distB="0" distL="0" distR="0" wp14:anchorId="187F734A" wp14:editId="6523A5B5">
            <wp:extent cx="6120130" cy="3442335"/>
            <wp:effectExtent l="19050" t="19050" r="13970" b="24765"/>
            <wp:docPr id="1768622687" name="Immagine 1768622687" descr="Immagine che contiene testo, schermata, softwa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22687" name="Immagine 1768622687" descr="Immagine che contiene testo, schermata, software, numero&#10;&#10;Il contenuto generato dall'IA potrebbe non essere corretto."/>
                    <pic:cNvPicPr/>
                  </pic:nvPicPr>
                  <pic:blipFill>
                    <a:blip r:embed="rId17">
                      <a:extLst>
                        <a:ext uri="{28A0092B-C50C-407E-A947-70E740481C1C}">
                          <a14:useLocalDpi xmlns:a14="http://schemas.microsoft.com/office/drawing/2010/main" val="0"/>
                        </a:ext>
                      </a:extLst>
                    </a:blip>
                    <a:stretch>
                      <a:fillRect/>
                    </a:stretch>
                  </pic:blipFill>
                  <pic:spPr>
                    <a:xfrm>
                      <a:off x="0" y="0"/>
                      <a:ext cx="6120130" cy="3442335"/>
                    </a:xfrm>
                    <a:prstGeom prst="rect">
                      <a:avLst/>
                    </a:prstGeom>
                    <a:ln w="3175">
                      <a:solidFill>
                        <a:schemeClr val="tx1"/>
                      </a:solidFill>
                    </a:ln>
                  </pic:spPr>
                </pic:pic>
              </a:graphicData>
            </a:graphic>
          </wp:inline>
        </w:drawing>
      </w:r>
    </w:p>
    <w:p w14:paraId="59E672E4" w14:textId="77777777" w:rsidR="002251EA" w:rsidRPr="00FC53AE" w:rsidRDefault="002251EA" w:rsidP="002251EA">
      <w:pPr>
        <w:ind w:left="2268" w:hanging="2268"/>
        <w:rPr>
          <w:color w:val="000000" w:themeColor="text1"/>
          <w:sz w:val="20"/>
          <w:szCs w:val="20"/>
        </w:rPr>
      </w:pPr>
      <w:r w:rsidRPr="00FC53AE">
        <w:rPr>
          <w:color w:val="000000" w:themeColor="text1"/>
          <w:sz w:val="20"/>
          <w:szCs w:val="20"/>
        </w:rPr>
        <w:t>Fonte: Audizione del Consiglio di Sato</w:t>
      </w:r>
      <w:r w:rsidR="00AC1D16" w:rsidRPr="00FC53AE">
        <w:rPr>
          <w:color w:val="000000" w:themeColor="text1"/>
          <w:sz w:val="20"/>
          <w:szCs w:val="20"/>
        </w:rPr>
        <w:t>,</w:t>
      </w:r>
      <w:r w:rsidRPr="00FC53AE">
        <w:rPr>
          <w:color w:val="000000" w:themeColor="text1"/>
          <w:sz w:val="20"/>
          <w:szCs w:val="20"/>
        </w:rPr>
        <w:t xml:space="preserve"> 6 maggio 2025, slide 10</w:t>
      </w:r>
    </w:p>
    <w:p w14:paraId="78D26D64" w14:textId="77777777" w:rsidR="003F0EF0" w:rsidRPr="00FC53AE" w:rsidRDefault="003F0EF0" w:rsidP="002251EA">
      <w:pPr>
        <w:rPr>
          <w:color w:val="000000" w:themeColor="text1"/>
          <w:sz w:val="24"/>
          <w:szCs w:val="24"/>
        </w:rPr>
      </w:pPr>
    </w:p>
    <w:p w14:paraId="3BBB89FE" w14:textId="77777777" w:rsidR="002251EA" w:rsidRPr="00FC53AE" w:rsidRDefault="002251EA" w:rsidP="002251EA">
      <w:pPr>
        <w:rPr>
          <w:color w:val="000000" w:themeColor="text1"/>
          <w:sz w:val="24"/>
          <w:szCs w:val="24"/>
        </w:rPr>
      </w:pPr>
      <w:r w:rsidRPr="00FC53AE">
        <w:rPr>
          <w:color w:val="000000" w:themeColor="text1"/>
          <w:sz w:val="24"/>
          <w:szCs w:val="24"/>
        </w:rPr>
        <w:t xml:space="preserve">Con il consuntivo 2023 il saldo del conto di compensazione e il valore del capitale proprio sono stati definitivamente allineati. Nel 2024 è stata eseguita un’analisi approfondita sui fondi legati ai finanziamenti speciali presenti a bilancio. I finanziamenti speciali ripongono </w:t>
      </w:r>
      <w:r w:rsidRPr="00FC53AE">
        <w:rPr>
          <w:color w:val="000000" w:themeColor="text1"/>
          <w:sz w:val="24"/>
          <w:szCs w:val="24"/>
        </w:rPr>
        <w:lastRenderedPageBreak/>
        <w:t xml:space="preserve">su una base legale che prevede una destinazione precisa di talune entrate per scopi definiti nella legge. Gli stessi vengono definiti capitale proprio nei casi in cui l'Amministrazione pubblica ha la competenza di modificarne la base legale o qualora una base legale di rango superiore concede margini di discrezionalità in termini di modalità di impiego e determinazione. Questa analisi ha portato, in conformità al Modello Contabile Armonizzato (MCA2), a una riclassificazione di 28.4 milioni di franchi di finanziamenti speciali a capitale proprio. Al fine di mantenere allineati il valore del capitale proprio e quello del saldo di compensazione, si procede quindi a un aggiustamento dello stesso valore del saldo di compensazione. </w:t>
      </w:r>
    </w:p>
    <w:p w14:paraId="24A9A812" w14:textId="77777777" w:rsidR="002251EA" w:rsidRPr="00FC53AE" w:rsidRDefault="002251EA" w:rsidP="002251EA">
      <w:pPr>
        <w:rPr>
          <w:color w:val="000000" w:themeColor="text1"/>
          <w:sz w:val="24"/>
          <w:szCs w:val="24"/>
        </w:rPr>
      </w:pPr>
    </w:p>
    <w:p w14:paraId="1BA1895E" w14:textId="77777777" w:rsidR="002251EA" w:rsidRPr="00FC53AE" w:rsidRDefault="002251EA" w:rsidP="002251EA">
      <w:pPr>
        <w:rPr>
          <w:color w:val="000000" w:themeColor="text1"/>
          <w:sz w:val="24"/>
          <w:szCs w:val="24"/>
        </w:rPr>
      </w:pPr>
      <w:r w:rsidRPr="00FC53AE">
        <w:rPr>
          <w:color w:val="000000" w:themeColor="text1"/>
          <w:sz w:val="24"/>
          <w:szCs w:val="24"/>
        </w:rPr>
        <w:t>La tabella n. 10 verifica il rispetto del vincolo di bilancio ponendo a confronto il saldo del conto di compensazione finale (che fa da riferimento per la valutazione) con la soglia massima di disavanzo ammissibile.</w:t>
      </w:r>
    </w:p>
    <w:p w14:paraId="1F1F91EC" w14:textId="77777777" w:rsidR="002251EA" w:rsidRPr="00FC53AE" w:rsidRDefault="002251EA" w:rsidP="00BF379C">
      <w:pPr>
        <w:rPr>
          <w:color w:val="000000" w:themeColor="text1"/>
          <w:sz w:val="24"/>
          <w:szCs w:val="24"/>
        </w:rPr>
      </w:pPr>
    </w:p>
    <w:p w14:paraId="192DDC1C" w14:textId="77777777" w:rsidR="002251EA" w:rsidRPr="00FC53AE" w:rsidRDefault="00BF379C" w:rsidP="002251EA">
      <w:pPr>
        <w:rPr>
          <w:color w:val="000000" w:themeColor="text1"/>
          <w:sz w:val="24"/>
          <w:szCs w:val="24"/>
        </w:rPr>
      </w:pPr>
      <w:r w:rsidRPr="00FC53AE">
        <w:rPr>
          <w:color w:val="000000" w:themeColor="text1"/>
          <w:sz w:val="24"/>
          <w:szCs w:val="24"/>
        </w:rPr>
        <w:t>Ne</w:t>
      </w:r>
      <w:r w:rsidR="003F0EF0" w:rsidRPr="00FC53AE">
        <w:rPr>
          <w:color w:val="000000" w:themeColor="text1"/>
          <w:sz w:val="24"/>
          <w:szCs w:val="24"/>
        </w:rPr>
        <w:t xml:space="preserve">l 2024 il vincolo del freno al disavanzo è rispettato. </w:t>
      </w:r>
      <w:r w:rsidR="002251EA" w:rsidRPr="00FC53AE">
        <w:rPr>
          <w:color w:val="000000" w:themeColor="text1"/>
          <w:sz w:val="24"/>
          <w:szCs w:val="24"/>
        </w:rPr>
        <w:t>L</w:t>
      </w:r>
      <w:r w:rsidR="003F0EF0" w:rsidRPr="00FC53AE">
        <w:rPr>
          <w:color w:val="000000" w:themeColor="text1"/>
          <w:sz w:val="24"/>
          <w:szCs w:val="24"/>
        </w:rPr>
        <w:t>a soglia del capitale proprio negativo riportato (quindi massimo cumulato) è di -355.2 milioni, mentre il conto di compensazione attuale di riferimento si attesta a -220.9. La differenza tra il tetto massimo e la cifra reale comincia ad assottigliarsi</w:t>
      </w:r>
      <w:r w:rsidR="00AC1D16" w:rsidRPr="00FC53AE">
        <w:rPr>
          <w:color w:val="000000" w:themeColor="text1"/>
          <w:sz w:val="24"/>
          <w:szCs w:val="24"/>
        </w:rPr>
        <w:t>:</w:t>
      </w:r>
      <w:r w:rsidR="002251EA" w:rsidRPr="00FC53AE">
        <w:rPr>
          <w:color w:val="000000" w:themeColor="text1"/>
          <w:sz w:val="24"/>
          <w:szCs w:val="24"/>
        </w:rPr>
        <w:t xml:space="preserve"> </w:t>
      </w:r>
      <w:r w:rsidR="00AC1D16" w:rsidRPr="00FC53AE">
        <w:rPr>
          <w:color w:val="000000" w:themeColor="text1"/>
          <w:sz w:val="24"/>
          <w:szCs w:val="24"/>
        </w:rPr>
        <w:t xml:space="preserve">a </w:t>
      </w:r>
      <w:r w:rsidR="002251EA" w:rsidRPr="00FC53AE">
        <w:rPr>
          <w:color w:val="000000" w:themeColor="text1"/>
          <w:sz w:val="24"/>
          <w:szCs w:val="24"/>
        </w:rPr>
        <w:t>ogni anno che pass</w:t>
      </w:r>
      <w:r w:rsidR="00AC1D16" w:rsidRPr="00FC53AE">
        <w:rPr>
          <w:color w:val="000000" w:themeColor="text1"/>
          <w:sz w:val="24"/>
          <w:szCs w:val="24"/>
        </w:rPr>
        <w:t>erà,</w:t>
      </w:r>
      <w:r w:rsidR="002251EA" w:rsidRPr="00FC53AE">
        <w:rPr>
          <w:color w:val="000000" w:themeColor="text1"/>
          <w:sz w:val="24"/>
          <w:szCs w:val="24"/>
        </w:rPr>
        <w:t xml:space="preserve"> il margine diventerà sempre più </w:t>
      </w:r>
      <w:r w:rsidR="00AC1D16" w:rsidRPr="00FC53AE">
        <w:rPr>
          <w:color w:val="000000" w:themeColor="text1"/>
          <w:sz w:val="24"/>
          <w:szCs w:val="24"/>
        </w:rPr>
        <w:t>ristretto</w:t>
      </w:r>
      <w:r w:rsidR="002251EA" w:rsidRPr="00FC53AE">
        <w:rPr>
          <w:color w:val="000000" w:themeColor="text1"/>
          <w:sz w:val="24"/>
          <w:szCs w:val="24"/>
        </w:rPr>
        <w:t xml:space="preserve"> a seguito delle perdite riportate e renderà molto più impegnativi gli sforzi per rispettare questi vincoli.</w:t>
      </w:r>
    </w:p>
    <w:p w14:paraId="0F61DBB1" w14:textId="77777777" w:rsidR="003F0EF0" w:rsidRPr="00FC53AE" w:rsidRDefault="003F0EF0" w:rsidP="003F0EF0">
      <w:pPr>
        <w:ind w:left="2268" w:hanging="2268"/>
        <w:rPr>
          <w:color w:val="000000" w:themeColor="text1"/>
          <w:sz w:val="24"/>
          <w:szCs w:val="24"/>
        </w:rPr>
      </w:pPr>
    </w:p>
    <w:p w14:paraId="5F8D913C" w14:textId="77777777" w:rsidR="00F8712E" w:rsidRPr="00FC53AE" w:rsidRDefault="00F8712E" w:rsidP="00F8712E">
      <w:pPr>
        <w:rPr>
          <w:color w:val="000000" w:themeColor="text1"/>
          <w:sz w:val="24"/>
          <w:szCs w:val="24"/>
        </w:rPr>
      </w:pPr>
      <w:r w:rsidRPr="00FC53AE">
        <w:rPr>
          <w:color w:val="000000" w:themeColor="text1"/>
          <w:sz w:val="24"/>
          <w:szCs w:val="24"/>
        </w:rPr>
        <w:t>Il freno al disavanzo rappresenta, di fatto, un termometro della salute delle finanze pubbliche. Sebbene nel 2024 il vincolo formale risulti ancora rispettato, la distanza tra il tetto massimo di disavanzo cumulabile (–355.2 milioni) e il valore attuale del conto di compensazione (–220.9 milioni) si sta pericolosamente assottigliando. Questo restringimento del margine operativo rende evidente che la situazione finanziaria del Cantone è fragile, come confermato anche dal Piano finanziario aggiornato.</w:t>
      </w:r>
    </w:p>
    <w:p w14:paraId="55099891" w14:textId="77777777" w:rsidR="00F8712E" w:rsidRPr="00FC53AE" w:rsidRDefault="00F8712E" w:rsidP="00F8712E">
      <w:pPr>
        <w:rPr>
          <w:color w:val="000000" w:themeColor="text1"/>
          <w:sz w:val="24"/>
          <w:szCs w:val="24"/>
        </w:rPr>
      </w:pPr>
    </w:p>
    <w:p w14:paraId="6C2ED07C" w14:textId="77777777" w:rsidR="00F8712E" w:rsidRPr="00FC53AE" w:rsidRDefault="00F8712E" w:rsidP="00F8712E">
      <w:pPr>
        <w:rPr>
          <w:color w:val="000000" w:themeColor="text1"/>
          <w:sz w:val="24"/>
          <w:szCs w:val="24"/>
        </w:rPr>
      </w:pPr>
      <w:r w:rsidRPr="00FC53AE">
        <w:rPr>
          <w:color w:val="000000" w:themeColor="text1"/>
          <w:sz w:val="24"/>
          <w:szCs w:val="24"/>
        </w:rPr>
        <w:t>In sostanza, si è ancora formalmente all'interno dei limiti, ma si naviga sempre più vicino alla linea rossa. Ogni perdita futura ridurrà ulteriormente la capacità del Cantone di rispettare i vincoli imposti, e costringerà ad azioni correttive sempre più drastiche e complesse.</w:t>
      </w:r>
    </w:p>
    <w:p w14:paraId="5B010EC5" w14:textId="77777777" w:rsidR="00F8712E" w:rsidRPr="00FC53AE" w:rsidRDefault="00F8712E" w:rsidP="00F8712E">
      <w:pPr>
        <w:rPr>
          <w:color w:val="000000" w:themeColor="text1"/>
          <w:sz w:val="24"/>
          <w:szCs w:val="24"/>
        </w:rPr>
      </w:pPr>
    </w:p>
    <w:p w14:paraId="52A080CB" w14:textId="77777777" w:rsidR="00F8712E" w:rsidRPr="00FC53AE" w:rsidRDefault="00F8712E" w:rsidP="00F8712E">
      <w:pPr>
        <w:rPr>
          <w:color w:val="000000" w:themeColor="text1"/>
          <w:sz w:val="24"/>
          <w:szCs w:val="24"/>
        </w:rPr>
      </w:pPr>
      <w:r w:rsidRPr="00FC53AE">
        <w:rPr>
          <w:color w:val="000000" w:themeColor="text1"/>
          <w:sz w:val="24"/>
          <w:szCs w:val="24"/>
        </w:rPr>
        <w:t>Questa tendenza non è il frutto del caso, ma l’effetto diretto di scelte fiscali che hanno indebolito le entrate pubbliche, soprattutto in ambito di imposizione sulle imprese e di contenimento sistematico del gettito. A fronte di bisogni crescenti in settori come la sanità, l’istruzione, l’edilizia scolastica o l’assistenza sociale, si è proceduto con politiche di alleggerimento fiscale che, pur giustificate in nome della competitività, hanno avuto l’effetto collaterale di erodere la base imponibile stabile e strutturale.</w:t>
      </w:r>
    </w:p>
    <w:p w14:paraId="7279D4CB" w14:textId="77777777" w:rsidR="00F8712E" w:rsidRPr="00FC53AE" w:rsidRDefault="00F8712E" w:rsidP="00F8712E">
      <w:pPr>
        <w:rPr>
          <w:color w:val="000000" w:themeColor="text1"/>
          <w:sz w:val="24"/>
          <w:szCs w:val="24"/>
        </w:rPr>
      </w:pPr>
    </w:p>
    <w:p w14:paraId="46E562E9" w14:textId="77777777" w:rsidR="00F8712E" w:rsidRPr="00FC53AE" w:rsidRDefault="00F8712E" w:rsidP="00F8712E">
      <w:pPr>
        <w:rPr>
          <w:color w:val="000000" w:themeColor="text1"/>
          <w:sz w:val="24"/>
          <w:szCs w:val="24"/>
        </w:rPr>
      </w:pPr>
      <w:r w:rsidRPr="00FC53AE">
        <w:rPr>
          <w:color w:val="000000" w:themeColor="text1"/>
          <w:sz w:val="24"/>
          <w:szCs w:val="24"/>
        </w:rPr>
        <w:t>Oggi, il freno al disavanzo non solo misura il rispetto di un parametro contabile, ma segnala il punto critico in cui si trovano le finanze cantonali: una soglia di sostenibilità sempre più sottile, figlia di un modello fiscale che ha privilegiato la pressione sulle persone fisiche e il taglio delle risorse, rinunciando a rafforzare l’autonomia finanziaria dello Stato.</w:t>
      </w:r>
    </w:p>
    <w:p w14:paraId="69106586" w14:textId="77777777" w:rsidR="00F8712E" w:rsidRPr="00FC53AE" w:rsidRDefault="00F8712E" w:rsidP="00F8712E">
      <w:pPr>
        <w:rPr>
          <w:color w:val="000000" w:themeColor="text1"/>
          <w:sz w:val="24"/>
          <w:szCs w:val="24"/>
        </w:rPr>
      </w:pPr>
    </w:p>
    <w:p w14:paraId="7BE31B51" w14:textId="3513C090" w:rsidR="00F8712E" w:rsidRPr="00FC53AE" w:rsidRDefault="00F8712E" w:rsidP="00F8712E">
      <w:pPr>
        <w:rPr>
          <w:color w:val="000000" w:themeColor="text1"/>
          <w:sz w:val="24"/>
          <w:szCs w:val="24"/>
        </w:rPr>
      </w:pPr>
      <w:r w:rsidRPr="00FC53AE">
        <w:rPr>
          <w:color w:val="000000" w:themeColor="text1"/>
          <w:sz w:val="24"/>
          <w:szCs w:val="24"/>
        </w:rPr>
        <w:t>Serve un cambio di rotta che riporti equilibrio tra gettito, bisogni collettivi e sostenibilità, evitando che la rigidità dei vincoli contabili si traduca in rigore sociale a scapito dei più vulnerabili.</w:t>
      </w:r>
    </w:p>
    <w:p w14:paraId="3835CDA6" w14:textId="77777777" w:rsidR="006776DE" w:rsidRPr="00FC53AE" w:rsidRDefault="006776DE" w:rsidP="003F0EF0">
      <w:pPr>
        <w:ind w:left="2268" w:hanging="2268"/>
        <w:rPr>
          <w:color w:val="000000" w:themeColor="text1"/>
          <w:sz w:val="24"/>
          <w:szCs w:val="24"/>
        </w:rPr>
      </w:pPr>
    </w:p>
    <w:p w14:paraId="031F2390" w14:textId="77777777" w:rsidR="003F0EF0" w:rsidRPr="00FC53AE" w:rsidRDefault="003F0EF0" w:rsidP="000D0508">
      <w:pPr>
        <w:pStyle w:val="Titolo1"/>
        <w:numPr>
          <w:ilvl w:val="0"/>
          <w:numId w:val="35"/>
        </w:numPr>
        <w:spacing w:before="0"/>
        <w:ind w:left="567" w:hanging="567"/>
        <w:rPr>
          <w:color w:val="000000" w:themeColor="text1"/>
          <w:sz w:val="24"/>
          <w:szCs w:val="24"/>
        </w:rPr>
      </w:pPr>
      <w:bookmarkStart w:id="7" w:name="_Toc199249364"/>
      <w:r w:rsidRPr="00FC53AE">
        <w:rPr>
          <w:color w:val="000000" w:themeColor="text1"/>
          <w:sz w:val="24"/>
          <w:szCs w:val="24"/>
        </w:rPr>
        <w:lastRenderedPageBreak/>
        <w:t xml:space="preserve">EVOLUZIONE </w:t>
      </w:r>
      <w:r w:rsidR="00AC1D16" w:rsidRPr="00FC53AE">
        <w:rPr>
          <w:color w:val="000000" w:themeColor="text1"/>
          <w:sz w:val="24"/>
          <w:szCs w:val="24"/>
        </w:rPr>
        <w:t xml:space="preserve">DEL </w:t>
      </w:r>
      <w:r w:rsidRPr="00FC53AE">
        <w:rPr>
          <w:color w:val="000000" w:themeColor="text1"/>
          <w:sz w:val="24"/>
          <w:szCs w:val="24"/>
        </w:rPr>
        <w:t>PIL</w:t>
      </w:r>
      <w:bookmarkEnd w:id="7"/>
    </w:p>
    <w:p w14:paraId="5CA3FF03" w14:textId="77777777" w:rsidR="002251EA" w:rsidRPr="00FC53AE" w:rsidRDefault="002251EA" w:rsidP="003F0EF0">
      <w:pPr>
        <w:ind w:left="2268" w:hanging="2268"/>
        <w:rPr>
          <w:color w:val="000000" w:themeColor="text1"/>
          <w:sz w:val="20"/>
          <w:szCs w:val="20"/>
        </w:rPr>
      </w:pPr>
      <w:r w:rsidRPr="00FC53AE">
        <w:rPr>
          <w:noProof/>
          <w:color w:val="000000" w:themeColor="text1"/>
          <w:lang w:eastAsia="it-CH"/>
        </w:rPr>
        <w:drawing>
          <wp:inline distT="0" distB="0" distL="0" distR="0" wp14:anchorId="25688EA3" wp14:editId="2FE1CB4E">
            <wp:extent cx="6022975" cy="3387689"/>
            <wp:effectExtent l="19050" t="19050" r="15875" b="22860"/>
            <wp:docPr id="760863364" name="Immagine 760863364" descr="Immagine che contiene testo, schermata, Carattere, num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63364" name="Immagine 760863364" descr="Immagine che contiene testo, schermata, Carattere, numero&#10;&#10;Il contenuto generato dall'IA potrebbe non essere corretto."/>
                    <pic:cNvPicPr/>
                  </pic:nvPicPr>
                  <pic:blipFill>
                    <a:blip r:embed="rId18">
                      <a:extLst>
                        <a:ext uri="{28A0092B-C50C-407E-A947-70E740481C1C}">
                          <a14:useLocalDpi xmlns:a14="http://schemas.microsoft.com/office/drawing/2010/main" val="0"/>
                        </a:ext>
                      </a:extLst>
                    </a:blip>
                    <a:stretch>
                      <a:fillRect/>
                    </a:stretch>
                  </pic:blipFill>
                  <pic:spPr>
                    <a:xfrm>
                      <a:off x="0" y="0"/>
                      <a:ext cx="6022975" cy="3387689"/>
                    </a:xfrm>
                    <a:prstGeom prst="rect">
                      <a:avLst/>
                    </a:prstGeom>
                    <a:ln w="3175">
                      <a:solidFill>
                        <a:schemeClr val="tx1"/>
                      </a:solidFill>
                    </a:ln>
                  </pic:spPr>
                </pic:pic>
              </a:graphicData>
            </a:graphic>
          </wp:inline>
        </w:drawing>
      </w:r>
    </w:p>
    <w:p w14:paraId="1A7AFCAC" w14:textId="77777777" w:rsidR="002251EA" w:rsidRPr="00FC53AE" w:rsidRDefault="002251EA" w:rsidP="000D0508">
      <w:pPr>
        <w:autoSpaceDE w:val="0"/>
        <w:autoSpaceDN w:val="0"/>
        <w:adjustRightInd w:val="0"/>
        <w:spacing w:before="120"/>
        <w:rPr>
          <w:rFonts w:eastAsia="Calibri" w:cs="Arial"/>
          <w:color w:val="000000" w:themeColor="text1"/>
        </w:rPr>
      </w:pPr>
      <w:r w:rsidRPr="00FC53AE">
        <w:rPr>
          <w:rFonts w:eastAsia="Calibri" w:cs="Arial"/>
          <w:color w:val="000000" w:themeColor="text1"/>
        </w:rPr>
        <w:t>Fonte: Audizione del Consiglio di Sato</w:t>
      </w:r>
      <w:r w:rsidR="00AC1D16" w:rsidRPr="00FC53AE">
        <w:rPr>
          <w:rFonts w:eastAsia="Calibri" w:cs="Arial"/>
          <w:color w:val="000000" w:themeColor="text1"/>
        </w:rPr>
        <w:t>,</w:t>
      </w:r>
      <w:r w:rsidRPr="00FC53AE">
        <w:rPr>
          <w:rFonts w:eastAsia="Calibri" w:cs="Arial"/>
          <w:color w:val="000000" w:themeColor="text1"/>
        </w:rPr>
        <w:t xml:space="preserve"> 6 maggio 2025, slide 5</w:t>
      </w:r>
    </w:p>
    <w:p w14:paraId="7B3C1026" w14:textId="77777777" w:rsidR="002251EA" w:rsidRPr="00FC53AE" w:rsidRDefault="002251EA" w:rsidP="003F0EF0">
      <w:pPr>
        <w:spacing w:line="260" w:lineRule="atLeast"/>
        <w:rPr>
          <w:rFonts w:eastAsia="Calibri" w:cs="Arial"/>
          <w:color w:val="000000" w:themeColor="text1"/>
          <w:sz w:val="24"/>
          <w:szCs w:val="24"/>
        </w:rPr>
      </w:pPr>
    </w:p>
    <w:p w14:paraId="4A446E73" w14:textId="49CA1FEE" w:rsidR="003F0EF0" w:rsidRPr="00FC53AE" w:rsidRDefault="003F0EF0" w:rsidP="003F0EF0">
      <w:pPr>
        <w:spacing w:line="260" w:lineRule="atLeast"/>
        <w:rPr>
          <w:color w:val="000000" w:themeColor="text1"/>
          <w:sz w:val="24"/>
          <w:szCs w:val="24"/>
        </w:rPr>
      </w:pPr>
      <w:r w:rsidRPr="00FC53AE">
        <w:rPr>
          <w:rFonts w:eastAsia="Calibri" w:cs="Arial"/>
          <w:color w:val="000000" w:themeColor="text1"/>
          <w:sz w:val="24"/>
          <w:szCs w:val="24"/>
        </w:rPr>
        <w:t xml:space="preserve">Da gennaio 2025 </w:t>
      </w:r>
      <w:r w:rsidRPr="00FC53AE">
        <w:rPr>
          <w:color w:val="000000" w:themeColor="text1"/>
          <w:sz w:val="24"/>
          <w:szCs w:val="24"/>
        </w:rPr>
        <w:t xml:space="preserve">le stime del PIL ticinese (ma </w:t>
      </w:r>
      <w:r w:rsidR="002251EA" w:rsidRPr="00FC53AE">
        <w:rPr>
          <w:color w:val="000000" w:themeColor="text1"/>
          <w:sz w:val="24"/>
          <w:szCs w:val="24"/>
        </w:rPr>
        <w:t xml:space="preserve">anche </w:t>
      </w:r>
      <w:r w:rsidRPr="00FC53AE">
        <w:rPr>
          <w:color w:val="000000" w:themeColor="text1"/>
          <w:sz w:val="24"/>
          <w:szCs w:val="24"/>
        </w:rPr>
        <w:t xml:space="preserve">per la Svizzera, l'Europa e il mondo) stanno peggiorando, in ragione delle note vicende internazionali che stanno causando un rallentamento economico. A </w:t>
      </w:r>
      <w:r w:rsidR="00AC1D16" w:rsidRPr="00FC53AE">
        <w:rPr>
          <w:color w:val="000000" w:themeColor="text1"/>
          <w:sz w:val="24"/>
          <w:szCs w:val="24"/>
        </w:rPr>
        <w:t>c</w:t>
      </w:r>
      <w:r w:rsidRPr="00FC53AE">
        <w:rPr>
          <w:color w:val="000000" w:themeColor="text1"/>
          <w:sz w:val="24"/>
          <w:szCs w:val="24"/>
        </w:rPr>
        <w:t xml:space="preserve">onsuntivo 2024, sono indicati gli scostamenti tra i tassi di crescita del PIL ipotizzati a </w:t>
      </w:r>
      <w:r w:rsidR="00AC1D16" w:rsidRPr="00FC53AE">
        <w:rPr>
          <w:color w:val="000000" w:themeColor="text1"/>
          <w:sz w:val="24"/>
          <w:szCs w:val="24"/>
        </w:rPr>
        <w:t>p</w:t>
      </w:r>
      <w:r w:rsidRPr="00FC53AE">
        <w:rPr>
          <w:color w:val="000000" w:themeColor="text1"/>
          <w:sz w:val="24"/>
          <w:szCs w:val="24"/>
        </w:rPr>
        <w:t>reventivo e i tassi aggiornati</w:t>
      </w:r>
      <w:r w:rsidR="002251EA" w:rsidRPr="00FC53AE">
        <w:rPr>
          <w:color w:val="000000" w:themeColor="text1"/>
          <w:sz w:val="24"/>
          <w:szCs w:val="24"/>
        </w:rPr>
        <w:t>,</w:t>
      </w:r>
      <w:r w:rsidRPr="00FC53AE">
        <w:rPr>
          <w:color w:val="000000" w:themeColor="text1"/>
          <w:sz w:val="24"/>
          <w:szCs w:val="24"/>
        </w:rPr>
        <w:t xml:space="preserve"> considerando il reale andamento economico. In prospettiva futura, bisogna considerare che le stime del PIL utilizzate per elaborare il </w:t>
      </w:r>
      <w:r w:rsidR="00AC1D16" w:rsidRPr="00FC53AE">
        <w:rPr>
          <w:color w:val="000000" w:themeColor="text1"/>
          <w:sz w:val="24"/>
          <w:szCs w:val="24"/>
        </w:rPr>
        <w:t>p</w:t>
      </w:r>
      <w:r w:rsidRPr="00FC53AE">
        <w:rPr>
          <w:color w:val="000000" w:themeColor="text1"/>
          <w:sz w:val="24"/>
          <w:szCs w:val="24"/>
        </w:rPr>
        <w:t xml:space="preserve">reventivo 2025 nel frattempo sono già peggiorate. Basandosi sugli ultimi dati disponibili, di aprile 2025, quindi posteriori all’annuncio dell’introduzione dei dazi da parte degli Stati Uniti, si stima per il 2025 un peggioramento dei gettiti rispetto al </w:t>
      </w:r>
      <w:r w:rsidR="00AC1D16" w:rsidRPr="00FC53AE">
        <w:rPr>
          <w:color w:val="000000" w:themeColor="text1"/>
          <w:sz w:val="24"/>
          <w:szCs w:val="24"/>
        </w:rPr>
        <w:t>p</w:t>
      </w:r>
      <w:r w:rsidRPr="00FC53AE">
        <w:rPr>
          <w:color w:val="000000" w:themeColor="text1"/>
          <w:sz w:val="24"/>
          <w:szCs w:val="24"/>
        </w:rPr>
        <w:t xml:space="preserve">reventivo di circa 55 milioni di franchi. </w:t>
      </w:r>
      <w:r w:rsidR="00F8712E" w:rsidRPr="00FC53AE">
        <w:rPr>
          <w:color w:val="000000" w:themeColor="text1"/>
          <w:sz w:val="24"/>
          <w:szCs w:val="24"/>
        </w:rPr>
        <w:t>R</w:t>
      </w:r>
      <w:r w:rsidRPr="00FC53AE">
        <w:rPr>
          <w:color w:val="000000" w:themeColor="text1"/>
          <w:sz w:val="24"/>
          <w:szCs w:val="24"/>
        </w:rPr>
        <w:t>ispetto a quanto preventivato ci si attende un maggiore introito alla voce "donazioni e successioni"</w:t>
      </w:r>
      <w:r w:rsidR="002251EA" w:rsidRPr="00FC53AE">
        <w:rPr>
          <w:color w:val="000000" w:themeColor="text1"/>
          <w:sz w:val="24"/>
          <w:szCs w:val="24"/>
        </w:rPr>
        <w:t xml:space="preserve">, insieme a un </w:t>
      </w:r>
      <w:r w:rsidRPr="00FC53AE">
        <w:rPr>
          <w:color w:val="000000" w:themeColor="text1"/>
          <w:sz w:val="24"/>
          <w:szCs w:val="24"/>
        </w:rPr>
        <w:t xml:space="preserve">versamento da parte della Banca Nazionale. Il </w:t>
      </w:r>
      <w:r w:rsidR="00AC1D16" w:rsidRPr="00FC53AE">
        <w:rPr>
          <w:color w:val="000000" w:themeColor="text1"/>
          <w:sz w:val="24"/>
          <w:szCs w:val="24"/>
        </w:rPr>
        <w:t>p</w:t>
      </w:r>
      <w:r w:rsidRPr="00FC53AE">
        <w:rPr>
          <w:color w:val="000000" w:themeColor="text1"/>
          <w:sz w:val="24"/>
          <w:szCs w:val="24"/>
        </w:rPr>
        <w:t xml:space="preserve">reventivo 2025 indica un disavanzo di 90 milioni. Complessivamente ci si attende un miglioramento a </w:t>
      </w:r>
      <w:r w:rsidR="00AC1D16" w:rsidRPr="00FC53AE">
        <w:rPr>
          <w:color w:val="000000" w:themeColor="text1"/>
          <w:sz w:val="24"/>
          <w:szCs w:val="24"/>
        </w:rPr>
        <w:t>c</w:t>
      </w:r>
      <w:r w:rsidRPr="00FC53AE">
        <w:rPr>
          <w:color w:val="000000" w:themeColor="text1"/>
          <w:sz w:val="24"/>
          <w:szCs w:val="24"/>
        </w:rPr>
        <w:t>onsuntivo, ma se non cambi</w:t>
      </w:r>
      <w:r w:rsidR="00AC1D16" w:rsidRPr="00FC53AE">
        <w:rPr>
          <w:color w:val="000000" w:themeColor="text1"/>
          <w:sz w:val="24"/>
          <w:szCs w:val="24"/>
        </w:rPr>
        <w:t>erann</w:t>
      </w:r>
      <w:r w:rsidRPr="00FC53AE">
        <w:rPr>
          <w:color w:val="000000" w:themeColor="text1"/>
          <w:sz w:val="24"/>
          <w:szCs w:val="24"/>
        </w:rPr>
        <w:t>o le stime del PIL nei prossimi mesi, ci sarà un peggioramento dei gettiti. Gli aggiornamenti del PIL stimati dal BAK indicano in prospettiva, rispetto al Piano finanziario attuale, dei peggioramenti di 64 mio nel 2026, di 72 mio nel 2027 e di 78 mio nel il 2028.</w:t>
      </w:r>
    </w:p>
    <w:p w14:paraId="3E4E1A4E" w14:textId="77777777" w:rsidR="003F0EF0" w:rsidRPr="00FC53AE" w:rsidRDefault="003F0EF0" w:rsidP="00B03797">
      <w:pPr>
        <w:rPr>
          <w:color w:val="000000" w:themeColor="text1"/>
          <w:sz w:val="24"/>
          <w:szCs w:val="24"/>
        </w:rPr>
      </w:pPr>
    </w:p>
    <w:p w14:paraId="12001C51" w14:textId="77777777" w:rsidR="00F8712E" w:rsidRPr="00FC53AE" w:rsidRDefault="00F8712E" w:rsidP="00F8712E">
      <w:pPr>
        <w:rPr>
          <w:color w:val="000000" w:themeColor="text1"/>
          <w:sz w:val="24"/>
          <w:szCs w:val="24"/>
        </w:rPr>
      </w:pPr>
      <w:r w:rsidRPr="00FC53AE">
        <w:rPr>
          <w:color w:val="000000" w:themeColor="text1"/>
          <w:sz w:val="24"/>
          <w:szCs w:val="24"/>
        </w:rPr>
        <w:t>Le stime aggiornate del PIL ticinese e internazionale confermano un trend ormai evidente: il contesto economico sta peggiorando, con riflessi diretti e prevedibili sulla solidità delle finanze pubbliche. Già per il 2025 si ipotizza un calo dei gettiti fiscali di circa 55 milioni di franchi rispetto al preventivo, e le proiezioni per gli anni successivi sono ancora più cupe: –64 milioni nel 2026, –72 milioni nel 2027 e –78 milioni nel 2028. Si tratta di una erosione progressiva della base imponibile, che rischia di minare la sostenibilità del sistema finanziario cantonale.</w:t>
      </w:r>
    </w:p>
    <w:p w14:paraId="294B17F5" w14:textId="77777777" w:rsidR="00F8712E" w:rsidRPr="00FC53AE" w:rsidRDefault="00F8712E" w:rsidP="00F8712E">
      <w:pPr>
        <w:rPr>
          <w:color w:val="000000" w:themeColor="text1"/>
          <w:sz w:val="24"/>
          <w:szCs w:val="24"/>
        </w:rPr>
      </w:pPr>
    </w:p>
    <w:p w14:paraId="40E2E540" w14:textId="1B6F60AD" w:rsidR="00F8712E" w:rsidRPr="00FC53AE" w:rsidRDefault="00F8712E" w:rsidP="00F8712E">
      <w:pPr>
        <w:rPr>
          <w:color w:val="000000" w:themeColor="text1"/>
          <w:sz w:val="24"/>
          <w:szCs w:val="24"/>
        </w:rPr>
      </w:pPr>
      <w:r w:rsidRPr="00FC53AE">
        <w:rPr>
          <w:color w:val="000000" w:themeColor="text1"/>
          <w:sz w:val="24"/>
          <w:szCs w:val="24"/>
        </w:rPr>
        <w:t xml:space="preserve">Tuttavia, ciò che rende particolarmente grave la situazione attuale è che questo peggioramento ciclico si somma a una serie di fattori strutturali e politici che agiscono nella </w:t>
      </w:r>
      <w:r w:rsidRPr="00FC53AE">
        <w:rPr>
          <w:color w:val="000000" w:themeColor="text1"/>
          <w:sz w:val="24"/>
          <w:szCs w:val="24"/>
        </w:rPr>
        <w:lastRenderedPageBreak/>
        <w:t>stessa direzione. Da un lato, l’introduzione di nuovi sgravi fiscali, in particolare la riduzione dell’aliquota sull’utile delle persone giuridiche</w:t>
      </w:r>
      <w:r w:rsidR="00195031" w:rsidRPr="00FC53AE">
        <w:rPr>
          <w:color w:val="000000" w:themeColor="text1"/>
          <w:sz w:val="24"/>
          <w:szCs w:val="24"/>
        </w:rPr>
        <w:t xml:space="preserve"> e le deduzioni maggiorate per i premi di cassa malati</w:t>
      </w:r>
      <w:r w:rsidRPr="00FC53AE">
        <w:rPr>
          <w:color w:val="000000" w:themeColor="text1"/>
          <w:sz w:val="24"/>
          <w:szCs w:val="24"/>
        </w:rPr>
        <w:t>, andr</w:t>
      </w:r>
      <w:r w:rsidR="00195031" w:rsidRPr="00FC53AE">
        <w:rPr>
          <w:color w:val="000000" w:themeColor="text1"/>
          <w:sz w:val="24"/>
          <w:szCs w:val="24"/>
        </w:rPr>
        <w:t>anno</w:t>
      </w:r>
      <w:r w:rsidRPr="00FC53AE">
        <w:rPr>
          <w:color w:val="000000" w:themeColor="text1"/>
          <w:sz w:val="24"/>
          <w:szCs w:val="24"/>
        </w:rPr>
        <w:t xml:space="preserve"> a ridurre in modo permanente il gettito potenziale. Dall’altro, bisogna considerare anche le misure di risparmio imposte dalla Confederazione, che stanno comprimendo i trasferimenti e riducendo il sostegno federale a diversi ambiti.</w:t>
      </w:r>
    </w:p>
    <w:p w14:paraId="5B819A85" w14:textId="77777777" w:rsidR="00F8712E" w:rsidRPr="00FC53AE" w:rsidRDefault="00F8712E" w:rsidP="00F8712E">
      <w:pPr>
        <w:rPr>
          <w:color w:val="000000" w:themeColor="text1"/>
          <w:sz w:val="24"/>
          <w:szCs w:val="24"/>
        </w:rPr>
      </w:pPr>
    </w:p>
    <w:p w14:paraId="1611CB18" w14:textId="70642D7B" w:rsidR="00F8712E" w:rsidRPr="00FC53AE" w:rsidRDefault="00F8712E" w:rsidP="00F8712E">
      <w:pPr>
        <w:rPr>
          <w:color w:val="000000" w:themeColor="text1"/>
          <w:sz w:val="24"/>
          <w:szCs w:val="24"/>
        </w:rPr>
      </w:pPr>
      <w:r w:rsidRPr="00FC53AE">
        <w:rPr>
          <w:color w:val="000000" w:themeColor="text1"/>
          <w:sz w:val="24"/>
          <w:szCs w:val="24"/>
        </w:rPr>
        <w:t xml:space="preserve">A tutto questo si aggiunge l’incognita dell’EFAS (finanziamento uniforme dell’assicurazione obbligatoria delle cure), il cui impatto sulle finanze cantonali è ancora oggetto di valutazione ma che potrebbe comportare nuove uscite </w:t>
      </w:r>
      <w:r w:rsidR="00195031" w:rsidRPr="00FC53AE">
        <w:rPr>
          <w:color w:val="000000" w:themeColor="text1"/>
          <w:sz w:val="24"/>
          <w:szCs w:val="24"/>
        </w:rPr>
        <w:t>per oltre 100 milioni di franchi</w:t>
      </w:r>
      <w:r w:rsidRPr="00FC53AE">
        <w:rPr>
          <w:color w:val="000000" w:themeColor="text1"/>
          <w:sz w:val="24"/>
          <w:szCs w:val="24"/>
        </w:rPr>
        <w:t>.</w:t>
      </w:r>
    </w:p>
    <w:p w14:paraId="43A904FA" w14:textId="77777777" w:rsidR="00F8712E" w:rsidRPr="00FC53AE" w:rsidRDefault="00F8712E" w:rsidP="00F8712E">
      <w:pPr>
        <w:rPr>
          <w:color w:val="000000" w:themeColor="text1"/>
          <w:sz w:val="24"/>
          <w:szCs w:val="24"/>
        </w:rPr>
      </w:pPr>
    </w:p>
    <w:p w14:paraId="4630B992" w14:textId="77777777" w:rsidR="00F8712E" w:rsidRPr="00FC53AE" w:rsidRDefault="00F8712E" w:rsidP="00F8712E">
      <w:pPr>
        <w:rPr>
          <w:color w:val="000000" w:themeColor="text1"/>
          <w:sz w:val="24"/>
          <w:szCs w:val="24"/>
        </w:rPr>
      </w:pPr>
      <w:r w:rsidRPr="00FC53AE">
        <w:rPr>
          <w:color w:val="000000" w:themeColor="text1"/>
          <w:sz w:val="24"/>
          <w:szCs w:val="24"/>
        </w:rPr>
        <w:t>In sintesi, ci troviamo di fronte a una tempesta perfetta: minori entrate dovute al rallentamento economico, politiche fiscali che sottraggono risorse strutturali, e allo stesso tempo una crescente pressione su spesa sociale, sanità, formazione e infrastrutture. Continuare a sottrarre capacità finanziaria allo Stato, proprio quando i bisogni aumentano, rischia di compromettere la funzione redistributiva e stabilizzatrice delle politiche pubbliche.</w:t>
      </w:r>
    </w:p>
    <w:p w14:paraId="564BEC35" w14:textId="77777777" w:rsidR="00F8712E" w:rsidRPr="00FC53AE" w:rsidRDefault="00F8712E" w:rsidP="00F8712E">
      <w:pPr>
        <w:rPr>
          <w:color w:val="000000" w:themeColor="text1"/>
          <w:sz w:val="24"/>
          <w:szCs w:val="24"/>
        </w:rPr>
      </w:pPr>
    </w:p>
    <w:p w14:paraId="5553E4B9" w14:textId="39B182BF" w:rsidR="00B03797" w:rsidRPr="00FC53AE" w:rsidRDefault="00F8712E" w:rsidP="00F8712E">
      <w:pPr>
        <w:rPr>
          <w:color w:val="000000" w:themeColor="text1"/>
          <w:sz w:val="24"/>
          <w:szCs w:val="24"/>
        </w:rPr>
      </w:pPr>
      <w:r w:rsidRPr="00FC53AE">
        <w:rPr>
          <w:color w:val="000000" w:themeColor="text1"/>
          <w:sz w:val="24"/>
          <w:szCs w:val="24"/>
        </w:rPr>
        <w:t>Occorre quindi abbandonare la logica della riduzione del gettito “a prescindere” e ripensare il sistema fiscale e finanziario in chiave di giustizia, stabilità e resilienza. Diversamente, il Cantone rischia di trovarsi nei prossimi anni con strumenti spuntati di fronte a sfide sempre più complesse.</w:t>
      </w:r>
    </w:p>
    <w:p w14:paraId="328B905D" w14:textId="5E5C6737" w:rsidR="00705CF8" w:rsidRDefault="00705CF8" w:rsidP="00F8712E">
      <w:pPr>
        <w:rPr>
          <w:color w:val="000000" w:themeColor="text1"/>
          <w:sz w:val="24"/>
          <w:szCs w:val="24"/>
        </w:rPr>
      </w:pPr>
    </w:p>
    <w:p w14:paraId="19F0970E" w14:textId="77777777" w:rsidR="00476F63" w:rsidRPr="00FC53AE" w:rsidRDefault="00476F63" w:rsidP="00F8712E">
      <w:pPr>
        <w:rPr>
          <w:color w:val="000000" w:themeColor="text1"/>
          <w:sz w:val="24"/>
          <w:szCs w:val="24"/>
        </w:rPr>
      </w:pPr>
    </w:p>
    <w:p w14:paraId="127AF043" w14:textId="3CBF64AE" w:rsidR="00705CF8" w:rsidRPr="00FC53AE" w:rsidRDefault="00705CF8" w:rsidP="00705CF8">
      <w:pPr>
        <w:pStyle w:val="Titolo1"/>
        <w:numPr>
          <w:ilvl w:val="0"/>
          <w:numId w:val="35"/>
        </w:numPr>
        <w:spacing w:before="0"/>
        <w:ind w:left="567" w:hanging="567"/>
        <w:rPr>
          <w:color w:val="000000" w:themeColor="text1"/>
          <w:sz w:val="24"/>
          <w:szCs w:val="24"/>
        </w:rPr>
      </w:pPr>
      <w:bookmarkStart w:id="8" w:name="_Toc199249365"/>
      <w:r w:rsidRPr="00FC53AE">
        <w:rPr>
          <w:color w:val="000000" w:themeColor="text1"/>
          <w:sz w:val="24"/>
          <w:szCs w:val="24"/>
        </w:rPr>
        <w:t>IL DEBITO PUBBLICO COME ALIBI</w:t>
      </w:r>
      <w:bookmarkEnd w:id="8"/>
    </w:p>
    <w:p w14:paraId="5849DA9D" w14:textId="715A404E" w:rsidR="00705CF8" w:rsidRPr="00FC53AE" w:rsidRDefault="00705CF8" w:rsidP="00705CF8">
      <w:pPr>
        <w:rPr>
          <w:color w:val="000000" w:themeColor="text1"/>
          <w:sz w:val="24"/>
          <w:szCs w:val="24"/>
        </w:rPr>
      </w:pPr>
      <w:r w:rsidRPr="00FC53AE">
        <w:rPr>
          <w:color w:val="000000" w:themeColor="text1"/>
          <w:sz w:val="24"/>
          <w:szCs w:val="24"/>
        </w:rPr>
        <w:t>Di seguito riportiamo un articolo pubblicato su la Regione concernente il debito pubblico.</w:t>
      </w:r>
    </w:p>
    <w:p w14:paraId="7BEBAB9B" w14:textId="77777777" w:rsidR="00705CF8" w:rsidRPr="00FC53AE" w:rsidRDefault="00705CF8" w:rsidP="00705CF8">
      <w:pPr>
        <w:rPr>
          <w:color w:val="000000" w:themeColor="text1"/>
          <w:sz w:val="24"/>
          <w:szCs w:val="24"/>
        </w:rPr>
      </w:pPr>
    </w:p>
    <w:p w14:paraId="21747D63" w14:textId="77777777" w:rsidR="00705CF8" w:rsidRPr="00FC53AE" w:rsidRDefault="00705CF8" w:rsidP="00705CF8">
      <w:pPr>
        <w:rPr>
          <w:color w:val="000000" w:themeColor="text1"/>
          <w:sz w:val="24"/>
          <w:szCs w:val="24"/>
        </w:rPr>
      </w:pPr>
      <w:r w:rsidRPr="00FC53AE">
        <w:rPr>
          <w:color w:val="000000" w:themeColor="text1"/>
          <w:sz w:val="24"/>
          <w:szCs w:val="24"/>
        </w:rPr>
        <w:t>Negli scorsi giorni abbiamo assistito all’interessante dibattito sul debito pubblico e sul ruolo dello Stato nei confronti della spesa pubblica. Lo stato è stato paragonato al buon padre di famiglia che non dovrebbe mai spendere più di quanto guadagna. Eppure, il paragone è fuorviante, una famiglia non emette titoli di debito, non può influenzare l’economia e nemmeno ha il compito di mantenere la stabilità sociale. Lo Stato ha responsabilità che rendono il suo ruolo completamente diverso.</w:t>
      </w:r>
    </w:p>
    <w:p w14:paraId="0CFB0C4B" w14:textId="77777777" w:rsidR="00705CF8" w:rsidRPr="00FC53AE" w:rsidRDefault="00705CF8" w:rsidP="00705CF8">
      <w:pPr>
        <w:rPr>
          <w:color w:val="000000" w:themeColor="text1"/>
          <w:sz w:val="24"/>
          <w:szCs w:val="24"/>
        </w:rPr>
      </w:pPr>
      <w:r w:rsidRPr="00FC53AE">
        <w:rPr>
          <w:color w:val="000000" w:themeColor="text1"/>
          <w:sz w:val="24"/>
          <w:szCs w:val="24"/>
        </w:rPr>
        <w:t>In molte circostanze, la spesa pubblica in deficit non solo è legittima, ma necessaria. Pensiamo alla crisi sanitaria che abbiamo vissuto, alla necessità di investimenti a lungo termine o all’attuale transizione ecologica, per non parlare della sfida legata all’invecchiamento della popolazione. La rigidità contabile dello “spendere solo ciò che si ha” paralizzerebbe l’azione pubblica proprio quando è necessaria.</w:t>
      </w:r>
    </w:p>
    <w:p w14:paraId="16135E1C" w14:textId="77777777" w:rsidR="00705CF8" w:rsidRPr="00FC53AE" w:rsidRDefault="00705CF8" w:rsidP="00705CF8">
      <w:pPr>
        <w:rPr>
          <w:color w:val="000000" w:themeColor="text1"/>
          <w:sz w:val="24"/>
          <w:szCs w:val="24"/>
        </w:rPr>
      </w:pPr>
      <w:r w:rsidRPr="00FC53AE">
        <w:rPr>
          <w:color w:val="000000" w:themeColor="text1"/>
          <w:sz w:val="24"/>
          <w:szCs w:val="24"/>
        </w:rPr>
        <w:t>Nei prossimi anni saremo sempre più spesso confrontati con costi pubblici, legati all’evoluzione della società, superiori alle entrate fiscali. La dinamica è semplice e ben nota agli studiosi da tempo: l’invecchiamento della popolazione comporta un aumento della quota di persone che non lavorano e che vivono più a lungo, quindi con maggiori bisogni assistenziali. Norberto Bobbio lo ha espresso con efficacia già negli anni Novanta: «Più vecchi e più anni di durata della vecchiaia: moltiplicate un numero per l’altro e otterrete la cifra che rivela l’eccezionale gravità del problema».</w:t>
      </w:r>
    </w:p>
    <w:p w14:paraId="000E08E1" w14:textId="77777777" w:rsidR="00705CF8" w:rsidRPr="00FC53AE" w:rsidRDefault="00705CF8" w:rsidP="00705CF8">
      <w:pPr>
        <w:rPr>
          <w:color w:val="000000" w:themeColor="text1"/>
          <w:sz w:val="24"/>
          <w:szCs w:val="24"/>
        </w:rPr>
      </w:pPr>
      <w:r w:rsidRPr="00FC53AE">
        <w:rPr>
          <w:color w:val="000000" w:themeColor="text1"/>
          <w:sz w:val="24"/>
          <w:szCs w:val="24"/>
        </w:rPr>
        <w:t>Le entrate fiscali non riusciranno a seguire la crescita dei bisogni proprio perché il prodotto interno lordo crescerà meno velocemente dell’aumento dei costi, soprattutto sociosanitari. Non accettare questa evidenza e pretendere invece di ridurre la spesa vuol dire ridurre in maniera importante anche la qualità di vita dei propri cittadini, in particolare quelli più fragili.</w:t>
      </w:r>
    </w:p>
    <w:p w14:paraId="357755C3" w14:textId="77777777" w:rsidR="00705CF8" w:rsidRPr="00FC53AE" w:rsidRDefault="00705CF8" w:rsidP="00705CF8">
      <w:pPr>
        <w:rPr>
          <w:color w:val="000000" w:themeColor="text1"/>
          <w:sz w:val="24"/>
          <w:szCs w:val="24"/>
        </w:rPr>
      </w:pPr>
      <w:r w:rsidRPr="00FC53AE">
        <w:rPr>
          <w:color w:val="000000" w:themeColor="text1"/>
          <w:sz w:val="24"/>
          <w:szCs w:val="24"/>
        </w:rPr>
        <w:lastRenderedPageBreak/>
        <w:t>Il vero paradosso è che chi si lamenta dell’aumento della spesa e del debito contribuisce a generare disavanzi con il taglio delle entrate, tramite sgravi fiscali, aumentando in questo modo anche le disuguaglianze.</w:t>
      </w:r>
    </w:p>
    <w:p w14:paraId="3E21F242" w14:textId="77777777" w:rsidR="00705CF8" w:rsidRPr="00FC53AE" w:rsidRDefault="00705CF8" w:rsidP="00705CF8">
      <w:pPr>
        <w:rPr>
          <w:color w:val="000000" w:themeColor="text1"/>
          <w:sz w:val="24"/>
          <w:szCs w:val="24"/>
        </w:rPr>
      </w:pPr>
      <w:r w:rsidRPr="00FC53AE">
        <w:rPr>
          <w:color w:val="000000" w:themeColor="text1"/>
          <w:sz w:val="24"/>
          <w:szCs w:val="24"/>
        </w:rPr>
        <w:t>In molti contesti — basti pensare agli Stati Uniti degli anni Reagan o al Regno Unito di Margaret Thatcher — i tagli fiscali sono stati giustificati con la promessa che avrebbero stimolato crescita e aumentato le entrate a lungo termine. Ma nella realtà hanno semplicemente ridotto le entrate, accresciuto il debito e poi giustificato tagli alla spesa sociale.</w:t>
      </w:r>
    </w:p>
    <w:p w14:paraId="37579BFA" w14:textId="77777777" w:rsidR="00705CF8" w:rsidRPr="00FC53AE" w:rsidRDefault="00705CF8" w:rsidP="00705CF8">
      <w:pPr>
        <w:rPr>
          <w:color w:val="000000" w:themeColor="text1"/>
          <w:sz w:val="24"/>
          <w:szCs w:val="24"/>
        </w:rPr>
      </w:pPr>
      <w:r w:rsidRPr="00FC53AE">
        <w:rPr>
          <w:color w:val="000000" w:themeColor="text1"/>
          <w:sz w:val="24"/>
          <w:szCs w:val="24"/>
        </w:rPr>
        <w:t>La stessa dinamica si è ripetuta in Ticino ai tempi della Masoni e anche oggi, in particolar modo negli ultimi 7 anni. Basti pensare che dal 2017 ad oggi sono stati fatti sgravi fiscali per oltre 200 milioni di franchi, privilegiando spesso le fasce più benestanti della popolazione.</w:t>
      </w:r>
    </w:p>
    <w:p w14:paraId="3707A308" w14:textId="77777777" w:rsidR="00705CF8" w:rsidRPr="00FC53AE" w:rsidRDefault="00705CF8" w:rsidP="00705CF8">
      <w:pPr>
        <w:rPr>
          <w:color w:val="000000" w:themeColor="text1"/>
          <w:sz w:val="24"/>
          <w:szCs w:val="24"/>
        </w:rPr>
      </w:pPr>
      <w:r w:rsidRPr="00FC53AE">
        <w:rPr>
          <w:color w:val="000000" w:themeColor="text1"/>
          <w:sz w:val="24"/>
          <w:szCs w:val="24"/>
        </w:rPr>
        <w:t>Questa strategia è anche nota come “</w:t>
      </w:r>
      <w:proofErr w:type="spellStart"/>
      <w:r w:rsidRPr="00FC53AE">
        <w:rPr>
          <w:color w:val="000000" w:themeColor="text1"/>
          <w:sz w:val="24"/>
          <w:szCs w:val="24"/>
        </w:rPr>
        <w:t>starve</w:t>
      </w:r>
      <w:proofErr w:type="spellEnd"/>
      <w:r w:rsidRPr="00FC53AE">
        <w:rPr>
          <w:color w:val="000000" w:themeColor="text1"/>
          <w:sz w:val="24"/>
          <w:szCs w:val="24"/>
        </w:rPr>
        <w:t xml:space="preserve"> the </w:t>
      </w:r>
      <w:proofErr w:type="spellStart"/>
      <w:r w:rsidRPr="00FC53AE">
        <w:rPr>
          <w:color w:val="000000" w:themeColor="text1"/>
          <w:sz w:val="24"/>
          <w:szCs w:val="24"/>
        </w:rPr>
        <w:t>beast</w:t>
      </w:r>
      <w:proofErr w:type="spellEnd"/>
      <w:r w:rsidRPr="00FC53AE">
        <w:rPr>
          <w:color w:val="000000" w:themeColor="text1"/>
          <w:sz w:val="24"/>
          <w:szCs w:val="24"/>
        </w:rPr>
        <w:t>”: si riducono le entrate pubbliche, si crea un buco di bilancio, e poi si sostiene che “non ci sono soldi” per finanziare servizi pubblici, formazione e politica sociale. È una strategia deliberata per ridimensionare lo Stato, delegittimarlo, e favorire la privatizzazione dei servizi. Chi invoca il “buon padre di famiglia” dopo aver svuotato le casse pubbliche con sgravi fiscali non agisce per prudenza, ma per ideologia.</w:t>
      </w:r>
    </w:p>
    <w:p w14:paraId="3B06423F" w14:textId="77777777" w:rsidR="00705CF8" w:rsidRPr="00FC53AE" w:rsidRDefault="00705CF8" w:rsidP="00705CF8">
      <w:pPr>
        <w:rPr>
          <w:color w:val="000000" w:themeColor="text1"/>
          <w:sz w:val="24"/>
          <w:szCs w:val="24"/>
        </w:rPr>
      </w:pPr>
      <w:r w:rsidRPr="00FC53AE">
        <w:rPr>
          <w:color w:val="000000" w:themeColor="text1"/>
          <w:sz w:val="24"/>
          <w:szCs w:val="24"/>
        </w:rPr>
        <w:t>La responsabilità di uno Stato non è risparmiare, bensì sostenere la società, investire nel futuro, far fronte ai cambiamenti della società (climatici e demografici) e garantire i diritti.</w:t>
      </w:r>
    </w:p>
    <w:p w14:paraId="7A284AA4" w14:textId="77777777" w:rsidR="00705CF8" w:rsidRPr="00FC53AE" w:rsidRDefault="00705CF8" w:rsidP="00705CF8">
      <w:pPr>
        <w:rPr>
          <w:color w:val="000000" w:themeColor="text1"/>
          <w:sz w:val="24"/>
          <w:szCs w:val="24"/>
        </w:rPr>
      </w:pPr>
      <w:r w:rsidRPr="00FC53AE">
        <w:rPr>
          <w:color w:val="000000" w:themeColor="text1"/>
          <w:sz w:val="24"/>
          <w:szCs w:val="24"/>
        </w:rPr>
        <w:t>Solo uno Stato consapevole del proprio ruolo e responsabile del proprio agire può affrontare in maniera adeguata le sfide demografiche, climatiche ed economiche che ci attendono senza lasciare indietro nessuno. È cinico servirsi dell’alibi del pareggio dei conti per giustificare il non fare nulla.</w:t>
      </w:r>
    </w:p>
    <w:p w14:paraId="76C47B06" w14:textId="77777777" w:rsidR="00705CF8" w:rsidRPr="00FC53AE" w:rsidRDefault="00705CF8" w:rsidP="00705CF8">
      <w:pPr>
        <w:rPr>
          <w:color w:val="000000" w:themeColor="text1"/>
          <w:sz w:val="24"/>
          <w:szCs w:val="24"/>
        </w:rPr>
      </w:pPr>
      <w:r w:rsidRPr="00FC53AE">
        <w:rPr>
          <w:color w:val="000000" w:themeColor="text1"/>
          <w:sz w:val="24"/>
          <w:szCs w:val="24"/>
        </w:rPr>
        <w:t>Non è il bilancio in pareggio a costruire una società giusta, ma la capacità di uno Stato di rispondere ai bisogni reali della popolazione.</w:t>
      </w:r>
    </w:p>
    <w:p w14:paraId="43EACAD7" w14:textId="53F39BC9" w:rsidR="00705CF8" w:rsidRDefault="00705CF8" w:rsidP="00705CF8">
      <w:pPr>
        <w:rPr>
          <w:color w:val="000000" w:themeColor="text1"/>
        </w:rPr>
      </w:pPr>
    </w:p>
    <w:p w14:paraId="43AC6023" w14:textId="77777777" w:rsidR="00476F63" w:rsidRPr="00FC53AE" w:rsidRDefault="00476F63" w:rsidP="00705CF8">
      <w:pPr>
        <w:rPr>
          <w:color w:val="000000" w:themeColor="text1"/>
        </w:rPr>
      </w:pPr>
    </w:p>
    <w:p w14:paraId="79E8590E" w14:textId="44EA4A19" w:rsidR="00F8712E" w:rsidRPr="00FC53AE" w:rsidRDefault="00705CF8" w:rsidP="00705CF8">
      <w:pPr>
        <w:pStyle w:val="Titolo1"/>
        <w:numPr>
          <w:ilvl w:val="0"/>
          <w:numId w:val="35"/>
        </w:numPr>
        <w:spacing w:before="0"/>
        <w:ind w:left="567" w:hanging="567"/>
        <w:rPr>
          <w:color w:val="000000" w:themeColor="text1"/>
          <w:sz w:val="24"/>
          <w:szCs w:val="24"/>
        </w:rPr>
      </w:pPr>
      <w:bookmarkStart w:id="9" w:name="_Toc199249366"/>
      <w:r w:rsidRPr="00FC53AE">
        <w:rPr>
          <w:color w:val="000000" w:themeColor="text1"/>
          <w:sz w:val="24"/>
          <w:szCs w:val="24"/>
        </w:rPr>
        <w:t>MISURE DI CONTENIMENTO DELLA SPESA</w:t>
      </w:r>
      <w:bookmarkEnd w:id="9"/>
    </w:p>
    <w:p w14:paraId="3B7AB83B" w14:textId="77777777" w:rsidR="004D0E53" w:rsidRPr="00FC53AE" w:rsidRDefault="004D0E53" w:rsidP="004D0E53">
      <w:pPr>
        <w:rPr>
          <w:color w:val="000000" w:themeColor="text1"/>
          <w:sz w:val="24"/>
          <w:szCs w:val="24"/>
        </w:rPr>
      </w:pPr>
      <w:r w:rsidRPr="00FC53AE">
        <w:rPr>
          <w:color w:val="000000" w:themeColor="text1"/>
          <w:sz w:val="24"/>
          <w:szCs w:val="24"/>
        </w:rPr>
        <w:t xml:space="preserve">Come già evidenziato in apertura, la fragilità delle finanze cantonali </w:t>
      </w:r>
      <w:r w:rsidRPr="00FC53AE">
        <w:rPr>
          <w:b/>
          <w:bCs/>
          <w:color w:val="000000" w:themeColor="text1"/>
          <w:sz w:val="24"/>
          <w:szCs w:val="24"/>
        </w:rPr>
        <w:t>non è il risultato di un’esplosione incontrollata della spesa</w:t>
      </w:r>
      <w:r w:rsidRPr="00FC53AE">
        <w:rPr>
          <w:color w:val="000000" w:themeColor="text1"/>
          <w:sz w:val="24"/>
          <w:szCs w:val="24"/>
        </w:rPr>
        <w:t>, né può essere attribuita a eventi eccezionali come la pandemia, la guerra o la mancata distribuzione dell’utile della Banca nazionale.</w:t>
      </w:r>
      <w:r w:rsidRPr="00FC53AE">
        <w:rPr>
          <w:color w:val="000000" w:themeColor="text1"/>
          <w:sz w:val="24"/>
          <w:szCs w:val="24"/>
        </w:rPr>
        <w:br/>
        <w:t xml:space="preserve">Al contrario, la vera causa va ricercata in </w:t>
      </w:r>
      <w:r w:rsidRPr="00FC53AE">
        <w:rPr>
          <w:b/>
          <w:bCs/>
          <w:color w:val="000000" w:themeColor="text1"/>
          <w:sz w:val="24"/>
          <w:szCs w:val="24"/>
        </w:rPr>
        <w:t>una politica di progressiva e sistematica riduzione delle entrate</w:t>
      </w:r>
      <w:r w:rsidRPr="00FC53AE">
        <w:rPr>
          <w:color w:val="000000" w:themeColor="text1"/>
          <w:sz w:val="24"/>
          <w:szCs w:val="24"/>
        </w:rPr>
        <w:t xml:space="preserve">, che ha finito per </w:t>
      </w:r>
      <w:r w:rsidRPr="00FC53AE">
        <w:rPr>
          <w:b/>
          <w:bCs/>
          <w:color w:val="000000" w:themeColor="text1"/>
          <w:sz w:val="24"/>
          <w:szCs w:val="24"/>
        </w:rPr>
        <w:t>erodere la base fiscale necessaria a sostenere i bisogni della collettività</w:t>
      </w:r>
      <w:r w:rsidRPr="00FC53AE">
        <w:rPr>
          <w:color w:val="000000" w:themeColor="text1"/>
          <w:sz w:val="24"/>
          <w:szCs w:val="24"/>
        </w:rPr>
        <w:t>.</w:t>
      </w:r>
    </w:p>
    <w:p w14:paraId="09B91782" w14:textId="77777777" w:rsidR="004D0E53" w:rsidRPr="00FC53AE" w:rsidRDefault="004D0E53" w:rsidP="004D0E53">
      <w:pPr>
        <w:rPr>
          <w:color w:val="000000" w:themeColor="text1"/>
          <w:sz w:val="24"/>
          <w:szCs w:val="24"/>
        </w:rPr>
      </w:pPr>
    </w:p>
    <w:p w14:paraId="6DFA9389" w14:textId="77777777" w:rsidR="004D0E53" w:rsidRPr="00FC53AE" w:rsidRDefault="004D0E53" w:rsidP="004D0E53">
      <w:pPr>
        <w:rPr>
          <w:color w:val="000000" w:themeColor="text1"/>
          <w:sz w:val="24"/>
          <w:szCs w:val="24"/>
        </w:rPr>
      </w:pPr>
      <w:r w:rsidRPr="00FC53AE">
        <w:rPr>
          <w:color w:val="000000" w:themeColor="text1"/>
          <w:sz w:val="24"/>
          <w:szCs w:val="24"/>
        </w:rPr>
        <w:t xml:space="preserve">In questo contesto, non può essere considerata una “cura” il ricorso a </w:t>
      </w:r>
      <w:r w:rsidRPr="00FC53AE">
        <w:rPr>
          <w:b/>
          <w:bCs/>
          <w:color w:val="000000" w:themeColor="text1"/>
          <w:sz w:val="24"/>
          <w:szCs w:val="24"/>
        </w:rPr>
        <w:t>tagli dei servizi pubblici</w:t>
      </w:r>
      <w:r w:rsidRPr="00FC53AE">
        <w:rPr>
          <w:color w:val="000000" w:themeColor="text1"/>
          <w:sz w:val="24"/>
          <w:szCs w:val="24"/>
        </w:rPr>
        <w:t>, soprattutto se questi colpiscono le fasce più fragili della popolazione.</w:t>
      </w:r>
      <w:r w:rsidRPr="00FC53AE">
        <w:rPr>
          <w:color w:val="000000" w:themeColor="text1"/>
          <w:sz w:val="24"/>
          <w:szCs w:val="24"/>
        </w:rPr>
        <w:br/>
        <w:t xml:space="preserve">Rigettiamo quindi con fermezza tutte le misure che incidono sulla </w:t>
      </w:r>
      <w:r w:rsidRPr="00FC53AE">
        <w:rPr>
          <w:b/>
          <w:bCs/>
          <w:color w:val="000000" w:themeColor="text1"/>
          <w:sz w:val="24"/>
          <w:szCs w:val="24"/>
        </w:rPr>
        <w:t>socialità</w:t>
      </w:r>
      <w:r w:rsidRPr="00FC53AE">
        <w:rPr>
          <w:color w:val="000000" w:themeColor="text1"/>
          <w:sz w:val="24"/>
          <w:szCs w:val="24"/>
        </w:rPr>
        <w:t xml:space="preserve"> e sul personale dello Stato, poiché </w:t>
      </w:r>
      <w:r w:rsidRPr="00FC53AE">
        <w:rPr>
          <w:b/>
          <w:bCs/>
          <w:color w:val="000000" w:themeColor="text1"/>
          <w:sz w:val="24"/>
          <w:szCs w:val="24"/>
        </w:rPr>
        <w:t>la qualità del servizio pubblico è strettamente legata anche alla dignità e alla stabilità del lavoro di chi lo eroga</w:t>
      </w:r>
      <w:r w:rsidRPr="00FC53AE">
        <w:rPr>
          <w:color w:val="000000" w:themeColor="text1"/>
          <w:sz w:val="24"/>
          <w:szCs w:val="24"/>
        </w:rPr>
        <w:t>.</w:t>
      </w:r>
    </w:p>
    <w:p w14:paraId="2F594049" w14:textId="77777777" w:rsidR="004D0E53" w:rsidRPr="00FC53AE" w:rsidRDefault="004D0E53" w:rsidP="004D0E53">
      <w:pPr>
        <w:rPr>
          <w:color w:val="000000" w:themeColor="text1"/>
          <w:sz w:val="24"/>
          <w:szCs w:val="24"/>
        </w:rPr>
      </w:pPr>
    </w:p>
    <w:p w14:paraId="7F09534E" w14:textId="77777777" w:rsidR="004D0E53" w:rsidRPr="00FC53AE" w:rsidRDefault="004D0E53" w:rsidP="004D0E53">
      <w:pPr>
        <w:rPr>
          <w:color w:val="000000" w:themeColor="text1"/>
          <w:sz w:val="24"/>
          <w:szCs w:val="24"/>
        </w:rPr>
      </w:pPr>
      <w:r w:rsidRPr="00FC53AE">
        <w:rPr>
          <w:color w:val="000000" w:themeColor="text1"/>
          <w:sz w:val="24"/>
          <w:szCs w:val="24"/>
        </w:rPr>
        <w:t xml:space="preserve">Nel quadro della manovra di rientro 2024, il Consiglio di Stato ha deciso di ridurre i contributi destinati agli istituti per invalidi, alle case per anziani, ai servizi di assistenza e cura a domicilio e alle strutture </w:t>
      </w:r>
      <w:proofErr w:type="spellStart"/>
      <w:r w:rsidRPr="00FC53AE">
        <w:rPr>
          <w:color w:val="000000" w:themeColor="text1"/>
          <w:sz w:val="24"/>
          <w:szCs w:val="24"/>
        </w:rPr>
        <w:t>psico</w:t>
      </w:r>
      <w:proofErr w:type="spellEnd"/>
      <w:r w:rsidRPr="00FC53AE">
        <w:rPr>
          <w:color w:val="000000" w:themeColor="text1"/>
          <w:sz w:val="24"/>
          <w:szCs w:val="24"/>
        </w:rPr>
        <w:t xml:space="preserve">-educative. Si tratta di un intervento profondamente contestato, considerato cinico e iniquo, perché colpisce le fasce più fragili della popolazione proprio mentre vengono attuati sgravi fiscali a favore dei più abbienti. Le critiche più articolate provengono dall’ATIS (Associazione Ticinese delle Istituzioni Sociali), che rappresenta enti attivi nei settori della disabilità, delle dipendenze e della presa a </w:t>
      </w:r>
      <w:r w:rsidRPr="00FC53AE">
        <w:rPr>
          <w:color w:val="000000" w:themeColor="text1"/>
          <w:sz w:val="24"/>
          <w:szCs w:val="24"/>
        </w:rPr>
        <w:lastRenderedPageBreak/>
        <w:t>carico di minorenni. ATIS sottolinea come il rapporto tra Cantone e istituzioni sia da anni fondato su un partenariato formalizzato da contratti di prestazione, i cui standard e finanziamenti sono stabiliti unilateralmente dallo Stato. Le misure decise, non consultate e imposte in modo unilaterale, compromettono la qualità e il volume delle prestazioni, colpiscono in modo sproporzionato il settore invalidi – a cui è chiesto un taglio dell’8.4%, quasi il triplo della media cantonale – e prevedono anche il prelievo forzato di fondi di riserva accumulati nel tempo dagli enti, con gravi problemi di legalità, equità e sostenibilità.</w:t>
      </w:r>
    </w:p>
    <w:p w14:paraId="23CDE2EE" w14:textId="77777777" w:rsidR="004D0E53" w:rsidRPr="00FC53AE" w:rsidRDefault="004D0E53" w:rsidP="004D0E53">
      <w:pPr>
        <w:rPr>
          <w:color w:val="000000" w:themeColor="text1"/>
          <w:sz w:val="24"/>
          <w:szCs w:val="24"/>
        </w:rPr>
      </w:pPr>
    </w:p>
    <w:p w14:paraId="2C878739" w14:textId="77777777" w:rsidR="004D0E53" w:rsidRPr="00FC53AE" w:rsidRDefault="004D0E53" w:rsidP="004D0E53">
      <w:pPr>
        <w:rPr>
          <w:color w:val="000000" w:themeColor="text1"/>
          <w:sz w:val="24"/>
          <w:szCs w:val="24"/>
        </w:rPr>
      </w:pPr>
      <w:r w:rsidRPr="00FC53AE">
        <w:rPr>
          <w:color w:val="000000" w:themeColor="text1"/>
          <w:sz w:val="24"/>
          <w:szCs w:val="24"/>
        </w:rPr>
        <w:t xml:space="preserve">Oltre ad ATIS, anche la Fondazione Diamante, l’ATGABES e la Fondazione Varini si sono espresse pubblicamente contro le misure. Michele Passardi (Fondazione Diamante) ha definito il prelievo dalle riserve “profondamente sbagliato”, sottolineando come questo metta in pericolo la stabilità delle strutture, l’autonomia degli enti e la continuità dei servizi, e abbia anche rilevanti implicazioni giuridiche. Roberto </w:t>
      </w:r>
      <w:proofErr w:type="spellStart"/>
      <w:r w:rsidRPr="00FC53AE">
        <w:rPr>
          <w:color w:val="000000" w:themeColor="text1"/>
          <w:sz w:val="24"/>
          <w:szCs w:val="24"/>
        </w:rPr>
        <w:t>Roncoroni</w:t>
      </w:r>
      <w:proofErr w:type="spellEnd"/>
      <w:r w:rsidRPr="00FC53AE">
        <w:rPr>
          <w:color w:val="000000" w:themeColor="text1"/>
          <w:sz w:val="24"/>
          <w:szCs w:val="24"/>
        </w:rPr>
        <w:t xml:space="preserve"> (Fondazione </w:t>
      </w:r>
      <w:proofErr w:type="spellStart"/>
      <w:r w:rsidRPr="00FC53AE">
        <w:rPr>
          <w:color w:val="000000" w:themeColor="text1"/>
          <w:sz w:val="24"/>
          <w:szCs w:val="24"/>
        </w:rPr>
        <w:t>Otaf</w:t>
      </w:r>
      <w:proofErr w:type="spellEnd"/>
      <w:r w:rsidRPr="00FC53AE">
        <w:rPr>
          <w:color w:val="000000" w:themeColor="text1"/>
          <w:sz w:val="24"/>
          <w:szCs w:val="24"/>
        </w:rPr>
        <w:t>) ha evidenziato che i tagli avranno un impatto diretto sul personale e quindi sulla qualità delle prestazioni, ricordando che “la qualità ha un costo” e che i risparmi si tradurranno inevitabilmente in minori servizi per gli utenti. Anche Marzio Proietti (inclusione andicap Ticino) ha espresso preoccupazione, ribadendo la disponibilità al dialogo ma sottolineando il rischio concreto di compromettere la quantità e la qualità delle cure. La Conferenza dei direttori dei CEM ha inoltre messo in guardia dal fatto che i risparmi ottenuti oggi potranno tradursi in maggiori costi futuri, a causa del peggioramento di fenomeni come il disagio psichico giovanile e l’assenteismo scolastico.</w:t>
      </w:r>
    </w:p>
    <w:p w14:paraId="665B697A" w14:textId="77777777" w:rsidR="004D0E53" w:rsidRPr="00FC53AE" w:rsidRDefault="004D0E53" w:rsidP="004D0E53">
      <w:pPr>
        <w:rPr>
          <w:color w:val="000000" w:themeColor="text1"/>
          <w:sz w:val="24"/>
          <w:szCs w:val="24"/>
        </w:rPr>
      </w:pPr>
    </w:p>
    <w:p w14:paraId="4B61C4DA" w14:textId="4625FCA7" w:rsidR="004D0E53" w:rsidRPr="00FC53AE" w:rsidRDefault="004D0E53" w:rsidP="004D0E53">
      <w:pPr>
        <w:rPr>
          <w:color w:val="000000" w:themeColor="text1"/>
          <w:sz w:val="24"/>
          <w:szCs w:val="24"/>
        </w:rPr>
      </w:pPr>
      <w:r w:rsidRPr="00FC53AE">
        <w:rPr>
          <w:color w:val="000000" w:themeColor="text1"/>
          <w:sz w:val="24"/>
          <w:szCs w:val="24"/>
        </w:rPr>
        <w:t>In conclusione, si osserva che i settori dell’assistenza agli anziani e agli invalidi stanno affrontando cambiamenti strutturali legati all’invecchiamento della popolazione e alla crescente domanda di cure. In questo contesto, invece di tagliare, sarebbe necessario rafforzare la qualità e sostenere l’innovazione, come previsto anche dalla pianificazione cantonale LISPI, che pone l’accento su ambiti cruciali come l’invecchiamento, la mobilità, l’inclusione e il sostegno ai familiari curanti. Si ricorda infine che questi servizi rispondono a mandati federali che il Cantone ha deciso di affidare ad enti esterni: è quindi doveroso rispettarne l’autonomia, riconoscere il loro ruolo essenziale e garantire condizioni stabili per l’adempimento dei compiti.</w:t>
      </w:r>
    </w:p>
    <w:p w14:paraId="39778F1B" w14:textId="77777777" w:rsidR="004D0E53" w:rsidRPr="00FC53AE" w:rsidRDefault="004D0E53" w:rsidP="004D0E53">
      <w:pPr>
        <w:rPr>
          <w:color w:val="000000" w:themeColor="text1"/>
          <w:sz w:val="24"/>
          <w:szCs w:val="24"/>
        </w:rPr>
      </w:pPr>
    </w:p>
    <w:p w14:paraId="6BE07165" w14:textId="77777777" w:rsidR="004D0E53" w:rsidRPr="00FC53AE" w:rsidRDefault="004D0E53" w:rsidP="004D0E53">
      <w:pPr>
        <w:rPr>
          <w:color w:val="000000" w:themeColor="text1"/>
          <w:sz w:val="24"/>
          <w:szCs w:val="24"/>
        </w:rPr>
      </w:pPr>
      <w:r w:rsidRPr="00FC53AE">
        <w:rPr>
          <w:color w:val="000000" w:themeColor="text1"/>
          <w:sz w:val="24"/>
          <w:szCs w:val="24"/>
        </w:rPr>
        <w:t>Nel quadro della manovra finanziaria 2024, il Consiglio di Stato ha inizialmente proposto un taglio di 16 milioni alla Riduzione dei premi di assicurazione malattia (RIPAM) ordinaria, misura destinata a sostenere le famiglie e i cittadini nel far fronte a premi di cassa malati in costante aumento. Si tratta di un intervento che avrebbe colpito direttamente il ceto medio e le fasce più fragili, in un contesto in cui i premi sono aumentati di oltre il 40% dal 2014 e rappresentano oggi una delle principali voci di spesa nei bilanci familiari.</w:t>
      </w:r>
    </w:p>
    <w:p w14:paraId="1C6B1CF0" w14:textId="77777777" w:rsidR="004D0E53" w:rsidRPr="00FC53AE" w:rsidRDefault="004D0E53" w:rsidP="004D0E53">
      <w:pPr>
        <w:rPr>
          <w:color w:val="000000" w:themeColor="text1"/>
          <w:sz w:val="24"/>
          <w:szCs w:val="24"/>
        </w:rPr>
      </w:pPr>
    </w:p>
    <w:p w14:paraId="5441F6BB" w14:textId="77777777" w:rsidR="004D0E53" w:rsidRPr="00FC53AE" w:rsidRDefault="004D0E53" w:rsidP="004D0E53">
      <w:pPr>
        <w:rPr>
          <w:color w:val="000000" w:themeColor="text1"/>
          <w:sz w:val="24"/>
          <w:szCs w:val="24"/>
        </w:rPr>
      </w:pPr>
      <w:r w:rsidRPr="00FC53AE">
        <w:rPr>
          <w:color w:val="000000" w:themeColor="text1"/>
          <w:sz w:val="24"/>
          <w:szCs w:val="24"/>
        </w:rPr>
        <w:t>La proposta, tuttavia, è stata ritirata in Parlamento non per un ripensamento sul merito, bensì per timore che potesse compromettere l'esito della riforma fiscale favorevole ai redditi elevati, in vista di una possibile votazione popolare. Questo fatto solleva gravi interrogativi politici: proporre un taglio così pesante a un aiuto fondamentale per le famiglie, salvo poi ritirarlo per calcolo elettorale, è in sé un segnale allarmante sulla direzione politica adottata.</w:t>
      </w:r>
    </w:p>
    <w:p w14:paraId="01A35215" w14:textId="77777777" w:rsidR="004D0E53" w:rsidRPr="00FC53AE" w:rsidRDefault="004D0E53" w:rsidP="004D0E53">
      <w:pPr>
        <w:rPr>
          <w:color w:val="000000" w:themeColor="text1"/>
          <w:sz w:val="24"/>
          <w:szCs w:val="24"/>
        </w:rPr>
      </w:pPr>
    </w:p>
    <w:p w14:paraId="7190A38D" w14:textId="77777777" w:rsidR="004D0E53" w:rsidRPr="00FC53AE" w:rsidRDefault="004D0E53" w:rsidP="004D0E53">
      <w:pPr>
        <w:rPr>
          <w:color w:val="000000" w:themeColor="text1"/>
          <w:sz w:val="24"/>
          <w:szCs w:val="24"/>
        </w:rPr>
      </w:pPr>
      <w:r w:rsidRPr="00FC53AE">
        <w:rPr>
          <w:color w:val="000000" w:themeColor="text1"/>
          <w:sz w:val="24"/>
          <w:szCs w:val="24"/>
        </w:rPr>
        <w:t xml:space="preserve">Dal punto di vista tecnico, la riduzione dei sussidi avrebbe colpito in modo lineare migliaia di nuclei familiari, indipendentemente dall’aumento reale dei premi, già cresciuti di circa il 10% solo nell’ultimo anno. L’apparente paradosso per cui “una famiglia prende più </w:t>
      </w:r>
      <w:r w:rsidRPr="00FC53AE">
        <w:rPr>
          <w:color w:val="000000" w:themeColor="text1"/>
          <w:sz w:val="24"/>
          <w:szCs w:val="24"/>
        </w:rPr>
        <w:lastRenderedPageBreak/>
        <w:t>dell’anno scorso” si rivela quindi fuorviante, perché ignora quanto avrebbe dovuto ricevere per compensare l’aumento dei premi.</w:t>
      </w:r>
    </w:p>
    <w:p w14:paraId="54DF53B4" w14:textId="77777777" w:rsidR="004D0E53" w:rsidRPr="00FC53AE" w:rsidRDefault="004D0E53" w:rsidP="004D0E53">
      <w:pPr>
        <w:rPr>
          <w:color w:val="000000" w:themeColor="text1"/>
          <w:sz w:val="24"/>
          <w:szCs w:val="24"/>
        </w:rPr>
      </w:pPr>
    </w:p>
    <w:p w14:paraId="169B12F5" w14:textId="77777777" w:rsidR="004D0E53" w:rsidRPr="00FC53AE" w:rsidRDefault="004D0E53" w:rsidP="004D0E53">
      <w:pPr>
        <w:rPr>
          <w:color w:val="000000" w:themeColor="text1"/>
          <w:sz w:val="24"/>
          <w:szCs w:val="24"/>
        </w:rPr>
      </w:pPr>
      <w:r w:rsidRPr="00FC53AE">
        <w:rPr>
          <w:color w:val="000000" w:themeColor="text1"/>
          <w:sz w:val="24"/>
          <w:szCs w:val="24"/>
        </w:rPr>
        <w:t>Nel contempo, il governo ha giustificato il taglio come misura coerente con il contenimento della spesa, mentre continua a sostenere una riforma fiscale che garantisce risparmi irrisori per il ceto medio e significativi vantaggi per i redditi più alti. Un confronto tra perdite e benefici chiarisce l’assurdità della misura: una famiglia con un figlio e 100.000 franchi di reddito disponibile perderebbe circa 2.000 franchi di sussidi ma risparmierebbe solo 35 franchi grazie alla riduzione dell’imposta; una coppia di anziani perderebbe 1.500 franchi contro un beneficio fiscale di appena 15.</w:t>
      </w:r>
    </w:p>
    <w:p w14:paraId="5633106D" w14:textId="77777777" w:rsidR="004D0E53" w:rsidRPr="00FC53AE" w:rsidRDefault="004D0E53" w:rsidP="004D0E53">
      <w:pPr>
        <w:rPr>
          <w:color w:val="000000" w:themeColor="text1"/>
          <w:sz w:val="24"/>
          <w:szCs w:val="24"/>
        </w:rPr>
      </w:pPr>
    </w:p>
    <w:p w14:paraId="078DE069" w14:textId="000A141F" w:rsidR="004D0E53" w:rsidRPr="00FC53AE" w:rsidRDefault="004D0E53" w:rsidP="004D0E53">
      <w:pPr>
        <w:rPr>
          <w:color w:val="000000" w:themeColor="text1"/>
          <w:sz w:val="24"/>
          <w:szCs w:val="24"/>
        </w:rPr>
      </w:pPr>
      <w:r w:rsidRPr="00FC53AE">
        <w:rPr>
          <w:color w:val="000000" w:themeColor="text1"/>
          <w:sz w:val="24"/>
          <w:szCs w:val="24"/>
        </w:rPr>
        <w:t>Questo squilibrio dimostra come il costo della politica fiscale regressiva ricada proprio su chi ha più bisogno di sostegno. L’idea stessa di proporre il taglio alla RIPAM, in questo contesto, è indicativa di una visione che sacrifica la coesione sociale e la giustizia redistributiva sull’altare di una competitività fiscale che premia pochi e penalizza molti.</w:t>
      </w:r>
    </w:p>
    <w:p w14:paraId="67BDF5A2" w14:textId="77777777" w:rsidR="004D0E53" w:rsidRPr="00FC53AE" w:rsidRDefault="004D0E53" w:rsidP="004D0E53">
      <w:pPr>
        <w:rPr>
          <w:color w:val="000000" w:themeColor="text1"/>
          <w:sz w:val="24"/>
          <w:szCs w:val="24"/>
        </w:rPr>
      </w:pPr>
    </w:p>
    <w:p w14:paraId="4C26F403" w14:textId="77777777" w:rsidR="009C4474" w:rsidRPr="00FC53AE" w:rsidRDefault="009C4474" w:rsidP="009C4474">
      <w:pPr>
        <w:rPr>
          <w:color w:val="000000" w:themeColor="text1"/>
          <w:sz w:val="24"/>
          <w:szCs w:val="24"/>
        </w:rPr>
      </w:pPr>
      <w:r w:rsidRPr="00FC53AE">
        <w:rPr>
          <w:color w:val="000000" w:themeColor="text1"/>
          <w:sz w:val="24"/>
          <w:szCs w:val="24"/>
        </w:rPr>
        <w:t>Anche il lavoro dell’amministrazione pubblica è un bene comune e va curato, non svalutato. Le misure di risparmio sul personale, riproposte ciclicamente dal 1993, hanno avuto un impatto rilevante sul risanamento delle finanze cantonali, ma spesso sono state adottate in modo lineare e non strategico, colpendo in modo trasversale senza considerare gli effetti sul funzionamento della macchina statale.</w:t>
      </w:r>
    </w:p>
    <w:p w14:paraId="0D6C0217" w14:textId="77777777" w:rsidR="009C4474" w:rsidRPr="00FC53AE" w:rsidRDefault="009C4474" w:rsidP="009C4474">
      <w:pPr>
        <w:rPr>
          <w:color w:val="000000" w:themeColor="text1"/>
          <w:sz w:val="24"/>
          <w:szCs w:val="24"/>
        </w:rPr>
      </w:pPr>
    </w:p>
    <w:p w14:paraId="0398EE85" w14:textId="520DC0CF" w:rsidR="009C4474" w:rsidRPr="00FC53AE" w:rsidRDefault="009C4474" w:rsidP="009C4474">
      <w:pPr>
        <w:rPr>
          <w:color w:val="000000" w:themeColor="text1"/>
          <w:sz w:val="24"/>
          <w:szCs w:val="24"/>
        </w:rPr>
      </w:pPr>
      <w:r w:rsidRPr="00FC53AE">
        <w:rPr>
          <w:color w:val="000000" w:themeColor="text1"/>
          <w:sz w:val="24"/>
          <w:szCs w:val="24"/>
        </w:rPr>
        <w:t>Nel tempo, queste politiche hanno minato l’attrattività dell’impiego pubblico, con un deterioramento delle condizioni di lavoro e una progressiva difficoltà nel reclutare e trattenere personale qualificato. Eppure, è proprio all’interno dell’amministrazione che si elaborano le leggi, si applicano le norme e si pianificano politiche pubbliche efficaci: senza professionalità adeguate, il buon funzionamento delle istituzioni è a rischio.</w:t>
      </w:r>
    </w:p>
    <w:p w14:paraId="1D0326B5" w14:textId="77777777" w:rsidR="009C4474" w:rsidRPr="00FC53AE" w:rsidRDefault="009C4474" w:rsidP="009C4474">
      <w:pPr>
        <w:rPr>
          <w:color w:val="000000" w:themeColor="text1"/>
          <w:sz w:val="24"/>
          <w:szCs w:val="24"/>
        </w:rPr>
      </w:pPr>
    </w:p>
    <w:p w14:paraId="1CF09EAF" w14:textId="74AAAA20" w:rsidR="009C4474" w:rsidRPr="00FC53AE" w:rsidRDefault="009C4474" w:rsidP="009C4474">
      <w:pPr>
        <w:rPr>
          <w:color w:val="000000" w:themeColor="text1"/>
          <w:sz w:val="24"/>
          <w:szCs w:val="24"/>
        </w:rPr>
      </w:pPr>
      <w:r w:rsidRPr="00FC53AE">
        <w:rPr>
          <w:color w:val="000000" w:themeColor="text1"/>
          <w:sz w:val="24"/>
          <w:szCs w:val="24"/>
        </w:rPr>
        <w:t>Le misure più recenti, come la mancata sostituzione del 20% dei partenti, il blocco del rincaro, si sommano a un lungo elenco di penalizzazioni. Questo clima di continuo impoverimento della funzione pubblica si riflette anche nel segnale negativo inviato agli enti sussidiati, chiamati a ridurre la spesa sul personale seguendo l’esempio del Cantone.</w:t>
      </w:r>
    </w:p>
    <w:p w14:paraId="56046A80" w14:textId="77777777" w:rsidR="009C4474" w:rsidRPr="00FC53AE" w:rsidRDefault="009C4474" w:rsidP="009C4474">
      <w:pPr>
        <w:rPr>
          <w:color w:val="000000" w:themeColor="text1"/>
          <w:sz w:val="24"/>
          <w:szCs w:val="24"/>
        </w:rPr>
      </w:pPr>
    </w:p>
    <w:p w14:paraId="7BB74370" w14:textId="0276A2EB" w:rsidR="004D0E53" w:rsidRPr="00FC53AE" w:rsidRDefault="009C4474" w:rsidP="009C4474">
      <w:pPr>
        <w:rPr>
          <w:color w:val="000000" w:themeColor="text1"/>
          <w:sz w:val="24"/>
          <w:szCs w:val="24"/>
        </w:rPr>
      </w:pPr>
      <w:r w:rsidRPr="00FC53AE">
        <w:rPr>
          <w:color w:val="000000" w:themeColor="text1"/>
          <w:sz w:val="24"/>
          <w:szCs w:val="24"/>
        </w:rPr>
        <w:t>Le numerose prese di posizione giunte da scuole, docenti e istituzioni sottolineano con forza che non si può continuare a pretendere qualità nei servizi pubblici senza investire nel lavoro di chi quei servizi li garantisce. Per questo, è urgente riconoscere che il personale dell’amministrazione non è un costo da comprimere, ma una risorsa da valorizzare, per garantire efficienza, equità e dignità nel servizio pubblico.</w:t>
      </w:r>
    </w:p>
    <w:p w14:paraId="33A7E706" w14:textId="6FB12015" w:rsidR="00705CF8" w:rsidRDefault="00705CF8" w:rsidP="00705CF8">
      <w:pPr>
        <w:rPr>
          <w:color w:val="000000" w:themeColor="text1"/>
          <w:sz w:val="24"/>
          <w:szCs w:val="24"/>
        </w:rPr>
      </w:pPr>
    </w:p>
    <w:p w14:paraId="7928B68B" w14:textId="77777777" w:rsidR="00175387" w:rsidRPr="00FC53AE" w:rsidRDefault="00175387" w:rsidP="00705CF8">
      <w:pPr>
        <w:rPr>
          <w:color w:val="000000" w:themeColor="text1"/>
          <w:sz w:val="24"/>
          <w:szCs w:val="24"/>
        </w:rPr>
      </w:pPr>
    </w:p>
    <w:p w14:paraId="0E7A6480" w14:textId="7266DCF0" w:rsidR="00F614F9" w:rsidRPr="00FC53AE" w:rsidRDefault="00F614F9" w:rsidP="000D0508">
      <w:pPr>
        <w:pStyle w:val="Titolo1"/>
        <w:numPr>
          <w:ilvl w:val="0"/>
          <w:numId w:val="35"/>
        </w:numPr>
        <w:spacing w:before="0"/>
        <w:ind w:left="567" w:hanging="567"/>
        <w:rPr>
          <w:color w:val="000000" w:themeColor="text1"/>
          <w:sz w:val="24"/>
          <w:szCs w:val="24"/>
        </w:rPr>
      </w:pPr>
      <w:bookmarkStart w:id="10" w:name="_Toc199249367"/>
      <w:r w:rsidRPr="00FC53AE">
        <w:rPr>
          <w:color w:val="000000" w:themeColor="text1"/>
          <w:sz w:val="24"/>
          <w:szCs w:val="24"/>
        </w:rPr>
        <w:t xml:space="preserve">ESAME </w:t>
      </w:r>
      <w:r w:rsidR="00445D80" w:rsidRPr="00FC53AE">
        <w:rPr>
          <w:color w:val="000000" w:themeColor="text1"/>
          <w:sz w:val="24"/>
          <w:szCs w:val="24"/>
        </w:rPr>
        <w:t>DELLA MINORANZA</w:t>
      </w:r>
      <w:bookmarkEnd w:id="10"/>
    </w:p>
    <w:p w14:paraId="071558A3" w14:textId="77777777" w:rsidR="00445D80" w:rsidRPr="00FC53AE" w:rsidRDefault="00445D80" w:rsidP="00445D80">
      <w:pPr>
        <w:rPr>
          <w:color w:val="000000" w:themeColor="text1"/>
          <w:sz w:val="24"/>
          <w:szCs w:val="24"/>
        </w:rPr>
      </w:pPr>
      <w:r w:rsidRPr="00FC53AE">
        <w:rPr>
          <w:color w:val="000000" w:themeColor="text1"/>
          <w:sz w:val="24"/>
          <w:szCs w:val="24"/>
        </w:rPr>
        <w:t>Il Consuntivo 2024 conferma un'impostazione politica miope e socialmente regressiva, che continua a puntare su tagli alla spesa pubblica invece di affrontare con coraggio le vere sfide della società contemporanea.</w:t>
      </w:r>
    </w:p>
    <w:p w14:paraId="58F6116C" w14:textId="77777777" w:rsidR="00445D80" w:rsidRPr="00FC53AE" w:rsidRDefault="00445D80" w:rsidP="00445D80">
      <w:pPr>
        <w:rPr>
          <w:color w:val="000000" w:themeColor="text1"/>
          <w:sz w:val="24"/>
          <w:szCs w:val="24"/>
        </w:rPr>
      </w:pPr>
    </w:p>
    <w:p w14:paraId="73073C84" w14:textId="0783DCC0" w:rsidR="00445D80" w:rsidRPr="00FC53AE" w:rsidRDefault="00445D80" w:rsidP="00445D80">
      <w:pPr>
        <w:rPr>
          <w:color w:val="000000" w:themeColor="text1"/>
          <w:sz w:val="24"/>
          <w:szCs w:val="24"/>
        </w:rPr>
      </w:pPr>
      <w:r w:rsidRPr="00FC53AE">
        <w:rPr>
          <w:color w:val="000000" w:themeColor="text1"/>
          <w:sz w:val="24"/>
          <w:szCs w:val="24"/>
        </w:rPr>
        <w:t xml:space="preserve">Il problema non è un’esplosione della spesa, ma una riduzione strutturale delle entrate causata da anni di sgravi fiscali mirati ai redditi più alti e alle imprese, che hanno progressivamente eroso la base imponibile cantonale. In un contesto di bisogni crescenti – sanità, demografia, formazione, edilizia scolastica – questa politica di auto indebolimento </w:t>
      </w:r>
      <w:r w:rsidRPr="00FC53AE">
        <w:rPr>
          <w:color w:val="000000" w:themeColor="text1"/>
          <w:sz w:val="24"/>
          <w:szCs w:val="24"/>
        </w:rPr>
        <w:lastRenderedPageBreak/>
        <w:t>dello Stato ha ridotto la capacità di risposta, compromesso la coesione sociale e spostato il carico fiscale sempre più sulle persone fisiche.</w:t>
      </w:r>
    </w:p>
    <w:p w14:paraId="77A97D73" w14:textId="77777777" w:rsidR="00445D80" w:rsidRPr="00FC53AE" w:rsidRDefault="00445D80" w:rsidP="00445D80">
      <w:pPr>
        <w:rPr>
          <w:color w:val="000000" w:themeColor="text1"/>
          <w:sz w:val="24"/>
          <w:szCs w:val="24"/>
        </w:rPr>
      </w:pPr>
    </w:p>
    <w:p w14:paraId="3C3E9B64" w14:textId="77777777" w:rsidR="00445D80" w:rsidRPr="00FC53AE" w:rsidRDefault="00445D80" w:rsidP="00445D80">
      <w:pPr>
        <w:rPr>
          <w:color w:val="000000" w:themeColor="text1"/>
          <w:sz w:val="24"/>
          <w:szCs w:val="24"/>
        </w:rPr>
      </w:pPr>
      <w:r w:rsidRPr="00FC53AE">
        <w:rPr>
          <w:color w:val="000000" w:themeColor="text1"/>
          <w:sz w:val="24"/>
          <w:szCs w:val="24"/>
        </w:rPr>
        <w:t>È illusorio pensare di rispondere alle trasformazioni economiche, climatiche e demografiche con tagli lineari e logiche contabili. Lo Stato non è un’azienda, ma il garante dell’interesse collettivo. Servono politiche pubbliche attive e investimenti mirati, non austerità improduttiva.</w:t>
      </w:r>
    </w:p>
    <w:p w14:paraId="48DC137C" w14:textId="77777777" w:rsidR="00445D80" w:rsidRPr="00FC53AE" w:rsidRDefault="00445D80" w:rsidP="00445D80">
      <w:pPr>
        <w:rPr>
          <w:color w:val="000000" w:themeColor="text1"/>
          <w:sz w:val="24"/>
          <w:szCs w:val="24"/>
        </w:rPr>
      </w:pPr>
    </w:p>
    <w:p w14:paraId="3DE452D0" w14:textId="77777777" w:rsidR="00445D80" w:rsidRPr="00FC53AE" w:rsidRDefault="00445D80" w:rsidP="00445D80">
      <w:pPr>
        <w:rPr>
          <w:color w:val="000000" w:themeColor="text1"/>
          <w:sz w:val="24"/>
          <w:szCs w:val="24"/>
        </w:rPr>
      </w:pPr>
      <w:r w:rsidRPr="00FC53AE">
        <w:rPr>
          <w:color w:val="000000" w:themeColor="text1"/>
          <w:sz w:val="24"/>
          <w:szCs w:val="24"/>
        </w:rPr>
        <w:t>Per affrontare le sfide future è necessario rafforzare il gettito fiscale in modo equo e sostenibile, ridando centralità alla fiscalità come strumento di giustizia sociale e non come ostacolo da smantellare. Continuare a comprimere la funzione pubblica, svalutare il lavoro nell’amministrazione e scaricare i costi sulle fasce più fragili non è solo ingiusto, è anche inefficace.</w:t>
      </w:r>
    </w:p>
    <w:p w14:paraId="7B49DC70" w14:textId="77777777" w:rsidR="00445D80" w:rsidRPr="00FC53AE" w:rsidRDefault="00445D80" w:rsidP="00445D80">
      <w:pPr>
        <w:rPr>
          <w:color w:val="000000" w:themeColor="text1"/>
          <w:sz w:val="24"/>
          <w:szCs w:val="24"/>
        </w:rPr>
      </w:pPr>
    </w:p>
    <w:p w14:paraId="5BA7E9C4" w14:textId="5B9A9D96" w:rsidR="002251EA" w:rsidRPr="00FC53AE" w:rsidRDefault="00445D80" w:rsidP="00445D80">
      <w:pPr>
        <w:rPr>
          <w:color w:val="000000" w:themeColor="text1"/>
          <w:sz w:val="24"/>
          <w:szCs w:val="24"/>
        </w:rPr>
      </w:pPr>
      <w:r w:rsidRPr="00FC53AE">
        <w:rPr>
          <w:color w:val="000000" w:themeColor="text1"/>
          <w:sz w:val="24"/>
          <w:szCs w:val="24"/>
        </w:rPr>
        <w:t>Il nostro Cantone ha bisogno di una nuova visione fiscale e istituzionale, capace di creare le condizioni per affrontare le sfide del presente e del futuro, e non di nasconderle sotto il tappeto dei tagli. Per questo motivo, rigettiamo il consuntivo 2024 e chiediamo un cambiamento di rotta.</w:t>
      </w:r>
    </w:p>
    <w:p w14:paraId="53BFFCE9" w14:textId="77777777" w:rsidR="00AC1D16" w:rsidRPr="00FC53AE" w:rsidRDefault="00AC1D16" w:rsidP="00A25780">
      <w:pPr>
        <w:rPr>
          <w:color w:val="000000" w:themeColor="text1"/>
          <w:sz w:val="24"/>
          <w:szCs w:val="24"/>
        </w:rPr>
      </w:pPr>
    </w:p>
    <w:p w14:paraId="07566864" w14:textId="77777777" w:rsidR="000D0508" w:rsidRPr="00FC53AE" w:rsidRDefault="000D0508" w:rsidP="00A25780">
      <w:pPr>
        <w:rPr>
          <w:color w:val="000000" w:themeColor="text1"/>
          <w:sz w:val="24"/>
          <w:szCs w:val="24"/>
        </w:rPr>
      </w:pPr>
    </w:p>
    <w:p w14:paraId="18EF6D77" w14:textId="77777777" w:rsidR="00EE7531" w:rsidRPr="00FC53AE" w:rsidRDefault="006776DE" w:rsidP="000D0508">
      <w:pPr>
        <w:pStyle w:val="Titolo1"/>
        <w:numPr>
          <w:ilvl w:val="0"/>
          <w:numId w:val="35"/>
        </w:numPr>
        <w:spacing w:before="0"/>
        <w:ind w:left="567" w:hanging="567"/>
        <w:rPr>
          <w:color w:val="000000" w:themeColor="text1"/>
          <w:sz w:val="24"/>
          <w:szCs w:val="24"/>
        </w:rPr>
      </w:pPr>
      <w:bookmarkStart w:id="11" w:name="_Toc199249368"/>
      <w:r w:rsidRPr="00FC53AE">
        <w:rPr>
          <w:color w:val="000000" w:themeColor="text1"/>
          <w:sz w:val="24"/>
          <w:szCs w:val="24"/>
        </w:rPr>
        <w:t>CONCLUSIONI</w:t>
      </w:r>
      <w:bookmarkEnd w:id="11"/>
    </w:p>
    <w:p w14:paraId="31A5C603" w14:textId="77777777" w:rsidR="009C4474" w:rsidRPr="00FC53AE" w:rsidRDefault="009C4474" w:rsidP="009C4474">
      <w:pPr>
        <w:rPr>
          <w:color w:val="000000" w:themeColor="text1"/>
          <w:sz w:val="24"/>
          <w:szCs w:val="24"/>
        </w:rPr>
      </w:pPr>
      <w:r w:rsidRPr="00FC53AE">
        <w:rPr>
          <w:color w:val="000000" w:themeColor="text1"/>
          <w:sz w:val="24"/>
          <w:szCs w:val="24"/>
        </w:rPr>
        <w:t>Il Consuntivo 2024 fotografa una situazione finanziaria segnata da scelte politiche gravi e socialmente inique. Se da un lato si è giunti, anche grazie alla pressione popolare e parlamentare, allo stralcio di misure particolarmente dannose come:</w:t>
      </w:r>
    </w:p>
    <w:p w14:paraId="3FAA1D08" w14:textId="77777777" w:rsidR="009C4474" w:rsidRPr="00FC53AE" w:rsidRDefault="009C4474" w:rsidP="009C4474">
      <w:pPr>
        <w:rPr>
          <w:color w:val="000000" w:themeColor="text1"/>
          <w:sz w:val="24"/>
          <w:szCs w:val="24"/>
        </w:rPr>
      </w:pPr>
    </w:p>
    <w:p w14:paraId="7C28A1BB" w14:textId="77777777" w:rsidR="009C4474" w:rsidRPr="00FC53AE" w:rsidRDefault="009C4474" w:rsidP="009C4474">
      <w:pPr>
        <w:rPr>
          <w:color w:val="000000" w:themeColor="text1"/>
          <w:sz w:val="24"/>
          <w:szCs w:val="24"/>
        </w:rPr>
      </w:pPr>
      <w:r w:rsidRPr="00FC53AE">
        <w:rPr>
          <w:color w:val="000000" w:themeColor="text1"/>
          <w:sz w:val="24"/>
          <w:szCs w:val="24"/>
        </w:rPr>
        <w:t>il taglio ai sussidi cassa malati (RIPAM) per 16.5 milioni di franchi;</w:t>
      </w:r>
    </w:p>
    <w:p w14:paraId="3DD17D5E" w14:textId="77777777" w:rsidR="009C4474" w:rsidRPr="00FC53AE" w:rsidRDefault="009C4474" w:rsidP="009C4474">
      <w:pPr>
        <w:rPr>
          <w:color w:val="000000" w:themeColor="text1"/>
          <w:sz w:val="24"/>
          <w:szCs w:val="24"/>
        </w:rPr>
      </w:pPr>
    </w:p>
    <w:p w14:paraId="142071FF" w14:textId="77777777" w:rsidR="006417D9" w:rsidRPr="00FC53AE" w:rsidRDefault="009C4474" w:rsidP="009C4474">
      <w:pPr>
        <w:rPr>
          <w:color w:val="000000" w:themeColor="text1"/>
          <w:sz w:val="24"/>
          <w:szCs w:val="24"/>
        </w:rPr>
      </w:pPr>
      <w:r w:rsidRPr="00FC53AE">
        <w:rPr>
          <w:color w:val="000000" w:themeColor="text1"/>
          <w:sz w:val="24"/>
          <w:szCs w:val="24"/>
        </w:rPr>
        <w:t>il contributo di solidarietà imposto ai dipendenti pubblici</w:t>
      </w:r>
      <w:r w:rsidR="006417D9" w:rsidRPr="00FC53AE">
        <w:rPr>
          <w:color w:val="000000" w:themeColor="text1"/>
          <w:sz w:val="24"/>
          <w:szCs w:val="24"/>
        </w:rPr>
        <w:t>,</w:t>
      </w:r>
    </w:p>
    <w:p w14:paraId="1DF22586" w14:textId="77777777" w:rsidR="006417D9" w:rsidRPr="00FC53AE" w:rsidRDefault="006417D9" w:rsidP="009C4474">
      <w:pPr>
        <w:rPr>
          <w:color w:val="000000" w:themeColor="text1"/>
          <w:sz w:val="24"/>
          <w:szCs w:val="24"/>
        </w:rPr>
      </w:pPr>
    </w:p>
    <w:p w14:paraId="28C3517F" w14:textId="6D9652DA" w:rsidR="009C4474" w:rsidRPr="00FC53AE" w:rsidRDefault="006417D9" w:rsidP="009C4474">
      <w:pPr>
        <w:rPr>
          <w:color w:val="000000" w:themeColor="text1"/>
          <w:sz w:val="24"/>
          <w:szCs w:val="24"/>
        </w:rPr>
      </w:pPr>
      <w:r w:rsidRPr="00FC53AE">
        <w:rPr>
          <w:color w:val="000000" w:themeColor="text1"/>
          <w:sz w:val="24"/>
          <w:szCs w:val="24"/>
        </w:rPr>
        <w:t>ed è stato concesso un parziale adeguamento al rincaro</w:t>
      </w:r>
      <w:r w:rsidR="009C4474" w:rsidRPr="00FC53AE">
        <w:rPr>
          <w:color w:val="000000" w:themeColor="text1"/>
          <w:sz w:val="24"/>
          <w:szCs w:val="24"/>
        </w:rPr>
        <w:t>,</w:t>
      </w:r>
    </w:p>
    <w:p w14:paraId="681A4083" w14:textId="77777777" w:rsidR="009C4474" w:rsidRPr="00FC53AE" w:rsidRDefault="009C4474" w:rsidP="009C4474">
      <w:pPr>
        <w:rPr>
          <w:color w:val="000000" w:themeColor="text1"/>
          <w:sz w:val="24"/>
          <w:szCs w:val="24"/>
        </w:rPr>
      </w:pPr>
    </w:p>
    <w:p w14:paraId="5229D774" w14:textId="68D8BBB1" w:rsidR="009C4474" w:rsidRPr="00FC53AE" w:rsidRDefault="009C4474" w:rsidP="009C4474">
      <w:pPr>
        <w:rPr>
          <w:color w:val="000000" w:themeColor="text1"/>
          <w:sz w:val="24"/>
          <w:szCs w:val="24"/>
        </w:rPr>
      </w:pPr>
      <w:r w:rsidRPr="00FC53AE">
        <w:rPr>
          <w:color w:val="000000" w:themeColor="text1"/>
          <w:sz w:val="24"/>
          <w:szCs w:val="24"/>
        </w:rPr>
        <w:t xml:space="preserve">dall’altro </w:t>
      </w:r>
      <w:r w:rsidR="006417D9" w:rsidRPr="00FC53AE">
        <w:rPr>
          <w:color w:val="000000" w:themeColor="text1"/>
          <w:sz w:val="24"/>
          <w:szCs w:val="24"/>
        </w:rPr>
        <w:t>u</w:t>
      </w:r>
      <w:r w:rsidRPr="00FC53AE">
        <w:rPr>
          <w:color w:val="000000" w:themeColor="text1"/>
          <w:sz w:val="24"/>
          <w:szCs w:val="24"/>
        </w:rPr>
        <w:t xml:space="preserve">n mancato riconoscimento </w:t>
      </w:r>
      <w:r w:rsidR="006417D9" w:rsidRPr="00FC53AE">
        <w:rPr>
          <w:color w:val="000000" w:themeColor="text1"/>
          <w:sz w:val="24"/>
          <w:szCs w:val="24"/>
        </w:rPr>
        <w:t>completo del rincaro</w:t>
      </w:r>
      <w:r w:rsidRPr="00FC53AE">
        <w:rPr>
          <w:color w:val="000000" w:themeColor="text1"/>
          <w:sz w:val="24"/>
          <w:szCs w:val="24"/>
        </w:rPr>
        <w:t>, nel contesto di inflazione crescente, comporta una perdita reale del potere d’acquisto per tutti i dipendenti cantonali e per coloro che dipendono da parametri sociali indicizzati (soglie LAPS, AI, assistenza, assegni integrativi).</w:t>
      </w:r>
    </w:p>
    <w:p w14:paraId="2A3B4C44" w14:textId="77777777" w:rsidR="009C4474" w:rsidRPr="00FC53AE" w:rsidRDefault="009C4474" w:rsidP="009C4474">
      <w:pPr>
        <w:rPr>
          <w:color w:val="000000" w:themeColor="text1"/>
          <w:sz w:val="24"/>
          <w:szCs w:val="24"/>
        </w:rPr>
      </w:pPr>
    </w:p>
    <w:p w14:paraId="3FE99F59" w14:textId="77777777" w:rsidR="009C4474" w:rsidRPr="00FC53AE" w:rsidRDefault="009C4474" w:rsidP="009C4474">
      <w:pPr>
        <w:rPr>
          <w:color w:val="000000" w:themeColor="text1"/>
          <w:sz w:val="24"/>
          <w:szCs w:val="24"/>
        </w:rPr>
      </w:pPr>
      <w:r w:rsidRPr="00FC53AE">
        <w:rPr>
          <w:color w:val="000000" w:themeColor="text1"/>
          <w:sz w:val="24"/>
          <w:szCs w:val="24"/>
        </w:rPr>
        <w:t>Inoltre, sono rimasti in vigore:</w:t>
      </w:r>
    </w:p>
    <w:p w14:paraId="00930096" w14:textId="77777777" w:rsidR="009C4474" w:rsidRPr="00FC53AE" w:rsidRDefault="009C4474" w:rsidP="009C4474">
      <w:pPr>
        <w:rPr>
          <w:color w:val="000000" w:themeColor="text1"/>
          <w:sz w:val="24"/>
          <w:szCs w:val="24"/>
        </w:rPr>
      </w:pPr>
    </w:p>
    <w:p w14:paraId="228A3982" w14:textId="77777777" w:rsidR="009C4474" w:rsidRPr="00FC53AE" w:rsidRDefault="009C4474" w:rsidP="009C4474">
      <w:pPr>
        <w:rPr>
          <w:color w:val="000000" w:themeColor="text1"/>
          <w:sz w:val="24"/>
          <w:szCs w:val="24"/>
        </w:rPr>
      </w:pPr>
      <w:r w:rsidRPr="00FC53AE">
        <w:rPr>
          <w:color w:val="000000" w:themeColor="text1"/>
          <w:sz w:val="24"/>
          <w:szCs w:val="24"/>
        </w:rPr>
        <w:t>i tagli agli istituti sociali per oltre 19 milioni di franchi, che hanno colpito servizi essenziali rivolti a persone disabili, anziani fragili, giovani con disagio e famiglie vulnerabili, mettendo in difficoltà enti che svolgono mandati pubblici su base contrattuale;</w:t>
      </w:r>
    </w:p>
    <w:p w14:paraId="2BCD00DA" w14:textId="77777777" w:rsidR="009C4474" w:rsidRPr="00FC53AE" w:rsidRDefault="009C4474" w:rsidP="009C4474">
      <w:pPr>
        <w:rPr>
          <w:color w:val="000000" w:themeColor="text1"/>
          <w:sz w:val="24"/>
          <w:szCs w:val="24"/>
        </w:rPr>
      </w:pPr>
    </w:p>
    <w:p w14:paraId="72A67B41" w14:textId="77777777" w:rsidR="009C4474" w:rsidRPr="00FC53AE" w:rsidRDefault="009C4474" w:rsidP="009C4474">
      <w:pPr>
        <w:rPr>
          <w:color w:val="000000" w:themeColor="text1"/>
          <w:sz w:val="24"/>
          <w:szCs w:val="24"/>
        </w:rPr>
      </w:pPr>
      <w:r w:rsidRPr="00FC53AE">
        <w:rPr>
          <w:color w:val="000000" w:themeColor="text1"/>
          <w:sz w:val="24"/>
          <w:szCs w:val="24"/>
        </w:rPr>
        <w:t>il blocco delle sostituzioni e la precarizzazione del personale, che ha aggravato il carico di lavoro nell’amministrazione e nel settore scolastico, minando l’attrattività del lavoro pubblico;</w:t>
      </w:r>
    </w:p>
    <w:p w14:paraId="77D35CD1" w14:textId="77777777" w:rsidR="009C4474" w:rsidRPr="00FC53AE" w:rsidRDefault="009C4474" w:rsidP="009C4474">
      <w:pPr>
        <w:rPr>
          <w:color w:val="000000" w:themeColor="text1"/>
          <w:sz w:val="24"/>
          <w:szCs w:val="24"/>
        </w:rPr>
      </w:pPr>
    </w:p>
    <w:p w14:paraId="029CAB40" w14:textId="77777777" w:rsidR="009C4474" w:rsidRPr="00FC53AE" w:rsidRDefault="009C4474" w:rsidP="009C4474">
      <w:pPr>
        <w:rPr>
          <w:color w:val="000000" w:themeColor="text1"/>
          <w:sz w:val="24"/>
          <w:szCs w:val="24"/>
        </w:rPr>
      </w:pPr>
      <w:r w:rsidRPr="00FC53AE">
        <w:rPr>
          <w:color w:val="000000" w:themeColor="text1"/>
          <w:sz w:val="24"/>
          <w:szCs w:val="24"/>
        </w:rPr>
        <w:t>e l’assenza di priorità strategica sugli investimenti, dove invece si sarebbero potute trovare risorse per tutelare il sociale.</w:t>
      </w:r>
    </w:p>
    <w:p w14:paraId="4F626A53" w14:textId="77777777" w:rsidR="009C4474" w:rsidRPr="00FC53AE" w:rsidRDefault="009C4474" w:rsidP="009C4474">
      <w:pPr>
        <w:rPr>
          <w:color w:val="000000" w:themeColor="text1"/>
          <w:sz w:val="24"/>
          <w:szCs w:val="24"/>
        </w:rPr>
      </w:pPr>
    </w:p>
    <w:p w14:paraId="0D95D537" w14:textId="77777777" w:rsidR="009C4474" w:rsidRPr="00FC53AE" w:rsidRDefault="009C4474" w:rsidP="009C4474">
      <w:pPr>
        <w:rPr>
          <w:color w:val="000000" w:themeColor="text1"/>
          <w:sz w:val="24"/>
          <w:szCs w:val="24"/>
        </w:rPr>
      </w:pPr>
      <w:r w:rsidRPr="00FC53AE">
        <w:rPr>
          <w:color w:val="000000" w:themeColor="text1"/>
          <w:sz w:val="24"/>
          <w:szCs w:val="24"/>
        </w:rPr>
        <w:lastRenderedPageBreak/>
        <w:t>Il riequilibrio dei conti è stato perseguito ancora una volta sacrificando la qualità dei servizi pubblici, invece di affrontare in modo serio le cause strutturali della fragilità finanziaria del Cantone, ovvero una riduzione sistematica del gettito fiscale e un’impostazione economica sbilanciata verso la concorrenza fiscale.</w:t>
      </w:r>
    </w:p>
    <w:p w14:paraId="4821480A" w14:textId="77777777" w:rsidR="009C4474" w:rsidRPr="00FC53AE" w:rsidRDefault="009C4474" w:rsidP="009C4474">
      <w:pPr>
        <w:rPr>
          <w:color w:val="000000" w:themeColor="text1"/>
          <w:sz w:val="24"/>
          <w:szCs w:val="24"/>
        </w:rPr>
      </w:pPr>
    </w:p>
    <w:p w14:paraId="3FD59627" w14:textId="77777777" w:rsidR="009C4474" w:rsidRPr="00FC53AE" w:rsidRDefault="009C4474" w:rsidP="009C4474">
      <w:pPr>
        <w:rPr>
          <w:color w:val="000000" w:themeColor="text1"/>
          <w:sz w:val="24"/>
          <w:szCs w:val="24"/>
        </w:rPr>
      </w:pPr>
      <w:r w:rsidRPr="00FC53AE">
        <w:rPr>
          <w:color w:val="000000" w:themeColor="text1"/>
          <w:sz w:val="24"/>
          <w:szCs w:val="24"/>
        </w:rPr>
        <w:t>In un contesto in cui lo stesso Piano finanziario prevede anni difficili e margini sempre più ristretti per l’azione pubblica, non possiamo legittimare con il nostro voto un Consuntivo che certifica scelte che hanno indebolito lo Stato sociale, colpito chi lavora nel e per il pubblico, e ignorato il bisogno di equità e responsabilità.</w:t>
      </w:r>
    </w:p>
    <w:p w14:paraId="7FEE2CEE" w14:textId="77777777" w:rsidR="009C4474" w:rsidRPr="00FC53AE" w:rsidRDefault="009C4474" w:rsidP="009C4474">
      <w:pPr>
        <w:rPr>
          <w:color w:val="000000" w:themeColor="text1"/>
          <w:sz w:val="24"/>
          <w:szCs w:val="24"/>
        </w:rPr>
      </w:pPr>
    </w:p>
    <w:p w14:paraId="081A46A5" w14:textId="6BF49A72" w:rsidR="000D0508" w:rsidRPr="00FC53AE" w:rsidRDefault="009C4474" w:rsidP="009C4474">
      <w:pPr>
        <w:rPr>
          <w:color w:val="000000" w:themeColor="text1"/>
          <w:sz w:val="24"/>
          <w:szCs w:val="24"/>
        </w:rPr>
      </w:pPr>
      <w:r w:rsidRPr="00FC53AE">
        <w:rPr>
          <w:color w:val="000000" w:themeColor="text1"/>
          <w:sz w:val="24"/>
          <w:szCs w:val="24"/>
        </w:rPr>
        <w:t xml:space="preserve">Per questi motivi, </w:t>
      </w:r>
      <w:r w:rsidR="00244314" w:rsidRPr="00FC53AE">
        <w:rPr>
          <w:color w:val="000000" w:themeColor="text1"/>
          <w:sz w:val="24"/>
          <w:szCs w:val="24"/>
        </w:rPr>
        <w:t>si invita a respingere</w:t>
      </w:r>
      <w:r w:rsidRPr="00FC53AE">
        <w:rPr>
          <w:color w:val="000000" w:themeColor="text1"/>
          <w:sz w:val="24"/>
          <w:szCs w:val="24"/>
        </w:rPr>
        <w:t xml:space="preserve"> il Consuntivo 2024.</w:t>
      </w:r>
    </w:p>
    <w:p w14:paraId="7314E6F4" w14:textId="45A8603D" w:rsidR="000D0508" w:rsidRDefault="000D0508" w:rsidP="00EE7531">
      <w:pPr>
        <w:rPr>
          <w:sz w:val="24"/>
          <w:szCs w:val="24"/>
        </w:rPr>
      </w:pPr>
    </w:p>
    <w:p w14:paraId="6780DF1F" w14:textId="77777777" w:rsidR="00FC53AE" w:rsidRPr="000D0508" w:rsidRDefault="00FC53AE" w:rsidP="00EE7531">
      <w:pPr>
        <w:rPr>
          <w:sz w:val="24"/>
          <w:szCs w:val="24"/>
        </w:rPr>
      </w:pPr>
    </w:p>
    <w:p w14:paraId="03ED15A1" w14:textId="6FEB7B06" w:rsidR="000D0508" w:rsidRPr="000D0508" w:rsidRDefault="000D0508" w:rsidP="00215F71">
      <w:pPr>
        <w:spacing w:after="120"/>
        <w:rPr>
          <w:sz w:val="24"/>
          <w:szCs w:val="24"/>
        </w:rPr>
      </w:pPr>
      <w:bookmarkStart w:id="12" w:name="_GoBack"/>
      <w:r w:rsidRPr="000D0508">
        <w:rPr>
          <w:sz w:val="24"/>
          <w:szCs w:val="24"/>
        </w:rPr>
        <w:t xml:space="preserve">Per la </w:t>
      </w:r>
      <w:r w:rsidR="009C4474">
        <w:rPr>
          <w:sz w:val="24"/>
          <w:szCs w:val="24"/>
        </w:rPr>
        <w:t xml:space="preserve">minoranza </w:t>
      </w:r>
      <w:r w:rsidR="00175387">
        <w:rPr>
          <w:sz w:val="24"/>
          <w:szCs w:val="24"/>
        </w:rPr>
        <w:t xml:space="preserve">1 </w:t>
      </w:r>
      <w:r w:rsidR="009C4474">
        <w:rPr>
          <w:sz w:val="24"/>
          <w:szCs w:val="24"/>
        </w:rPr>
        <w:t xml:space="preserve">della </w:t>
      </w:r>
      <w:r w:rsidRPr="000D0508">
        <w:rPr>
          <w:sz w:val="24"/>
          <w:szCs w:val="24"/>
        </w:rPr>
        <w:t>Commissione gestione e finanze</w:t>
      </w:r>
      <w:r w:rsidR="00175387">
        <w:rPr>
          <w:sz w:val="24"/>
          <w:szCs w:val="24"/>
        </w:rPr>
        <w:t>:</w:t>
      </w:r>
    </w:p>
    <w:bookmarkEnd w:id="12"/>
    <w:p w14:paraId="3963860C" w14:textId="5D01C434" w:rsidR="000D0508" w:rsidRDefault="00FC53AE" w:rsidP="00FC53AE">
      <w:pPr>
        <w:rPr>
          <w:sz w:val="24"/>
          <w:szCs w:val="24"/>
        </w:rPr>
      </w:pPr>
      <w:r>
        <w:rPr>
          <w:sz w:val="24"/>
          <w:szCs w:val="24"/>
        </w:rPr>
        <w:t>Durisch Ivo,</w:t>
      </w:r>
      <w:r w:rsidR="000D0508" w:rsidRPr="000D0508">
        <w:rPr>
          <w:sz w:val="24"/>
          <w:szCs w:val="24"/>
        </w:rPr>
        <w:t xml:space="preserve"> relatore</w:t>
      </w:r>
    </w:p>
    <w:p w14:paraId="27D0F761" w14:textId="506DA256" w:rsidR="00FC53AE" w:rsidRPr="000D0508" w:rsidRDefault="00FC53AE" w:rsidP="00FC53AE">
      <w:pPr>
        <w:rPr>
          <w:sz w:val="24"/>
          <w:szCs w:val="24"/>
        </w:rPr>
      </w:pPr>
      <w:r>
        <w:rPr>
          <w:sz w:val="24"/>
          <w:szCs w:val="24"/>
        </w:rPr>
        <w:t>Bourgoin</w:t>
      </w:r>
      <w:r w:rsidR="00175387">
        <w:rPr>
          <w:sz w:val="24"/>
          <w:szCs w:val="24"/>
        </w:rPr>
        <w:t xml:space="preserve"> - Sirica</w:t>
      </w:r>
    </w:p>
    <w:sectPr w:rsidR="00FC53AE" w:rsidRPr="000D0508" w:rsidSect="00203BA7">
      <w:headerReference w:type="even" r:id="rId19"/>
      <w:headerReference w:type="default" r:id="rId20"/>
      <w:footerReference w:type="even" r:id="rId21"/>
      <w:footerReference w:type="default" r:id="rId22"/>
      <w:headerReference w:type="first" r:id="rId23"/>
      <w:footerReference w:type="first" r:id="rId2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645E4" w14:textId="77777777" w:rsidR="00476F63" w:rsidRDefault="00476F63" w:rsidP="00F657BF">
      <w:r>
        <w:separator/>
      </w:r>
    </w:p>
  </w:endnote>
  <w:endnote w:type="continuationSeparator" w:id="0">
    <w:p w14:paraId="0477BDE7" w14:textId="77777777" w:rsidR="00476F63" w:rsidRDefault="00476F6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72 Light">
    <w:panose1 w:val="020B0303030000000003"/>
    <w:charset w:val="00"/>
    <w:family w:val="swiss"/>
    <w:pitch w:val="variable"/>
    <w:sig w:usb0="A00002EF" w:usb1="5000205B" w:usb2="00000008"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Light">
    <w:panose1 w:val="020B0402020204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DB50" w14:textId="77777777" w:rsidR="00476F63" w:rsidRDefault="00476F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476F63" w:rsidRPr="003D1008" w14:paraId="252DE246" w14:textId="77777777" w:rsidTr="00203BA7">
      <w:trPr>
        <w:trHeight w:hRule="exact" w:val="737"/>
      </w:trPr>
      <w:tc>
        <w:tcPr>
          <w:tcW w:w="4695" w:type="dxa"/>
        </w:tcPr>
        <w:p w14:paraId="370680AA" w14:textId="77777777" w:rsidR="00476F63" w:rsidRPr="003D1008" w:rsidRDefault="00476F63" w:rsidP="00203BA7">
          <w:pPr>
            <w:tabs>
              <w:tab w:val="center" w:pos="2382"/>
            </w:tabs>
          </w:pPr>
        </w:p>
      </w:tc>
      <w:tc>
        <w:tcPr>
          <w:tcW w:w="721" w:type="dxa"/>
        </w:tcPr>
        <w:p w14:paraId="0F82BAB9" w14:textId="77777777" w:rsidR="00476F63" w:rsidRPr="003D1008" w:rsidRDefault="00476F63" w:rsidP="00203BA7">
          <w:pPr>
            <w:jc w:val="center"/>
          </w:pPr>
          <w:r w:rsidRPr="003D1008">
            <w:rPr>
              <w:noProof/>
              <w:lang w:eastAsia="it-CH"/>
            </w:rPr>
            <w:drawing>
              <wp:anchor distT="0" distB="0" distL="114300" distR="114300" simplePos="0" relativeHeight="251669504" behindDoc="0" locked="1" layoutInCell="1" allowOverlap="1" wp14:anchorId="17F22199" wp14:editId="3EFFB536">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25421131" w14:textId="77777777" w:rsidR="00476F63" w:rsidRPr="003D1008" w:rsidRDefault="00476F63" w:rsidP="00203BA7">
          <w:pPr>
            <w:jc w:val="center"/>
          </w:pPr>
          <w:r w:rsidRPr="003D1008">
            <w:rPr>
              <w:noProof/>
              <w:lang w:eastAsia="it-CH"/>
            </w:rPr>
            <w:drawing>
              <wp:anchor distT="0" distB="0" distL="114300" distR="114300" simplePos="0" relativeHeight="251670528" behindDoc="0" locked="1" layoutInCell="1" allowOverlap="1" wp14:anchorId="72D7AF28" wp14:editId="576789DD">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729A514D" w14:textId="77777777" w:rsidR="00476F63" w:rsidRPr="003D1008" w:rsidRDefault="00476F63" w:rsidP="00203BA7"/>
      </w:tc>
    </w:tr>
  </w:tbl>
  <w:p w14:paraId="6C4E4F19" w14:textId="77777777" w:rsidR="00476F63" w:rsidRDefault="00476F63" w:rsidP="00203BA7">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3A64" w14:textId="77777777" w:rsidR="00476F63" w:rsidRDefault="00476F63">
    <w:pPr>
      <w:pStyle w:val="Pidipagina"/>
      <w:jc w:val="center"/>
    </w:pPr>
  </w:p>
  <w:p w14:paraId="061F077E" w14:textId="77777777" w:rsidR="00476F63" w:rsidRPr="008C6C46" w:rsidRDefault="00476F63" w:rsidP="00203BA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AA93" w14:textId="77777777" w:rsidR="00476F63" w:rsidRDefault="00476F63" w:rsidP="00F657BF">
      <w:r>
        <w:separator/>
      </w:r>
    </w:p>
  </w:footnote>
  <w:footnote w:type="continuationSeparator" w:id="0">
    <w:p w14:paraId="3BFBCB61" w14:textId="77777777" w:rsidR="00476F63" w:rsidRDefault="00476F6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B73B" w14:textId="77777777" w:rsidR="00476F63" w:rsidRDefault="00476F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476F63" w:rsidRPr="002747E7" w14:paraId="42A4A724" w14:textId="77777777" w:rsidTr="00203BA7">
      <w:trPr>
        <w:trHeight w:val="562"/>
      </w:trPr>
      <w:tc>
        <w:tcPr>
          <w:tcW w:w="8383" w:type="dxa"/>
          <w:tcBorders>
            <w:left w:val="single" w:sz="4" w:space="0" w:color="auto"/>
            <w:bottom w:val="single" w:sz="4" w:space="0" w:color="auto"/>
          </w:tcBorders>
          <w:tcMar>
            <w:left w:w="142" w:type="dxa"/>
          </w:tcMar>
          <w:vAlign w:val="bottom"/>
        </w:tcPr>
        <w:p w14:paraId="3655419D" w14:textId="77777777" w:rsidR="00476F63" w:rsidRDefault="001671E5" w:rsidP="00203BA7">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AA9158F2-5101-45AF-8557-C71758F374FC}"/>
              <w:text w:multiLine="1"/>
            </w:sdtPr>
            <w:sdtEndPr/>
            <w:sdtContent>
              <w:r w:rsidR="00476F63">
                <w:rPr>
                  <w:rFonts w:ascii="Gill Alt One MT Light" w:hAnsi="Gill Alt One MT Light"/>
                  <w:sz w:val="16"/>
                  <w:szCs w:val="16"/>
                </w:rPr>
                <w:t>Repubblica e Cantone Ticino</w:t>
              </w:r>
            </w:sdtContent>
          </w:sdt>
        </w:p>
        <w:p w14:paraId="7FC2E5AB" w14:textId="77777777" w:rsidR="00476F63" w:rsidRPr="00E8185F" w:rsidRDefault="001671E5" w:rsidP="00203BA7">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AA9158F2-5101-45AF-8557-C71758F374FC}"/>
              <w:text w:multiLine="1"/>
            </w:sdtPr>
            <w:sdtEndPr/>
            <w:sdtContent>
              <w:r w:rsidR="00476F63">
                <w:rPr>
                  <w:rFonts w:ascii="Gill Alt One MT Light" w:hAnsi="Gill Alt One MT Light"/>
                  <w:sz w:val="16"/>
                  <w:szCs w:val="16"/>
                </w:rPr>
                <w:t>Dipartimento delle finanze e dell’economia</w:t>
              </w:r>
            </w:sdtContent>
          </w:sdt>
        </w:p>
      </w:tc>
      <w:tc>
        <w:tcPr>
          <w:tcW w:w="1710" w:type="dxa"/>
          <w:tcBorders>
            <w:bottom w:val="single" w:sz="4" w:space="0" w:color="auto"/>
          </w:tcBorders>
          <w:vAlign w:val="bottom"/>
        </w:tcPr>
        <w:p w14:paraId="72F1D5D1" w14:textId="50617505" w:rsidR="00476F63" w:rsidRPr="004204CB" w:rsidRDefault="00476F63" w:rsidP="00203BA7">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0317AE">
            <w:rPr>
              <w:noProof/>
              <w:sz w:val="24"/>
            </w:rPr>
            <w:t>22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0317AE">
            <w:rPr>
              <w:noProof/>
              <w:sz w:val="24"/>
            </w:rPr>
            <w:t>22</w:t>
          </w:r>
          <w:r w:rsidRPr="004204CB">
            <w:rPr>
              <w:noProof/>
              <w:sz w:val="24"/>
            </w:rPr>
            <w:fldChar w:fldCharType="end"/>
          </w:r>
        </w:p>
      </w:tc>
    </w:tr>
    <w:tr w:rsidR="00476F63" w:rsidRPr="009E444B" w14:paraId="5E1DCCB1" w14:textId="77777777" w:rsidTr="00203BA7">
      <w:trPr>
        <w:trHeight w:val="334"/>
      </w:trPr>
      <w:sdt>
        <w:sdtPr>
          <w:rPr>
            <w:rFonts w:ascii="Gill Sans Display MT Pro BdCn" w:hAnsi="Gill Sans Display MT Pro BdCn"/>
            <w:sz w:val="18"/>
            <w:szCs w:val="18"/>
          </w:rPr>
          <w:alias w:val="CustomElements.Fields.Titolo2"/>
          <w:id w:val="48588533"/>
          <w:dataBinding w:xpath="//Text[@id='CustomElements.Fields.Titolo2']" w:storeItemID="{AA9158F2-5101-45AF-8557-C71758F374FC}"/>
          <w:text w:multiLine="1"/>
        </w:sdtPr>
        <w:sdtEndPr/>
        <w:sdtContent>
          <w:tc>
            <w:tcPr>
              <w:tcW w:w="8383" w:type="dxa"/>
              <w:tcBorders>
                <w:left w:val="single" w:sz="4" w:space="0" w:color="auto"/>
              </w:tcBorders>
              <w:tcMar>
                <w:top w:w="0" w:type="dxa"/>
                <w:left w:w="142" w:type="dxa"/>
              </w:tcMar>
            </w:tcPr>
            <w:p w14:paraId="41ACDF6D" w14:textId="572BF427" w:rsidR="00476F63" w:rsidRPr="00530C11" w:rsidRDefault="00476F63" w:rsidP="00FC53AE">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1 n. 8562 R2-1 del 27 maggio 2025</w:t>
              </w:r>
            </w:p>
          </w:tc>
        </w:sdtContent>
      </w:sdt>
      <w:tc>
        <w:tcPr>
          <w:tcW w:w="1710" w:type="dxa"/>
          <w:tcBorders>
            <w:top w:val="single" w:sz="4" w:space="0" w:color="auto"/>
          </w:tcBorders>
        </w:tcPr>
        <w:p w14:paraId="20044027" w14:textId="77777777" w:rsidR="00476F63" w:rsidRPr="00530C11" w:rsidRDefault="00476F63" w:rsidP="00203BA7">
          <w:pPr>
            <w:pStyle w:val="InvisibleLine"/>
            <w:rPr>
              <w:lang w:val="it-CH"/>
            </w:rPr>
          </w:pPr>
        </w:p>
      </w:tc>
    </w:tr>
  </w:tbl>
  <w:p w14:paraId="384288CE" w14:textId="77777777" w:rsidR="00476F63" w:rsidRPr="00980362" w:rsidRDefault="00476F63" w:rsidP="00203BA7">
    <w:pPr>
      <w:pStyle w:val="Intestazione"/>
    </w:pPr>
    <w:r>
      <w:rPr>
        <w:noProof/>
        <w:lang w:val="it-CH" w:eastAsia="it-CH"/>
      </w:rPr>
      <mc:AlternateContent>
        <mc:Choice Requires="wps">
          <w:drawing>
            <wp:anchor distT="0" distB="0" distL="114300" distR="114300" simplePos="0" relativeHeight="251665408" behindDoc="1" locked="1" layoutInCell="1" allowOverlap="1" wp14:anchorId="5C355145" wp14:editId="047BAEEB">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A9158F2-5101-45AF-8557-C71758F374FC}"/>
                            <w:text w:multiLine="1"/>
                          </w:sdtPr>
                          <w:sdtEndPr/>
                          <w:sdtContent>
                            <w:p w14:paraId="2223B95D" w14:textId="77777777" w:rsidR="00476F63" w:rsidRPr="00411371" w:rsidRDefault="00476F63" w:rsidP="00203BA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55145"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C9E26874-9277-41BE-89E6-E84185117F10}"/>
                      <w:text w:multiLine="1"/>
                    </w:sdtPr>
                    <w:sdtContent>
                      <w:p w14:paraId="2223B95D" w14:textId="77777777" w:rsidR="00476F63" w:rsidRPr="00411371" w:rsidRDefault="00476F63" w:rsidP="00203BA7">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476F63" w:rsidRPr="0004624C" w14:paraId="79321F68" w14:textId="77777777" w:rsidTr="00203BA7">
      <w:trPr>
        <w:trHeight w:hRule="exact" w:val="584"/>
      </w:trPr>
      <w:tc>
        <w:tcPr>
          <w:tcW w:w="2440" w:type="pct"/>
          <w:gridSpan w:val="3"/>
          <w:tcBorders>
            <w:top w:val="nil"/>
            <w:left w:val="nil"/>
            <w:bottom w:val="single" w:sz="4" w:space="0" w:color="auto"/>
          </w:tcBorders>
        </w:tcPr>
        <w:p w14:paraId="3719CF0F" w14:textId="77777777" w:rsidR="00476F63" w:rsidRDefault="00476F63" w:rsidP="00203BA7">
          <w:pPr>
            <w:pStyle w:val="InvisibleLine"/>
            <w:spacing w:line="240" w:lineRule="auto"/>
            <w:ind w:left="15"/>
            <w:rPr>
              <w:rFonts w:ascii="Gill Alt One MT Light" w:hAnsi="Gill Alt One MT Light"/>
              <w:sz w:val="16"/>
              <w:lang w:val="it-CH"/>
            </w:rPr>
          </w:pPr>
        </w:p>
        <w:p w14:paraId="74293D3A" w14:textId="77777777" w:rsidR="00476F63" w:rsidRDefault="00476F63" w:rsidP="00203BA7">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14:paraId="6D1EBE8C" w14:textId="77777777" w:rsidR="00476F63" w:rsidRPr="008966E7" w:rsidRDefault="00476F63" w:rsidP="00203BA7">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14:paraId="4F80F107" w14:textId="77777777" w:rsidR="00476F63" w:rsidRPr="003108C0" w:rsidRDefault="00476F63" w:rsidP="00203BA7">
          <w:pPr>
            <w:pStyle w:val="Level"/>
            <w:ind w:left="150"/>
            <w:rPr>
              <w:sz w:val="16"/>
            </w:rPr>
          </w:pPr>
        </w:p>
      </w:tc>
      <w:tc>
        <w:tcPr>
          <w:tcW w:w="209" w:type="pct"/>
          <w:tcBorders>
            <w:top w:val="nil"/>
            <w:bottom w:val="single" w:sz="4" w:space="0" w:color="auto"/>
          </w:tcBorders>
        </w:tcPr>
        <w:p w14:paraId="20AB703D" w14:textId="77777777" w:rsidR="00476F63" w:rsidRDefault="00476F63" w:rsidP="00203BA7">
          <w:pPr>
            <w:pStyle w:val="InvisibleLine"/>
            <w:ind w:left="150"/>
          </w:pPr>
          <w:r>
            <w:rPr>
              <w:noProof/>
              <w:lang w:val="it-CH" w:eastAsia="it-CH"/>
            </w:rPr>
            <w:drawing>
              <wp:anchor distT="0" distB="0" distL="114300" distR="114300" simplePos="0" relativeHeight="251667456" behindDoc="1" locked="1" layoutInCell="1" allowOverlap="1" wp14:anchorId="3A20D8B3" wp14:editId="192616B5">
                <wp:simplePos x="0" y="0"/>
                <wp:positionH relativeFrom="column">
                  <wp:posOffset>-92710</wp:posOffset>
                </wp:positionH>
                <wp:positionV relativeFrom="page">
                  <wp:posOffset>-119380</wp:posOffset>
                </wp:positionV>
                <wp:extent cx="276653" cy="467995"/>
                <wp:effectExtent l="0" t="0" r="0" b="8255"/>
                <wp:wrapNone/>
                <wp:docPr id="6" name="ooImg_141558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6BFD8DB4" w14:textId="4A38EF46" w:rsidR="00476F63" w:rsidRPr="004204CB" w:rsidRDefault="00476F63" w:rsidP="00203BA7">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0317AE">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0317AE">
            <w:rPr>
              <w:rFonts w:asciiTheme="minorHAnsi" w:hAnsiTheme="minorHAnsi" w:cstheme="minorHAnsi"/>
              <w:noProof/>
              <w:sz w:val="24"/>
            </w:rPr>
            <w:t>22</w:t>
          </w:r>
          <w:r w:rsidRPr="004204CB">
            <w:rPr>
              <w:rFonts w:asciiTheme="minorHAnsi" w:hAnsiTheme="minorHAnsi" w:cstheme="minorHAnsi"/>
              <w:noProof/>
              <w:sz w:val="24"/>
            </w:rPr>
            <w:fldChar w:fldCharType="end"/>
          </w:r>
        </w:p>
      </w:tc>
    </w:tr>
    <w:tr w:rsidR="00476F63" w:rsidRPr="0004624C" w14:paraId="7E997A26" w14:textId="77777777" w:rsidTr="00203BA7">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AA9158F2-5101-45AF-8557-C71758F374FC}"/>
          <w:text w:multiLine="1"/>
        </w:sdtPr>
        <w:sdtEndPr/>
        <w:sdtContent>
          <w:tc>
            <w:tcPr>
              <w:tcW w:w="5000" w:type="pct"/>
              <w:gridSpan w:val="6"/>
              <w:tcBorders>
                <w:left w:val="nil"/>
                <w:right w:val="nil"/>
              </w:tcBorders>
              <w:noWrap/>
              <w:tcMar>
                <w:top w:w="0" w:type="dxa"/>
              </w:tcMar>
              <w:vAlign w:val="bottom"/>
            </w:tcPr>
            <w:p w14:paraId="12EBE413" w14:textId="4BE10E65" w:rsidR="00476F63" w:rsidRPr="008C03B5" w:rsidRDefault="00476F63" w:rsidP="00203BA7">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 1</w:t>
              </w:r>
            </w:p>
          </w:tc>
        </w:sdtContent>
      </w:sdt>
    </w:tr>
    <w:tr w:rsidR="00476F63" w:rsidRPr="0004624C" w14:paraId="3F388821" w14:textId="77777777" w:rsidTr="00203BA7">
      <w:trPr>
        <w:trHeight w:hRule="exact" w:val="306"/>
      </w:trPr>
      <w:tc>
        <w:tcPr>
          <w:tcW w:w="670" w:type="pct"/>
          <w:tcBorders>
            <w:left w:val="nil"/>
            <w:bottom w:val="nil"/>
          </w:tcBorders>
          <w:noWrap/>
          <w:tcMar>
            <w:top w:w="57" w:type="dxa"/>
            <w:left w:w="142" w:type="dxa"/>
          </w:tcMar>
        </w:tcPr>
        <w:p w14:paraId="60F00E6C" w14:textId="77777777" w:rsidR="00476F63" w:rsidRPr="00C7320A" w:rsidRDefault="00476F63" w:rsidP="00203BA7">
          <w:pPr>
            <w:pStyle w:val="Level"/>
            <w:spacing w:before="60"/>
            <w:rPr>
              <w:rFonts w:ascii="Gill Alt One MT Light" w:hAnsi="Gill Alt One MT Light"/>
              <w:sz w:val="16"/>
            </w:rPr>
          </w:pPr>
          <w:r w:rsidRPr="00C7320A">
            <w:rPr>
              <w:rFonts w:ascii="Gill Alt One MT Light" w:hAnsi="Gill Alt One MT Light"/>
              <w:sz w:val="16"/>
            </w:rPr>
            <w:t>numero</w:t>
          </w:r>
        </w:p>
        <w:p w14:paraId="74662092" w14:textId="77777777" w:rsidR="00476F63" w:rsidRPr="00C7320A" w:rsidRDefault="00476F63" w:rsidP="00203BA7">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0CFC6AFE" w14:textId="77777777" w:rsidR="00476F63" w:rsidRPr="00C7320A" w:rsidRDefault="00476F63" w:rsidP="00203BA7">
          <w:pPr>
            <w:pStyle w:val="Level"/>
            <w:spacing w:before="60"/>
            <w:rPr>
              <w:rFonts w:ascii="Gill Alt One MT Light" w:hAnsi="Gill Alt One MT Light"/>
              <w:sz w:val="16"/>
            </w:rPr>
          </w:pPr>
          <w:r w:rsidRPr="00C7320A">
            <w:rPr>
              <w:rFonts w:ascii="Gill Alt One MT Light" w:hAnsi="Gill Alt One MT Light"/>
              <w:sz w:val="16"/>
            </w:rPr>
            <w:t>data</w:t>
          </w:r>
        </w:p>
        <w:p w14:paraId="4AA13FC1" w14:textId="77777777" w:rsidR="00476F63" w:rsidRPr="00C7320A" w:rsidRDefault="00476F63" w:rsidP="00203BA7">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2717B2C5" w14:textId="77777777" w:rsidR="00476F63" w:rsidRPr="00C7320A" w:rsidRDefault="00476F63" w:rsidP="00203BA7">
          <w:pPr>
            <w:pStyle w:val="Level"/>
            <w:spacing w:before="60"/>
            <w:rPr>
              <w:rFonts w:ascii="Gill Alt One MT Light" w:hAnsi="Gill Alt One MT Light"/>
              <w:sz w:val="16"/>
            </w:rPr>
          </w:pPr>
          <w:r>
            <w:rPr>
              <w:rFonts w:ascii="Gill Alt One MT Light" w:hAnsi="Gill Alt One MT Light"/>
              <w:sz w:val="16"/>
            </w:rPr>
            <w:t>competenza</w:t>
          </w:r>
        </w:p>
        <w:p w14:paraId="5331F95F" w14:textId="77777777" w:rsidR="00476F63" w:rsidRPr="008C03B5" w:rsidRDefault="00476F63" w:rsidP="00203BA7">
          <w:pPr>
            <w:pStyle w:val="Level"/>
            <w:spacing w:before="60" w:line="240" w:lineRule="auto"/>
            <w:rPr>
              <w:rFonts w:ascii="Gill Alt One MT Light" w:hAnsi="Gill Alt One MT Light"/>
              <w:sz w:val="16"/>
            </w:rPr>
          </w:pPr>
        </w:p>
      </w:tc>
    </w:tr>
    <w:tr w:rsidR="00476F63" w:rsidRPr="0004624C" w14:paraId="68D0DC1F" w14:textId="77777777" w:rsidTr="00203BA7">
      <w:trPr>
        <w:trHeight w:hRule="exact" w:val="699"/>
      </w:trPr>
      <w:tc>
        <w:tcPr>
          <w:tcW w:w="670" w:type="pct"/>
          <w:tcBorders>
            <w:top w:val="nil"/>
            <w:left w:val="nil"/>
            <w:bottom w:val="single" w:sz="4" w:space="0" w:color="auto"/>
            <w:right w:val="nil"/>
          </w:tcBorders>
          <w:noWrap/>
          <w:tcMar>
            <w:top w:w="0" w:type="dxa"/>
          </w:tcMar>
        </w:tcPr>
        <w:p w14:paraId="76CB32ED" w14:textId="341E6487" w:rsidR="00476F63" w:rsidRPr="00BE22A2" w:rsidRDefault="001671E5" w:rsidP="00A52F92">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AA9158F2-5101-45AF-8557-C71758F374FC}"/>
              <w:text w:multiLine="1"/>
            </w:sdtPr>
            <w:sdtEndPr/>
            <w:sdtContent>
              <w:r w:rsidR="00476F63">
                <w:rPr>
                  <w:rFonts w:cstheme="minorHAnsi"/>
                  <w:b/>
                  <w:sz w:val="24"/>
                  <w:szCs w:val="24"/>
                </w:rPr>
                <w:t>8562 R2-1</w:t>
              </w:r>
            </w:sdtContent>
          </w:sdt>
        </w:p>
      </w:tc>
      <w:sdt>
        <w:sdtPr>
          <w:rPr>
            <w:sz w:val="24"/>
          </w:rPr>
          <w:alias w:val="DocParam.Date"/>
          <w:id w:val="-464426178"/>
          <w:dataBinding w:xpath="//DateTime[@id='DocParam.Date']" w:storeItemID="{AA9158F2-5101-45AF-8557-C71758F374FC}"/>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C6D9F3D" w14:textId="2665C110" w:rsidR="00476F63" w:rsidRPr="002A0371" w:rsidRDefault="00476F63" w:rsidP="00A52F92">
              <w:pPr>
                <w:pStyle w:val="Data"/>
              </w:pPr>
              <w:r>
                <w:rPr>
                  <w:sz w:val="24"/>
                </w:rPr>
                <w:t>27 maggio 2025</w:t>
              </w:r>
            </w:p>
          </w:tc>
        </w:sdtContent>
      </w:sdt>
      <w:tc>
        <w:tcPr>
          <w:tcW w:w="3218" w:type="pct"/>
          <w:gridSpan w:val="4"/>
          <w:tcBorders>
            <w:top w:val="nil"/>
            <w:left w:val="nil"/>
            <w:bottom w:val="nil"/>
            <w:right w:val="nil"/>
          </w:tcBorders>
        </w:tcPr>
        <w:p w14:paraId="4482CBCA" w14:textId="77777777" w:rsidR="00476F63" w:rsidRPr="00BE22A2" w:rsidRDefault="001671E5" w:rsidP="00203BA7">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AA9158F2-5101-45AF-8557-C71758F374FC}"/>
              <w:text w:multiLine="1"/>
            </w:sdtPr>
            <w:sdtEndPr/>
            <w:sdtContent>
              <w:r w:rsidR="00476F63">
                <w:rPr>
                  <w:smallCaps/>
                  <w:sz w:val="23"/>
                  <w:szCs w:val="23"/>
                </w:rPr>
                <w:t>Dipartimento delle finanze e dell’economia</w:t>
              </w:r>
            </w:sdtContent>
          </w:sdt>
        </w:p>
      </w:tc>
    </w:tr>
    <w:tr w:rsidR="00476F63" w:rsidRPr="00C63927" w14:paraId="2FB687B1" w14:textId="77777777" w:rsidTr="00203BA7">
      <w:trPr>
        <w:trHeight w:hRule="exact" w:val="198"/>
      </w:trPr>
      <w:tc>
        <w:tcPr>
          <w:tcW w:w="5000" w:type="pct"/>
          <w:gridSpan w:val="6"/>
          <w:tcBorders>
            <w:left w:val="nil"/>
            <w:bottom w:val="nil"/>
            <w:right w:val="nil"/>
          </w:tcBorders>
          <w:noWrap/>
          <w:tcMar>
            <w:top w:w="57" w:type="dxa"/>
            <w:left w:w="85" w:type="dxa"/>
            <w:bottom w:w="170" w:type="dxa"/>
          </w:tcMar>
        </w:tcPr>
        <w:p w14:paraId="2F998600" w14:textId="77777777" w:rsidR="00476F63" w:rsidRPr="00C7320A" w:rsidRDefault="00476F63" w:rsidP="00203BA7">
          <w:pPr>
            <w:pStyle w:val="Level"/>
            <w:ind w:left="150"/>
            <w:rPr>
              <w:rFonts w:ascii="Gill Alt One MT Light" w:hAnsi="Gill Alt One MT Light"/>
              <w:sz w:val="16"/>
              <w:szCs w:val="16"/>
            </w:rPr>
          </w:pPr>
        </w:p>
      </w:tc>
    </w:tr>
  </w:tbl>
  <w:p w14:paraId="0880550A" w14:textId="77777777" w:rsidR="00476F63" w:rsidRPr="00DA2879" w:rsidRDefault="00476F63" w:rsidP="00203BA7">
    <w:pPr>
      <w:pStyle w:val="Nessunaspaziatura"/>
      <w:spacing w:line="40" w:lineRule="exact"/>
    </w:pPr>
    <w:r>
      <w:rPr>
        <w:noProof/>
        <w:lang w:val="it-CH" w:eastAsia="it-CH"/>
      </w:rPr>
      <w:drawing>
        <wp:anchor distT="0" distB="0" distL="114300" distR="114300" simplePos="0" relativeHeight="251659264" behindDoc="1" locked="1" layoutInCell="1" allowOverlap="1" wp14:anchorId="6541E2C3" wp14:editId="2BA537D8">
          <wp:simplePos x="0" y="0"/>
          <wp:positionH relativeFrom="column">
            <wp:posOffset>3042920</wp:posOffset>
          </wp:positionH>
          <wp:positionV relativeFrom="page">
            <wp:posOffset>215265</wp:posOffset>
          </wp:positionV>
          <wp:extent cx="459464" cy="467995"/>
          <wp:effectExtent l="0" t="0" r="0" b="8255"/>
          <wp:wrapNone/>
          <wp:docPr id="7" name="ooImg_10232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7C5C2D9C" wp14:editId="774EB932">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A9158F2-5101-45AF-8557-C71758F374FC}"/>
                            <w:text w:multiLine="1"/>
                          </w:sdtPr>
                          <w:sdtEndPr/>
                          <w:sdtContent>
                            <w:p w14:paraId="1E6EBECE" w14:textId="77777777" w:rsidR="00476F63" w:rsidRPr="00411371" w:rsidRDefault="00476F63" w:rsidP="00203BA7">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C2D9C"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C9E26874-9277-41BE-89E6-E84185117F10}"/>
                      <w:text w:multiLine="1"/>
                    </w:sdtPr>
                    <w:sdtContent>
                      <w:p w14:paraId="1E6EBECE" w14:textId="77777777" w:rsidR="00476F63" w:rsidRPr="00411371" w:rsidRDefault="00476F63" w:rsidP="00203BA7">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04595"/>
    <w:multiLevelType w:val="hybridMultilevel"/>
    <w:tmpl w:val="38EAB566"/>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037E2127"/>
    <w:multiLevelType w:val="hybridMultilevel"/>
    <w:tmpl w:val="01FEB778"/>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2" w15:restartNumberingAfterBreak="0">
    <w:nsid w:val="03964011"/>
    <w:multiLevelType w:val="hybridMultilevel"/>
    <w:tmpl w:val="177C3522"/>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3" w15:restartNumberingAfterBreak="0">
    <w:nsid w:val="08166AEC"/>
    <w:multiLevelType w:val="hybridMultilevel"/>
    <w:tmpl w:val="375ADAB8"/>
    <w:lvl w:ilvl="0" w:tplc="CB0870F8">
      <w:start w:val="1"/>
      <w:numFmt w:val="bullet"/>
      <w:lvlText w:val="-"/>
      <w:lvlJc w:val="left"/>
      <w:pPr>
        <w:ind w:left="360" w:hanging="360"/>
      </w:pPr>
      <w:rPr>
        <w:rFonts w:ascii="72 Light" w:hAnsi="72 Light" w:hint="default"/>
      </w:rPr>
    </w:lvl>
    <w:lvl w:ilvl="1" w:tplc="55BA2484">
      <w:numFmt w:val="bullet"/>
      <w:lvlText w:val="•"/>
      <w:lvlJc w:val="left"/>
      <w:pPr>
        <w:ind w:left="1080" w:hanging="360"/>
      </w:pPr>
      <w:rPr>
        <w:rFonts w:ascii="Arial" w:eastAsiaTheme="minorHAnsi" w:hAnsi="Arial" w:cs="Arial" w:hint="default"/>
        <w:color w:val="0070C1"/>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4" w15:restartNumberingAfterBreak="0">
    <w:nsid w:val="08821DA5"/>
    <w:multiLevelType w:val="hybridMultilevel"/>
    <w:tmpl w:val="0250167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144F42AA"/>
    <w:multiLevelType w:val="hybridMultilevel"/>
    <w:tmpl w:val="23EC8B3C"/>
    <w:lvl w:ilvl="0" w:tplc="0810000F">
      <w:start w:val="8"/>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7" w15:restartNumberingAfterBreak="0">
    <w:nsid w:val="16137EEF"/>
    <w:multiLevelType w:val="hybridMultilevel"/>
    <w:tmpl w:val="60BEC72E"/>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18" w15:restartNumberingAfterBreak="0">
    <w:nsid w:val="1AC073C7"/>
    <w:multiLevelType w:val="hybridMultilevel"/>
    <w:tmpl w:val="1B82CE8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1AF55B7C"/>
    <w:multiLevelType w:val="hybridMultilevel"/>
    <w:tmpl w:val="C096CE84"/>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209A6FA2"/>
    <w:multiLevelType w:val="hybridMultilevel"/>
    <w:tmpl w:val="C7FA3F26"/>
    <w:lvl w:ilvl="0" w:tplc="08100001">
      <w:start w:val="1"/>
      <w:numFmt w:val="bullet"/>
      <w:lvlText w:val=""/>
      <w:lvlJc w:val="left"/>
      <w:pPr>
        <w:ind w:left="360" w:hanging="360"/>
      </w:pPr>
      <w:rPr>
        <w:rFonts w:ascii="Symbol" w:hAnsi="Symbol"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3" w15:restartNumberingAfterBreak="0">
    <w:nsid w:val="20CA12D2"/>
    <w:multiLevelType w:val="multilevel"/>
    <w:tmpl w:val="0810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432D6F"/>
    <w:multiLevelType w:val="hybridMultilevel"/>
    <w:tmpl w:val="9424D40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2BAA61B0"/>
    <w:multiLevelType w:val="hybridMultilevel"/>
    <w:tmpl w:val="B9D23100"/>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349611CC"/>
    <w:multiLevelType w:val="hybridMultilevel"/>
    <w:tmpl w:val="F62ED30C"/>
    <w:lvl w:ilvl="0" w:tplc="CB0870F8">
      <w:start w:val="1"/>
      <w:numFmt w:val="bullet"/>
      <w:lvlText w:val="-"/>
      <w:lvlJc w:val="left"/>
      <w:pPr>
        <w:ind w:left="360" w:hanging="360"/>
      </w:pPr>
      <w:rPr>
        <w:rFonts w:ascii="72 Light" w:hAnsi="72 Light" w:hint="default"/>
      </w:rPr>
    </w:lvl>
    <w:lvl w:ilvl="1" w:tplc="08100003" w:tentative="1">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2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9" w15:restartNumberingAfterBreak="0">
    <w:nsid w:val="3B71104D"/>
    <w:multiLevelType w:val="hybridMultilevel"/>
    <w:tmpl w:val="05E09C5C"/>
    <w:lvl w:ilvl="0" w:tplc="1A8A8B16">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1" w15:restartNumberingAfterBreak="0">
    <w:nsid w:val="49D524CC"/>
    <w:multiLevelType w:val="multilevel"/>
    <w:tmpl w:val="953CA1B2"/>
    <w:numStyleLink w:val="HeadingList"/>
  </w:abstractNum>
  <w:abstractNum w:abstractNumId="32" w15:restartNumberingAfterBreak="0">
    <w:nsid w:val="552D5841"/>
    <w:multiLevelType w:val="hybridMultilevel"/>
    <w:tmpl w:val="DEB2019A"/>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3" w15:restartNumberingAfterBreak="0">
    <w:nsid w:val="59AC645C"/>
    <w:multiLevelType w:val="hybridMultilevel"/>
    <w:tmpl w:val="4A06530C"/>
    <w:lvl w:ilvl="0" w:tplc="AF863270">
      <w:start w:val="6"/>
      <w:numFmt w:val="decimal"/>
      <w:lvlText w:val="%1."/>
      <w:lvlJc w:val="left"/>
      <w:pPr>
        <w:ind w:left="720" w:hanging="360"/>
      </w:pPr>
      <w:rPr>
        <w:rFonts w:eastAsia="Calibri" w:cs="Times New Roman"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4" w15:restartNumberingAfterBreak="0">
    <w:nsid w:val="68FA1719"/>
    <w:multiLevelType w:val="multilevel"/>
    <w:tmpl w:val="938834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E72C0E"/>
    <w:multiLevelType w:val="hybridMultilevel"/>
    <w:tmpl w:val="9AE24666"/>
    <w:lvl w:ilvl="0" w:tplc="CB0870F8">
      <w:start w:val="1"/>
      <w:numFmt w:val="bullet"/>
      <w:lvlText w:val="-"/>
      <w:lvlJc w:val="left"/>
      <w:pPr>
        <w:ind w:left="360" w:hanging="360"/>
      </w:pPr>
      <w:rPr>
        <w:rFonts w:ascii="72 Light" w:hAnsi="72 Light" w:hint="default"/>
      </w:rPr>
    </w:lvl>
    <w:lvl w:ilvl="1" w:tplc="08100003">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num w:numId="1">
    <w:abstractNumId w:val="20"/>
  </w:num>
  <w:num w:numId="2">
    <w:abstractNumId w:val="31"/>
    <w:lvlOverride w:ilvl="0">
      <w:lvl w:ilvl="0">
        <w:start w:val="1"/>
        <w:numFmt w:val="decimal"/>
        <w:lvlText w:val="%1"/>
        <w:lvlJc w:val="left"/>
        <w:pPr>
          <w:ind w:left="363" w:hanging="363"/>
        </w:pPr>
        <w:rPr>
          <w:rFonts w:ascii="Arial" w:hAnsi="Arial" w:cs="Arial" w:hint="default"/>
        </w:rPr>
      </w:lvl>
    </w:lvlOverride>
  </w:num>
  <w:num w:numId="3">
    <w:abstractNumId w:val="15"/>
  </w:num>
  <w:num w:numId="4">
    <w:abstractNumId w:val="30"/>
  </w:num>
  <w:num w:numId="5">
    <w:abstractNumId w:val="28"/>
  </w:num>
  <w:num w:numId="6">
    <w:abstractNumId w:val="21"/>
  </w:num>
  <w:num w:numId="7">
    <w:abstractNumId w:val="2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34"/>
  </w:num>
  <w:num w:numId="19">
    <w:abstractNumId w:val="29"/>
  </w:num>
  <w:num w:numId="20">
    <w:abstractNumId w:val="23"/>
  </w:num>
  <w:num w:numId="21">
    <w:abstractNumId w:val="22"/>
  </w:num>
  <w:num w:numId="22">
    <w:abstractNumId w:val="27"/>
  </w:num>
  <w:num w:numId="23">
    <w:abstractNumId w:val="13"/>
  </w:num>
  <w:num w:numId="24">
    <w:abstractNumId w:val="12"/>
  </w:num>
  <w:num w:numId="25">
    <w:abstractNumId w:val="24"/>
  </w:num>
  <w:num w:numId="26">
    <w:abstractNumId w:val="35"/>
  </w:num>
  <w:num w:numId="27">
    <w:abstractNumId w:val="18"/>
  </w:num>
  <w:num w:numId="28">
    <w:abstractNumId w:val="11"/>
  </w:num>
  <w:num w:numId="29">
    <w:abstractNumId w:val="17"/>
  </w:num>
  <w:num w:numId="30">
    <w:abstractNumId w:val="19"/>
  </w:num>
  <w:num w:numId="31">
    <w:abstractNumId w:val="10"/>
  </w:num>
  <w:num w:numId="32">
    <w:abstractNumId w:val="26"/>
  </w:num>
  <w:num w:numId="33">
    <w:abstractNumId w:val="32"/>
  </w:num>
  <w:num w:numId="34">
    <w:abstractNumId w:val="14"/>
  </w:num>
  <w:num w:numId="35">
    <w:abstractNumId w:val="33"/>
  </w:num>
  <w:num w:numId="3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11"/>
    <w:rsid w:val="00001386"/>
    <w:rsid w:val="000014D3"/>
    <w:rsid w:val="00005298"/>
    <w:rsid w:val="0001331D"/>
    <w:rsid w:val="0001635F"/>
    <w:rsid w:val="00020B2C"/>
    <w:rsid w:val="000317AE"/>
    <w:rsid w:val="00035541"/>
    <w:rsid w:val="00083D92"/>
    <w:rsid w:val="000B1ECA"/>
    <w:rsid w:val="000B23AC"/>
    <w:rsid w:val="000C223F"/>
    <w:rsid w:val="000D0508"/>
    <w:rsid w:val="000E51FE"/>
    <w:rsid w:val="000E66E4"/>
    <w:rsid w:val="000F4CC8"/>
    <w:rsid w:val="000F76D3"/>
    <w:rsid w:val="00114C86"/>
    <w:rsid w:val="001175CE"/>
    <w:rsid w:val="001403F1"/>
    <w:rsid w:val="00144D76"/>
    <w:rsid w:val="00166A27"/>
    <w:rsid w:val="001671E5"/>
    <w:rsid w:val="00171235"/>
    <w:rsid w:val="00175387"/>
    <w:rsid w:val="00183183"/>
    <w:rsid w:val="00186D4D"/>
    <w:rsid w:val="00187E25"/>
    <w:rsid w:val="00193537"/>
    <w:rsid w:val="00195031"/>
    <w:rsid w:val="001B2740"/>
    <w:rsid w:val="001B64C3"/>
    <w:rsid w:val="001D7A60"/>
    <w:rsid w:val="001E128C"/>
    <w:rsid w:val="001E2EEB"/>
    <w:rsid w:val="001E345D"/>
    <w:rsid w:val="001F0EB2"/>
    <w:rsid w:val="00203BA7"/>
    <w:rsid w:val="00215F71"/>
    <w:rsid w:val="00222BB5"/>
    <w:rsid w:val="002251EA"/>
    <w:rsid w:val="002376B0"/>
    <w:rsid w:val="0024142D"/>
    <w:rsid w:val="00244314"/>
    <w:rsid w:val="002464AE"/>
    <w:rsid w:val="00255BAC"/>
    <w:rsid w:val="002577D0"/>
    <w:rsid w:val="00257967"/>
    <w:rsid w:val="00262208"/>
    <w:rsid w:val="00276EFF"/>
    <w:rsid w:val="00284C31"/>
    <w:rsid w:val="00284D43"/>
    <w:rsid w:val="00287CCC"/>
    <w:rsid w:val="002A6D11"/>
    <w:rsid w:val="002B5D9F"/>
    <w:rsid w:val="002C6053"/>
    <w:rsid w:val="002F6C0B"/>
    <w:rsid w:val="00315FA5"/>
    <w:rsid w:val="00330157"/>
    <w:rsid w:val="00336FF5"/>
    <w:rsid w:val="0034260E"/>
    <w:rsid w:val="00345A60"/>
    <w:rsid w:val="00346EB9"/>
    <w:rsid w:val="00352409"/>
    <w:rsid w:val="0036096A"/>
    <w:rsid w:val="0037195A"/>
    <w:rsid w:val="00372549"/>
    <w:rsid w:val="003956AE"/>
    <w:rsid w:val="003A21B2"/>
    <w:rsid w:val="003B275B"/>
    <w:rsid w:val="003B756D"/>
    <w:rsid w:val="003C36A4"/>
    <w:rsid w:val="003D1EDF"/>
    <w:rsid w:val="003F0EF0"/>
    <w:rsid w:val="003F22A0"/>
    <w:rsid w:val="003F525C"/>
    <w:rsid w:val="00403ADB"/>
    <w:rsid w:val="00445D80"/>
    <w:rsid w:val="00450E21"/>
    <w:rsid w:val="0045480C"/>
    <w:rsid w:val="00476A23"/>
    <w:rsid w:val="00476F63"/>
    <w:rsid w:val="004809E4"/>
    <w:rsid w:val="00494BDE"/>
    <w:rsid w:val="00496371"/>
    <w:rsid w:val="004A2BCB"/>
    <w:rsid w:val="004A4BE3"/>
    <w:rsid w:val="004A7B9F"/>
    <w:rsid w:val="004B0A79"/>
    <w:rsid w:val="004B7DA7"/>
    <w:rsid w:val="004C70B4"/>
    <w:rsid w:val="004D0E53"/>
    <w:rsid w:val="004E2150"/>
    <w:rsid w:val="004F3FAE"/>
    <w:rsid w:val="004F7AC3"/>
    <w:rsid w:val="00513694"/>
    <w:rsid w:val="0052159B"/>
    <w:rsid w:val="00524F4D"/>
    <w:rsid w:val="00530C11"/>
    <w:rsid w:val="005333A9"/>
    <w:rsid w:val="00535636"/>
    <w:rsid w:val="005361C4"/>
    <w:rsid w:val="00542C61"/>
    <w:rsid w:val="00564D27"/>
    <w:rsid w:val="00572FD3"/>
    <w:rsid w:val="005760FB"/>
    <w:rsid w:val="00576A44"/>
    <w:rsid w:val="00576E2E"/>
    <w:rsid w:val="0058158B"/>
    <w:rsid w:val="005A28A8"/>
    <w:rsid w:val="005B1164"/>
    <w:rsid w:val="005B4480"/>
    <w:rsid w:val="005B6B57"/>
    <w:rsid w:val="005C0F69"/>
    <w:rsid w:val="005C6B87"/>
    <w:rsid w:val="005F29A9"/>
    <w:rsid w:val="0062148F"/>
    <w:rsid w:val="006265DF"/>
    <w:rsid w:val="00630653"/>
    <w:rsid w:val="0063090E"/>
    <w:rsid w:val="00630D77"/>
    <w:rsid w:val="00635FB3"/>
    <w:rsid w:val="006417D9"/>
    <w:rsid w:val="00647D80"/>
    <w:rsid w:val="00657C41"/>
    <w:rsid w:val="006712CA"/>
    <w:rsid w:val="006776DE"/>
    <w:rsid w:val="006803D3"/>
    <w:rsid w:val="00681BCF"/>
    <w:rsid w:val="00696200"/>
    <w:rsid w:val="006D2CFB"/>
    <w:rsid w:val="006E2206"/>
    <w:rsid w:val="006F47D4"/>
    <w:rsid w:val="00700C72"/>
    <w:rsid w:val="00702002"/>
    <w:rsid w:val="00704F3B"/>
    <w:rsid w:val="00705CF8"/>
    <w:rsid w:val="00712088"/>
    <w:rsid w:val="00721906"/>
    <w:rsid w:val="00725A53"/>
    <w:rsid w:val="00750455"/>
    <w:rsid w:val="0075481E"/>
    <w:rsid w:val="00756DA4"/>
    <w:rsid w:val="00762932"/>
    <w:rsid w:val="00765823"/>
    <w:rsid w:val="00777F39"/>
    <w:rsid w:val="00793A77"/>
    <w:rsid w:val="0079657D"/>
    <w:rsid w:val="007C6626"/>
    <w:rsid w:val="007D05D8"/>
    <w:rsid w:val="007D1ECA"/>
    <w:rsid w:val="007D2CB9"/>
    <w:rsid w:val="007E367C"/>
    <w:rsid w:val="007F3E31"/>
    <w:rsid w:val="0080078D"/>
    <w:rsid w:val="0080662D"/>
    <w:rsid w:val="008119C0"/>
    <w:rsid w:val="0081417D"/>
    <w:rsid w:val="00822980"/>
    <w:rsid w:val="00830ED4"/>
    <w:rsid w:val="0083524B"/>
    <w:rsid w:val="0084175D"/>
    <w:rsid w:val="00867EB5"/>
    <w:rsid w:val="00871F7F"/>
    <w:rsid w:val="008720C4"/>
    <w:rsid w:val="008802A8"/>
    <w:rsid w:val="00887004"/>
    <w:rsid w:val="00896A3E"/>
    <w:rsid w:val="008A4CED"/>
    <w:rsid w:val="008B0ED1"/>
    <w:rsid w:val="008B26BB"/>
    <w:rsid w:val="008D6C52"/>
    <w:rsid w:val="008D7520"/>
    <w:rsid w:val="008F118E"/>
    <w:rsid w:val="008F52AF"/>
    <w:rsid w:val="009066AC"/>
    <w:rsid w:val="00907BE7"/>
    <w:rsid w:val="009110B3"/>
    <w:rsid w:val="009122BE"/>
    <w:rsid w:val="009130FF"/>
    <w:rsid w:val="00917758"/>
    <w:rsid w:val="009177D0"/>
    <w:rsid w:val="00930832"/>
    <w:rsid w:val="0093166C"/>
    <w:rsid w:val="0093790E"/>
    <w:rsid w:val="009610FB"/>
    <w:rsid w:val="00981205"/>
    <w:rsid w:val="00981C30"/>
    <w:rsid w:val="009B4223"/>
    <w:rsid w:val="009B6A65"/>
    <w:rsid w:val="009C009E"/>
    <w:rsid w:val="009C4474"/>
    <w:rsid w:val="009C5E5A"/>
    <w:rsid w:val="009D1ECE"/>
    <w:rsid w:val="009D3964"/>
    <w:rsid w:val="009F0871"/>
    <w:rsid w:val="009F2907"/>
    <w:rsid w:val="00A22E20"/>
    <w:rsid w:val="00A2530A"/>
    <w:rsid w:val="00A25780"/>
    <w:rsid w:val="00A37361"/>
    <w:rsid w:val="00A37B24"/>
    <w:rsid w:val="00A52F92"/>
    <w:rsid w:val="00A530B0"/>
    <w:rsid w:val="00AB302D"/>
    <w:rsid w:val="00AC1D16"/>
    <w:rsid w:val="00AF0268"/>
    <w:rsid w:val="00AF0E36"/>
    <w:rsid w:val="00B03797"/>
    <w:rsid w:val="00B13633"/>
    <w:rsid w:val="00B238E3"/>
    <w:rsid w:val="00B26226"/>
    <w:rsid w:val="00B311F7"/>
    <w:rsid w:val="00B42353"/>
    <w:rsid w:val="00B5113A"/>
    <w:rsid w:val="00B522E4"/>
    <w:rsid w:val="00B52550"/>
    <w:rsid w:val="00B5468E"/>
    <w:rsid w:val="00B727F3"/>
    <w:rsid w:val="00B731A3"/>
    <w:rsid w:val="00B759F8"/>
    <w:rsid w:val="00B77BB3"/>
    <w:rsid w:val="00B83ADF"/>
    <w:rsid w:val="00B850C6"/>
    <w:rsid w:val="00B8702F"/>
    <w:rsid w:val="00B92AE9"/>
    <w:rsid w:val="00BA2919"/>
    <w:rsid w:val="00BA349E"/>
    <w:rsid w:val="00BB2771"/>
    <w:rsid w:val="00BB3D8F"/>
    <w:rsid w:val="00BB5817"/>
    <w:rsid w:val="00BC64AC"/>
    <w:rsid w:val="00BD21DB"/>
    <w:rsid w:val="00BE7F7D"/>
    <w:rsid w:val="00BF0A1F"/>
    <w:rsid w:val="00BF1F77"/>
    <w:rsid w:val="00BF379C"/>
    <w:rsid w:val="00C059A7"/>
    <w:rsid w:val="00C138F6"/>
    <w:rsid w:val="00C26983"/>
    <w:rsid w:val="00C302EC"/>
    <w:rsid w:val="00C30F79"/>
    <w:rsid w:val="00C564DC"/>
    <w:rsid w:val="00C659B6"/>
    <w:rsid w:val="00C80D9F"/>
    <w:rsid w:val="00C837E5"/>
    <w:rsid w:val="00C869F0"/>
    <w:rsid w:val="00C8770C"/>
    <w:rsid w:val="00C93F8F"/>
    <w:rsid w:val="00C944C0"/>
    <w:rsid w:val="00CB216A"/>
    <w:rsid w:val="00CE1C91"/>
    <w:rsid w:val="00CE2CD9"/>
    <w:rsid w:val="00CF10F5"/>
    <w:rsid w:val="00CF2F69"/>
    <w:rsid w:val="00D01594"/>
    <w:rsid w:val="00D14DF8"/>
    <w:rsid w:val="00D15389"/>
    <w:rsid w:val="00D15C64"/>
    <w:rsid w:val="00D20147"/>
    <w:rsid w:val="00D33940"/>
    <w:rsid w:val="00D5782D"/>
    <w:rsid w:val="00D600FD"/>
    <w:rsid w:val="00D64242"/>
    <w:rsid w:val="00D649A8"/>
    <w:rsid w:val="00D64D7A"/>
    <w:rsid w:val="00D8483F"/>
    <w:rsid w:val="00D85372"/>
    <w:rsid w:val="00D862C4"/>
    <w:rsid w:val="00D935B0"/>
    <w:rsid w:val="00DA7B92"/>
    <w:rsid w:val="00DB3B2D"/>
    <w:rsid w:val="00DE395A"/>
    <w:rsid w:val="00DF1669"/>
    <w:rsid w:val="00DF22B2"/>
    <w:rsid w:val="00DF256A"/>
    <w:rsid w:val="00DF2B56"/>
    <w:rsid w:val="00DF3A1A"/>
    <w:rsid w:val="00DF5DF6"/>
    <w:rsid w:val="00E24E09"/>
    <w:rsid w:val="00E27D08"/>
    <w:rsid w:val="00E361BA"/>
    <w:rsid w:val="00E37285"/>
    <w:rsid w:val="00E45773"/>
    <w:rsid w:val="00E6550F"/>
    <w:rsid w:val="00E75334"/>
    <w:rsid w:val="00EB06B4"/>
    <w:rsid w:val="00EB088A"/>
    <w:rsid w:val="00EC21BB"/>
    <w:rsid w:val="00EC5928"/>
    <w:rsid w:val="00ED064C"/>
    <w:rsid w:val="00ED08F6"/>
    <w:rsid w:val="00ED2BB0"/>
    <w:rsid w:val="00EE1F8F"/>
    <w:rsid w:val="00EE7520"/>
    <w:rsid w:val="00EE7531"/>
    <w:rsid w:val="00EF60C0"/>
    <w:rsid w:val="00F168D5"/>
    <w:rsid w:val="00F17B2A"/>
    <w:rsid w:val="00F2153E"/>
    <w:rsid w:val="00F25DF2"/>
    <w:rsid w:val="00F30BB1"/>
    <w:rsid w:val="00F31628"/>
    <w:rsid w:val="00F337F3"/>
    <w:rsid w:val="00F4162F"/>
    <w:rsid w:val="00F56BF6"/>
    <w:rsid w:val="00F614F9"/>
    <w:rsid w:val="00F657BF"/>
    <w:rsid w:val="00F73E22"/>
    <w:rsid w:val="00F74F13"/>
    <w:rsid w:val="00F8712E"/>
    <w:rsid w:val="00FB7B70"/>
    <w:rsid w:val="00FC53AE"/>
    <w:rsid w:val="00FC5C2A"/>
    <w:rsid w:val="00FD5E29"/>
    <w:rsid w:val="00FE0F50"/>
    <w:rsid w:val="00FE14A3"/>
    <w:rsid w:val="00FE67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1B35B"/>
  <w15:docId w15:val="{F376481B-C7F5-4704-A8D3-1E848CB9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2150"/>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756DA4"/>
    <w:pPr>
      <w:spacing w:before="0" w:after="6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numbering" w:customStyle="1" w:styleId="Nessunelenco1">
    <w:name w:val="Nessun elenco1"/>
    <w:next w:val="Nessunelenco"/>
    <w:uiPriority w:val="99"/>
    <w:semiHidden/>
    <w:unhideWhenUsed/>
    <w:rsid w:val="00B77BB3"/>
  </w:style>
  <w:style w:type="paragraph" w:styleId="NormaleWeb">
    <w:name w:val="Normal (Web)"/>
    <w:basedOn w:val="Normale"/>
    <w:uiPriority w:val="99"/>
    <w:semiHidden/>
    <w:unhideWhenUsed/>
    <w:rsid w:val="00B77BB3"/>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B77BB3"/>
    <w:rPr>
      <w:color w:val="0000FF"/>
      <w:u w:val="single"/>
    </w:rPr>
  </w:style>
  <w:style w:type="paragraph" w:customStyle="1" w:styleId="Default">
    <w:name w:val="Default"/>
    <w:rsid w:val="00B77BB3"/>
    <w:pPr>
      <w:autoSpaceDE w:val="0"/>
      <w:autoSpaceDN w:val="0"/>
      <w:adjustRightInd w:val="0"/>
      <w:jc w:val="left"/>
    </w:pPr>
    <w:rPr>
      <w:rFonts w:ascii="Arial" w:hAnsi="Arial" w:cs="Arial"/>
      <w:color w:val="000000"/>
      <w:sz w:val="24"/>
      <w:szCs w:val="24"/>
      <w:lang w:val="it-CH"/>
    </w:rPr>
  </w:style>
  <w:style w:type="character" w:customStyle="1" w:styleId="Menzionenonrisolta1">
    <w:name w:val="Menzione non risolta1"/>
    <w:basedOn w:val="Carpredefinitoparagrafo"/>
    <w:uiPriority w:val="99"/>
    <w:semiHidden/>
    <w:unhideWhenUsed/>
    <w:rsid w:val="00B77BB3"/>
    <w:rPr>
      <w:color w:val="605E5C"/>
      <w:shd w:val="clear" w:color="auto" w:fill="E1DFDD"/>
    </w:rPr>
  </w:style>
  <w:style w:type="paragraph" w:styleId="Testofumetto">
    <w:name w:val="Balloon Text"/>
    <w:basedOn w:val="Normale"/>
    <w:link w:val="TestofumettoCarattere"/>
    <w:uiPriority w:val="99"/>
    <w:semiHidden/>
    <w:unhideWhenUsed/>
    <w:rsid w:val="00CF2F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2F69"/>
    <w:rPr>
      <w:rFonts w:ascii="Segoe UI" w:hAnsi="Segoe UI" w:cs="Segoe UI"/>
      <w:sz w:val="18"/>
      <w:szCs w:val="18"/>
      <w:lang w:val="it-CH"/>
    </w:rPr>
  </w:style>
  <w:style w:type="table" w:customStyle="1" w:styleId="Stile2">
    <w:name w:val="Stile2"/>
    <w:basedOn w:val="Tabellanormale"/>
    <w:uiPriority w:val="99"/>
    <w:rsid w:val="006F47D4"/>
    <w:pPr>
      <w:jc w:val="left"/>
    </w:pPr>
    <w:rPr>
      <w:lang w:val="it-CH"/>
    </w:rPr>
    <w:tblPr>
      <w:tblBorders>
        <w:insideH w:val="single" w:sz="2" w:space="0" w:color="auto"/>
      </w:tblBorders>
    </w:tblPr>
    <w:tblStylePr w:type="firstRow">
      <w:tblPr/>
      <w:tcPr>
        <w:tcBorders>
          <w:top w:val="single" w:sz="12" w:space="0" w:color="auto"/>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rFonts w:ascii="Segoe UI" w:hAnsi="Segoe UI"/>
        <w:b/>
        <w:sz w:val="22"/>
      </w:rPr>
      <w:tblPr/>
      <w:tcPr>
        <w:tcBorders>
          <w:top w:val="nil"/>
          <w:left w:val="nil"/>
          <w:bottom w:val="nil"/>
          <w:right w:val="nil"/>
          <w:insideH w:val="nil"/>
          <w:insideV w:val="nil"/>
          <w:tl2br w:val="nil"/>
          <w:tr2bl w:val="nil"/>
        </w:tcBorders>
      </w:tcPr>
    </w:tblStylePr>
    <w:tblStylePr w:type="lastCol">
      <w:tblPr/>
      <w:tcPr>
        <w:tcBorders>
          <w:top w:val="nil"/>
          <w:left w:val="nil"/>
          <w:bottom w:val="single" w:sz="2" w:space="0" w:color="auto"/>
          <w:right w:val="nil"/>
          <w:insideH w:val="single" w:sz="2" w:space="0" w:color="auto"/>
          <w:insideV w:val="single" w:sz="2" w:space="0" w:color="auto"/>
          <w:tl2br w:val="nil"/>
          <w:tr2bl w:val="nil"/>
        </w:tcBorders>
      </w:tcPr>
    </w:tblStylePr>
  </w:style>
  <w:style w:type="table" w:styleId="Grigliatabella">
    <w:name w:val="Table Grid"/>
    <w:basedOn w:val="Tabellanormale"/>
    <w:uiPriority w:val="59"/>
    <w:rsid w:val="006F47D4"/>
    <w:pPr>
      <w:jc w:val="left"/>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TestoCarattere">
    <w:name w:val="4-Testo Carattere"/>
    <w:basedOn w:val="Carpredefinitoparagrafo"/>
    <w:link w:val="4-Testo"/>
    <w:locked/>
    <w:rsid w:val="006F47D4"/>
    <w:rPr>
      <w:rFonts w:ascii="Gill Sans Light" w:hAnsi="Gill Sans Light"/>
      <w:lang w:eastAsia="it-IT"/>
    </w:rPr>
  </w:style>
  <w:style w:type="paragraph" w:customStyle="1" w:styleId="4-Testo">
    <w:name w:val="4-Testo"/>
    <w:basedOn w:val="Normale"/>
    <w:link w:val="4-TestoCarattere"/>
    <w:qFormat/>
    <w:rsid w:val="006F47D4"/>
    <w:pPr>
      <w:spacing w:after="60"/>
    </w:pPr>
    <w:rPr>
      <w:rFonts w:ascii="Gill Sans Light" w:hAnsi="Gill Sans Light"/>
      <w:lang w:val="de-CH"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418">
      <w:bodyDiv w:val="1"/>
      <w:marLeft w:val="0"/>
      <w:marRight w:val="0"/>
      <w:marTop w:val="0"/>
      <w:marBottom w:val="0"/>
      <w:divBdr>
        <w:top w:val="none" w:sz="0" w:space="0" w:color="auto"/>
        <w:left w:val="none" w:sz="0" w:space="0" w:color="auto"/>
        <w:bottom w:val="none" w:sz="0" w:space="0" w:color="auto"/>
        <w:right w:val="none" w:sz="0" w:space="0" w:color="auto"/>
      </w:divBdr>
    </w:div>
    <w:div w:id="24214937">
      <w:bodyDiv w:val="1"/>
      <w:marLeft w:val="0"/>
      <w:marRight w:val="0"/>
      <w:marTop w:val="0"/>
      <w:marBottom w:val="0"/>
      <w:divBdr>
        <w:top w:val="none" w:sz="0" w:space="0" w:color="auto"/>
        <w:left w:val="none" w:sz="0" w:space="0" w:color="auto"/>
        <w:bottom w:val="none" w:sz="0" w:space="0" w:color="auto"/>
        <w:right w:val="none" w:sz="0" w:space="0" w:color="auto"/>
      </w:divBdr>
    </w:div>
    <w:div w:id="90979121">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956516197">
          <w:marLeft w:val="0"/>
          <w:marRight w:val="0"/>
          <w:marTop w:val="0"/>
          <w:marBottom w:val="0"/>
          <w:divBdr>
            <w:top w:val="none" w:sz="0" w:space="0" w:color="auto"/>
            <w:left w:val="none" w:sz="0" w:space="0" w:color="auto"/>
            <w:bottom w:val="none" w:sz="0" w:space="0" w:color="auto"/>
            <w:right w:val="none" w:sz="0" w:space="0" w:color="auto"/>
          </w:divBdr>
        </w:div>
        <w:div w:id="1805610700">
          <w:marLeft w:val="0"/>
          <w:marRight w:val="0"/>
          <w:marTop w:val="0"/>
          <w:marBottom w:val="0"/>
          <w:divBdr>
            <w:top w:val="none" w:sz="0" w:space="0" w:color="auto"/>
            <w:left w:val="none" w:sz="0" w:space="0" w:color="auto"/>
            <w:bottom w:val="none" w:sz="0" w:space="0" w:color="auto"/>
            <w:right w:val="none" w:sz="0" w:space="0" w:color="auto"/>
          </w:divBdr>
        </w:div>
        <w:div w:id="609094350">
          <w:marLeft w:val="0"/>
          <w:marRight w:val="0"/>
          <w:marTop w:val="0"/>
          <w:marBottom w:val="0"/>
          <w:divBdr>
            <w:top w:val="none" w:sz="0" w:space="0" w:color="auto"/>
            <w:left w:val="none" w:sz="0" w:space="0" w:color="auto"/>
            <w:bottom w:val="none" w:sz="0" w:space="0" w:color="auto"/>
            <w:right w:val="none" w:sz="0" w:space="0" w:color="auto"/>
          </w:divBdr>
        </w:div>
        <w:div w:id="431245081">
          <w:marLeft w:val="0"/>
          <w:marRight w:val="0"/>
          <w:marTop w:val="0"/>
          <w:marBottom w:val="0"/>
          <w:divBdr>
            <w:top w:val="none" w:sz="0" w:space="0" w:color="auto"/>
            <w:left w:val="none" w:sz="0" w:space="0" w:color="auto"/>
            <w:bottom w:val="none" w:sz="0" w:space="0" w:color="auto"/>
            <w:right w:val="none" w:sz="0" w:space="0" w:color="auto"/>
          </w:divBdr>
        </w:div>
        <w:div w:id="774207329">
          <w:marLeft w:val="0"/>
          <w:marRight w:val="0"/>
          <w:marTop w:val="0"/>
          <w:marBottom w:val="0"/>
          <w:divBdr>
            <w:top w:val="none" w:sz="0" w:space="0" w:color="auto"/>
            <w:left w:val="none" w:sz="0" w:space="0" w:color="auto"/>
            <w:bottom w:val="none" w:sz="0" w:space="0" w:color="auto"/>
            <w:right w:val="none" w:sz="0" w:space="0" w:color="auto"/>
          </w:divBdr>
        </w:div>
        <w:div w:id="1860577932">
          <w:marLeft w:val="0"/>
          <w:marRight w:val="0"/>
          <w:marTop w:val="0"/>
          <w:marBottom w:val="0"/>
          <w:divBdr>
            <w:top w:val="none" w:sz="0" w:space="0" w:color="auto"/>
            <w:left w:val="none" w:sz="0" w:space="0" w:color="auto"/>
            <w:bottom w:val="none" w:sz="0" w:space="0" w:color="auto"/>
            <w:right w:val="none" w:sz="0" w:space="0" w:color="auto"/>
          </w:divBdr>
        </w:div>
        <w:div w:id="1239369559">
          <w:marLeft w:val="0"/>
          <w:marRight w:val="0"/>
          <w:marTop w:val="0"/>
          <w:marBottom w:val="0"/>
          <w:divBdr>
            <w:top w:val="none" w:sz="0" w:space="0" w:color="auto"/>
            <w:left w:val="none" w:sz="0" w:space="0" w:color="auto"/>
            <w:bottom w:val="none" w:sz="0" w:space="0" w:color="auto"/>
            <w:right w:val="none" w:sz="0" w:space="0" w:color="auto"/>
          </w:divBdr>
        </w:div>
        <w:div w:id="1955669789">
          <w:marLeft w:val="0"/>
          <w:marRight w:val="0"/>
          <w:marTop w:val="0"/>
          <w:marBottom w:val="0"/>
          <w:divBdr>
            <w:top w:val="none" w:sz="0" w:space="0" w:color="auto"/>
            <w:left w:val="none" w:sz="0" w:space="0" w:color="auto"/>
            <w:bottom w:val="none" w:sz="0" w:space="0" w:color="auto"/>
            <w:right w:val="none" w:sz="0" w:space="0" w:color="auto"/>
          </w:divBdr>
        </w:div>
        <w:div w:id="348877968">
          <w:marLeft w:val="0"/>
          <w:marRight w:val="0"/>
          <w:marTop w:val="0"/>
          <w:marBottom w:val="0"/>
          <w:divBdr>
            <w:top w:val="none" w:sz="0" w:space="0" w:color="auto"/>
            <w:left w:val="none" w:sz="0" w:space="0" w:color="auto"/>
            <w:bottom w:val="none" w:sz="0" w:space="0" w:color="auto"/>
            <w:right w:val="none" w:sz="0" w:space="0" w:color="auto"/>
          </w:divBdr>
        </w:div>
        <w:div w:id="1594238375">
          <w:marLeft w:val="0"/>
          <w:marRight w:val="0"/>
          <w:marTop w:val="0"/>
          <w:marBottom w:val="0"/>
          <w:divBdr>
            <w:top w:val="none" w:sz="0" w:space="0" w:color="auto"/>
            <w:left w:val="none" w:sz="0" w:space="0" w:color="auto"/>
            <w:bottom w:val="none" w:sz="0" w:space="0" w:color="auto"/>
            <w:right w:val="none" w:sz="0" w:space="0" w:color="auto"/>
          </w:divBdr>
        </w:div>
        <w:div w:id="483619050">
          <w:marLeft w:val="0"/>
          <w:marRight w:val="0"/>
          <w:marTop w:val="0"/>
          <w:marBottom w:val="0"/>
          <w:divBdr>
            <w:top w:val="none" w:sz="0" w:space="0" w:color="auto"/>
            <w:left w:val="none" w:sz="0" w:space="0" w:color="auto"/>
            <w:bottom w:val="none" w:sz="0" w:space="0" w:color="auto"/>
            <w:right w:val="none" w:sz="0" w:space="0" w:color="auto"/>
          </w:divBdr>
        </w:div>
        <w:div w:id="1759130099">
          <w:marLeft w:val="0"/>
          <w:marRight w:val="0"/>
          <w:marTop w:val="0"/>
          <w:marBottom w:val="0"/>
          <w:divBdr>
            <w:top w:val="none" w:sz="0" w:space="0" w:color="auto"/>
            <w:left w:val="none" w:sz="0" w:space="0" w:color="auto"/>
            <w:bottom w:val="none" w:sz="0" w:space="0" w:color="auto"/>
            <w:right w:val="none" w:sz="0" w:space="0" w:color="auto"/>
          </w:divBdr>
        </w:div>
        <w:div w:id="1057821349">
          <w:marLeft w:val="0"/>
          <w:marRight w:val="0"/>
          <w:marTop w:val="0"/>
          <w:marBottom w:val="0"/>
          <w:divBdr>
            <w:top w:val="none" w:sz="0" w:space="0" w:color="auto"/>
            <w:left w:val="none" w:sz="0" w:space="0" w:color="auto"/>
            <w:bottom w:val="none" w:sz="0" w:space="0" w:color="auto"/>
            <w:right w:val="none" w:sz="0" w:space="0" w:color="auto"/>
          </w:divBdr>
        </w:div>
        <w:div w:id="1272472433">
          <w:marLeft w:val="0"/>
          <w:marRight w:val="0"/>
          <w:marTop w:val="0"/>
          <w:marBottom w:val="0"/>
          <w:divBdr>
            <w:top w:val="none" w:sz="0" w:space="0" w:color="auto"/>
            <w:left w:val="none" w:sz="0" w:space="0" w:color="auto"/>
            <w:bottom w:val="none" w:sz="0" w:space="0" w:color="auto"/>
            <w:right w:val="none" w:sz="0" w:space="0" w:color="auto"/>
          </w:divBdr>
        </w:div>
        <w:div w:id="2092458770">
          <w:marLeft w:val="0"/>
          <w:marRight w:val="0"/>
          <w:marTop w:val="0"/>
          <w:marBottom w:val="0"/>
          <w:divBdr>
            <w:top w:val="none" w:sz="0" w:space="0" w:color="auto"/>
            <w:left w:val="none" w:sz="0" w:space="0" w:color="auto"/>
            <w:bottom w:val="none" w:sz="0" w:space="0" w:color="auto"/>
            <w:right w:val="none" w:sz="0" w:space="0" w:color="auto"/>
          </w:divBdr>
        </w:div>
        <w:div w:id="1441608849">
          <w:marLeft w:val="0"/>
          <w:marRight w:val="0"/>
          <w:marTop w:val="0"/>
          <w:marBottom w:val="0"/>
          <w:divBdr>
            <w:top w:val="none" w:sz="0" w:space="0" w:color="auto"/>
            <w:left w:val="none" w:sz="0" w:space="0" w:color="auto"/>
            <w:bottom w:val="none" w:sz="0" w:space="0" w:color="auto"/>
            <w:right w:val="none" w:sz="0" w:space="0" w:color="auto"/>
          </w:divBdr>
        </w:div>
        <w:div w:id="992487162">
          <w:marLeft w:val="0"/>
          <w:marRight w:val="0"/>
          <w:marTop w:val="0"/>
          <w:marBottom w:val="0"/>
          <w:divBdr>
            <w:top w:val="none" w:sz="0" w:space="0" w:color="auto"/>
            <w:left w:val="none" w:sz="0" w:space="0" w:color="auto"/>
            <w:bottom w:val="none" w:sz="0" w:space="0" w:color="auto"/>
            <w:right w:val="none" w:sz="0" w:space="0" w:color="auto"/>
          </w:divBdr>
        </w:div>
        <w:div w:id="1628395847">
          <w:marLeft w:val="0"/>
          <w:marRight w:val="0"/>
          <w:marTop w:val="0"/>
          <w:marBottom w:val="0"/>
          <w:divBdr>
            <w:top w:val="none" w:sz="0" w:space="0" w:color="auto"/>
            <w:left w:val="none" w:sz="0" w:space="0" w:color="auto"/>
            <w:bottom w:val="none" w:sz="0" w:space="0" w:color="auto"/>
            <w:right w:val="none" w:sz="0" w:space="0" w:color="auto"/>
          </w:divBdr>
        </w:div>
        <w:div w:id="462163799">
          <w:marLeft w:val="0"/>
          <w:marRight w:val="0"/>
          <w:marTop w:val="0"/>
          <w:marBottom w:val="0"/>
          <w:divBdr>
            <w:top w:val="none" w:sz="0" w:space="0" w:color="auto"/>
            <w:left w:val="none" w:sz="0" w:space="0" w:color="auto"/>
            <w:bottom w:val="none" w:sz="0" w:space="0" w:color="auto"/>
            <w:right w:val="none" w:sz="0" w:space="0" w:color="auto"/>
          </w:divBdr>
        </w:div>
        <w:div w:id="423378281">
          <w:marLeft w:val="0"/>
          <w:marRight w:val="0"/>
          <w:marTop w:val="0"/>
          <w:marBottom w:val="0"/>
          <w:divBdr>
            <w:top w:val="none" w:sz="0" w:space="0" w:color="auto"/>
            <w:left w:val="none" w:sz="0" w:space="0" w:color="auto"/>
            <w:bottom w:val="none" w:sz="0" w:space="0" w:color="auto"/>
            <w:right w:val="none" w:sz="0" w:space="0" w:color="auto"/>
          </w:divBdr>
        </w:div>
        <w:div w:id="235290010">
          <w:marLeft w:val="0"/>
          <w:marRight w:val="0"/>
          <w:marTop w:val="0"/>
          <w:marBottom w:val="0"/>
          <w:divBdr>
            <w:top w:val="none" w:sz="0" w:space="0" w:color="auto"/>
            <w:left w:val="none" w:sz="0" w:space="0" w:color="auto"/>
            <w:bottom w:val="none" w:sz="0" w:space="0" w:color="auto"/>
            <w:right w:val="none" w:sz="0" w:space="0" w:color="auto"/>
          </w:divBdr>
        </w:div>
        <w:div w:id="1709916948">
          <w:marLeft w:val="0"/>
          <w:marRight w:val="0"/>
          <w:marTop w:val="0"/>
          <w:marBottom w:val="0"/>
          <w:divBdr>
            <w:top w:val="none" w:sz="0" w:space="0" w:color="auto"/>
            <w:left w:val="none" w:sz="0" w:space="0" w:color="auto"/>
            <w:bottom w:val="none" w:sz="0" w:space="0" w:color="auto"/>
            <w:right w:val="none" w:sz="0" w:space="0" w:color="auto"/>
          </w:divBdr>
        </w:div>
        <w:div w:id="1612516072">
          <w:marLeft w:val="0"/>
          <w:marRight w:val="0"/>
          <w:marTop w:val="0"/>
          <w:marBottom w:val="0"/>
          <w:divBdr>
            <w:top w:val="none" w:sz="0" w:space="0" w:color="auto"/>
            <w:left w:val="none" w:sz="0" w:space="0" w:color="auto"/>
            <w:bottom w:val="none" w:sz="0" w:space="0" w:color="auto"/>
            <w:right w:val="none" w:sz="0" w:space="0" w:color="auto"/>
          </w:divBdr>
        </w:div>
        <w:div w:id="1788356112">
          <w:marLeft w:val="0"/>
          <w:marRight w:val="0"/>
          <w:marTop w:val="0"/>
          <w:marBottom w:val="0"/>
          <w:divBdr>
            <w:top w:val="none" w:sz="0" w:space="0" w:color="auto"/>
            <w:left w:val="none" w:sz="0" w:space="0" w:color="auto"/>
            <w:bottom w:val="none" w:sz="0" w:space="0" w:color="auto"/>
            <w:right w:val="none" w:sz="0" w:space="0" w:color="auto"/>
          </w:divBdr>
        </w:div>
        <w:div w:id="950821299">
          <w:marLeft w:val="0"/>
          <w:marRight w:val="0"/>
          <w:marTop w:val="0"/>
          <w:marBottom w:val="0"/>
          <w:divBdr>
            <w:top w:val="none" w:sz="0" w:space="0" w:color="auto"/>
            <w:left w:val="none" w:sz="0" w:space="0" w:color="auto"/>
            <w:bottom w:val="none" w:sz="0" w:space="0" w:color="auto"/>
            <w:right w:val="none" w:sz="0" w:space="0" w:color="auto"/>
          </w:divBdr>
        </w:div>
        <w:div w:id="1163663080">
          <w:marLeft w:val="0"/>
          <w:marRight w:val="0"/>
          <w:marTop w:val="0"/>
          <w:marBottom w:val="0"/>
          <w:divBdr>
            <w:top w:val="none" w:sz="0" w:space="0" w:color="auto"/>
            <w:left w:val="none" w:sz="0" w:space="0" w:color="auto"/>
            <w:bottom w:val="none" w:sz="0" w:space="0" w:color="auto"/>
            <w:right w:val="none" w:sz="0" w:space="0" w:color="auto"/>
          </w:divBdr>
        </w:div>
        <w:div w:id="1477139659">
          <w:marLeft w:val="0"/>
          <w:marRight w:val="0"/>
          <w:marTop w:val="0"/>
          <w:marBottom w:val="0"/>
          <w:divBdr>
            <w:top w:val="none" w:sz="0" w:space="0" w:color="auto"/>
            <w:left w:val="none" w:sz="0" w:space="0" w:color="auto"/>
            <w:bottom w:val="none" w:sz="0" w:space="0" w:color="auto"/>
            <w:right w:val="none" w:sz="0" w:space="0" w:color="auto"/>
          </w:divBdr>
        </w:div>
        <w:div w:id="1927379998">
          <w:marLeft w:val="0"/>
          <w:marRight w:val="0"/>
          <w:marTop w:val="0"/>
          <w:marBottom w:val="0"/>
          <w:divBdr>
            <w:top w:val="none" w:sz="0" w:space="0" w:color="auto"/>
            <w:left w:val="none" w:sz="0" w:space="0" w:color="auto"/>
            <w:bottom w:val="none" w:sz="0" w:space="0" w:color="auto"/>
            <w:right w:val="none" w:sz="0" w:space="0" w:color="auto"/>
          </w:divBdr>
        </w:div>
        <w:div w:id="808978907">
          <w:marLeft w:val="0"/>
          <w:marRight w:val="0"/>
          <w:marTop w:val="0"/>
          <w:marBottom w:val="0"/>
          <w:divBdr>
            <w:top w:val="none" w:sz="0" w:space="0" w:color="auto"/>
            <w:left w:val="none" w:sz="0" w:space="0" w:color="auto"/>
            <w:bottom w:val="none" w:sz="0" w:space="0" w:color="auto"/>
            <w:right w:val="none" w:sz="0" w:space="0" w:color="auto"/>
          </w:divBdr>
        </w:div>
        <w:div w:id="369576570">
          <w:marLeft w:val="0"/>
          <w:marRight w:val="0"/>
          <w:marTop w:val="0"/>
          <w:marBottom w:val="0"/>
          <w:divBdr>
            <w:top w:val="none" w:sz="0" w:space="0" w:color="auto"/>
            <w:left w:val="none" w:sz="0" w:space="0" w:color="auto"/>
            <w:bottom w:val="none" w:sz="0" w:space="0" w:color="auto"/>
            <w:right w:val="none" w:sz="0" w:space="0" w:color="auto"/>
          </w:divBdr>
        </w:div>
        <w:div w:id="1055350244">
          <w:marLeft w:val="0"/>
          <w:marRight w:val="0"/>
          <w:marTop w:val="0"/>
          <w:marBottom w:val="0"/>
          <w:divBdr>
            <w:top w:val="none" w:sz="0" w:space="0" w:color="auto"/>
            <w:left w:val="none" w:sz="0" w:space="0" w:color="auto"/>
            <w:bottom w:val="none" w:sz="0" w:space="0" w:color="auto"/>
            <w:right w:val="none" w:sz="0" w:space="0" w:color="auto"/>
          </w:divBdr>
        </w:div>
        <w:div w:id="149830891">
          <w:marLeft w:val="0"/>
          <w:marRight w:val="0"/>
          <w:marTop w:val="0"/>
          <w:marBottom w:val="0"/>
          <w:divBdr>
            <w:top w:val="none" w:sz="0" w:space="0" w:color="auto"/>
            <w:left w:val="none" w:sz="0" w:space="0" w:color="auto"/>
            <w:bottom w:val="none" w:sz="0" w:space="0" w:color="auto"/>
            <w:right w:val="none" w:sz="0" w:space="0" w:color="auto"/>
          </w:divBdr>
        </w:div>
        <w:div w:id="340207862">
          <w:marLeft w:val="0"/>
          <w:marRight w:val="0"/>
          <w:marTop w:val="0"/>
          <w:marBottom w:val="0"/>
          <w:divBdr>
            <w:top w:val="none" w:sz="0" w:space="0" w:color="auto"/>
            <w:left w:val="none" w:sz="0" w:space="0" w:color="auto"/>
            <w:bottom w:val="none" w:sz="0" w:space="0" w:color="auto"/>
            <w:right w:val="none" w:sz="0" w:space="0" w:color="auto"/>
          </w:divBdr>
        </w:div>
        <w:div w:id="124592988">
          <w:marLeft w:val="0"/>
          <w:marRight w:val="0"/>
          <w:marTop w:val="0"/>
          <w:marBottom w:val="0"/>
          <w:divBdr>
            <w:top w:val="none" w:sz="0" w:space="0" w:color="auto"/>
            <w:left w:val="none" w:sz="0" w:space="0" w:color="auto"/>
            <w:bottom w:val="none" w:sz="0" w:space="0" w:color="auto"/>
            <w:right w:val="none" w:sz="0" w:space="0" w:color="auto"/>
          </w:divBdr>
        </w:div>
        <w:div w:id="470948575">
          <w:marLeft w:val="0"/>
          <w:marRight w:val="0"/>
          <w:marTop w:val="0"/>
          <w:marBottom w:val="0"/>
          <w:divBdr>
            <w:top w:val="none" w:sz="0" w:space="0" w:color="auto"/>
            <w:left w:val="none" w:sz="0" w:space="0" w:color="auto"/>
            <w:bottom w:val="none" w:sz="0" w:space="0" w:color="auto"/>
            <w:right w:val="none" w:sz="0" w:space="0" w:color="auto"/>
          </w:divBdr>
        </w:div>
        <w:div w:id="1636644965">
          <w:marLeft w:val="0"/>
          <w:marRight w:val="0"/>
          <w:marTop w:val="0"/>
          <w:marBottom w:val="0"/>
          <w:divBdr>
            <w:top w:val="none" w:sz="0" w:space="0" w:color="auto"/>
            <w:left w:val="none" w:sz="0" w:space="0" w:color="auto"/>
            <w:bottom w:val="none" w:sz="0" w:space="0" w:color="auto"/>
            <w:right w:val="none" w:sz="0" w:space="0" w:color="auto"/>
          </w:divBdr>
        </w:div>
        <w:div w:id="241841039">
          <w:marLeft w:val="0"/>
          <w:marRight w:val="0"/>
          <w:marTop w:val="0"/>
          <w:marBottom w:val="0"/>
          <w:divBdr>
            <w:top w:val="none" w:sz="0" w:space="0" w:color="auto"/>
            <w:left w:val="none" w:sz="0" w:space="0" w:color="auto"/>
            <w:bottom w:val="none" w:sz="0" w:space="0" w:color="auto"/>
            <w:right w:val="none" w:sz="0" w:space="0" w:color="auto"/>
          </w:divBdr>
        </w:div>
        <w:div w:id="278336726">
          <w:marLeft w:val="0"/>
          <w:marRight w:val="0"/>
          <w:marTop w:val="0"/>
          <w:marBottom w:val="0"/>
          <w:divBdr>
            <w:top w:val="none" w:sz="0" w:space="0" w:color="auto"/>
            <w:left w:val="none" w:sz="0" w:space="0" w:color="auto"/>
            <w:bottom w:val="none" w:sz="0" w:space="0" w:color="auto"/>
            <w:right w:val="none" w:sz="0" w:space="0" w:color="auto"/>
          </w:divBdr>
        </w:div>
        <w:div w:id="1384480139">
          <w:marLeft w:val="0"/>
          <w:marRight w:val="0"/>
          <w:marTop w:val="0"/>
          <w:marBottom w:val="0"/>
          <w:divBdr>
            <w:top w:val="none" w:sz="0" w:space="0" w:color="auto"/>
            <w:left w:val="none" w:sz="0" w:space="0" w:color="auto"/>
            <w:bottom w:val="none" w:sz="0" w:space="0" w:color="auto"/>
            <w:right w:val="none" w:sz="0" w:space="0" w:color="auto"/>
          </w:divBdr>
        </w:div>
        <w:div w:id="1842044061">
          <w:marLeft w:val="0"/>
          <w:marRight w:val="0"/>
          <w:marTop w:val="0"/>
          <w:marBottom w:val="0"/>
          <w:divBdr>
            <w:top w:val="none" w:sz="0" w:space="0" w:color="auto"/>
            <w:left w:val="none" w:sz="0" w:space="0" w:color="auto"/>
            <w:bottom w:val="none" w:sz="0" w:space="0" w:color="auto"/>
            <w:right w:val="none" w:sz="0" w:space="0" w:color="auto"/>
          </w:divBdr>
        </w:div>
        <w:div w:id="438187073">
          <w:marLeft w:val="0"/>
          <w:marRight w:val="0"/>
          <w:marTop w:val="0"/>
          <w:marBottom w:val="0"/>
          <w:divBdr>
            <w:top w:val="none" w:sz="0" w:space="0" w:color="auto"/>
            <w:left w:val="none" w:sz="0" w:space="0" w:color="auto"/>
            <w:bottom w:val="none" w:sz="0" w:space="0" w:color="auto"/>
            <w:right w:val="none" w:sz="0" w:space="0" w:color="auto"/>
          </w:divBdr>
        </w:div>
        <w:div w:id="1168256257">
          <w:marLeft w:val="0"/>
          <w:marRight w:val="0"/>
          <w:marTop w:val="0"/>
          <w:marBottom w:val="0"/>
          <w:divBdr>
            <w:top w:val="none" w:sz="0" w:space="0" w:color="auto"/>
            <w:left w:val="none" w:sz="0" w:space="0" w:color="auto"/>
            <w:bottom w:val="none" w:sz="0" w:space="0" w:color="auto"/>
            <w:right w:val="none" w:sz="0" w:space="0" w:color="auto"/>
          </w:divBdr>
        </w:div>
        <w:div w:id="33620089">
          <w:marLeft w:val="0"/>
          <w:marRight w:val="0"/>
          <w:marTop w:val="0"/>
          <w:marBottom w:val="0"/>
          <w:divBdr>
            <w:top w:val="none" w:sz="0" w:space="0" w:color="auto"/>
            <w:left w:val="none" w:sz="0" w:space="0" w:color="auto"/>
            <w:bottom w:val="none" w:sz="0" w:space="0" w:color="auto"/>
            <w:right w:val="none" w:sz="0" w:space="0" w:color="auto"/>
          </w:divBdr>
        </w:div>
        <w:div w:id="463695189">
          <w:marLeft w:val="0"/>
          <w:marRight w:val="0"/>
          <w:marTop w:val="0"/>
          <w:marBottom w:val="0"/>
          <w:divBdr>
            <w:top w:val="none" w:sz="0" w:space="0" w:color="auto"/>
            <w:left w:val="none" w:sz="0" w:space="0" w:color="auto"/>
            <w:bottom w:val="none" w:sz="0" w:space="0" w:color="auto"/>
            <w:right w:val="none" w:sz="0" w:space="0" w:color="auto"/>
          </w:divBdr>
        </w:div>
        <w:div w:id="157691512">
          <w:marLeft w:val="0"/>
          <w:marRight w:val="0"/>
          <w:marTop w:val="0"/>
          <w:marBottom w:val="0"/>
          <w:divBdr>
            <w:top w:val="none" w:sz="0" w:space="0" w:color="auto"/>
            <w:left w:val="none" w:sz="0" w:space="0" w:color="auto"/>
            <w:bottom w:val="none" w:sz="0" w:space="0" w:color="auto"/>
            <w:right w:val="none" w:sz="0" w:space="0" w:color="auto"/>
          </w:divBdr>
        </w:div>
        <w:div w:id="1157068274">
          <w:marLeft w:val="0"/>
          <w:marRight w:val="0"/>
          <w:marTop w:val="0"/>
          <w:marBottom w:val="0"/>
          <w:divBdr>
            <w:top w:val="none" w:sz="0" w:space="0" w:color="auto"/>
            <w:left w:val="none" w:sz="0" w:space="0" w:color="auto"/>
            <w:bottom w:val="none" w:sz="0" w:space="0" w:color="auto"/>
            <w:right w:val="none" w:sz="0" w:space="0" w:color="auto"/>
          </w:divBdr>
        </w:div>
        <w:div w:id="2068529105">
          <w:marLeft w:val="0"/>
          <w:marRight w:val="0"/>
          <w:marTop w:val="0"/>
          <w:marBottom w:val="0"/>
          <w:divBdr>
            <w:top w:val="none" w:sz="0" w:space="0" w:color="auto"/>
            <w:left w:val="none" w:sz="0" w:space="0" w:color="auto"/>
            <w:bottom w:val="none" w:sz="0" w:space="0" w:color="auto"/>
            <w:right w:val="none" w:sz="0" w:space="0" w:color="auto"/>
          </w:divBdr>
        </w:div>
        <w:div w:id="1426920332">
          <w:marLeft w:val="0"/>
          <w:marRight w:val="0"/>
          <w:marTop w:val="0"/>
          <w:marBottom w:val="0"/>
          <w:divBdr>
            <w:top w:val="none" w:sz="0" w:space="0" w:color="auto"/>
            <w:left w:val="none" w:sz="0" w:space="0" w:color="auto"/>
            <w:bottom w:val="none" w:sz="0" w:space="0" w:color="auto"/>
            <w:right w:val="none" w:sz="0" w:space="0" w:color="auto"/>
          </w:divBdr>
        </w:div>
        <w:div w:id="1703360463">
          <w:marLeft w:val="0"/>
          <w:marRight w:val="0"/>
          <w:marTop w:val="0"/>
          <w:marBottom w:val="0"/>
          <w:divBdr>
            <w:top w:val="none" w:sz="0" w:space="0" w:color="auto"/>
            <w:left w:val="none" w:sz="0" w:space="0" w:color="auto"/>
            <w:bottom w:val="none" w:sz="0" w:space="0" w:color="auto"/>
            <w:right w:val="none" w:sz="0" w:space="0" w:color="auto"/>
          </w:divBdr>
        </w:div>
        <w:div w:id="121966661">
          <w:marLeft w:val="0"/>
          <w:marRight w:val="0"/>
          <w:marTop w:val="0"/>
          <w:marBottom w:val="0"/>
          <w:divBdr>
            <w:top w:val="none" w:sz="0" w:space="0" w:color="auto"/>
            <w:left w:val="none" w:sz="0" w:space="0" w:color="auto"/>
            <w:bottom w:val="none" w:sz="0" w:space="0" w:color="auto"/>
            <w:right w:val="none" w:sz="0" w:space="0" w:color="auto"/>
          </w:divBdr>
        </w:div>
        <w:div w:id="605505807">
          <w:marLeft w:val="0"/>
          <w:marRight w:val="0"/>
          <w:marTop w:val="0"/>
          <w:marBottom w:val="0"/>
          <w:divBdr>
            <w:top w:val="none" w:sz="0" w:space="0" w:color="auto"/>
            <w:left w:val="none" w:sz="0" w:space="0" w:color="auto"/>
            <w:bottom w:val="none" w:sz="0" w:space="0" w:color="auto"/>
            <w:right w:val="none" w:sz="0" w:space="0" w:color="auto"/>
          </w:divBdr>
        </w:div>
        <w:div w:id="1798403004">
          <w:marLeft w:val="0"/>
          <w:marRight w:val="0"/>
          <w:marTop w:val="0"/>
          <w:marBottom w:val="0"/>
          <w:divBdr>
            <w:top w:val="none" w:sz="0" w:space="0" w:color="auto"/>
            <w:left w:val="none" w:sz="0" w:space="0" w:color="auto"/>
            <w:bottom w:val="none" w:sz="0" w:space="0" w:color="auto"/>
            <w:right w:val="none" w:sz="0" w:space="0" w:color="auto"/>
          </w:divBdr>
        </w:div>
        <w:div w:id="681132417">
          <w:marLeft w:val="0"/>
          <w:marRight w:val="0"/>
          <w:marTop w:val="0"/>
          <w:marBottom w:val="0"/>
          <w:divBdr>
            <w:top w:val="none" w:sz="0" w:space="0" w:color="auto"/>
            <w:left w:val="none" w:sz="0" w:space="0" w:color="auto"/>
            <w:bottom w:val="none" w:sz="0" w:space="0" w:color="auto"/>
            <w:right w:val="none" w:sz="0" w:space="0" w:color="auto"/>
          </w:divBdr>
        </w:div>
        <w:div w:id="40253278">
          <w:marLeft w:val="0"/>
          <w:marRight w:val="0"/>
          <w:marTop w:val="0"/>
          <w:marBottom w:val="0"/>
          <w:divBdr>
            <w:top w:val="none" w:sz="0" w:space="0" w:color="auto"/>
            <w:left w:val="none" w:sz="0" w:space="0" w:color="auto"/>
            <w:bottom w:val="none" w:sz="0" w:space="0" w:color="auto"/>
            <w:right w:val="none" w:sz="0" w:space="0" w:color="auto"/>
          </w:divBdr>
        </w:div>
        <w:div w:id="729113724">
          <w:marLeft w:val="0"/>
          <w:marRight w:val="0"/>
          <w:marTop w:val="0"/>
          <w:marBottom w:val="0"/>
          <w:divBdr>
            <w:top w:val="none" w:sz="0" w:space="0" w:color="auto"/>
            <w:left w:val="none" w:sz="0" w:space="0" w:color="auto"/>
            <w:bottom w:val="none" w:sz="0" w:space="0" w:color="auto"/>
            <w:right w:val="none" w:sz="0" w:space="0" w:color="auto"/>
          </w:divBdr>
        </w:div>
        <w:div w:id="62528401">
          <w:marLeft w:val="0"/>
          <w:marRight w:val="0"/>
          <w:marTop w:val="0"/>
          <w:marBottom w:val="0"/>
          <w:divBdr>
            <w:top w:val="none" w:sz="0" w:space="0" w:color="auto"/>
            <w:left w:val="none" w:sz="0" w:space="0" w:color="auto"/>
            <w:bottom w:val="none" w:sz="0" w:space="0" w:color="auto"/>
            <w:right w:val="none" w:sz="0" w:space="0" w:color="auto"/>
          </w:divBdr>
        </w:div>
        <w:div w:id="542136036">
          <w:marLeft w:val="0"/>
          <w:marRight w:val="0"/>
          <w:marTop w:val="0"/>
          <w:marBottom w:val="0"/>
          <w:divBdr>
            <w:top w:val="none" w:sz="0" w:space="0" w:color="auto"/>
            <w:left w:val="none" w:sz="0" w:space="0" w:color="auto"/>
            <w:bottom w:val="none" w:sz="0" w:space="0" w:color="auto"/>
            <w:right w:val="none" w:sz="0" w:space="0" w:color="auto"/>
          </w:divBdr>
        </w:div>
        <w:div w:id="131290549">
          <w:marLeft w:val="0"/>
          <w:marRight w:val="0"/>
          <w:marTop w:val="0"/>
          <w:marBottom w:val="0"/>
          <w:divBdr>
            <w:top w:val="none" w:sz="0" w:space="0" w:color="auto"/>
            <w:left w:val="none" w:sz="0" w:space="0" w:color="auto"/>
            <w:bottom w:val="none" w:sz="0" w:space="0" w:color="auto"/>
            <w:right w:val="none" w:sz="0" w:space="0" w:color="auto"/>
          </w:divBdr>
        </w:div>
        <w:div w:id="365178498">
          <w:marLeft w:val="0"/>
          <w:marRight w:val="0"/>
          <w:marTop w:val="0"/>
          <w:marBottom w:val="0"/>
          <w:divBdr>
            <w:top w:val="none" w:sz="0" w:space="0" w:color="auto"/>
            <w:left w:val="none" w:sz="0" w:space="0" w:color="auto"/>
            <w:bottom w:val="none" w:sz="0" w:space="0" w:color="auto"/>
            <w:right w:val="none" w:sz="0" w:space="0" w:color="auto"/>
          </w:divBdr>
        </w:div>
        <w:div w:id="1366759844">
          <w:marLeft w:val="0"/>
          <w:marRight w:val="0"/>
          <w:marTop w:val="0"/>
          <w:marBottom w:val="0"/>
          <w:divBdr>
            <w:top w:val="none" w:sz="0" w:space="0" w:color="auto"/>
            <w:left w:val="none" w:sz="0" w:space="0" w:color="auto"/>
            <w:bottom w:val="none" w:sz="0" w:space="0" w:color="auto"/>
            <w:right w:val="none" w:sz="0" w:space="0" w:color="auto"/>
          </w:divBdr>
        </w:div>
        <w:div w:id="829249931">
          <w:marLeft w:val="0"/>
          <w:marRight w:val="0"/>
          <w:marTop w:val="0"/>
          <w:marBottom w:val="0"/>
          <w:divBdr>
            <w:top w:val="none" w:sz="0" w:space="0" w:color="auto"/>
            <w:left w:val="none" w:sz="0" w:space="0" w:color="auto"/>
            <w:bottom w:val="none" w:sz="0" w:space="0" w:color="auto"/>
            <w:right w:val="none" w:sz="0" w:space="0" w:color="auto"/>
          </w:divBdr>
        </w:div>
        <w:div w:id="1147404686">
          <w:marLeft w:val="0"/>
          <w:marRight w:val="0"/>
          <w:marTop w:val="0"/>
          <w:marBottom w:val="0"/>
          <w:divBdr>
            <w:top w:val="none" w:sz="0" w:space="0" w:color="auto"/>
            <w:left w:val="none" w:sz="0" w:space="0" w:color="auto"/>
            <w:bottom w:val="none" w:sz="0" w:space="0" w:color="auto"/>
            <w:right w:val="none" w:sz="0" w:space="0" w:color="auto"/>
          </w:divBdr>
        </w:div>
        <w:div w:id="723524605">
          <w:marLeft w:val="0"/>
          <w:marRight w:val="0"/>
          <w:marTop w:val="0"/>
          <w:marBottom w:val="0"/>
          <w:divBdr>
            <w:top w:val="none" w:sz="0" w:space="0" w:color="auto"/>
            <w:left w:val="none" w:sz="0" w:space="0" w:color="auto"/>
            <w:bottom w:val="none" w:sz="0" w:space="0" w:color="auto"/>
            <w:right w:val="none" w:sz="0" w:space="0" w:color="auto"/>
          </w:divBdr>
        </w:div>
        <w:div w:id="1286615754">
          <w:marLeft w:val="0"/>
          <w:marRight w:val="0"/>
          <w:marTop w:val="0"/>
          <w:marBottom w:val="0"/>
          <w:divBdr>
            <w:top w:val="none" w:sz="0" w:space="0" w:color="auto"/>
            <w:left w:val="none" w:sz="0" w:space="0" w:color="auto"/>
            <w:bottom w:val="none" w:sz="0" w:space="0" w:color="auto"/>
            <w:right w:val="none" w:sz="0" w:space="0" w:color="auto"/>
          </w:divBdr>
        </w:div>
        <w:div w:id="321664702">
          <w:marLeft w:val="0"/>
          <w:marRight w:val="0"/>
          <w:marTop w:val="0"/>
          <w:marBottom w:val="0"/>
          <w:divBdr>
            <w:top w:val="none" w:sz="0" w:space="0" w:color="auto"/>
            <w:left w:val="none" w:sz="0" w:space="0" w:color="auto"/>
            <w:bottom w:val="none" w:sz="0" w:space="0" w:color="auto"/>
            <w:right w:val="none" w:sz="0" w:space="0" w:color="auto"/>
          </w:divBdr>
        </w:div>
        <w:div w:id="933246832">
          <w:marLeft w:val="0"/>
          <w:marRight w:val="0"/>
          <w:marTop w:val="0"/>
          <w:marBottom w:val="0"/>
          <w:divBdr>
            <w:top w:val="none" w:sz="0" w:space="0" w:color="auto"/>
            <w:left w:val="none" w:sz="0" w:space="0" w:color="auto"/>
            <w:bottom w:val="none" w:sz="0" w:space="0" w:color="auto"/>
            <w:right w:val="none" w:sz="0" w:space="0" w:color="auto"/>
          </w:divBdr>
        </w:div>
        <w:div w:id="1481314433">
          <w:marLeft w:val="0"/>
          <w:marRight w:val="0"/>
          <w:marTop w:val="0"/>
          <w:marBottom w:val="0"/>
          <w:divBdr>
            <w:top w:val="none" w:sz="0" w:space="0" w:color="auto"/>
            <w:left w:val="none" w:sz="0" w:space="0" w:color="auto"/>
            <w:bottom w:val="none" w:sz="0" w:space="0" w:color="auto"/>
            <w:right w:val="none" w:sz="0" w:space="0" w:color="auto"/>
          </w:divBdr>
        </w:div>
        <w:div w:id="1066759767">
          <w:marLeft w:val="0"/>
          <w:marRight w:val="0"/>
          <w:marTop w:val="0"/>
          <w:marBottom w:val="0"/>
          <w:divBdr>
            <w:top w:val="none" w:sz="0" w:space="0" w:color="auto"/>
            <w:left w:val="none" w:sz="0" w:space="0" w:color="auto"/>
            <w:bottom w:val="none" w:sz="0" w:space="0" w:color="auto"/>
            <w:right w:val="none" w:sz="0" w:space="0" w:color="auto"/>
          </w:divBdr>
        </w:div>
        <w:div w:id="572590561">
          <w:marLeft w:val="0"/>
          <w:marRight w:val="0"/>
          <w:marTop w:val="0"/>
          <w:marBottom w:val="0"/>
          <w:divBdr>
            <w:top w:val="none" w:sz="0" w:space="0" w:color="auto"/>
            <w:left w:val="none" w:sz="0" w:space="0" w:color="auto"/>
            <w:bottom w:val="none" w:sz="0" w:space="0" w:color="auto"/>
            <w:right w:val="none" w:sz="0" w:space="0" w:color="auto"/>
          </w:divBdr>
        </w:div>
        <w:div w:id="126357204">
          <w:marLeft w:val="0"/>
          <w:marRight w:val="0"/>
          <w:marTop w:val="0"/>
          <w:marBottom w:val="0"/>
          <w:divBdr>
            <w:top w:val="none" w:sz="0" w:space="0" w:color="auto"/>
            <w:left w:val="none" w:sz="0" w:space="0" w:color="auto"/>
            <w:bottom w:val="none" w:sz="0" w:space="0" w:color="auto"/>
            <w:right w:val="none" w:sz="0" w:space="0" w:color="auto"/>
          </w:divBdr>
        </w:div>
        <w:div w:id="1658222513">
          <w:marLeft w:val="0"/>
          <w:marRight w:val="0"/>
          <w:marTop w:val="0"/>
          <w:marBottom w:val="0"/>
          <w:divBdr>
            <w:top w:val="none" w:sz="0" w:space="0" w:color="auto"/>
            <w:left w:val="none" w:sz="0" w:space="0" w:color="auto"/>
            <w:bottom w:val="none" w:sz="0" w:space="0" w:color="auto"/>
            <w:right w:val="none" w:sz="0" w:space="0" w:color="auto"/>
          </w:divBdr>
        </w:div>
        <w:div w:id="2104570122">
          <w:marLeft w:val="0"/>
          <w:marRight w:val="0"/>
          <w:marTop w:val="0"/>
          <w:marBottom w:val="0"/>
          <w:divBdr>
            <w:top w:val="none" w:sz="0" w:space="0" w:color="auto"/>
            <w:left w:val="none" w:sz="0" w:space="0" w:color="auto"/>
            <w:bottom w:val="none" w:sz="0" w:space="0" w:color="auto"/>
            <w:right w:val="none" w:sz="0" w:space="0" w:color="auto"/>
          </w:divBdr>
        </w:div>
        <w:div w:id="1768767968">
          <w:marLeft w:val="0"/>
          <w:marRight w:val="0"/>
          <w:marTop w:val="0"/>
          <w:marBottom w:val="0"/>
          <w:divBdr>
            <w:top w:val="none" w:sz="0" w:space="0" w:color="auto"/>
            <w:left w:val="none" w:sz="0" w:space="0" w:color="auto"/>
            <w:bottom w:val="none" w:sz="0" w:space="0" w:color="auto"/>
            <w:right w:val="none" w:sz="0" w:space="0" w:color="auto"/>
          </w:divBdr>
        </w:div>
        <w:div w:id="1443650833">
          <w:marLeft w:val="0"/>
          <w:marRight w:val="0"/>
          <w:marTop w:val="0"/>
          <w:marBottom w:val="0"/>
          <w:divBdr>
            <w:top w:val="none" w:sz="0" w:space="0" w:color="auto"/>
            <w:left w:val="none" w:sz="0" w:space="0" w:color="auto"/>
            <w:bottom w:val="none" w:sz="0" w:space="0" w:color="auto"/>
            <w:right w:val="none" w:sz="0" w:space="0" w:color="auto"/>
          </w:divBdr>
        </w:div>
        <w:div w:id="165245557">
          <w:marLeft w:val="0"/>
          <w:marRight w:val="0"/>
          <w:marTop w:val="0"/>
          <w:marBottom w:val="0"/>
          <w:divBdr>
            <w:top w:val="none" w:sz="0" w:space="0" w:color="auto"/>
            <w:left w:val="none" w:sz="0" w:space="0" w:color="auto"/>
            <w:bottom w:val="none" w:sz="0" w:space="0" w:color="auto"/>
            <w:right w:val="none" w:sz="0" w:space="0" w:color="auto"/>
          </w:divBdr>
        </w:div>
        <w:div w:id="355354998">
          <w:marLeft w:val="0"/>
          <w:marRight w:val="0"/>
          <w:marTop w:val="0"/>
          <w:marBottom w:val="0"/>
          <w:divBdr>
            <w:top w:val="none" w:sz="0" w:space="0" w:color="auto"/>
            <w:left w:val="none" w:sz="0" w:space="0" w:color="auto"/>
            <w:bottom w:val="none" w:sz="0" w:space="0" w:color="auto"/>
            <w:right w:val="none" w:sz="0" w:space="0" w:color="auto"/>
          </w:divBdr>
        </w:div>
        <w:div w:id="1574464165">
          <w:marLeft w:val="0"/>
          <w:marRight w:val="0"/>
          <w:marTop w:val="0"/>
          <w:marBottom w:val="0"/>
          <w:divBdr>
            <w:top w:val="none" w:sz="0" w:space="0" w:color="auto"/>
            <w:left w:val="none" w:sz="0" w:space="0" w:color="auto"/>
            <w:bottom w:val="none" w:sz="0" w:space="0" w:color="auto"/>
            <w:right w:val="none" w:sz="0" w:space="0" w:color="auto"/>
          </w:divBdr>
        </w:div>
        <w:div w:id="1880624235">
          <w:marLeft w:val="0"/>
          <w:marRight w:val="0"/>
          <w:marTop w:val="0"/>
          <w:marBottom w:val="0"/>
          <w:divBdr>
            <w:top w:val="none" w:sz="0" w:space="0" w:color="auto"/>
            <w:left w:val="none" w:sz="0" w:space="0" w:color="auto"/>
            <w:bottom w:val="none" w:sz="0" w:space="0" w:color="auto"/>
            <w:right w:val="none" w:sz="0" w:space="0" w:color="auto"/>
          </w:divBdr>
        </w:div>
        <w:div w:id="1607614602">
          <w:marLeft w:val="0"/>
          <w:marRight w:val="0"/>
          <w:marTop w:val="0"/>
          <w:marBottom w:val="0"/>
          <w:divBdr>
            <w:top w:val="none" w:sz="0" w:space="0" w:color="auto"/>
            <w:left w:val="none" w:sz="0" w:space="0" w:color="auto"/>
            <w:bottom w:val="none" w:sz="0" w:space="0" w:color="auto"/>
            <w:right w:val="none" w:sz="0" w:space="0" w:color="auto"/>
          </w:divBdr>
        </w:div>
        <w:div w:id="278798623">
          <w:marLeft w:val="0"/>
          <w:marRight w:val="0"/>
          <w:marTop w:val="0"/>
          <w:marBottom w:val="0"/>
          <w:divBdr>
            <w:top w:val="none" w:sz="0" w:space="0" w:color="auto"/>
            <w:left w:val="none" w:sz="0" w:space="0" w:color="auto"/>
            <w:bottom w:val="none" w:sz="0" w:space="0" w:color="auto"/>
            <w:right w:val="none" w:sz="0" w:space="0" w:color="auto"/>
          </w:divBdr>
        </w:div>
        <w:div w:id="805706862">
          <w:marLeft w:val="0"/>
          <w:marRight w:val="0"/>
          <w:marTop w:val="0"/>
          <w:marBottom w:val="0"/>
          <w:divBdr>
            <w:top w:val="none" w:sz="0" w:space="0" w:color="auto"/>
            <w:left w:val="none" w:sz="0" w:space="0" w:color="auto"/>
            <w:bottom w:val="none" w:sz="0" w:space="0" w:color="auto"/>
            <w:right w:val="none" w:sz="0" w:space="0" w:color="auto"/>
          </w:divBdr>
        </w:div>
        <w:div w:id="645085095">
          <w:marLeft w:val="0"/>
          <w:marRight w:val="0"/>
          <w:marTop w:val="0"/>
          <w:marBottom w:val="0"/>
          <w:divBdr>
            <w:top w:val="none" w:sz="0" w:space="0" w:color="auto"/>
            <w:left w:val="none" w:sz="0" w:space="0" w:color="auto"/>
            <w:bottom w:val="none" w:sz="0" w:space="0" w:color="auto"/>
            <w:right w:val="none" w:sz="0" w:space="0" w:color="auto"/>
          </w:divBdr>
        </w:div>
        <w:div w:id="316883166">
          <w:marLeft w:val="0"/>
          <w:marRight w:val="0"/>
          <w:marTop w:val="0"/>
          <w:marBottom w:val="0"/>
          <w:divBdr>
            <w:top w:val="none" w:sz="0" w:space="0" w:color="auto"/>
            <w:left w:val="none" w:sz="0" w:space="0" w:color="auto"/>
            <w:bottom w:val="none" w:sz="0" w:space="0" w:color="auto"/>
            <w:right w:val="none" w:sz="0" w:space="0" w:color="auto"/>
          </w:divBdr>
        </w:div>
        <w:div w:id="623468695">
          <w:marLeft w:val="0"/>
          <w:marRight w:val="0"/>
          <w:marTop w:val="0"/>
          <w:marBottom w:val="0"/>
          <w:divBdr>
            <w:top w:val="none" w:sz="0" w:space="0" w:color="auto"/>
            <w:left w:val="none" w:sz="0" w:space="0" w:color="auto"/>
            <w:bottom w:val="none" w:sz="0" w:space="0" w:color="auto"/>
            <w:right w:val="none" w:sz="0" w:space="0" w:color="auto"/>
          </w:divBdr>
        </w:div>
        <w:div w:id="807825692">
          <w:marLeft w:val="0"/>
          <w:marRight w:val="0"/>
          <w:marTop w:val="0"/>
          <w:marBottom w:val="0"/>
          <w:divBdr>
            <w:top w:val="none" w:sz="0" w:space="0" w:color="auto"/>
            <w:left w:val="none" w:sz="0" w:space="0" w:color="auto"/>
            <w:bottom w:val="none" w:sz="0" w:space="0" w:color="auto"/>
            <w:right w:val="none" w:sz="0" w:space="0" w:color="auto"/>
          </w:divBdr>
        </w:div>
        <w:div w:id="1451976607">
          <w:marLeft w:val="0"/>
          <w:marRight w:val="0"/>
          <w:marTop w:val="0"/>
          <w:marBottom w:val="0"/>
          <w:divBdr>
            <w:top w:val="none" w:sz="0" w:space="0" w:color="auto"/>
            <w:left w:val="none" w:sz="0" w:space="0" w:color="auto"/>
            <w:bottom w:val="none" w:sz="0" w:space="0" w:color="auto"/>
            <w:right w:val="none" w:sz="0" w:space="0" w:color="auto"/>
          </w:divBdr>
        </w:div>
        <w:div w:id="1756397377">
          <w:marLeft w:val="0"/>
          <w:marRight w:val="0"/>
          <w:marTop w:val="0"/>
          <w:marBottom w:val="0"/>
          <w:divBdr>
            <w:top w:val="none" w:sz="0" w:space="0" w:color="auto"/>
            <w:left w:val="none" w:sz="0" w:space="0" w:color="auto"/>
            <w:bottom w:val="none" w:sz="0" w:space="0" w:color="auto"/>
            <w:right w:val="none" w:sz="0" w:space="0" w:color="auto"/>
          </w:divBdr>
        </w:div>
        <w:div w:id="529731410">
          <w:marLeft w:val="0"/>
          <w:marRight w:val="0"/>
          <w:marTop w:val="0"/>
          <w:marBottom w:val="0"/>
          <w:divBdr>
            <w:top w:val="none" w:sz="0" w:space="0" w:color="auto"/>
            <w:left w:val="none" w:sz="0" w:space="0" w:color="auto"/>
            <w:bottom w:val="none" w:sz="0" w:space="0" w:color="auto"/>
            <w:right w:val="none" w:sz="0" w:space="0" w:color="auto"/>
          </w:divBdr>
        </w:div>
        <w:div w:id="1492521169">
          <w:marLeft w:val="0"/>
          <w:marRight w:val="0"/>
          <w:marTop w:val="0"/>
          <w:marBottom w:val="0"/>
          <w:divBdr>
            <w:top w:val="none" w:sz="0" w:space="0" w:color="auto"/>
            <w:left w:val="none" w:sz="0" w:space="0" w:color="auto"/>
            <w:bottom w:val="none" w:sz="0" w:space="0" w:color="auto"/>
            <w:right w:val="none" w:sz="0" w:space="0" w:color="auto"/>
          </w:divBdr>
        </w:div>
        <w:div w:id="971248067">
          <w:marLeft w:val="0"/>
          <w:marRight w:val="0"/>
          <w:marTop w:val="0"/>
          <w:marBottom w:val="0"/>
          <w:divBdr>
            <w:top w:val="none" w:sz="0" w:space="0" w:color="auto"/>
            <w:left w:val="none" w:sz="0" w:space="0" w:color="auto"/>
            <w:bottom w:val="none" w:sz="0" w:space="0" w:color="auto"/>
            <w:right w:val="none" w:sz="0" w:space="0" w:color="auto"/>
          </w:divBdr>
        </w:div>
        <w:div w:id="11497746">
          <w:marLeft w:val="0"/>
          <w:marRight w:val="0"/>
          <w:marTop w:val="0"/>
          <w:marBottom w:val="0"/>
          <w:divBdr>
            <w:top w:val="none" w:sz="0" w:space="0" w:color="auto"/>
            <w:left w:val="none" w:sz="0" w:space="0" w:color="auto"/>
            <w:bottom w:val="none" w:sz="0" w:space="0" w:color="auto"/>
            <w:right w:val="none" w:sz="0" w:space="0" w:color="auto"/>
          </w:divBdr>
        </w:div>
        <w:div w:id="1800293736">
          <w:marLeft w:val="0"/>
          <w:marRight w:val="0"/>
          <w:marTop w:val="0"/>
          <w:marBottom w:val="0"/>
          <w:divBdr>
            <w:top w:val="none" w:sz="0" w:space="0" w:color="auto"/>
            <w:left w:val="none" w:sz="0" w:space="0" w:color="auto"/>
            <w:bottom w:val="none" w:sz="0" w:space="0" w:color="auto"/>
            <w:right w:val="none" w:sz="0" w:space="0" w:color="auto"/>
          </w:divBdr>
        </w:div>
        <w:div w:id="652561254">
          <w:marLeft w:val="0"/>
          <w:marRight w:val="0"/>
          <w:marTop w:val="0"/>
          <w:marBottom w:val="0"/>
          <w:divBdr>
            <w:top w:val="none" w:sz="0" w:space="0" w:color="auto"/>
            <w:left w:val="none" w:sz="0" w:space="0" w:color="auto"/>
            <w:bottom w:val="none" w:sz="0" w:space="0" w:color="auto"/>
            <w:right w:val="none" w:sz="0" w:space="0" w:color="auto"/>
          </w:divBdr>
        </w:div>
        <w:div w:id="936131273">
          <w:marLeft w:val="0"/>
          <w:marRight w:val="0"/>
          <w:marTop w:val="0"/>
          <w:marBottom w:val="0"/>
          <w:divBdr>
            <w:top w:val="none" w:sz="0" w:space="0" w:color="auto"/>
            <w:left w:val="none" w:sz="0" w:space="0" w:color="auto"/>
            <w:bottom w:val="none" w:sz="0" w:space="0" w:color="auto"/>
            <w:right w:val="none" w:sz="0" w:space="0" w:color="auto"/>
          </w:divBdr>
        </w:div>
        <w:div w:id="1068841603">
          <w:marLeft w:val="0"/>
          <w:marRight w:val="0"/>
          <w:marTop w:val="0"/>
          <w:marBottom w:val="0"/>
          <w:divBdr>
            <w:top w:val="none" w:sz="0" w:space="0" w:color="auto"/>
            <w:left w:val="none" w:sz="0" w:space="0" w:color="auto"/>
            <w:bottom w:val="none" w:sz="0" w:space="0" w:color="auto"/>
            <w:right w:val="none" w:sz="0" w:space="0" w:color="auto"/>
          </w:divBdr>
        </w:div>
        <w:div w:id="1542285728">
          <w:marLeft w:val="0"/>
          <w:marRight w:val="0"/>
          <w:marTop w:val="0"/>
          <w:marBottom w:val="0"/>
          <w:divBdr>
            <w:top w:val="none" w:sz="0" w:space="0" w:color="auto"/>
            <w:left w:val="none" w:sz="0" w:space="0" w:color="auto"/>
            <w:bottom w:val="none" w:sz="0" w:space="0" w:color="auto"/>
            <w:right w:val="none" w:sz="0" w:space="0" w:color="auto"/>
          </w:divBdr>
        </w:div>
        <w:div w:id="864632378">
          <w:marLeft w:val="0"/>
          <w:marRight w:val="0"/>
          <w:marTop w:val="0"/>
          <w:marBottom w:val="0"/>
          <w:divBdr>
            <w:top w:val="none" w:sz="0" w:space="0" w:color="auto"/>
            <w:left w:val="none" w:sz="0" w:space="0" w:color="auto"/>
            <w:bottom w:val="none" w:sz="0" w:space="0" w:color="auto"/>
            <w:right w:val="none" w:sz="0" w:space="0" w:color="auto"/>
          </w:divBdr>
        </w:div>
        <w:div w:id="1144006510">
          <w:marLeft w:val="0"/>
          <w:marRight w:val="0"/>
          <w:marTop w:val="0"/>
          <w:marBottom w:val="0"/>
          <w:divBdr>
            <w:top w:val="none" w:sz="0" w:space="0" w:color="auto"/>
            <w:left w:val="none" w:sz="0" w:space="0" w:color="auto"/>
            <w:bottom w:val="none" w:sz="0" w:space="0" w:color="auto"/>
            <w:right w:val="none" w:sz="0" w:space="0" w:color="auto"/>
          </w:divBdr>
        </w:div>
        <w:div w:id="1098527436">
          <w:marLeft w:val="0"/>
          <w:marRight w:val="0"/>
          <w:marTop w:val="0"/>
          <w:marBottom w:val="0"/>
          <w:divBdr>
            <w:top w:val="none" w:sz="0" w:space="0" w:color="auto"/>
            <w:left w:val="none" w:sz="0" w:space="0" w:color="auto"/>
            <w:bottom w:val="none" w:sz="0" w:space="0" w:color="auto"/>
            <w:right w:val="none" w:sz="0" w:space="0" w:color="auto"/>
          </w:divBdr>
        </w:div>
        <w:div w:id="1497963219">
          <w:marLeft w:val="0"/>
          <w:marRight w:val="0"/>
          <w:marTop w:val="0"/>
          <w:marBottom w:val="0"/>
          <w:divBdr>
            <w:top w:val="none" w:sz="0" w:space="0" w:color="auto"/>
            <w:left w:val="none" w:sz="0" w:space="0" w:color="auto"/>
            <w:bottom w:val="none" w:sz="0" w:space="0" w:color="auto"/>
            <w:right w:val="none" w:sz="0" w:space="0" w:color="auto"/>
          </w:divBdr>
        </w:div>
        <w:div w:id="765728334">
          <w:marLeft w:val="0"/>
          <w:marRight w:val="0"/>
          <w:marTop w:val="0"/>
          <w:marBottom w:val="0"/>
          <w:divBdr>
            <w:top w:val="none" w:sz="0" w:space="0" w:color="auto"/>
            <w:left w:val="none" w:sz="0" w:space="0" w:color="auto"/>
            <w:bottom w:val="none" w:sz="0" w:space="0" w:color="auto"/>
            <w:right w:val="none" w:sz="0" w:space="0" w:color="auto"/>
          </w:divBdr>
        </w:div>
        <w:div w:id="979502794">
          <w:marLeft w:val="0"/>
          <w:marRight w:val="0"/>
          <w:marTop w:val="0"/>
          <w:marBottom w:val="0"/>
          <w:divBdr>
            <w:top w:val="none" w:sz="0" w:space="0" w:color="auto"/>
            <w:left w:val="none" w:sz="0" w:space="0" w:color="auto"/>
            <w:bottom w:val="none" w:sz="0" w:space="0" w:color="auto"/>
            <w:right w:val="none" w:sz="0" w:space="0" w:color="auto"/>
          </w:divBdr>
        </w:div>
      </w:divsChild>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24072345">
      <w:bodyDiv w:val="1"/>
      <w:marLeft w:val="0"/>
      <w:marRight w:val="0"/>
      <w:marTop w:val="0"/>
      <w:marBottom w:val="0"/>
      <w:divBdr>
        <w:top w:val="none" w:sz="0" w:space="0" w:color="auto"/>
        <w:left w:val="none" w:sz="0" w:space="0" w:color="auto"/>
        <w:bottom w:val="none" w:sz="0" w:space="0" w:color="auto"/>
        <w:right w:val="none" w:sz="0" w:space="0" w:color="auto"/>
      </w:divBdr>
    </w:div>
    <w:div w:id="247234279">
      <w:bodyDiv w:val="1"/>
      <w:marLeft w:val="0"/>
      <w:marRight w:val="0"/>
      <w:marTop w:val="0"/>
      <w:marBottom w:val="0"/>
      <w:divBdr>
        <w:top w:val="none" w:sz="0" w:space="0" w:color="auto"/>
        <w:left w:val="none" w:sz="0" w:space="0" w:color="auto"/>
        <w:bottom w:val="none" w:sz="0" w:space="0" w:color="auto"/>
        <w:right w:val="none" w:sz="0" w:space="0" w:color="auto"/>
      </w:divBdr>
    </w:div>
    <w:div w:id="552430520">
      <w:bodyDiv w:val="1"/>
      <w:marLeft w:val="0"/>
      <w:marRight w:val="0"/>
      <w:marTop w:val="0"/>
      <w:marBottom w:val="0"/>
      <w:divBdr>
        <w:top w:val="none" w:sz="0" w:space="0" w:color="auto"/>
        <w:left w:val="none" w:sz="0" w:space="0" w:color="auto"/>
        <w:bottom w:val="none" w:sz="0" w:space="0" w:color="auto"/>
        <w:right w:val="none" w:sz="0" w:space="0" w:color="auto"/>
      </w:divBdr>
      <w:divsChild>
        <w:div w:id="1660184239">
          <w:marLeft w:val="0"/>
          <w:marRight w:val="0"/>
          <w:marTop w:val="0"/>
          <w:marBottom w:val="0"/>
          <w:divBdr>
            <w:top w:val="none" w:sz="0" w:space="0" w:color="auto"/>
            <w:left w:val="none" w:sz="0" w:space="0" w:color="auto"/>
            <w:bottom w:val="none" w:sz="0" w:space="0" w:color="auto"/>
            <w:right w:val="none" w:sz="0" w:space="0" w:color="auto"/>
          </w:divBdr>
        </w:div>
        <w:div w:id="1995181605">
          <w:marLeft w:val="0"/>
          <w:marRight w:val="0"/>
          <w:marTop w:val="0"/>
          <w:marBottom w:val="0"/>
          <w:divBdr>
            <w:top w:val="none" w:sz="0" w:space="0" w:color="auto"/>
            <w:left w:val="none" w:sz="0" w:space="0" w:color="auto"/>
            <w:bottom w:val="none" w:sz="0" w:space="0" w:color="auto"/>
            <w:right w:val="none" w:sz="0" w:space="0" w:color="auto"/>
          </w:divBdr>
        </w:div>
        <w:div w:id="999118198">
          <w:marLeft w:val="0"/>
          <w:marRight w:val="0"/>
          <w:marTop w:val="0"/>
          <w:marBottom w:val="0"/>
          <w:divBdr>
            <w:top w:val="none" w:sz="0" w:space="0" w:color="auto"/>
            <w:left w:val="none" w:sz="0" w:space="0" w:color="auto"/>
            <w:bottom w:val="none" w:sz="0" w:space="0" w:color="auto"/>
            <w:right w:val="none" w:sz="0" w:space="0" w:color="auto"/>
          </w:divBdr>
        </w:div>
        <w:div w:id="996566571">
          <w:marLeft w:val="0"/>
          <w:marRight w:val="0"/>
          <w:marTop w:val="0"/>
          <w:marBottom w:val="0"/>
          <w:divBdr>
            <w:top w:val="none" w:sz="0" w:space="0" w:color="auto"/>
            <w:left w:val="none" w:sz="0" w:space="0" w:color="auto"/>
            <w:bottom w:val="none" w:sz="0" w:space="0" w:color="auto"/>
            <w:right w:val="none" w:sz="0" w:space="0" w:color="auto"/>
          </w:divBdr>
        </w:div>
        <w:div w:id="628315907">
          <w:marLeft w:val="0"/>
          <w:marRight w:val="0"/>
          <w:marTop w:val="0"/>
          <w:marBottom w:val="0"/>
          <w:divBdr>
            <w:top w:val="none" w:sz="0" w:space="0" w:color="auto"/>
            <w:left w:val="none" w:sz="0" w:space="0" w:color="auto"/>
            <w:bottom w:val="none" w:sz="0" w:space="0" w:color="auto"/>
            <w:right w:val="none" w:sz="0" w:space="0" w:color="auto"/>
          </w:divBdr>
        </w:div>
        <w:div w:id="792291709">
          <w:marLeft w:val="0"/>
          <w:marRight w:val="0"/>
          <w:marTop w:val="0"/>
          <w:marBottom w:val="0"/>
          <w:divBdr>
            <w:top w:val="none" w:sz="0" w:space="0" w:color="auto"/>
            <w:left w:val="none" w:sz="0" w:space="0" w:color="auto"/>
            <w:bottom w:val="none" w:sz="0" w:space="0" w:color="auto"/>
            <w:right w:val="none" w:sz="0" w:space="0" w:color="auto"/>
          </w:divBdr>
        </w:div>
        <w:div w:id="2100711456">
          <w:marLeft w:val="0"/>
          <w:marRight w:val="0"/>
          <w:marTop w:val="0"/>
          <w:marBottom w:val="0"/>
          <w:divBdr>
            <w:top w:val="none" w:sz="0" w:space="0" w:color="auto"/>
            <w:left w:val="none" w:sz="0" w:space="0" w:color="auto"/>
            <w:bottom w:val="none" w:sz="0" w:space="0" w:color="auto"/>
            <w:right w:val="none" w:sz="0" w:space="0" w:color="auto"/>
          </w:divBdr>
        </w:div>
        <w:div w:id="1834561887">
          <w:marLeft w:val="0"/>
          <w:marRight w:val="0"/>
          <w:marTop w:val="0"/>
          <w:marBottom w:val="0"/>
          <w:divBdr>
            <w:top w:val="none" w:sz="0" w:space="0" w:color="auto"/>
            <w:left w:val="none" w:sz="0" w:space="0" w:color="auto"/>
            <w:bottom w:val="none" w:sz="0" w:space="0" w:color="auto"/>
            <w:right w:val="none" w:sz="0" w:space="0" w:color="auto"/>
          </w:divBdr>
        </w:div>
        <w:div w:id="636298244">
          <w:marLeft w:val="0"/>
          <w:marRight w:val="0"/>
          <w:marTop w:val="0"/>
          <w:marBottom w:val="0"/>
          <w:divBdr>
            <w:top w:val="none" w:sz="0" w:space="0" w:color="auto"/>
            <w:left w:val="none" w:sz="0" w:space="0" w:color="auto"/>
            <w:bottom w:val="none" w:sz="0" w:space="0" w:color="auto"/>
            <w:right w:val="none" w:sz="0" w:space="0" w:color="auto"/>
          </w:divBdr>
        </w:div>
        <w:div w:id="795951531">
          <w:marLeft w:val="0"/>
          <w:marRight w:val="0"/>
          <w:marTop w:val="0"/>
          <w:marBottom w:val="0"/>
          <w:divBdr>
            <w:top w:val="none" w:sz="0" w:space="0" w:color="auto"/>
            <w:left w:val="none" w:sz="0" w:space="0" w:color="auto"/>
            <w:bottom w:val="none" w:sz="0" w:space="0" w:color="auto"/>
            <w:right w:val="none" w:sz="0" w:space="0" w:color="auto"/>
          </w:divBdr>
        </w:div>
        <w:div w:id="1288513388">
          <w:marLeft w:val="0"/>
          <w:marRight w:val="0"/>
          <w:marTop w:val="0"/>
          <w:marBottom w:val="0"/>
          <w:divBdr>
            <w:top w:val="none" w:sz="0" w:space="0" w:color="auto"/>
            <w:left w:val="none" w:sz="0" w:space="0" w:color="auto"/>
            <w:bottom w:val="none" w:sz="0" w:space="0" w:color="auto"/>
            <w:right w:val="none" w:sz="0" w:space="0" w:color="auto"/>
          </w:divBdr>
        </w:div>
        <w:div w:id="1948543240">
          <w:marLeft w:val="0"/>
          <w:marRight w:val="0"/>
          <w:marTop w:val="0"/>
          <w:marBottom w:val="0"/>
          <w:divBdr>
            <w:top w:val="none" w:sz="0" w:space="0" w:color="auto"/>
            <w:left w:val="none" w:sz="0" w:space="0" w:color="auto"/>
            <w:bottom w:val="none" w:sz="0" w:space="0" w:color="auto"/>
            <w:right w:val="none" w:sz="0" w:space="0" w:color="auto"/>
          </w:divBdr>
        </w:div>
        <w:div w:id="89743919">
          <w:marLeft w:val="0"/>
          <w:marRight w:val="0"/>
          <w:marTop w:val="0"/>
          <w:marBottom w:val="0"/>
          <w:divBdr>
            <w:top w:val="none" w:sz="0" w:space="0" w:color="auto"/>
            <w:left w:val="none" w:sz="0" w:space="0" w:color="auto"/>
            <w:bottom w:val="none" w:sz="0" w:space="0" w:color="auto"/>
            <w:right w:val="none" w:sz="0" w:space="0" w:color="auto"/>
          </w:divBdr>
        </w:div>
        <w:div w:id="1202084935">
          <w:marLeft w:val="0"/>
          <w:marRight w:val="0"/>
          <w:marTop w:val="0"/>
          <w:marBottom w:val="0"/>
          <w:divBdr>
            <w:top w:val="none" w:sz="0" w:space="0" w:color="auto"/>
            <w:left w:val="none" w:sz="0" w:space="0" w:color="auto"/>
            <w:bottom w:val="none" w:sz="0" w:space="0" w:color="auto"/>
            <w:right w:val="none" w:sz="0" w:space="0" w:color="auto"/>
          </w:divBdr>
        </w:div>
        <w:div w:id="789319191">
          <w:marLeft w:val="0"/>
          <w:marRight w:val="0"/>
          <w:marTop w:val="0"/>
          <w:marBottom w:val="0"/>
          <w:divBdr>
            <w:top w:val="none" w:sz="0" w:space="0" w:color="auto"/>
            <w:left w:val="none" w:sz="0" w:space="0" w:color="auto"/>
            <w:bottom w:val="none" w:sz="0" w:space="0" w:color="auto"/>
            <w:right w:val="none" w:sz="0" w:space="0" w:color="auto"/>
          </w:divBdr>
        </w:div>
        <w:div w:id="630330974">
          <w:marLeft w:val="0"/>
          <w:marRight w:val="0"/>
          <w:marTop w:val="0"/>
          <w:marBottom w:val="0"/>
          <w:divBdr>
            <w:top w:val="none" w:sz="0" w:space="0" w:color="auto"/>
            <w:left w:val="none" w:sz="0" w:space="0" w:color="auto"/>
            <w:bottom w:val="none" w:sz="0" w:space="0" w:color="auto"/>
            <w:right w:val="none" w:sz="0" w:space="0" w:color="auto"/>
          </w:divBdr>
        </w:div>
        <w:div w:id="665942950">
          <w:marLeft w:val="0"/>
          <w:marRight w:val="0"/>
          <w:marTop w:val="0"/>
          <w:marBottom w:val="0"/>
          <w:divBdr>
            <w:top w:val="none" w:sz="0" w:space="0" w:color="auto"/>
            <w:left w:val="none" w:sz="0" w:space="0" w:color="auto"/>
            <w:bottom w:val="none" w:sz="0" w:space="0" w:color="auto"/>
            <w:right w:val="none" w:sz="0" w:space="0" w:color="auto"/>
          </w:divBdr>
        </w:div>
        <w:div w:id="1256211719">
          <w:marLeft w:val="0"/>
          <w:marRight w:val="0"/>
          <w:marTop w:val="0"/>
          <w:marBottom w:val="0"/>
          <w:divBdr>
            <w:top w:val="none" w:sz="0" w:space="0" w:color="auto"/>
            <w:left w:val="none" w:sz="0" w:space="0" w:color="auto"/>
            <w:bottom w:val="none" w:sz="0" w:space="0" w:color="auto"/>
            <w:right w:val="none" w:sz="0" w:space="0" w:color="auto"/>
          </w:divBdr>
        </w:div>
        <w:div w:id="946619678">
          <w:marLeft w:val="0"/>
          <w:marRight w:val="0"/>
          <w:marTop w:val="0"/>
          <w:marBottom w:val="0"/>
          <w:divBdr>
            <w:top w:val="none" w:sz="0" w:space="0" w:color="auto"/>
            <w:left w:val="none" w:sz="0" w:space="0" w:color="auto"/>
            <w:bottom w:val="none" w:sz="0" w:space="0" w:color="auto"/>
            <w:right w:val="none" w:sz="0" w:space="0" w:color="auto"/>
          </w:divBdr>
        </w:div>
        <w:div w:id="633372103">
          <w:marLeft w:val="0"/>
          <w:marRight w:val="0"/>
          <w:marTop w:val="0"/>
          <w:marBottom w:val="0"/>
          <w:divBdr>
            <w:top w:val="none" w:sz="0" w:space="0" w:color="auto"/>
            <w:left w:val="none" w:sz="0" w:space="0" w:color="auto"/>
            <w:bottom w:val="none" w:sz="0" w:space="0" w:color="auto"/>
            <w:right w:val="none" w:sz="0" w:space="0" w:color="auto"/>
          </w:divBdr>
        </w:div>
        <w:div w:id="1808352489">
          <w:marLeft w:val="0"/>
          <w:marRight w:val="0"/>
          <w:marTop w:val="0"/>
          <w:marBottom w:val="0"/>
          <w:divBdr>
            <w:top w:val="none" w:sz="0" w:space="0" w:color="auto"/>
            <w:left w:val="none" w:sz="0" w:space="0" w:color="auto"/>
            <w:bottom w:val="none" w:sz="0" w:space="0" w:color="auto"/>
            <w:right w:val="none" w:sz="0" w:space="0" w:color="auto"/>
          </w:divBdr>
        </w:div>
        <w:div w:id="985401391">
          <w:marLeft w:val="0"/>
          <w:marRight w:val="0"/>
          <w:marTop w:val="0"/>
          <w:marBottom w:val="0"/>
          <w:divBdr>
            <w:top w:val="none" w:sz="0" w:space="0" w:color="auto"/>
            <w:left w:val="none" w:sz="0" w:space="0" w:color="auto"/>
            <w:bottom w:val="none" w:sz="0" w:space="0" w:color="auto"/>
            <w:right w:val="none" w:sz="0" w:space="0" w:color="auto"/>
          </w:divBdr>
        </w:div>
        <w:div w:id="1992444186">
          <w:marLeft w:val="0"/>
          <w:marRight w:val="0"/>
          <w:marTop w:val="0"/>
          <w:marBottom w:val="0"/>
          <w:divBdr>
            <w:top w:val="none" w:sz="0" w:space="0" w:color="auto"/>
            <w:left w:val="none" w:sz="0" w:space="0" w:color="auto"/>
            <w:bottom w:val="none" w:sz="0" w:space="0" w:color="auto"/>
            <w:right w:val="none" w:sz="0" w:space="0" w:color="auto"/>
          </w:divBdr>
        </w:div>
        <w:div w:id="411775432">
          <w:marLeft w:val="0"/>
          <w:marRight w:val="0"/>
          <w:marTop w:val="0"/>
          <w:marBottom w:val="0"/>
          <w:divBdr>
            <w:top w:val="none" w:sz="0" w:space="0" w:color="auto"/>
            <w:left w:val="none" w:sz="0" w:space="0" w:color="auto"/>
            <w:bottom w:val="none" w:sz="0" w:space="0" w:color="auto"/>
            <w:right w:val="none" w:sz="0" w:space="0" w:color="auto"/>
          </w:divBdr>
        </w:div>
        <w:div w:id="1428888002">
          <w:marLeft w:val="0"/>
          <w:marRight w:val="0"/>
          <w:marTop w:val="0"/>
          <w:marBottom w:val="0"/>
          <w:divBdr>
            <w:top w:val="none" w:sz="0" w:space="0" w:color="auto"/>
            <w:left w:val="none" w:sz="0" w:space="0" w:color="auto"/>
            <w:bottom w:val="none" w:sz="0" w:space="0" w:color="auto"/>
            <w:right w:val="none" w:sz="0" w:space="0" w:color="auto"/>
          </w:divBdr>
        </w:div>
        <w:div w:id="774788409">
          <w:marLeft w:val="0"/>
          <w:marRight w:val="0"/>
          <w:marTop w:val="0"/>
          <w:marBottom w:val="0"/>
          <w:divBdr>
            <w:top w:val="none" w:sz="0" w:space="0" w:color="auto"/>
            <w:left w:val="none" w:sz="0" w:space="0" w:color="auto"/>
            <w:bottom w:val="none" w:sz="0" w:space="0" w:color="auto"/>
            <w:right w:val="none" w:sz="0" w:space="0" w:color="auto"/>
          </w:divBdr>
        </w:div>
        <w:div w:id="53547713">
          <w:marLeft w:val="0"/>
          <w:marRight w:val="0"/>
          <w:marTop w:val="0"/>
          <w:marBottom w:val="0"/>
          <w:divBdr>
            <w:top w:val="none" w:sz="0" w:space="0" w:color="auto"/>
            <w:left w:val="none" w:sz="0" w:space="0" w:color="auto"/>
            <w:bottom w:val="none" w:sz="0" w:space="0" w:color="auto"/>
            <w:right w:val="none" w:sz="0" w:space="0" w:color="auto"/>
          </w:divBdr>
        </w:div>
        <w:div w:id="156698678">
          <w:marLeft w:val="0"/>
          <w:marRight w:val="0"/>
          <w:marTop w:val="0"/>
          <w:marBottom w:val="0"/>
          <w:divBdr>
            <w:top w:val="none" w:sz="0" w:space="0" w:color="auto"/>
            <w:left w:val="none" w:sz="0" w:space="0" w:color="auto"/>
            <w:bottom w:val="none" w:sz="0" w:space="0" w:color="auto"/>
            <w:right w:val="none" w:sz="0" w:space="0" w:color="auto"/>
          </w:divBdr>
        </w:div>
        <w:div w:id="445272954">
          <w:marLeft w:val="0"/>
          <w:marRight w:val="0"/>
          <w:marTop w:val="0"/>
          <w:marBottom w:val="0"/>
          <w:divBdr>
            <w:top w:val="none" w:sz="0" w:space="0" w:color="auto"/>
            <w:left w:val="none" w:sz="0" w:space="0" w:color="auto"/>
            <w:bottom w:val="none" w:sz="0" w:space="0" w:color="auto"/>
            <w:right w:val="none" w:sz="0" w:space="0" w:color="auto"/>
          </w:divBdr>
        </w:div>
        <w:div w:id="79255471">
          <w:marLeft w:val="0"/>
          <w:marRight w:val="0"/>
          <w:marTop w:val="0"/>
          <w:marBottom w:val="0"/>
          <w:divBdr>
            <w:top w:val="none" w:sz="0" w:space="0" w:color="auto"/>
            <w:left w:val="none" w:sz="0" w:space="0" w:color="auto"/>
            <w:bottom w:val="none" w:sz="0" w:space="0" w:color="auto"/>
            <w:right w:val="none" w:sz="0" w:space="0" w:color="auto"/>
          </w:divBdr>
        </w:div>
        <w:div w:id="1765298753">
          <w:marLeft w:val="0"/>
          <w:marRight w:val="0"/>
          <w:marTop w:val="0"/>
          <w:marBottom w:val="0"/>
          <w:divBdr>
            <w:top w:val="none" w:sz="0" w:space="0" w:color="auto"/>
            <w:left w:val="none" w:sz="0" w:space="0" w:color="auto"/>
            <w:bottom w:val="none" w:sz="0" w:space="0" w:color="auto"/>
            <w:right w:val="none" w:sz="0" w:space="0" w:color="auto"/>
          </w:divBdr>
        </w:div>
        <w:div w:id="618217607">
          <w:marLeft w:val="0"/>
          <w:marRight w:val="0"/>
          <w:marTop w:val="0"/>
          <w:marBottom w:val="0"/>
          <w:divBdr>
            <w:top w:val="none" w:sz="0" w:space="0" w:color="auto"/>
            <w:left w:val="none" w:sz="0" w:space="0" w:color="auto"/>
            <w:bottom w:val="none" w:sz="0" w:space="0" w:color="auto"/>
            <w:right w:val="none" w:sz="0" w:space="0" w:color="auto"/>
          </w:divBdr>
        </w:div>
        <w:div w:id="266158902">
          <w:marLeft w:val="0"/>
          <w:marRight w:val="0"/>
          <w:marTop w:val="0"/>
          <w:marBottom w:val="0"/>
          <w:divBdr>
            <w:top w:val="none" w:sz="0" w:space="0" w:color="auto"/>
            <w:left w:val="none" w:sz="0" w:space="0" w:color="auto"/>
            <w:bottom w:val="none" w:sz="0" w:space="0" w:color="auto"/>
            <w:right w:val="none" w:sz="0" w:space="0" w:color="auto"/>
          </w:divBdr>
        </w:div>
        <w:div w:id="111485557">
          <w:marLeft w:val="0"/>
          <w:marRight w:val="0"/>
          <w:marTop w:val="0"/>
          <w:marBottom w:val="0"/>
          <w:divBdr>
            <w:top w:val="none" w:sz="0" w:space="0" w:color="auto"/>
            <w:left w:val="none" w:sz="0" w:space="0" w:color="auto"/>
            <w:bottom w:val="none" w:sz="0" w:space="0" w:color="auto"/>
            <w:right w:val="none" w:sz="0" w:space="0" w:color="auto"/>
          </w:divBdr>
        </w:div>
        <w:div w:id="115103269">
          <w:marLeft w:val="0"/>
          <w:marRight w:val="0"/>
          <w:marTop w:val="0"/>
          <w:marBottom w:val="0"/>
          <w:divBdr>
            <w:top w:val="none" w:sz="0" w:space="0" w:color="auto"/>
            <w:left w:val="none" w:sz="0" w:space="0" w:color="auto"/>
            <w:bottom w:val="none" w:sz="0" w:space="0" w:color="auto"/>
            <w:right w:val="none" w:sz="0" w:space="0" w:color="auto"/>
          </w:divBdr>
        </w:div>
        <w:div w:id="1823962943">
          <w:marLeft w:val="0"/>
          <w:marRight w:val="0"/>
          <w:marTop w:val="0"/>
          <w:marBottom w:val="0"/>
          <w:divBdr>
            <w:top w:val="none" w:sz="0" w:space="0" w:color="auto"/>
            <w:left w:val="none" w:sz="0" w:space="0" w:color="auto"/>
            <w:bottom w:val="none" w:sz="0" w:space="0" w:color="auto"/>
            <w:right w:val="none" w:sz="0" w:space="0" w:color="auto"/>
          </w:divBdr>
        </w:div>
        <w:div w:id="1634755243">
          <w:marLeft w:val="0"/>
          <w:marRight w:val="0"/>
          <w:marTop w:val="0"/>
          <w:marBottom w:val="0"/>
          <w:divBdr>
            <w:top w:val="none" w:sz="0" w:space="0" w:color="auto"/>
            <w:left w:val="none" w:sz="0" w:space="0" w:color="auto"/>
            <w:bottom w:val="none" w:sz="0" w:space="0" w:color="auto"/>
            <w:right w:val="none" w:sz="0" w:space="0" w:color="auto"/>
          </w:divBdr>
        </w:div>
        <w:div w:id="1908109390">
          <w:marLeft w:val="0"/>
          <w:marRight w:val="0"/>
          <w:marTop w:val="0"/>
          <w:marBottom w:val="0"/>
          <w:divBdr>
            <w:top w:val="none" w:sz="0" w:space="0" w:color="auto"/>
            <w:left w:val="none" w:sz="0" w:space="0" w:color="auto"/>
            <w:bottom w:val="none" w:sz="0" w:space="0" w:color="auto"/>
            <w:right w:val="none" w:sz="0" w:space="0" w:color="auto"/>
          </w:divBdr>
        </w:div>
        <w:div w:id="84962775">
          <w:marLeft w:val="0"/>
          <w:marRight w:val="0"/>
          <w:marTop w:val="0"/>
          <w:marBottom w:val="0"/>
          <w:divBdr>
            <w:top w:val="none" w:sz="0" w:space="0" w:color="auto"/>
            <w:left w:val="none" w:sz="0" w:space="0" w:color="auto"/>
            <w:bottom w:val="none" w:sz="0" w:space="0" w:color="auto"/>
            <w:right w:val="none" w:sz="0" w:space="0" w:color="auto"/>
          </w:divBdr>
        </w:div>
        <w:div w:id="1855727705">
          <w:marLeft w:val="0"/>
          <w:marRight w:val="0"/>
          <w:marTop w:val="0"/>
          <w:marBottom w:val="0"/>
          <w:divBdr>
            <w:top w:val="none" w:sz="0" w:space="0" w:color="auto"/>
            <w:left w:val="none" w:sz="0" w:space="0" w:color="auto"/>
            <w:bottom w:val="none" w:sz="0" w:space="0" w:color="auto"/>
            <w:right w:val="none" w:sz="0" w:space="0" w:color="auto"/>
          </w:divBdr>
        </w:div>
        <w:div w:id="1621840160">
          <w:marLeft w:val="0"/>
          <w:marRight w:val="0"/>
          <w:marTop w:val="0"/>
          <w:marBottom w:val="0"/>
          <w:divBdr>
            <w:top w:val="none" w:sz="0" w:space="0" w:color="auto"/>
            <w:left w:val="none" w:sz="0" w:space="0" w:color="auto"/>
            <w:bottom w:val="none" w:sz="0" w:space="0" w:color="auto"/>
            <w:right w:val="none" w:sz="0" w:space="0" w:color="auto"/>
          </w:divBdr>
        </w:div>
        <w:div w:id="1441027215">
          <w:marLeft w:val="0"/>
          <w:marRight w:val="0"/>
          <w:marTop w:val="0"/>
          <w:marBottom w:val="0"/>
          <w:divBdr>
            <w:top w:val="none" w:sz="0" w:space="0" w:color="auto"/>
            <w:left w:val="none" w:sz="0" w:space="0" w:color="auto"/>
            <w:bottom w:val="none" w:sz="0" w:space="0" w:color="auto"/>
            <w:right w:val="none" w:sz="0" w:space="0" w:color="auto"/>
          </w:divBdr>
        </w:div>
        <w:div w:id="326441526">
          <w:marLeft w:val="0"/>
          <w:marRight w:val="0"/>
          <w:marTop w:val="0"/>
          <w:marBottom w:val="0"/>
          <w:divBdr>
            <w:top w:val="none" w:sz="0" w:space="0" w:color="auto"/>
            <w:left w:val="none" w:sz="0" w:space="0" w:color="auto"/>
            <w:bottom w:val="none" w:sz="0" w:space="0" w:color="auto"/>
            <w:right w:val="none" w:sz="0" w:space="0" w:color="auto"/>
          </w:divBdr>
        </w:div>
        <w:div w:id="511069143">
          <w:marLeft w:val="0"/>
          <w:marRight w:val="0"/>
          <w:marTop w:val="0"/>
          <w:marBottom w:val="0"/>
          <w:divBdr>
            <w:top w:val="none" w:sz="0" w:space="0" w:color="auto"/>
            <w:left w:val="none" w:sz="0" w:space="0" w:color="auto"/>
            <w:bottom w:val="none" w:sz="0" w:space="0" w:color="auto"/>
            <w:right w:val="none" w:sz="0" w:space="0" w:color="auto"/>
          </w:divBdr>
        </w:div>
        <w:div w:id="120071988">
          <w:marLeft w:val="0"/>
          <w:marRight w:val="0"/>
          <w:marTop w:val="0"/>
          <w:marBottom w:val="0"/>
          <w:divBdr>
            <w:top w:val="none" w:sz="0" w:space="0" w:color="auto"/>
            <w:left w:val="none" w:sz="0" w:space="0" w:color="auto"/>
            <w:bottom w:val="none" w:sz="0" w:space="0" w:color="auto"/>
            <w:right w:val="none" w:sz="0" w:space="0" w:color="auto"/>
          </w:divBdr>
        </w:div>
        <w:div w:id="2044092541">
          <w:marLeft w:val="0"/>
          <w:marRight w:val="0"/>
          <w:marTop w:val="0"/>
          <w:marBottom w:val="0"/>
          <w:divBdr>
            <w:top w:val="none" w:sz="0" w:space="0" w:color="auto"/>
            <w:left w:val="none" w:sz="0" w:space="0" w:color="auto"/>
            <w:bottom w:val="none" w:sz="0" w:space="0" w:color="auto"/>
            <w:right w:val="none" w:sz="0" w:space="0" w:color="auto"/>
          </w:divBdr>
        </w:div>
        <w:div w:id="1109618704">
          <w:marLeft w:val="0"/>
          <w:marRight w:val="0"/>
          <w:marTop w:val="0"/>
          <w:marBottom w:val="0"/>
          <w:divBdr>
            <w:top w:val="none" w:sz="0" w:space="0" w:color="auto"/>
            <w:left w:val="none" w:sz="0" w:space="0" w:color="auto"/>
            <w:bottom w:val="none" w:sz="0" w:space="0" w:color="auto"/>
            <w:right w:val="none" w:sz="0" w:space="0" w:color="auto"/>
          </w:divBdr>
        </w:div>
        <w:div w:id="1038428676">
          <w:marLeft w:val="0"/>
          <w:marRight w:val="0"/>
          <w:marTop w:val="0"/>
          <w:marBottom w:val="0"/>
          <w:divBdr>
            <w:top w:val="none" w:sz="0" w:space="0" w:color="auto"/>
            <w:left w:val="none" w:sz="0" w:space="0" w:color="auto"/>
            <w:bottom w:val="none" w:sz="0" w:space="0" w:color="auto"/>
            <w:right w:val="none" w:sz="0" w:space="0" w:color="auto"/>
          </w:divBdr>
        </w:div>
        <w:div w:id="1671635094">
          <w:marLeft w:val="0"/>
          <w:marRight w:val="0"/>
          <w:marTop w:val="0"/>
          <w:marBottom w:val="0"/>
          <w:divBdr>
            <w:top w:val="none" w:sz="0" w:space="0" w:color="auto"/>
            <w:left w:val="none" w:sz="0" w:space="0" w:color="auto"/>
            <w:bottom w:val="none" w:sz="0" w:space="0" w:color="auto"/>
            <w:right w:val="none" w:sz="0" w:space="0" w:color="auto"/>
          </w:divBdr>
        </w:div>
        <w:div w:id="606232722">
          <w:marLeft w:val="0"/>
          <w:marRight w:val="0"/>
          <w:marTop w:val="0"/>
          <w:marBottom w:val="0"/>
          <w:divBdr>
            <w:top w:val="none" w:sz="0" w:space="0" w:color="auto"/>
            <w:left w:val="none" w:sz="0" w:space="0" w:color="auto"/>
            <w:bottom w:val="none" w:sz="0" w:space="0" w:color="auto"/>
            <w:right w:val="none" w:sz="0" w:space="0" w:color="auto"/>
          </w:divBdr>
        </w:div>
        <w:div w:id="1459179537">
          <w:marLeft w:val="0"/>
          <w:marRight w:val="0"/>
          <w:marTop w:val="0"/>
          <w:marBottom w:val="0"/>
          <w:divBdr>
            <w:top w:val="none" w:sz="0" w:space="0" w:color="auto"/>
            <w:left w:val="none" w:sz="0" w:space="0" w:color="auto"/>
            <w:bottom w:val="none" w:sz="0" w:space="0" w:color="auto"/>
            <w:right w:val="none" w:sz="0" w:space="0" w:color="auto"/>
          </w:divBdr>
        </w:div>
        <w:div w:id="1124039916">
          <w:marLeft w:val="0"/>
          <w:marRight w:val="0"/>
          <w:marTop w:val="0"/>
          <w:marBottom w:val="0"/>
          <w:divBdr>
            <w:top w:val="none" w:sz="0" w:space="0" w:color="auto"/>
            <w:left w:val="none" w:sz="0" w:space="0" w:color="auto"/>
            <w:bottom w:val="none" w:sz="0" w:space="0" w:color="auto"/>
            <w:right w:val="none" w:sz="0" w:space="0" w:color="auto"/>
          </w:divBdr>
        </w:div>
        <w:div w:id="143931981">
          <w:marLeft w:val="0"/>
          <w:marRight w:val="0"/>
          <w:marTop w:val="0"/>
          <w:marBottom w:val="0"/>
          <w:divBdr>
            <w:top w:val="none" w:sz="0" w:space="0" w:color="auto"/>
            <w:left w:val="none" w:sz="0" w:space="0" w:color="auto"/>
            <w:bottom w:val="none" w:sz="0" w:space="0" w:color="auto"/>
            <w:right w:val="none" w:sz="0" w:space="0" w:color="auto"/>
          </w:divBdr>
        </w:div>
        <w:div w:id="1000156043">
          <w:marLeft w:val="0"/>
          <w:marRight w:val="0"/>
          <w:marTop w:val="0"/>
          <w:marBottom w:val="0"/>
          <w:divBdr>
            <w:top w:val="none" w:sz="0" w:space="0" w:color="auto"/>
            <w:left w:val="none" w:sz="0" w:space="0" w:color="auto"/>
            <w:bottom w:val="none" w:sz="0" w:space="0" w:color="auto"/>
            <w:right w:val="none" w:sz="0" w:space="0" w:color="auto"/>
          </w:divBdr>
        </w:div>
        <w:div w:id="246034982">
          <w:marLeft w:val="0"/>
          <w:marRight w:val="0"/>
          <w:marTop w:val="0"/>
          <w:marBottom w:val="0"/>
          <w:divBdr>
            <w:top w:val="none" w:sz="0" w:space="0" w:color="auto"/>
            <w:left w:val="none" w:sz="0" w:space="0" w:color="auto"/>
            <w:bottom w:val="none" w:sz="0" w:space="0" w:color="auto"/>
            <w:right w:val="none" w:sz="0" w:space="0" w:color="auto"/>
          </w:divBdr>
        </w:div>
        <w:div w:id="1915387269">
          <w:marLeft w:val="0"/>
          <w:marRight w:val="0"/>
          <w:marTop w:val="0"/>
          <w:marBottom w:val="0"/>
          <w:divBdr>
            <w:top w:val="none" w:sz="0" w:space="0" w:color="auto"/>
            <w:left w:val="none" w:sz="0" w:space="0" w:color="auto"/>
            <w:bottom w:val="none" w:sz="0" w:space="0" w:color="auto"/>
            <w:right w:val="none" w:sz="0" w:space="0" w:color="auto"/>
          </w:divBdr>
        </w:div>
        <w:div w:id="172955702">
          <w:marLeft w:val="0"/>
          <w:marRight w:val="0"/>
          <w:marTop w:val="0"/>
          <w:marBottom w:val="0"/>
          <w:divBdr>
            <w:top w:val="none" w:sz="0" w:space="0" w:color="auto"/>
            <w:left w:val="none" w:sz="0" w:space="0" w:color="auto"/>
            <w:bottom w:val="none" w:sz="0" w:space="0" w:color="auto"/>
            <w:right w:val="none" w:sz="0" w:space="0" w:color="auto"/>
          </w:divBdr>
        </w:div>
        <w:div w:id="1491679773">
          <w:marLeft w:val="0"/>
          <w:marRight w:val="0"/>
          <w:marTop w:val="0"/>
          <w:marBottom w:val="0"/>
          <w:divBdr>
            <w:top w:val="none" w:sz="0" w:space="0" w:color="auto"/>
            <w:left w:val="none" w:sz="0" w:space="0" w:color="auto"/>
            <w:bottom w:val="none" w:sz="0" w:space="0" w:color="auto"/>
            <w:right w:val="none" w:sz="0" w:space="0" w:color="auto"/>
          </w:divBdr>
        </w:div>
        <w:div w:id="186601072">
          <w:marLeft w:val="0"/>
          <w:marRight w:val="0"/>
          <w:marTop w:val="0"/>
          <w:marBottom w:val="0"/>
          <w:divBdr>
            <w:top w:val="none" w:sz="0" w:space="0" w:color="auto"/>
            <w:left w:val="none" w:sz="0" w:space="0" w:color="auto"/>
            <w:bottom w:val="none" w:sz="0" w:space="0" w:color="auto"/>
            <w:right w:val="none" w:sz="0" w:space="0" w:color="auto"/>
          </w:divBdr>
        </w:div>
        <w:div w:id="854148949">
          <w:marLeft w:val="0"/>
          <w:marRight w:val="0"/>
          <w:marTop w:val="0"/>
          <w:marBottom w:val="0"/>
          <w:divBdr>
            <w:top w:val="none" w:sz="0" w:space="0" w:color="auto"/>
            <w:left w:val="none" w:sz="0" w:space="0" w:color="auto"/>
            <w:bottom w:val="none" w:sz="0" w:space="0" w:color="auto"/>
            <w:right w:val="none" w:sz="0" w:space="0" w:color="auto"/>
          </w:divBdr>
        </w:div>
        <w:div w:id="562957514">
          <w:marLeft w:val="0"/>
          <w:marRight w:val="0"/>
          <w:marTop w:val="0"/>
          <w:marBottom w:val="0"/>
          <w:divBdr>
            <w:top w:val="none" w:sz="0" w:space="0" w:color="auto"/>
            <w:left w:val="none" w:sz="0" w:space="0" w:color="auto"/>
            <w:bottom w:val="none" w:sz="0" w:space="0" w:color="auto"/>
            <w:right w:val="none" w:sz="0" w:space="0" w:color="auto"/>
          </w:divBdr>
        </w:div>
        <w:div w:id="535654444">
          <w:marLeft w:val="0"/>
          <w:marRight w:val="0"/>
          <w:marTop w:val="0"/>
          <w:marBottom w:val="0"/>
          <w:divBdr>
            <w:top w:val="none" w:sz="0" w:space="0" w:color="auto"/>
            <w:left w:val="none" w:sz="0" w:space="0" w:color="auto"/>
            <w:bottom w:val="none" w:sz="0" w:space="0" w:color="auto"/>
            <w:right w:val="none" w:sz="0" w:space="0" w:color="auto"/>
          </w:divBdr>
        </w:div>
        <w:div w:id="1771387482">
          <w:marLeft w:val="0"/>
          <w:marRight w:val="0"/>
          <w:marTop w:val="0"/>
          <w:marBottom w:val="0"/>
          <w:divBdr>
            <w:top w:val="none" w:sz="0" w:space="0" w:color="auto"/>
            <w:left w:val="none" w:sz="0" w:space="0" w:color="auto"/>
            <w:bottom w:val="none" w:sz="0" w:space="0" w:color="auto"/>
            <w:right w:val="none" w:sz="0" w:space="0" w:color="auto"/>
          </w:divBdr>
        </w:div>
        <w:div w:id="541333108">
          <w:marLeft w:val="0"/>
          <w:marRight w:val="0"/>
          <w:marTop w:val="0"/>
          <w:marBottom w:val="0"/>
          <w:divBdr>
            <w:top w:val="none" w:sz="0" w:space="0" w:color="auto"/>
            <w:left w:val="none" w:sz="0" w:space="0" w:color="auto"/>
            <w:bottom w:val="none" w:sz="0" w:space="0" w:color="auto"/>
            <w:right w:val="none" w:sz="0" w:space="0" w:color="auto"/>
          </w:divBdr>
        </w:div>
        <w:div w:id="1942834674">
          <w:marLeft w:val="0"/>
          <w:marRight w:val="0"/>
          <w:marTop w:val="0"/>
          <w:marBottom w:val="0"/>
          <w:divBdr>
            <w:top w:val="none" w:sz="0" w:space="0" w:color="auto"/>
            <w:left w:val="none" w:sz="0" w:space="0" w:color="auto"/>
            <w:bottom w:val="none" w:sz="0" w:space="0" w:color="auto"/>
            <w:right w:val="none" w:sz="0" w:space="0" w:color="auto"/>
          </w:divBdr>
        </w:div>
        <w:div w:id="1319726062">
          <w:marLeft w:val="0"/>
          <w:marRight w:val="0"/>
          <w:marTop w:val="0"/>
          <w:marBottom w:val="0"/>
          <w:divBdr>
            <w:top w:val="none" w:sz="0" w:space="0" w:color="auto"/>
            <w:left w:val="none" w:sz="0" w:space="0" w:color="auto"/>
            <w:bottom w:val="none" w:sz="0" w:space="0" w:color="auto"/>
            <w:right w:val="none" w:sz="0" w:space="0" w:color="auto"/>
          </w:divBdr>
        </w:div>
        <w:div w:id="1035470484">
          <w:marLeft w:val="0"/>
          <w:marRight w:val="0"/>
          <w:marTop w:val="0"/>
          <w:marBottom w:val="0"/>
          <w:divBdr>
            <w:top w:val="none" w:sz="0" w:space="0" w:color="auto"/>
            <w:left w:val="none" w:sz="0" w:space="0" w:color="auto"/>
            <w:bottom w:val="none" w:sz="0" w:space="0" w:color="auto"/>
            <w:right w:val="none" w:sz="0" w:space="0" w:color="auto"/>
          </w:divBdr>
        </w:div>
        <w:div w:id="1909727572">
          <w:marLeft w:val="0"/>
          <w:marRight w:val="0"/>
          <w:marTop w:val="0"/>
          <w:marBottom w:val="0"/>
          <w:divBdr>
            <w:top w:val="none" w:sz="0" w:space="0" w:color="auto"/>
            <w:left w:val="none" w:sz="0" w:space="0" w:color="auto"/>
            <w:bottom w:val="none" w:sz="0" w:space="0" w:color="auto"/>
            <w:right w:val="none" w:sz="0" w:space="0" w:color="auto"/>
          </w:divBdr>
        </w:div>
        <w:div w:id="609163339">
          <w:marLeft w:val="0"/>
          <w:marRight w:val="0"/>
          <w:marTop w:val="0"/>
          <w:marBottom w:val="0"/>
          <w:divBdr>
            <w:top w:val="none" w:sz="0" w:space="0" w:color="auto"/>
            <w:left w:val="none" w:sz="0" w:space="0" w:color="auto"/>
            <w:bottom w:val="none" w:sz="0" w:space="0" w:color="auto"/>
            <w:right w:val="none" w:sz="0" w:space="0" w:color="auto"/>
          </w:divBdr>
        </w:div>
        <w:div w:id="1933273413">
          <w:marLeft w:val="0"/>
          <w:marRight w:val="0"/>
          <w:marTop w:val="0"/>
          <w:marBottom w:val="0"/>
          <w:divBdr>
            <w:top w:val="none" w:sz="0" w:space="0" w:color="auto"/>
            <w:left w:val="none" w:sz="0" w:space="0" w:color="auto"/>
            <w:bottom w:val="none" w:sz="0" w:space="0" w:color="auto"/>
            <w:right w:val="none" w:sz="0" w:space="0" w:color="auto"/>
          </w:divBdr>
        </w:div>
        <w:div w:id="609312186">
          <w:marLeft w:val="0"/>
          <w:marRight w:val="0"/>
          <w:marTop w:val="0"/>
          <w:marBottom w:val="0"/>
          <w:divBdr>
            <w:top w:val="none" w:sz="0" w:space="0" w:color="auto"/>
            <w:left w:val="none" w:sz="0" w:space="0" w:color="auto"/>
            <w:bottom w:val="none" w:sz="0" w:space="0" w:color="auto"/>
            <w:right w:val="none" w:sz="0" w:space="0" w:color="auto"/>
          </w:divBdr>
        </w:div>
        <w:div w:id="1435977133">
          <w:marLeft w:val="0"/>
          <w:marRight w:val="0"/>
          <w:marTop w:val="0"/>
          <w:marBottom w:val="0"/>
          <w:divBdr>
            <w:top w:val="none" w:sz="0" w:space="0" w:color="auto"/>
            <w:left w:val="none" w:sz="0" w:space="0" w:color="auto"/>
            <w:bottom w:val="none" w:sz="0" w:space="0" w:color="auto"/>
            <w:right w:val="none" w:sz="0" w:space="0" w:color="auto"/>
          </w:divBdr>
        </w:div>
        <w:div w:id="707410793">
          <w:marLeft w:val="0"/>
          <w:marRight w:val="0"/>
          <w:marTop w:val="0"/>
          <w:marBottom w:val="0"/>
          <w:divBdr>
            <w:top w:val="none" w:sz="0" w:space="0" w:color="auto"/>
            <w:left w:val="none" w:sz="0" w:space="0" w:color="auto"/>
            <w:bottom w:val="none" w:sz="0" w:space="0" w:color="auto"/>
            <w:right w:val="none" w:sz="0" w:space="0" w:color="auto"/>
          </w:divBdr>
        </w:div>
        <w:div w:id="1083800904">
          <w:marLeft w:val="0"/>
          <w:marRight w:val="0"/>
          <w:marTop w:val="0"/>
          <w:marBottom w:val="0"/>
          <w:divBdr>
            <w:top w:val="none" w:sz="0" w:space="0" w:color="auto"/>
            <w:left w:val="none" w:sz="0" w:space="0" w:color="auto"/>
            <w:bottom w:val="none" w:sz="0" w:space="0" w:color="auto"/>
            <w:right w:val="none" w:sz="0" w:space="0" w:color="auto"/>
          </w:divBdr>
        </w:div>
        <w:div w:id="1534345966">
          <w:marLeft w:val="0"/>
          <w:marRight w:val="0"/>
          <w:marTop w:val="0"/>
          <w:marBottom w:val="0"/>
          <w:divBdr>
            <w:top w:val="none" w:sz="0" w:space="0" w:color="auto"/>
            <w:left w:val="none" w:sz="0" w:space="0" w:color="auto"/>
            <w:bottom w:val="none" w:sz="0" w:space="0" w:color="auto"/>
            <w:right w:val="none" w:sz="0" w:space="0" w:color="auto"/>
          </w:divBdr>
        </w:div>
        <w:div w:id="937056177">
          <w:marLeft w:val="0"/>
          <w:marRight w:val="0"/>
          <w:marTop w:val="0"/>
          <w:marBottom w:val="0"/>
          <w:divBdr>
            <w:top w:val="none" w:sz="0" w:space="0" w:color="auto"/>
            <w:left w:val="none" w:sz="0" w:space="0" w:color="auto"/>
            <w:bottom w:val="none" w:sz="0" w:space="0" w:color="auto"/>
            <w:right w:val="none" w:sz="0" w:space="0" w:color="auto"/>
          </w:divBdr>
        </w:div>
        <w:div w:id="951282388">
          <w:marLeft w:val="0"/>
          <w:marRight w:val="0"/>
          <w:marTop w:val="0"/>
          <w:marBottom w:val="0"/>
          <w:divBdr>
            <w:top w:val="none" w:sz="0" w:space="0" w:color="auto"/>
            <w:left w:val="none" w:sz="0" w:space="0" w:color="auto"/>
            <w:bottom w:val="none" w:sz="0" w:space="0" w:color="auto"/>
            <w:right w:val="none" w:sz="0" w:space="0" w:color="auto"/>
          </w:divBdr>
        </w:div>
        <w:div w:id="1735354846">
          <w:marLeft w:val="0"/>
          <w:marRight w:val="0"/>
          <w:marTop w:val="0"/>
          <w:marBottom w:val="0"/>
          <w:divBdr>
            <w:top w:val="none" w:sz="0" w:space="0" w:color="auto"/>
            <w:left w:val="none" w:sz="0" w:space="0" w:color="auto"/>
            <w:bottom w:val="none" w:sz="0" w:space="0" w:color="auto"/>
            <w:right w:val="none" w:sz="0" w:space="0" w:color="auto"/>
          </w:divBdr>
        </w:div>
        <w:div w:id="255335596">
          <w:marLeft w:val="0"/>
          <w:marRight w:val="0"/>
          <w:marTop w:val="0"/>
          <w:marBottom w:val="0"/>
          <w:divBdr>
            <w:top w:val="none" w:sz="0" w:space="0" w:color="auto"/>
            <w:left w:val="none" w:sz="0" w:space="0" w:color="auto"/>
            <w:bottom w:val="none" w:sz="0" w:space="0" w:color="auto"/>
            <w:right w:val="none" w:sz="0" w:space="0" w:color="auto"/>
          </w:divBdr>
        </w:div>
        <w:div w:id="1879272922">
          <w:marLeft w:val="0"/>
          <w:marRight w:val="0"/>
          <w:marTop w:val="0"/>
          <w:marBottom w:val="0"/>
          <w:divBdr>
            <w:top w:val="none" w:sz="0" w:space="0" w:color="auto"/>
            <w:left w:val="none" w:sz="0" w:space="0" w:color="auto"/>
            <w:bottom w:val="none" w:sz="0" w:space="0" w:color="auto"/>
            <w:right w:val="none" w:sz="0" w:space="0" w:color="auto"/>
          </w:divBdr>
        </w:div>
        <w:div w:id="1542548540">
          <w:marLeft w:val="0"/>
          <w:marRight w:val="0"/>
          <w:marTop w:val="0"/>
          <w:marBottom w:val="0"/>
          <w:divBdr>
            <w:top w:val="none" w:sz="0" w:space="0" w:color="auto"/>
            <w:left w:val="none" w:sz="0" w:space="0" w:color="auto"/>
            <w:bottom w:val="none" w:sz="0" w:space="0" w:color="auto"/>
            <w:right w:val="none" w:sz="0" w:space="0" w:color="auto"/>
          </w:divBdr>
        </w:div>
        <w:div w:id="1524517279">
          <w:marLeft w:val="0"/>
          <w:marRight w:val="0"/>
          <w:marTop w:val="0"/>
          <w:marBottom w:val="0"/>
          <w:divBdr>
            <w:top w:val="none" w:sz="0" w:space="0" w:color="auto"/>
            <w:left w:val="none" w:sz="0" w:space="0" w:color="auto"/>
            <w:bottom w:val="none" w:sz="0" w:space="0" w:color="auto"/>
            <w:right w:val="none" w:sz="0" w:space="0" w:color="auto"/>
          </w:divBdr>
        </w:div>
        <w:div w:id="93940588">
          <w:marLeft w:val="0"/>
          <w:marRight w:val="0"/>
          <w:marTop w:val="0"/>
          <w:marBottom w:val="0"/>
          <w:divBdr>
            <w:top w:val="none" w:sz="0" w:space="0" w:color="auto"/>
            <w:left w:val="none" w:sz="0" w:space="0" w:color="auto"/>
            <w:bottom w:val="none" w:sz="0" w:space="0" w:color="auto"/>
            <w:right w:val="none" w:sz="0" w:space="0" w:color="auto"/>
          </w:divBdr>
        </w:div>
        <w:div w:id="680283252">
          <w:marLeft w:val="0"/>
          <w:marRight w:val="0"/>
          <w:marTop w:val="0"/>
          <w:marBottom w:val="0"/>
          <w:divBdr>
            <w:top w:val="none" w:sz="0" w:space="0" w:color="auto"/>
            <w:left w:val="none" w:sz="0" w:space="0" w:color="auto"/>
            <w:bottom w:val="none" w:sz="0" w:space="0" w:color="auto"/>
            <w:right w:val="none" w:sz="0" w:space="0" w:color="auto"/>
          </w:divBdr>
        </w:div>
        <w:div w:id="491486188">
          <w:marLeft w:val="0"/>
          <w:marRight w:val="0"/>
          <w:marTop w:val="0"/>
          <w:marBottom w:val="0"/>
          <w:divBdr>
            <w:top w:val="none" w:sz="0" w:space="0" w:color="auto"/>
            <w:left w:val="none" w:sz="0" w:space="0" w:color="auto"/>
            <w:bottom w:val="none" w:sz="0" w:space="0" w:color="auto"/>
            <w:right w:val="none" w:sz="0" w:space="0" w:color="auto"/>
          </w:divBdr>
        </w:div>
        <w:div w:id="825052906">
          <w:marLeft w:val="0"/>
          <w:marRight w:val="0"/>
          <w:marTop w:val="0"/>
          <w:marBottom w:val="0"/>
          <w:divBdr>
            <w:top w:val="none" w:sz="0" w:space="0" w:color="auto"/>
            <w:left w:val="none" w:sz="0" w:space="0" w:color="auto"/>
            <w:bottom w:val="none" w:sz="0" w:space="0" w:color="auto"/>
            <w:right w:val="none" w:sz="0" w:space="0" w:color="auto"/>
          </w:divBdr>
        </w:div>
        <w:div w:id="274100895">
          <w:marLeft w:val="0"/>
          <w:marRight w:val="0"/>
          <w:marTop w:val="0"/>
          <w:marBottom w:val="0"/>
          <w:divBdr>
            <w:top w:val="none" w:sz="0" w:space="0" w:color="auto"/>
            <w:left w:val="none" w:sz="0" w:space="0" w:color="auto"/>
            <w:bottom w:val="none" w:sz="0" w:space="0" w:color="auto"/>
            <w:right w:val="none" w:sz="0" w:space="0" w:color="auto"/>
          </w:divBdr>
        </w:div>
        <w:div w:id="1548224727">
          <w:marLeft w:val="0"/>
          <w:marRight w:val="0"/>
          <w:marTop w:val="0"/>
          <w:marBottom w:val="0"/>
          <w:divBdr>
            <w:top w:val="none" w:sz="0" w:space="0" w:color="auto"/>
            <w:left w:val="none" w:sz="0" w:space="0" w:color="auto"/>
            <w:bottom w:val="none" w:sz="0" w:space="0" w:color="auto"/>
            <w:right w:val="none" w:sz="0" w:space="0" w:color="auto"/>
          </w:divBdr>
        </w:div>
        <w:div w:id="864442011">
          <w:marLeft w:val="0"/>
          <w:marRight w:val="0"/>
          <w:marTop w:val="0"/>
          <w:marBottom w:val="0"/>
          <w:divBdr>
            <w:top w:val="none" w:sz="0" w:space="0" w:color="auto"/>
            <w:left w:val="none" w:sz="0" w:space="0" w:color="auto"/>
            <w:bottom w:val="none" w:sz="0" w:space="0" w:color="auto"/>
            <w:right w:val="none" w:sz="0" w:space="0" w:color="auto"/>
          </w:divBdr>
        </w:div>
        <w:div w:id="259534025">
          <w:marLeft w:val="0"/>
          <w:marRight w:val="0"/>
          <w:marTop w:val="0"/>
          <w:marBottom w:val="0"/>
          <w:divBdr>
            <w:top w:val="none" w:sz="0" w:space="0" w:color="auto"/>
            <w:left w:val="none" w:sz="0" w:space="0" w:color="auto"/>
            <w:bottom w:val="none" w:sz="0" w:space="0" w:color="auto"/>
            <w:right w:val="none" w:sz="0" w:space="0" w:color="auto"/>
          </w:divBdr>
        </w:div>
        <w:div w:id="905989789">
          <w:marLeft w:val="0"/>
          <w:marRight w:val="0"/>
          <w:marTop w:val="0"/>
          <w:marBottom w:val="0"/>
          <w:divBdr>
            <w:top w:val="none" w:sz="0" w:space="0" w:color="auto"/>
            <w:left w:val="none" w:sz="0" w:space="0" w:color="auto"/>
            <w:bottom w:val="none" w:sz="0" w:space="0" w:color="auto"/>
            <w:right w:val="none" w:sz="0" w:space="0" w:color="auto"/>
          </w:divBdr>
        </w:div>
        <w:div w:id="83261317">
          <w:marLeft w:val="0"/>
          <w:marRight w:val="0"/>
          <w:marTop w:val="0"/>
          <w:marBottom w:val="0"/>
          <w:divBdr>
            <w:top w:val="none" w:sz="0" w:space="0" w:color="auto"/>
            <w:left w:val="none" w:sz="0" w:space="0" w:color="auto"/>
            <w:bottom w:val="none" w:sz="0" w:space="0" w:color="auto"/>
            <w:right w:val="none" w:sz="0" w:space="0" w:color="auto"/>
          </w:divBdr>
        </w:div>
        <w:div w:id="1538153314">
          <w:marLeft w:val="0"/>
          <w:marRight w:val="0"/>
          <w:marTop w:val="0"/>
          <w:marBottom w:val="0"/>
          <w:divBdr>
            <w:top w:val="none" w:sz="0" w:space="0" w:color="auto"/>
            <w:left w:val="none" w:sz="0" w:space="0" w:color="auto"/>
            <w:bottom w:val="none" w:sz="0" w:space="0" w:color="auto"/>
            <w:right w:val="none" w:sz="0" w:space="0" w:color="auto"/>
          </w:divBdr>
        </w:div>
        <w:div w:id="1917977279">
          <w:marLeft w:val="0"/>
          <w:marRight w:val="0"/>
          <w:marTop w:val="0"/>
          <w:marBottom w:val="0"/>
          <w:divBdr>
            <w:top w:val="none" w:sz="0" w:space="0" w:color="auto"/>
            <w:left w:val="none" w:sz="0" w:space="0" w:color="auto"/>
            <w:bottom w:val="none" w:sz="0" w:space="0" w:color="auto"/>
            <w:right w:val="none" w:sz="0" w:space="0" w:color="auto"/>
          </w:divBdr>
        </w:div>
        <w:div w:id="1465738483">
          <w:marLeft w:val="0"/>
          <w:marRight w:val="0"/>
          <w:marTop w:val="0"/>
          <w:marBottom w:val="0"/>
          <w:divBdr>
            <w:top w:val="none" w:sz="0" w:space="0" w:color="auto"/>
            <w:left w:val="none" w:sz="0" w:space="0" w:color="auto"/>
            <w:bottom w:val="none" w:sz="0" w:space="0" w:color="auto"/>
            <w:right w:val="none" w:sz="0" w:space="0" w:color="auto"/>
          </w:divBdr>
        </w:div>
        <w:div w:id="1888879584">
          <w:marLeft w:val="0"/>
          <w:marRight w:val="0"/>
          <w:marTop w:val="0"/>
          <w:marBottom w:val="0"/>
          <w:divBdr>
            <w:top w:val="none" w:sz="0" w:space="0" w:color="auto"/>
            <w:left w:val="none" w:sz="0" w:space="0" w:color="auto"/>
            <w:bottom w:val="none" w:sz="0" w:space="0" w:color="auto"/>
            <w:right w:val="none" w:sz="0" w:space="0" w:color="auto"/>
          </w:divBdr>
        </w:div>
        <w:div w:id="1039431499">
          <w:marLeft w:val="0"/>
          <w:marRight w:val="0"/>
          <w:marTop w:val="0"/>
          <w:marBottom w:val="0"/>
          <w:divBdr>
            <w:top w:val="none" w:sz="0" w:space="0" w:color="auto"/>
            <w:left w:val="none" w:sz="0" w:space="0" w:color="auto"/>
            <w:bottom w:val="none" w:sz="0" w:space="0" w:color="auto"/>
            <w:right w:val="none" w:sz="0" w:space="0" w:color="auto"/>
          </w:divBdr>
        </w:div>
        <w:div w:id="597565818">
          <w:marLeft w:val="0"/>
          <w:marRight w:val="0"/>
          <w:marTop w:val="0"/>
          <w:marBottom w:val="0"/>
          <w:divBdr>
            <w:top w:val="none" w:sz="0" w:space="0" w:color="auto"/>
            <w:left w:val="none" w:sz="0" w:space="0" w:color="auto"/>
            <w:bottom w:val="none" w:sz="0" w:space="0" w:color="auto"/>
            <w:right w:val="none" w:sz="0" w:space="0" w:color="auto"/>
          </w:divBdr>
        </w:div>
        <w:div w:id="1535578770">
          <w:marLeft w:val="0"/>
          <w:marRight w:val="0"/>
          <w:marTop w:val="0"/>
          <w:marBottom w:val="0"/>
          <w:divBdr>
            <w:top w:val="none" w:sz="0" w:space="0" w:color="auto"/>
            <w:left w:val="none" w:sz="0" w:space="0" w:color="auto"/>
            <w:bottom w:val="none" w:sz="0" w:space="0" w:color="auto"/>
            <w:right w:val="none" w:sz="0" w:space="0" w:color="auto"/>
          </w:divBdr>
        </w:div>
        <w:div w:id="54554076">
          <w:marLeft w:val="0"/>
          <w:marRight w:val="0"/>
          <w:marTop w:val="0"/>
          <w:marBottom w:val="0"/>
          <w:divBdr>
            <w:top w:val="none" w:sz="0" w:space="0" w:color="auto"/>
            <w:left w:val="none" w:sz="0" w:space="0" w:color="auto"/>
            <w:bottom w:val="none" w:sz="0" w:space="0" w:color="auto"/>
            <w:right w:val="none" w:sz="0" w:space="0" w:color="auto"/>
          </w:divBdr>
        </w:div>
        <w:div w:id="1150633548">
          <w:marLeft w:val="0"/>
          <w:marRight w:val="0"/>
          <w:marTop w:val="0"/>
          <w:marBottom w:val="0"/>
          <w:divBdr>
            <w:top w:val="none" w:sz="0" w:space="0" w:color="auto"/>
            <w:left w:val="none" w:sz="0" w:space="0" w:color="auto"/>
            <w:bottom w:val="none" w:sz="0" w:space="0" w:color="auto"/>
            <w:right w:val="none" w:sz="0" w:space="0" w:color="auto"/>
          </w:divBdr>
        </w:div>
        <w:div w:id="1808546390">
          <w:marLeft w:val="0"/>
          <w:marRight w:val="0"/>
          <w:marTop w:val="0"/>
          <w:marBottom w:val="0"/>
          <w:divBdr>
            <w:top w:val="none" w:sz="0" w:space="0" w:color="auto"/>
            <w:left w:val="none" w:sz="0" w:space="0" w:color="auto"/>
            <w:bottom w:val="none" w:sz="0" w:space="0" w:color="auto"/>
            <w:right w:val="none" w:sz="0" w:space="0" w:color="auto"/>
          </w:divBdr>
        </w:div>
        <w:div w:id="180246408">
          <w:marLeft w:val="0"/>
          <w:marRight w:val="0"/>
          <w:marTop w:val="0"/>
          <w:marBottom w:val="0"/>
          <w:divBdr>
            <w:top w:val="none" w:sz="0" w:space="0" w:color="auto"/>
            <w:left w:val="none" w:sz="0" w:space="0" w:color="auto"/>
            <w:bottom w:val="none" w:sz="0" w:space="0" w:color="auto"/>
            <w:right w:val="none" w:sz="0" w:space="0" w:color="auto"/>
          </w:divBdr>
        </w:div>
      </w:divsChild>
    </w:div>
    <w:div w:id="758603121">
      <w:bodyDiv w:val="1"/>
      <w:marLeft w:val="0"/>
      <w:marRight w:val="0"/>
      <w:marTop w:val="0"/>
      <w:marBottom w:val="0"/>
      <w:divBdr>
        <w:top w:val="none" w:sz="0" w:space="0" w:color="auto"/>
        <w:left w:val="none" w:sz="0" w:space="0" w:color="auto"/>
        <w:bottom w:val="none" w:sz="0" w:space="0" w:color="auto"/>
        <w:right w:val="none" w:sz="0" w:space="0" w:color="auto"/>
      </w:divBdr>
      <w:divsChild>
        <w:div w:id="1133715728">
          <w:marLeft w:val="0"/>
          <w:marRight w:val="0"/>
          <w:marTop w:val="0"/>
          <w:marBottom w:val="0"/>
          <w:divBdr>
            <w:top w:val="none" w:sz="0" w:space="0" w:color="auto"/>
            <w:left w:val="none" w:sz="0" w:space="0" w:color="auto"/>
            <w:bottom w:val="none" w:sz="0" w:space="0" w:color="auto"/>
            <w:right w:val="none" w:sz="0" w:space="0" w:color="auto"/>
          </w:divBdr>
          <w:divsChild>
            <w:div w:id="512569162">
              <w:marLeft w:val="0"/>
              <w:marRight w:val="0"/>
              <w:marTop w:val="0"/>
              <w:marBottom w:val="0"/>
              <w:divBdr>
                <w:top w:val="none" w:sz="0" w:space="0" w:color="auto"/>
                <w:left w:val="none" w:sz="0" w:space="0" w:color="auto"/>
                <w:bottom w:val="none" w:sz="0" w:space="0" w:color="auto"/>
                <w:right w:val="none" w:sz="0" w:space="0" w:color="auto"/>
              </w:divBdr>
              <w:divsChild>
                <w:div w:id="1555122155">
                  <w:marLeft w:val="0"/>
                  <w:marRight w:val="0"/>
                  <w:marTop w:val="0"/>
                  <w:marBottom w:val="0"/>
                  <w:divBdr>
                    <w:top w:val="none" w:sz="0" w:space="0" w:color="auto"/>
                    <w:left w:val="none" w:sz="0" w:space="0" w:color="auto"/>
                    <w:bottom w:val="none" w:sz="0" w:space="0" w:color="auto"/>
                    <w:right w:val="none" w:sz="0" w:space="0" w:color="auto"/>
                  </w:divBdr>
                  <w:divsChild>
                    <w:div w:id="482085608">
                      <w:marLeft w:val="0"/>
                      <w:marRight w:val="0"/>
                      <w:marTop w:val="0"/>
                      <w:marBottom w:val="0"/>
                      <w:divBdr>
                        <w:top w:val="none" w:sz="0" w:space="0" w:color="auto"/>
                        <w:left w:val="none" w:sz="0" w:space="0" w:color="auto"/>
                        <w:bottom w:val="none" w:sz="0" w:space="0" w:color="auto"/>
                        <w:right w:val="none" w:sz="0" w:space="0" w:color="auto"/>
                      </w:divBdr>
                      <w:divsChild>
                        <w:div w:id="86390468">
                          <w:marLeft w:val="0"/>
                          <w:marRight w:val="0"/>
                          <w:marTop w:val="0"/>
                          <w:marBottom w:val="0"/>
                          <w:divBdr>
                            <w:top w:val="none" w:sz="0" w:space="0" w:color="auto"/>
                            <w:left w:val="none" w:sz="0" w:space="0" w:color="auto"/>
                            <w:bottom w:val="none" w:sz="0" w:space="0" w:color="auto"/>
                            <w:right w:val="none" w:sz="0" w:space="0" w:color="auto"/>
                          </w:divBdr>
                          <w:divsChild>
                            <w:div w:id="705175034">
                              <w:marLeft w:val="0"/>
                              <w:marRight w:val="0"/>
                              <w:marTop w:val="0"/>
                              <w:marBottom w:val="0"/>
                              <w:divBdr>
                                <w:top w:val="none" w:sz="0" w:space="0" w:color="auto"/>
                                <w:left w:val="none" w:sz="0" w:space="0" w:color="auto"/>
                                <w:bottom w:val="none" w:sz="0" w:space="0" w:color="auto"/>
                                <w:right w:val="none" w:sz="0" w:space="0" w:color="auto"/>
                              </w:divBdr>
                            </w:div>
                            <w:div w:id="278418174">
                              <w:marLeft w:val="0"/>
                              <w:marRight w:val="0"/>
                              <w:marTop w:val="0"/>
                              <w:marBottom w:val="0"/>
                              <w:divBdr>
                                <w:top w:val="none" w:sz="0" w:space="0" w:color="auto"/>
                                <w:left w:val="none" w:sz="0" w:space="0" w:color="auto"/>
                                <w:bottom w:val="none" w:sz="0" w:space="0" w:color="auto"/>
                                <w:right w:val="none" w:sz="0" w:space="0" w:color="auto"/>
                              </w:divBdr>
                            </w:div>
                            <w:div w:id="1797334751">
                              <w:marLeft w:val="0"/>
                              <w:marRight w:val="0"/>
                              <w:marTop w:val="0"/>
                              <w:marBottom w:val="0"/>
                              <w:divBdr>
                                <w:top w:val="none" w:sz="0" w:space="0" w:color="auto"/>
                                <w:left w:val="none" w:sz="0" w:space="0" w:color="auto"/>
                                <w:bottom w:val="none" w:sz="0" w:space="0" w:color="auto"/>
                                <w:right w:val="none" w:sz="0" w:space="0" w:color="auto"/>
                              </w:divBdr>
                            </w:div>
                            <w:div w:id="1451317890">
                              <w:marLeft w:val="0"/>
                              <w:marRight w:val="0"/>
                              <w:marTop w:val="0"/>
                              <w:marBottom w:val="0"/>
                              <w:divBdr>
                                <w:top w:val="none" w:sz="0" w:space="0" w:color="auto"/>
                                <w:left w:val="none" w:sz="0" w:space="0" w:color="auto"/>
                                <w:bottom w:val="none" w:sz="0" w:space="0" w:color="auto"/>
                                <w:right w:val="none" w:sz="0" w:space="0" w:color="auto"/>
                              </w:divBdr>
                            </w:div>
                            <w:div w:id="1122119009">
                              <w:marLeft w:val="0"/>
                              <w:marRight w:val="0"/>
                              <w:marTop w:val="0"/>
                              <w:marBottom w:val="0"/>
                              <w:divBdr>
                                <w:top w:val="none" w:sz="0" w:space="0" w:color="auto"/>
                                <w:left w:val="none" w:sz="0" w:space="0" w:color="auto"/>
                                <w:bottom w:val="none" w:sz="0" w:space="0" w:color="auto"/>
                                <w:right w:val="none" w:sz="0" w:space="0" w:color="auto"/>
                              </w:divBdr>
                            </w:div>
                            <w:div w:id="175078046">
                              <w:marLeft w:val="0"/>
                              <w:marRight w:val="0"/>
                              <w:marTop w:val="0"/>
                              <w:marBottom w:val="0"/>
                              <w:divBdr>
                                <w:top w:val="none" w:sz="0" w:space="0" w:color="auto"/>
                                <w:left w:val="none" w:sz="0" w:space="0" w:color="auto"/>
                                <w:bottom w:val="none" w:sz="0" w:space="0" w:color="auto"/>
                                <w:right w:val="none" w:sz="0" w:space="0" w:color="auto"/>
                              </w:divBdr>
                            </w:div>
                            <w:div w:id="1031225950">
                              <w:marLeft w:val="0"/>
                              <w:marRight w:val="0"/>
                              <w:marTop w:val="0"/>
                              <w:marBottom w:val="0"/>
                              <w:divBdr>
                                <w:top w:val="none" w:sz="0" w:space="0" w:color="auto"/>
                                <w:left w:val="none" w:sz="0" w:space="0" w:color="auto"/>
                                <w:bottom w:val="none" w:sz="0" w:space="0" w:color="auto"/>
                                <w:right w:val="none" w:sz="0" w:space="0" w:color="auto"/>
                              </w:divBdr>
                            </w:div>
                            <w:div w:id="848717402">
                              <w:marLeft w:val="0"/>
                              <w:marRight w:val="0"/>
                              <w:marTop w:val="0"/>
                              <w:marBottom w:val="0"/>
                              <w:divBdr>
                                <w:top w:val="none" w:sz="0" w:space="0" w:color="auto"/>
                                <w:left w:val="none" w:sz="0" w:space="0" w:color="auto"/>
                                <w:bottom w:val="none" w:sz="0" w:space="0" w:color="auto"/>
                                <w:right w:val="none" w:sz="0" w:space="0" w:color="auto"/>
                              </w:divBdr>
                            </w:div>
                            <w:div w:id="880822233">
                              <w:marLeft w:val="0"/>
                              <w:marRight w:val="0"/>
                              <w:marTop w:val="0"/>
                              <w:marBottom w:val="0"/>
                              <w:divBdr>
                                <w:top w:val="none" w:sz="0" w:space="0" w:color="auto"/>
                                <w:left w:val="none" w:sz="0" w:space="0" w:color="auto"/>
                                <w:bottom w:val="none" w:sz="0" w:space="0" w:color="auto"/>
                                <w:right w:val="none" w:sz="0" w:space="0" w:color="auto"/>
                              </w:divBdr>
                            </w:div>
                            <w:div w:id="2095858715">
                              <w:marLeft w:val="0"/>
                              <w:marRight w:val="0"/>
                              <w:marTop w:val="0"/>
                              <w:marBottom w:val="0"/>
                              <w:divBdr>
                                <w:top w:val="none" w:sz="0" w:space="0" w:color="auto"/>
                                <w:left w:val="none" w:sz="0" w:space="0" w:color="auto"/>
                                <w:bottom w:val="none" w:sz="0" w:space="0" w:color="auto"/>
                                <w:right w:val="none" w:sz="0" w:space="0" w:color="auto"/>
                              </w:divBdr>
                            </w:div>
                            <w:div w:id="1519584279">
                              <w:marLeft w:val="0"/>
                              <w:marRight w:val="0"/>
                              <w:marTop w:val="0"/>
                              <w:marBottom w:val="0"/>
                              <w:divBdr>
                                <w:top w:val="none" w:sz="0" w:space="0" w:color="auto"/>
                                <w:left w:val="none" w:sz="0" w:space="0" w:color="auto"/>
                                <w:bottom w:val="none" w:sz="0" w:space="0" w:color="auto"/>
                                <w:right w:val="none" w:sz="0" w:space="0" w:color="auto"/>
                              </w:divBdr>
                            </w:div>
                            <w:div w:id="2588163">
                              <w:marLeft w:val="0"/>
                              <w:marRight w:val="0"/>
                              <w:marTop w:val="0"/>
                              <w:marBottom w:val="0"/>
                              <w:divBdr>
                                <w:top w:val="none" w:sz="0" w:space="0" w:color="auto"/>
                                <w:left w:val="none" w:sz="0" w:space="0" w:color="auto"/>
                                <w:bottom w:val="none" w:sz="0" w:space="0" w:color="auto"/>
                                <w:right w:val="none" w:sz="0" w:space="0" w:color="auto"/>
                              </w:divBdr>
                            </w:div>
                            <w:div w:id="1683042946">
                              <w:marLeft w:val="0"/>
                              <w:marRight w:val="0"/>
                              <w:marTop w:val="0"/>
                              <w:marBottom w:val="0"/>
                              <w:divBdr>
                                <w:top w:val="none" w:sz="0" w:space="0" w:color="auto"/>
                                <w:left w:val="none" w:sz="0" w:space="0" w:color="auto"/>
                                <w:bottom w:val="none" w:sz="0" w:space="0" w:color="auto"/>
                                <w:right w:val="none" w:sz="0" w:space="0" w:color="auto"/>
                              </w:divBdr>
                            </w:div>
                            <w:div w:id="1002201773">
                              <w:marLeft w:val="0"/>
                              <w:marRight w:val="0"/>
                              <w:marTop w:val="0"/>
                              <w:marBottom w:val="0"/>
                              <w:divBdr>
                                <w:top w:val="none" w:sz="0" w:space="0" w:color="auto"/>
                                <w:left w:val="none" w:sz="0" w:space="0" w:color="auto"/>
                                <w:bottom w:val="none" w:sz="0" w:space="0" w:color="auto"/>
                                <w:right w:val="none" w:sz="0" w:space="0" w:color="auto"/>
                              </w:divBdr>
                            </w:div>
                            <w:div w:id="617612857">
                              <w:marLeft w:val="0"/>
                              <w:marRight w:val="0"/>
                              <w:marTop w:val="0"/>
                              <w:marBottom w:val="0"/>
                              <w:divBdr>
                                <w:top w:val="none" w:sz="0" w:space="0" w:color="auto"/>
                                <w:left w:val="none" w:sz="0" w:space="0" w:color="auto"/>
                                <w:bottom w:val="none" w:sz="0" w:space="0" w:color="auto"/>
                                <w:right w:val="none" w:sz="0" w:space="0" w:color="auto"/>
                              </w:divBdr>
                            </w:div>
                            <w:div w:id="1362315277">
                              <w:marLeft w:val="0"/>
                              <w:marRight w:val="0"/>
                              <w:marTop w:val="0"/>
                              <w:marBottom w:val="0"/>
                              <w:divBdr>
                                <w:top w:val="none" w:sz="0" w:space="0" w:color="auto"/>
                                <w:left w:val="none" w:sz="0" w:space="0" w:color="auto"/>
                                <w:bottom w:val="none" w:sz="0" w:space="0" w:color="auto"/>
                                <w:right w:val="none" w:sz="0" w:space="0" w:color="auto"/>
                              </w:divBdr>
                            </w:div>
                            <w:div w:id="1242376778">
                              <w:marLeft w:val="0"/>
                              <w:marRight w:val="0"/>
                              <w:marTop w:val="0"/>
                              <w:marBottom w:val="0"/>
                              <w:divBdr>
                                <w:top w:val="none" w:sz="0" w:space="0" w:color="auto"/>
                                <w:left w:val="none" w:sz="0" w:space="0" w:color="auto"/>
                                <w:bottom w:val="none" w:sz="0" w:space="0" w:color="auto"/>
                                <w:right w:val="none" w:sz="0" w:space="0" w:color="auto"/>
                              </w:divBdr>
                            </w:div>
                            <w:div w:id="1760636554">
                              <w:marLeft w:val="0"/>
                              <w:marRight w:val="0"/>
                              <w:marTop w:val="0"/>
                              <w:marBottom w:val="0"/>
                              <w:divBdr>
                                <w:top w:val="none" w:sz="0" w:space="0" w:color="auto"/>
                                <w:left w:val="none" w:sz="0" w:space="0" w:color="auto"/>
                                <w:bottom w:val="none" w:sz="0" w:space="0" w:color="auto"/>
                                <w:right w:val="none" w:sz="0" w:space="0" w:color="auto"/>
                              </w:divBdr>
                            </w:div>
                            <w:div w:id="1890418009">
                              <w:marLeft w:val="0"/>
                              <w:marRight w:val="0"/>
                              <w:marTop w:val="0"/>
                              <w:marBottom w:val="0"/>
                              <w:divBdr>
                                <w:top w:val="none" w:sz="0" w:space="0" w:color="auto"/>
                                <w:left w:val="none" w:sz="0" w:space="0" w:color="auto"/>
                                <w:bottom w:val="none" w:sz="0" w:space="0" w:color="auto"/>
                                <w:right w:val="none" w:sz="0" w:space="0" w:color="auto"/>
                              </w:divBdr>
                            </w:div>
                            <w:div w:id="1973100523">
                              <w:marLeft w:val="0"/>
                              <w:marRight w:val="0"/>
                              <w:marTop w:val="0"/>
                              <w:marBottom w:val="0"/>
                              <w:divBdr>
                                <w:top w:val="none" w:sz="0" w:space="0" w:color="auto"/>
                                <w:left w:val="none" w:sz="0" w:space="0" w:color="auto"/>
                                <w:bottom w:val="none" w:sz="0" w:space="0" w:color="auto"/>
                                <w:right w:val="none" w:sz="0" w:space="0" w:color="auto"/>
                              </w:divBdr>
                            </w:div>
                            <w:div w:id="2083600783">
                              <w:marLeft w:val="0"/>
                              <w:marRight w:val="0"/>
                              <w:marTop w:val="0"/>
                              <w:marBottom w:val="0"/>
                              <w:divBdr>
                                <w:top w:val="none" w:sz="0" w:space="0" w:color="auto"/>
                                <w:left w:val="none" w:sz="0" w:space="0" w:color="auto"/>
                                <w:bottom w:val="none" w:sz="0" w:space="0" w:color="auto"/>
                                <w:right w:val="none" w:sz="0" w:space="0" w:color="auto"/>
                              </w:divBdr>
                            </w:div>
                            <w:div w:id="831221503">
                              <w:marLeft w:val="0"/>
                              <w:marRight w:val="0"/>
                              <w:marTop w:val="0"/>
                              <w:marBottom w:val="0"/>
                              <w:divBdr>
                                <w:top w:val="none" w:sz="0" w:space="0" w:color="auto"/>
                                <w:left w:val="none" w:sz="0" w:space="0" w:color="auto"/>
                                <w:bottom w:val="none" w:sz="0" w:space="0" w:color="auto"/>
                                <w:right w:val="none" w:sz="0" w:space="0" w:color="auto"/>
                              </w:divBdr>
                            </w:div>
                            <w:div w:id="1551572707">
                              <w:marLeft w:val="0"/>
                              <w:marRight w:val="0"/>
                              <w:marTop w:val="0"/>
                              <w:marBottom w:val="0"/>
                              <w:divBdr>
                                <w:top w:val="none" w:sz="0" w:space="0" w:color="auto"/>
                                <w:left w:val="none" w:sz="0" w:space="0" w:color="auto"/>
                                <w:bottom w:val="none" w:sz="0" w:space="0" w:color="auto"/>
                                <w:right w:val="none" w:sz="0" w:space="0" w:color="auto"/>
                              </w:divBdr>
                            </w:div>
                            <w:div w:id="117379174">
                              <w:marLeft w:val="0"/>
                              <w:marRight w:val="0"/>
                              <w:marTop w:val="0"/>
                              <w:marBottom w:val="0"/>
                              <w:divBdr>
                                <w:top w:val="none" w:sz="0" w:space="0" w:color="auto"/>
                                <w:left w:val="none" w:sz="0" w:space="0" w:color="auto"/>
                                <w:bottom w:val="none" w:sz="0" w:space="0" w:color="auto"/>
                                <w:right w:val="none" w:sz="0" w:space="0" w:color="auto"/>
                              </w:divBdr>
                            </w:div>
                            <w:div w:id="606349363">
                              <w:marLeft w:val="0"/>
                              <w:marRight w:val="0"/>
                              <w:marTop w:val="0"/>
                              <w:marBottom w:val="0"/>
                              <w:divBdr>
                                <w:top w:val="none" w:sz="0" w:space="0" w:color="auto"/>
                                <w:left w:val="none" w:sz="0" w:space="0" w:color="auto"/>
                                <w:bottom w:val="none" w:sz="0" w:space="0" w:color="auto"/>
                                <w:right w:val="none" w:sz="0" w:space="0" w:color="auto"/>
                              </w:divBdr>
                            </w:div>
                            <w:div w:id="864755905">
                              <w:marLeft w:val="0"/>
                              <w:marRight w:val="0"/>
                              <w:marTop w:val="0"/>
                              <w:marBottom w:val="0"/>
                              <w:divBdr>
                                <w:top w:val="none" w:sz="0" w:space="0" w:color="auto"/>
                                <w:left w:val="none" w:sz="0" w:space="0" w:color="auto"/>
                                <w:bottom w:val="none" w:sz="0" w:space="0" w:color="auto"/>
                                <w:right w:val="none" w:sz="0" w:space="0" w:color="auto"/>
                              </w:divBdr>
                            </w:div>
                            <w:div w:id="476151561">
                              <w:marLeft w:val="0"/>
                              <w:marRight w:val="0"/>
                              <w:marTop w:val="0"/>
                              <w:marBottom w:val="0"/>
                              <w:divBdr>
                                <w:top w:val="none" w:sz="0" w:space="0" w:color="auto"/>
                                <w:left w:val="none" w:sz="0" w:space="0" w:color="auto"/>
                                <w:bottom w:val="none" w:sz="0" w:space="0" w:color="auto"/>
                                <w:right w:val="none" w:sz="0" w:space="0" w:color="auto"/>
                              </w:divBdr>
                            </w:div>
                            <w:div w:id="460613298">
                              <w:marLeft w:val="0"/>
                              <w:marRight w:val="0"/>
                              <w:marTop w:val="0"/>
                              <w:marBottom w:val="0"/>
                              <w:divBdr>
                                <w:top w:val="none" w:sz="0" w:space="0" w:color="auto"/>
                                <w:left w:val="none" w:sz="0" w:space="0" w:color="auto"/>
                                <w:bottom w:val="none" w:sz="0" w:space="0" w:color="auto"/>
                                <w:right w:val="none" w:sz="0" w:space="0" w:color="auto"/>
                              </w:divBdr>
                            </w:div>
                            <w:div w:id="1561791544">
                              <w:marLeft w:val="0"/>
                              <w:marRight w:val="0"/>
                              <w:marTop w:val="0"/>
                              <w:marBottom w:val="0"/>
                              <w:divBdr>
                                <w:top w:val="none" w:sz="0" w:space="0" w:color="auto"/>
                                <w:left w:val="none" w:sz="0" w:space="0" w:color="auto"/>
                                <w:bottom w:val="none" w:sz="0" w:space="0" w:color="auto"/>
                                <w:right w:val="none" w:sz="0" w:space="0" w:color="auto"/>
                              </w:divBdr>
                            </w:div>
                            <w:div w:id="978412844">
                              <w:marLeft w:val="0"/>
                              <w:marRight w:val="0"/>
                              <w:marTop w:val="0"/>
                              <w:marBottom w:val="0"/>
                              <w:divBdr>
                                <w:top w:val="none" w:sz="0" w:space="0" w:color="auto"/>
                                <w:left w:val="none" w:sz="0" w:space="0" w:color="auto"/>
                                <w:bottom w:val="none" w:sz="0" w:space="0" w:color="auto"/>
                                <w:right w:val="none" w:sz="0" w:space="0" w:color="auto"/>
                              </w:divBdr>
                            </w:div>
                            <w:div w:id="36050826">
                              <w:marLeft w:val="0"/>
                              <w:marRight w:val="0"/>
                              <w:marTop w:val="0"/>
                              <w:marBottom w:val="0"/>
                              <w:divBdr>
                                <w:top w:val="none" w:sz="0" w:space="0" w:color="auto"/>
                                <w:left w:val="none" w:sz="0" w:space="0" w:color="auto"/>
                                <w:bottom w:val="none" w:sz="0" w:space="0" w:color="auto"/>
                                <w:right w:val="none" w:sz="0" w:space="0" w:color="auto"/>
                              </w:divBdr>
                            </w:div>
                            <w:div w:id="149755157">
                              <w:marLeft w:val="0"/>
                              <w:marRight w:val="0"/>
                              <w:marTop w:val="0"/>
                              <w:marBottom w:val="0"/>
                              <w:divBdr>
                                <w:top w:val="none" w:sz="0" w:space="0" w:color="auto"/>
                                <w:left w:val="none" w:sz="0" w:space="0" w:color="auto"/>
                                <w:bottom w:val="none" w:sz="0" w:space="0" w:color="auto"/>
                                <w:right w:val="none" w:sz="0" w:space="0" w:color="auto"/>
                              </w:divBdr>
                            </w:div>
                            <w:div w:id="1604075558">
                              <w:marLeft w:val="0"/>
                              <w:marRight w:val="0"/>
                              <w:marTop w:val="0"/>
                              <w:marBottom w:val="0"/>
                              <w:divBdr>
                                <w:top w:val="none" w:sz="0" w:space="0" w:color="auto"/>
                                <w:left w:val="none" w:sz="0" w:space="0" w:color="auto"/>
                                <w:bottom w:val="none" w:sz="0" w:space="0" w:color="auto"/>
                                <w:right w:val="none" w:sz="0" w:space="0" w:color="auto"/>
                              </w:divBdr>
                            </w:div>
                            <w:div w:id="342323971">
                              <w:marLeft w:val="0"/>
                              <w:marRight w:val="0"/>
                              <w:marTop w:val="0"/>
                              <w:marBottom w:val="0"/>
                              <w:divBdr>
                                <w:top w:val="none" w:sz="0" w:space="0" w:color="auto"/>
                                <w:left w:val="none" w:sz="0" w:space="0" w:color="auto"/>
                                <w:bottom w:val="none" w:sz="0" w:space="0" w:color="auto"/>
                                <w:right w:val="none" w:sz="0" w:space="0" w:color="auto"/>
                              </w:divBdr>
                            </w:div>
                            <w:div w:id="19726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381">
                      <w:marLeft w:val="0"/>
                      <w:marRight w:val="0"/>
                      <w:marTop w:val="0"/>
                      <w:marBottom w:val="0"/>
                      <w:divBdr>
                        <w:top w:val="none" w:sz="0" w:space="0" w:color="auto"/>
                        <w:left w:val="none" w:sz="0" w:space="0" w:color="auto"/>
                        <w:bottom w:val="none" w:sz="0" w:space="0" w:color="auto"/>
                        <w:right w:val="none" w:sz="0" w:space="0" w:color="auto"/>
                      </w:divBdr>
                      <w:divsChild>
                        <w:div w:id="2064475333">
                          <w:marLeft w:val="0"/>
                          <w:marRight w:val="0"/>
                          <w:marTop w:val="0"/>
                          <w:marBottom w:val="0"/>
                          <w:divBdr>
                            <w:top w:val="none" w:sz="0" w:space="0" w:color="auto"/>
                            <w:left w:val="none" w:sz="0" w:space="0" w:color="auto"/>
                            <w:bottom w:val="none" w:sz="0" w:space="0" w:color="auto"/>
                            <w:right w:val="none" w:sz="0" w:space="0" w:color="auto"/>
                          </w:divBdr>
                        </w:div>
                      </w:divsChild>
                    </w:div>
                    <w:div w:id="1956323721">
                      <w:marLeft w:val="0"/>
                      <w:marRight w:val="0"/>
                      <w:marTop w:val="0"/>
                      <w:marBottom w:val="0"/>
                      <w:divBdr>
                        <w:top w:val="none" w:sz="0" w:space="0" w:color="auto"/>
                        <w:left w:val="none" w:sz="0" w:space="0" w:color="auto"/>
                        <w:bottom w:val="none" w:sz="0" w:space="0" w:color="auto"/>
                        <w:right w:val="none" w:sz="0" w:space="0" w:color="auto"/>
                      </w:divBdr>
                      <w:divsChild>
                        <w:div w:id="416638072">
                          <w:marLeft w:val="0"/>
                          <w:marRight w:val="0"/>
                          <w:marTop w:val="0"/>
                          <w:marBottom w:val="0"/>
                          <w:divBdr>
                            <w:top w:val="none" w:sz="0" w:space="0" w:color="auto"/>
                            <w:left w:val="none" w:sz="0" w:space="0" w:color="auto"/>
                            <w:bottom w:val="none" w:sz="0" w:space="0" w:color="auto"/>
                            <w:right w:val="none" w:sz="0" w:space="0" w:color="auto"/>
                          </w:divBdr>
                        </w:div>
                      </w:divsChild>
                    </w:div>
                    <w:div w:id="347100562">
                      <w:marLeft w:val="0"/>
                      <w:marRight w:val="0"/>
                      <w:marTop w:val="0"/>
                      <w:marBottom w:val="0"/>
                      <w:divBdr>
                        <w:top w:val="none" w:sz="0" w:space="0" w:color="auto"/>
                        <w:left w:val="none" w:sz="0" w:space="0" w:color="auto"/>
                        <w:bottom w:val="none" w:sz="0" w:space="0" w:color="auto"/>
                        <w:right w:val="none" w:sz="0" w:space="0" w:color="auto"/>
                      </w:divBdr>
                      <w:divsChild>
                        <w:div w:id="623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54621">
          <w:marLeft w:val="0"/>
          <w:marRight w:val="0"/>
          <w:marTop w:val="0"/>
          <w:marBottom w:val="0"/>
          <w:divBdr>
            <w:top w:val="single" w:sz="6" w:space="0" w:color="909299"/>
            <w:left w:val="single" w:sz="6" w:space="0" w:color="909299"/>
            <w:bottom w:val="single" w:sz="6" w:space="0" w:color="909299"/>
            <w:right w:val="single" w:sz="6" w:space="0" w:color="909299"/>
          </w:divBdr>
          <w:divsChild>
            <w:div w:id="1276256350">
              <w:marLeft w:val="0"/>
              <w:marRight w:val="0"/>
              <w:marTop w:val="0"/>
              <w:marBottom w:val="0"/>
              <w:divBdr>
                <w:top w:val="none" w:sz="0" w:space="0" w:color="auto"/>
                <w:left w:val="none" w:sz="0" w:space="0" w:color="auto"/>
                <w:bottom w:val="none" w:sz="0" w:space="0" w:color="auto"/>
                <w:right w:val="none" w:sz="0" w:space="0" w:color="auto"/>
              </w:divBdr>
              <w:divsChild>
                <w:div w:id="622543001">
                  <w:marLeft w:val="0"/>
                  <w:marRight w:val="0"/>
                  <w:marTop w:val="0"/>
                  <w:marBottom w:val="0"/>
                  <w:divBdr>
                    <w:top w:val="none" w:sz="0" w:space="0" w:color="auto"/>
                    <w:left w:val="none" w:sz="0" w:space="0" w:color="auto"/>
                    <w:bottom w:val="none" w:sz="0" w:space="0" w:color="auto"/>
                    <w:right w:val="none" w:sz="0" w:space="0" w:color="auto"/>
                  </w:divBdr>
                  <w:divsChild>
                    <w:div w:id="634414935">
                      <w:marLeft w:val="0"/>
                      <w:marRight w:val="0"/>
                      <w:marTop w:val="0"/>
                      <w:marBottom w:val="0"/>
                      <w:divBdr>
                        <w:top w:val="none" w:sz="0" w:space="0" w:color="auto"/>
                        <w:left w:val="none" w:sz="0" w:space="0" w:color="auto"/>
                        <w:bottom w:val="none" w:sz="0" w:space="0" w:color="auto"/>
                        <w:right w:val="none" w:sz="0" w:space="0" w:color="auto"/>
                      </w:divBdr>
                      <w:divsChild>
                        <w:div w:id="2096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88258">
      <w:bodyDiv w:val="1"/>
      <w:marLeft w:val="0"/>
      <w:marRight w:val="0"/>
      <w:marTop w:val="0"/>
      <w:marBottom w:val="0"/>
      <w:divBdr>
        <w:top w:val="none" w:sz="0" w:space="0" w:color="auto"/>
        <w:left w:val="none" w:sz="0" w:space="0" w:color="auto"/>
        <w:bottom w:val="none" w:sz="0" w:space="0" w:color="auto"/>
        <w:right w:val="none" w:sz="0" w:space="0" w:color="auto"/>
      </w:divBdr>
      <w:divsChild>
        <w:div w:id="1333558816">
          <w:marLeft w:val="0"/>
          <w:marRight w:val="0"/>
          <w:marTop w:val="0"/>
          <w:marBottom w:val="0"/>
          <w:divBdr>
            <w:top w:val="none" w:sz="0" w:space="0" w:color="auto"/>
            <w:left w:val="none" w:sz="0" w:space="0" w:color="auto"/>
            <w:bottom w:val="none" w:sz="0" w:space="0" w:color="auto"/>
            <w:right w:val="none" w:sz="0" w:space="0" w:color="auto"/>
          </w:divBdr>
          <w:divsChild>
            <w:div w:id="619729427">
              <w:marLeft w:val="0"/>
              <w:marRight w:val="0"/>
              <w:marTop w:val="0"/>
              <w:marBottom w:val="0"/>
              <w:divBdr>
                <w:top w:val="none" w:sz="0" w:space="0" w:color="auto"/>
                <w:left w:val="none" w:sz="0" w:space="0" w:color="auto"/>
                <w:bottom w:val="none" w:sz="0" w:space="0" w:color="auto"/>
                <w:right w:val="none" w:sz="0" w:space="0" w:color="auto"/>
              </w:divBdr>
              <w:divsChild>
                <w:div w:id="128403445">
                  <w:marLeft w:val="0"/>
                  <w:marRight w:val="0"/>
                  <w:marTop w:val="0"/>
                  <w:marBottom w:val="0"/>
                  <w:divBdr>
                    <w:top w:val="none" w:sz="0" w:space="0" w:color="auto"/>
                    <w:left w:val="none" w:sz="0" w:space="0" w:color="auto"/>
                    <w:bottom w:val="none" w:sz="0" w:space="0" w:color="auto"/>
                    <w:right w:val="none" w:sz="0" w:space="0" w:color="auto"/>
                  </w:divBdr>
                  <w:divsChild>
                    <w:div w:id="367923190">
                      <w:marLeft w:val="0"/>
                      <w:marRight w:val="0"/>
                      <w:marTop w:val="0"/>
                      <w:marBottom w:val="0"/>
                      <w:divBdr>
                        <w:top w:val="none" w:sz="0" w:space="0" w:color="auto"/>
                        <w:left w:val="none" w:sz="0" w:space="0" w:color="auto"/>
                        <w:bottom w:val="none" w:sz="0" w:space="0" w:color="auto"/>
                        <w:right w:val="none" w:sz="0" w:space="0" w:color="auto"/>
                      </w:divBdr>
                      <w:divsChild>
                        <w:div w:id="1058432585">
                          <w:marLeft w:val="0"/>
                          <w:marRight w:val="0"/>
                          <w:marTop w:val="0"/>
                          <w:marBottom w:val="0"/>
                          <w:divBdr>
                            <w:top w:val="none" w:sz="0" w:space="0" w:color="auto"/>
                            <w:left w:val="none" w:sz="0" w:space="0" w:color="auto"/>
                            <w:bottom w:val="none" w:sz="0" w:space="0" w:color="auto"/>
                            <w:right w:val="none" w:sz="0" w:space="0" w:color="auto"/>
                          </w:divBdr>
                          <w:divsChild>
                            <w:div w:id="2100325800">
                              <w:marLeft w:val="0"/>
                              <w:marRight w:val="0"/>
                              <w:marTop w:val="0"/>
                              <w:marBottom w:val="0"/>
                              <w:divBdr>
                                <w:top w:val="none" w:sz="0" w:space="0" w:color="auto"/>
                                <w:left w:val="none" w:sz="0" w:space="0" w:color="auto"/>
                                <w:bottom w:val="none" w:sz="0" w:space="0" w:color="auto"/>
                                <w:right w:val="none" w:sz="0" w:space="0" w:color="auto"/>
                              </w:divBdr>
                            </w:div>
                            <w:div w:id="2037922017">
                              <w:marLeft w:val="0"/>
                              <w:marRight w:val="0"/>
                              <w:marTop w:val="0"/>
                              <w:marBottom w:val="0"/>
                              <w:divBdr>
                                <w:top w:val="none" w:sz="0" w:space="0" w:color="auto"/>
                                <w:left w:val="none" w:sz="0" w:space="0" w:color="auto"/>
                                <w:bottom w:val="none" w:sz="0" w:space="0" w:color="auto"/>
                                <w:right w:val="none" w:sz="0" w:space="0" w:color="auto"/>
                              </w:divBdr>
                            </w:div>
                            <w:div w:id="1000541566">
                              <w:marLeft w:val="0"/>
                              <w:marRight w:val="0"/>
                              <w:marTop w:val="0"/>
                              <w:marBottom w:val="0"/>
                              <w:divBdr>
                                <w:top w:val="none" w:sz="0" w:space="0" w:color="auto"/>
                                <w:left w:val="none" w:sz="0" w:space="0" w:color="auto"/>
                                <w:bottom w:val="none" w:sz="0" w:space="0" w:color="auto"/>
                                <w:right w:val="none" w:sz="0" w:space="0" w:color="auto"/>
                              </w:divBdr>
                            </w:div>
                            <w:div w:id="674578903">
                              <w:marLeft w:val="0"/>
                              <w:marRight w:val="0"/>
                              <w:marTop w:val="0"/>
                              <w:marBottom w:val="0"/>
                              <w:divBdr>
                                <w:top w:val="none" w:sz="0" w:space="0" w:color="auto"/>
                                <w:left w:val="none" w:sz="0" w:space="0" w:color="auto"/>
                                <w:bottom w:val="none" w:sz="0" w:space="0" w:color="auto"/>
                                <w:right w:val="none" w:sz="0" w:space="0" w:color="auto"/>
                              </w:divBdr>
                            </w:div>
                            <w:div w:id="2128621990">
                              <w:marLeft w:val="0"/>
                              <w:marRight w:val="0"/>
                              <w:marTop w:val="0"/>
                              <w:marBottom w:val="0"/>
                              <w:divBdr>
                                <w:top w:val="none" w:sz="0" w:space="0" w:color="auto"/>
                                <w:left w:val="none" w:sz="0" w:space="0" w:color="auto"/>
                                <w:bottom w:val="none" w:sz="0" w:space="0" w:color="auto"/>
                                <w:right w:val="none" w:sz="0" w:space="0" w:color="auto"/>
                              </w:divBdr>
                            </w:div>
                            <w:div w:id="1193375504">
                              <w:marLeft w:val="0"/>
                              <w:marRight w:val="0"/>
                              <w:marTop w:val="0"/>
                              <w:marBottom w:val="0"/>
                              <w:divBdr>
                                <w:top w:val="none" w:sz="0" w:space="0" w:color="auto"/>
                                <w:left w:val="none" w:sz="0" w:space="0" w:color="auto"/>
                                <w:bottom w:val="none" w:sz="0" w:space="0" w:color="auto"/>
                                <w:right w:val="none" w:sz="0" w:space="0" w:color="auto"/>
                              </w:divBdr>
                            </w:div>
                            <w:div w:id="1441677762">
                              <w:marLeft w:val="0"/>
                              <w:marRight w:val="0"/>
                              <w:marTop w:val="0"/>
                              <w:marBottom w:val="0"/>
                              <w:divBdr>
                                <w:top w:val="none" w:sz="0" w:space="0" w:color="auto"/>
                                <w:left w:val="none" w:sz="0" w:space="0" w:color="auto"/>
                                <w:bottom w:val="none" w:sz="0" w:space="0" w:color="auto"/>
                                <w:right w:val="none" w:sz="0" w:space="0" w:color="auto"/>
                              </w:divBdr>
                            </w:div>
                            <w:div w:id="1295720986">
                              <w:marLeft w:val="0"/>
                              <w:marRight w:val="0"/>
                              <w:marTop w:val="0"/>
                              <w:marBottom w:val="0"/>
                              <w:divBdr>
                                <w:top w:val="none" w:sz="0" w:space="0" w:color="auto"/>
                                <w:left w:val="none" w:sz="0" w:space="0" w:color="auto"/>
                                <w:bottom w:val="none" w:sz="0" w:space="0" w:color="auto"/>
                                <w:right w:val="none" w:sz="0" w:space="0" w:color="auto"/>
                              </w:divBdr>
                            </w:div>
                            <w:div w:id="1609504077">
                              <w:marLeft w:val="0"/>
                              <w:marRight w:val="0"/>
                              <w:marTop w:val="0"/>
                              <w:marBottom w:val="0"/>
                              <w:divBdr>
                                <w:top w:val="none" w:sz="0" w:space="0" w:color="auto"/>
                                <w:left w:val="none" w:sz="0" w:space="0" w:color="auto"/>
                                <w:bottom w:val="none" w:sz="0" w:space="0" w:color="auto"/>
                                <w:right w:val="none" w:sz="0" w:space="0" w:color="auto"/>
                              </w:divBdr>
                            </w:div>
                            <w:div w:id="803817556">
                              <w:marLeft w:val="0"/>
                              <w:marRight w:val="0"/>
                              <w:marTop w:val="0"/>
                              <w:marBottom w:val="0"/>
                              <w:divBdr>
                                <w:top w:val="none" w:sz="0" w:space="0" w:color="auto"/>
                                <w:left w:val="none" w:sz="0" w:space="0" w:color="auto"/>
                                <w:bottom w:val="none" w:sz="0" w:space="0" w:color="auto"/>
                                <w:right w:val="none" w:sz="0" w:space="0" w:color="auto"/>
                              </w:divBdr>
                            </w:div>
                            <w:div w:id="1634097569">
                              <w:marLeft w:val="0"/>
                              <w:marRight w:val="0"/>
                              <w:marTop w:val="0"/>
                              <w:marBottom w:val="0"/>
                              <w:divBdr>
                                <w:top w:val="none" w:sz="0" w:space="0" w:color="auto"/>
                                <w:left w:val="none" w:sz="0" w:space="0" w:color="auto"/>
                                <w:bottom w:val="none" w:sz="0" w:space="0" w:color="auto"/>
                                <w:right w:val="none" w:sz="0" w:space="0" w:color="auto"/>
                              </w:divBdr>
                            </w:div>
                            <w:div w:id="325212974">
                              <w:marLeft w:val="0"/>
                              <w:marRight w:val="0"/>
                              <w:marTop w:val="0"/>
                              <w:marBottom w:val="0"/>
                              <w:divBdr>
                                <w:top w:val="none" w:sz="0" w:space="0" w:color="auto"/>
                                <w:left w:val="none" w:sz="0" w:space="0" w:color="auto"/>
                                <w:bottom w:val="none" w:sz="0" w:space="0" w:color="auto"/>
                                <w:right w:val="none" w:sz="0" w:space="0" w:color="auto"/>
                              </w:divBdr>
                            </w:div>
                            <w:div w:id="630481236">
                              <w:marLeft w:val="0"/>
                              <w:marRight w:val="0"/>
                              <w:marTop w:val="0"/>
                              <w:marBottom w:val="0"/>
                              <w:divBdr>
                                <w:top w:val="none" w:sz="0" w:space="0" w:color="auto"/>
                                <w:left w:val="none" w:sz="0" w:space="0" w:color="auto"/>
                                <w:bottom w:val="none" w:sz="0" w:space="0" w:color="auto"/>
                                <w:right w:val="none" w:sz="0" w:space="0" w:color="auto"/>
                              </w:divBdr>
                            </w:div>
                            <w:div w:id="2126194669">
                              <w:marLeft w:val="0"/>
                              <w:marRight w:val="0"/>
                              <w:marTop w:val="0"/>
                              <w:marBottom w:val="0"/>
                              <w:divBdr>
                                <w:top w:val="none" w:sz="0" w:space="0" w:color="auto"/>
                                <w:left w:val="none" w:sz="0" w:space="0" w:color="auto"/>
                                <w:bottom w:val="none" w:sz="0" w:space="0" w:color="auto"/>
                                <w:right w:val="none" w:sz="0" w:space="0" w:color="auto"/>
                              </w:divBdr>
                            </w:div>
                            <w:div w:id="856236274">
                              <w:marLeft w:val="0"/>
                              <w:marRight w:val="0"/>
                              <w:marTop w:val="0"/>
                              <w:marBottom w:val="0"/>
                              <w:divBdr>
                                <w:top w:val="none" w:sz="0" w:space="0" w:color="auto"/>
                                <w:left w:val="none" w:sz="0" w:space="0" w:color="auto"/>
                                <w:bottom w:val="none" w:sz="0" w:space="0" w:color="auto"/>
                                <w:right w:val="none" w:sz="0" w:space="0" w:color="auto"/>
                              </w:divBdr>
                            </w:div>
                            <w:div w:id="69085577">
                              <w:marLeft w:val="0"/>
                              <w:marRight w:val="0"/>
                              <w:marTop w:val="0"/>
                              <w:marBottom w:val="0"/>
                              <w:divBdr>
                                <w:top w:val="none" w:sz="0" w:space="0" w:color="auto"/>
                                <w:left w:val="none" w:sz="0" w:space="0" w:color="auto"/>
                                <w:bottom w:val="none" w:sz="0" w:space="0" w:color="auto"/>
                                <w:right w:val="none" w:sz="0" w:space="0" w:color="auto"/>
                              </w:divBdr>
                            </w:div>
                            <w:div w:id="153032343">
                              <w:marLeft w:val="0"/>
                              <w:marRight w:val="0"/>
                              <w:marTop w:val="0"/>
                              <w:marBottom w:val="0"/>
                              <w:divBdr>
                                <w:top w:val="none" w:sz="0" w:space="0" w:color="auto"/>
                                <w:left w:val="none" w:sz="0" w:space="0" w:color="auto"/>
                                <w:bottom w:val="none" w:sz="0" w:space="0" w:color="auto"/>
                                <w:right w:val="none" w:sz="0" w:space="0" w:color="auto"/>
                              </w:divBdr>
                            </w:div>
                            <w:div w:id="1022363015">
                              <w:marLeft w:val="0"/>
                              <w:marRight w:val="0"/>
                              <w:marTop w:val="0"/>
                              <w:marBottom w:val="0"/>
                              <w:divBdr>
                                <w:top w:val="none" w:sz="0" w:space="0" w:color="auto"/>
                                <w:left w:val="none" w:sz="0" w:space="0" w:color="auto"/>
                                <w:bottom w:val="none" w:sz="0" w:space="0" w:color="auto"/>
                                <w:right w:val="none" w:sz="0" w:space="0" w:color="auto"/>
                              </w:divBdr>
                            </w:div>
                            <w:div w:id="155802331">
                              <w:marLeft w:val="0"/>
                              <w:marRight w:val="0"/>
                              <w:marTop w:val="0"/>
                              <w:marBottom w:val="0"/>
                              <w:divBdr>
                                <w:top w:val="none" w:sz="0" w:space="0" w:color="auto"/>
                                <w:left w:val="none" w:sz="0" w:space="0" w:color="auto"/>
                                <w:bottom w:val="none" w:sz="0" w:space="0" w:color="auto"/>
                                <w:right w:val="none" w:sz="0" w:space="0" w:color="auto"/>
                              </w:divBdr>
                            </w:div>
                            <w:div w:id="333609481">
                              <w:marLeft w:val="0"/>
                              <w:marRight w:val="0"/>
                              <w:marTop w:val="0"/>
                              <w:marBottom w:val="0"/>
                              <w:divBdr>
                                <w:top w:val="none" w:sz="0" w:space="0" w:color="auto"/>
                                <w:left w:val="none" w:sz="0" w:space="0" w:color="auto"/>
                                <w:bottom w:val="none" w:sz="0" w:space="0" w:color="auto"/>
                                <w:right w:val="none" w:sz="0" w:space="0" w:color="auto"/>
                              </w:divBdr>
                            </w:div>
                            <w:div w:id="1360862290">
                              <w:marLeft w:val="0"/>
                              <w:marRight w:val="0"/>
                              <w:marTop w:val="0"/>
                              <w:marBottom w:val="0"/>
                              <w:divBdr>
                                <w:top w:val="none" w:sz="0" w:space="0" w:color="auto"/>
                                <w:left w:val="none" w:sz="0" w:space="0" w:color="auto"/>
                                <w:bottom w:val="none" w:sz="0" w:space="0" w:color="auto"/>
                                <w:right w:val="none" w:sz="0" w:space="0" w:color="auto"/>
                              </w:divBdr>
                            </w:div>
                            <w:div w:id="282923182">
                              <w:marLeft w:val="0"/>
                              <w:marRight w:val="0"/>
                              <w:marTop w:val="0"/>
                              <w:marBottom w:val="0"/>
                              <w:divBdr>
                                <w:top w:val="none" w:sz="0" w:space="0" w:color="auto"/>
                                <w:left w:val="none" w:sz="0" w:space="0" w:color="auto"/>
                                <w:bottom w:val="none" w:sz="0" w:space="0" w:color="auto"/>
                                <w:right w:val="none" w:sz="0" w:space="0" w:color="auto"/>
                              </w:divBdr>
                            </w:div>
                            <w:div w:id="3947387">
                              <w:marLeft w:val="0"/>
                              <w:marRight w:val="0"/>
                              <w:marTop w:val="0"/>
                              <w:marBottom w:val="0"/>
                              <w:divBdr>
                                <w:top w:val="none" w:sz="0" w:space="0" w:color="auto"/>
                                <w:left w:val="none" w:sz="0" w:space="0" w:color="auto"/>
                                <w:bottom w:val="none" w:sz="0" w:space="0" w:color="auto"/>
                                <w:right w:val="none" w:sz="0" w:space="0" w:color="auto"/>
                              </w:divBdr>
                            </w:div>
                            <w:div w:id="72509655">
                              <w:marLeft w:val="0"/>
                              <w:marRight w:val="0"/>
                              <w:marTop w:val="0"/>
                              <w:marBottom w:val="0"/>
                              <w:divBdr>
                                <w:top w:val="none" w:sz="0" w:space="0" w:color="auto"/>
                                <w:left w:val="none" w:sz="0" w:space="0" w:color="auto"/>
                                <w:bottom w:val="none" w:sz="0" w:space="0" w:color="auto"/>
                                <w:right w:val="none" w:sz="0" w:space="0" w:color="auto"/>
                              </w:divBdr>
                            </w:div>
                            <w:div w:id="630676371">
                              <w:marLeft w:val="0"/>
                              <w:marRight w:val="0"/>
                              <w:marTop w:val="0"/>
                              <w:marBottom w:val="0"/>
                              <w:divBdr>
                                <w:top w:val="none" w:sz="0" w:space="0" w:color="auto"/>
                                <w:left w:val="none" w:sz="0" w:space="0" w:color="auto"/>
                                <w:bottom w:val="none" w:sz="0" w:space="0" w:color="auto"/>
                                <w:right w:val="none" w:sz="0" w:space="0" w:color="auto"/>
                              </w:divBdr>
                            </w:div>
                            <w:div w:id="671838744">
                              <w:marLeft w:val="0"/>
                              <w:marRight w:val="0"/>
                              <w:marTop w:val="0"/>
                              <w:marBottom w:val="0"/>
                              <w:divBdr>
                                <w:top w:val="none" w:sz="0" w:space="0" w:color="auto"/>
                                <w:left w:val="none" w:sz="0" w:space="0" w:color="auto"/>
                                <w:bottom w:val="none" w:sz="0" w:space="0" w:color="auto"/>
                                <w:right w:val="none" w:sz="0" w:space="0" w:color="auto"/>
                              </w:divBdr>
                            </w:div>
                            <w:div w:id="1023165808">
                              <w:marLeft w:val="0"/>
                              <w:marRight w:val="0"/>
                              <w:marTop w:val="0"/>
                              <w:marBottom w:val="0"/>
                              <w:divBdr>
                                <w:top w:val="none" w:sz="0" w:space="0" w:color="auto"/>
                                <w:left w:val="none" w:sz="0" w:space="0" w:color="auto"/>
                                <w:bottom w:val="none" w:sz="0" w:space="0" w:color="auto"/>
                                <w:right w:val="none" w:sz="0" w:space="0" w:color="auto"/>
                              </w:divBdr>
                            </w:div>
                            <w:div w:id="1863087631">
                              <w:marLeft w:val="0"/>
                              <w:marRight w:val="0"/>
                              <w:marTop w:val="0"/>
                              <w:marBottom w:val="0"/>
                              <w:divBdr>
                                <w:top w:val="none" w:sz="0" w:space="0" w:color="auto"/>
                                <w:left w:val="none" w:sz="0" w:space="0" w:color="auto"/>
                                <w:bottom w:val="none" w:sz="0" w:space="0" w:color="auto"/>
                                <w:right w:val="none" w:sz="0" w:space="0" w:color="auto"/>
                              </w:divBdr>
                            </w:div>
                            <w:div w:id="1159881949">
                              <w:marLeft w:val="0"/>
                              <w:marRight w:val="0"/>
                              <w:marTop w:val="0"/>
                              <w:marBottom w:val="0"/>
                              <w:divBdr>
                                <w:top w:val="none" w:sz="0" w:space="0" w:color="auto"/>
                                <w:left w:val="none" w:sz="0" w:space="0" w:color="auto"/>
                                <w:bottom w:val="none" w:sz="0" w:space="0" w:color="auto"/>
                                <w:right w:val="none" w:sz="0" w:space="0" w:color="auto"/>
                              </w:divBdr>
                            </w:div>
                            <w:div w:id="567301054">
                              <w:marLeft w:val="0"/>
                              <w:marRight w:val="0"/>
                              <w:marTop w:val="0"/>
                              <w:marBottom w:val="0"/>
                              <w:divBdr>
                                <w:top w:val="none" w:sz="0" w:space="0" w:color="auto"/>
                                <w:left w:val="none" w:sz="0" w:space="0" w:color="auto"/>
                                <w:bottom w:val="none" w:sz="0" w:space="0" w:color="auto"/>
                                <w:right w:val="none" w:sz="0" w:space="0" w:color="auto"/>
                              </w:divBdr>
                            </w:div>
                            <w:div w:id="1373773273">
                              <w:marLeft w:val="0"/>
                              <w:marRight w:val="0"/>
                              <w:marTop w:val="0"/>
                              <w:marBottom w:val="0"/>
                              <w:divBdr>
                                <w:top w:val="none" w:sz="0" w:space="0" w:color="auto"/>
                                <w:left w:val="none" w:sz="0" w:space="0" w:color="auto"/>
                                <w:bottom w:val="none" w:sz="0" w:space="0" w:color="auto"/>
                                <w:right w:val="none" w:sz="0" w:space="0" w:color="auto"/>
                              </w:divBdr>
                            </w:div>
                            <w:div w:id="779488804">
                              <w:marLeft w:val="0"/>
                              <w:marRight w:val="0"/>
                              <w:marTop w:val="0"/>
                              <w:marBottom w:val="0"/>
                              <w:divBdr>
                                <w:top w:val="none" w:sz="0" w:space="0" w:color="auto"/>
                                <w:left w:val="none" w:sz="0" w:space="0" w:color="auto"/>
                                <w:bottom w:val="none" w:sz="0" w:space="0" w:color="auto"/>
                                <w:right w:val="none" w:sz="0" w:space="0" w:color="auto"/>
                              </w:divBdr>
                            </w:div>
                            <w:div w:id="1956674846">
                              <w:marLeft w:val="0"/>
                              <w:marRight w:val="0"/>
                              <w:marTop w:val="0"/>
                              <w:marBottom w:val="0"/>
                              <w:divBdr>
                                <w:top w:val="none" w:sz="0" w:space="0" w:color="auto"/>
                                <w:left w:val="none" w:sz="0" w:space="0" w:color="auto"/>
                                <w:bottom w:val="none" w:sz="0" w:space="0" w:color="auto"/>
                                <w:right w:val="none" w:sz="0" w:space="0" w:color="auto"/>
                              </w:divBdr>
                            </w:div>
                            <w:div w:id="77168293">
                              <w:marLeft w:val="0"/>
                              <w:marRight w:val="0"/>
                              <w:marTop w:val="0"/>
                              <w:marBottom w:val="0"/>
                              <w:divBdr>
                                <w:top w:val="none" w:sz="0" w:space="0" w:color="auto"/>
                                <w:left w:val="none" w:sz="0" w:space="0" w:color="auto"/>
                                <w:bottom w:val="none" w:sz="0" w:space="0" w:color="auto"/>
                                <w:right w:val="none" w:sz="0" w:space="0" w:color="auto"/>
                              </w:divBdr>
                            </w:div>
                            <w:div w:id="711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3219">
                      <w:marLeft w:val="0"/>
                      <w:marRight w:val="0"/>
                      <w:marTop w:val="0"/>
                      <w:marBottom w:val="0"/>
                      <w:divBdr>
                        <w:top w:val="none" w:sz="0" w:space="0" w:color="auto"/>
                        <w:left w:val="none" w:sz="0" w:space="0" w:color="auto"/>
                        <w:bottom w:val="none" w:sz="0" w:space="0" w:color="auto"/>
                        <w:right w:val="none" w:sz="0" w:space="0" w:color="auto"/>
                      </w:divBdr>
                      <w:divsChild>
                        <w:div w:id="1319922708">
                          <w:marLeft w:val="0"/>
                          <w:marRight w:val="0"/>
                          <w:marTop w:val="0"/>
                          <w:marBottom w:val="0"/>
                          <w:divBdr>
                            <w:top w:val="none" w:sz="0" w:space="0" w:color="auto"/>
                            <w:left w:val="none" w:sz="0" w:space="0" w:color="auto"/>
                            <w:bottom w:val="none" w:sz="0" w:space="0" w:color="auto"/>
                            <w:right w:val="none" w:sz="0" w:space="0" w:color="auto"/>
                          </w:divBdr>
                        </w:div>
                      </w:divsChild>
                    </w:div>
                    <w:div w:id="1788085717">
                      <w:marLeft w:val="0"/>
                      <w:marRight w:val="0"/>
                      <w:marTop w:val="0"/>
                      <w:marBottom w:val="0"/>
                      <w:divBdr>
                        <w:top w:val="none" w:sz="0" w:space="0" w:color="auto"/>
                        <w:left w:val="none" w:sz="0" w:space="0" w:color="auto"/>
                        <w:bottom w:val="none" w:sz="0" w:space="0" w:color="auto"/>
                        <w:right w:val="none" w:sz="0" w:space="0" w:color="auto"/>
                      </w:divBdr>
                      <w:divsChild>
                        <w:div w:id="144326506">
                          <w:marLeft w:val="0"/>
                          <w:marRight w:val="0"/>
                          <w:marTop w:val="0"/>
                          <w:marBottom w:val="0"/>
                          <w:divBdr>
                            <w:top w:val="none" w:sz="0" w:space="0" w:color="auto"/>
                            <w:left w:val="none" w:sz="0" w:space="0" w:color="auto"/>
                            <w:bottom w:val="none" w:sz="0" w:space="0" w:color="auto"/>
                            <w:right w:val="none" w:sz="0" w:space="0" w:color="auto"/>
                          </w:divBdr>
                        </w:div>
                      </w:divsChild>
                    </w:div>
                    <w:div w:id="1577592151">
                      <w:marLeft w:val="0"/>
                      <w:marRight w:val="0"/>
                      <w:marTop w:val="0"/>
                      <w:marBottom w:val="0"/>
                      <w:divBdr>
                        <w:top w:val="none" w:sz="0" w:space="0" w:color="auto"/>
                        <w:left w:val="none" w:sz="0" w:space="0" w:color="auto"/>
                        <w:bottom w:val="none" w:sz="0" w:space="0" w:color="auto"/>
                        <w:right w:val="none" w:sz="0" w:space="0" w:color="auto"/>
                      </w:divBdr>
                      <w:divsChild>
                        <w:div w:id="12446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7844">
          <w:marLeft w:val="0"/>
          <w:marRight w:val="0"/>
          <w:marTop w:val="0"/>
          <w:marBottom w:val="0"/>
          <w:divBdr>
            <w:top w:val="single" w:sz="6" w:space="0" w:color="909299"/>
            <w:left w:val="single" w:sz="6" w:space="0" w:color="909299"/>
            <w:bottom w:val="single" w:sz="6" w:space="0" w:color="909299"/>
            <w:right w:val="single" w:sz="6" w:space="0" w:color="909299"/>
          </w:divBdr>
          <w:divsChild>
            <w:div w:id="495919507">
              <w:marLeft w:val="0"/>
              <w:marRight w:val="0"/>
              <w:marTop w:val="0"/>
              <w:marBottom w:val="0"/>
              <w:divBdr>
                <w:top w:val="none" w:sz="0" w:space="0" w:color="auto"/>
                <w:left w:val="none" w:sz="0" w:space="0" w:color="auto"/>
                <w:bottom w:val="none" w:sz="0" w:space="0" w:color="auto"/>
                <w:right w:val="none" w:sz="0" w:space="0" w:color="auto"/>
              </w:divBdr>
              <w:divsChild>
                <w:div w:id="139885531">
                  <w:marLeft w:val="0"/>
                  <w:marRight w:val="0"/>
                  <w:marTop w:val="0"/>
                  <w:marBottom w:val="0"/>
                  <w:divBdr>
                    <w:top w:val="none" w:sz="0" w:space="0" w:color="auto"/>
                    <w:left w:val="none" w:sz="0" w:space="0" w:color="auto"/>
                    <w:bottom w:val="none" w:sz="0" w:space="0" w:color="auto"/>
                    <w:right w:val="none" w:sz="0" w:space="0" w:color="auto"/>
                  </w:divBdr>
                  <w:divsChild>
                    <w:div w:id="1821577391">
                      <w:marLeft w:val="0"/>
                      <w:marRight w:val="0"/>
                      <w:marTop w:val="0"/>
                      <w:marBottom w:val="0"/>
                      <w:divBdr>
                        <w:top w:val="none" w:sz="0" w:space="0" w:color="auto"/>
                        <w:left w:val="none" w:sz="0" w:space="0" w:color="auto"/>
                        <w:bottom w:val="none" w:sz="0" w:space="0" w:color="auto"/>
                        <w:right w:val="none" w:sz="0" w:space="0" w:color="auto"/>
                      </w:divBdr>
                      <w:divsChild>
                        <w:div w:id="12353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827963">
      <w:bodyDiv w:val="1"/>
      <w:marLeft w:val="0"/>
      <w:marRight w:val="0"/>
      <w:marTop w:val="0"/>
      <w:marBottom w:val="0"/>
      <w:divBdr>
        <w:top w:val="none" w:sz="0" w:space="0" w:color="auto"/>
        <w:left w:val="none" w:sz="0" w:space="0" w:color="auto"/>
        <w:bottom w:val="none" w:sz="0" w:space="0" w:color="auto"/>
        <w:right w:val="none" w:sz="0" w:space="0" w:color="auto"/>
      </w:divBdr>
      <w:divsChild>
        <w:div w:id="834105388">
          <w:marLeft w:val="0"/>
          <w:marRight w:val="0"/>
          <w:marTop w:val="0"/>
          <w:marBottom w:val="0"/>
          <w:divBdr>
            <w:top w:val="none" w:sz="0" w:space="0" w:color="auto"/>
            <w:left w:val="none" w:sz="0" w:space="0" w:color="auto"/>
            <w:bottom w:val="none" w:sz="0" w:space="0" w:color="auto"/>
            <w:right w:val="none" w:sz="0" w:space="0" w:color="auto"/>
          </w:divBdr>
        </w:div>
        <w:div w:id="41026719">
          <w:marLeft w:val="0"/>
          <w:marRight w:val="0"/>
          <w:marTop w:val="0"/>
          <w:marBottom w:val="0"/>
          <w:divBdr>
            <w:top w:val="none" w:sz="0" w:space="0" w:color="auto"/>
            <w:left w:val="none" w:sz="0" w:space="0" w:color="auto"/>
            <w:bottom w:val="none" w:sz="0" w:space="0" w:color="auto"/>
            <w:right w:val="none" w:sz="0" w:space="0" w:color="auto"/>
          </w:divBdr>
        </w:div>
        <w:div w:id="1308978098">
          <w:marLeft w:val="0"/>
          <w:marRight w:val="0"/>
          <w:marTop w:val="0"/>
          <w:marBottom w:val="0"/>
          <w:divBdr>
            <w:top w:val="none" w:sz="0" w:space="0" w:color="auto"/>
            <w:left w:val="none" w:sz="0" w:space="0" w:color="auto"/>
            <w:bottom w:val="none" w:sz="0" w:space="0" w:color="auto"/>
            <w:right w:val="none" w:sz="0" w:space="0" w:color="auto"/>
          </w:divBdr>
        </w:div>
        <w:div w:id="909536051">
          <w:marLeft w:val="0"/>
          <w:marRight w:val="0"/>
          <w:marTop w:val="0"/>
          <w:marBottom w:val="0"/>
          <w:divBdr>
            <w:top w:val="none" w:sz="0" w:space="0" w:color="auto"/>
            <w:left w:val="none" w:sz="0" w:space="0" w:color="auto"/>
            <w:bottom w:val="none" w:sz="0" w:space="0" w:color="auto"/>
            <w:right w:val="none" w:sz="0" w:space="0" w:color="auto"/>
          </w:divBdr>
        </w:div>
        <w:div w:id="928737922">
          <w:marLeft w:val="0"/>
          <w:marRight w:val="0"/>
          <w:marTop w:val="0"/>
          <w:marBottom w:val="0"/>
          <w:divBdr>
            <w:top w:val="none" w:sz="0" w:space="0" w:color="auto"/>
            <w:left w:val="none" w:sz="0" w:space="0" w:color="auto"/>
            <w:bottom w:val="none" w:sz="0" w:space="0" w:color="auto"/>
            <w:right w:val="none" w:sz="0" w:space="0" w:color="auto"/>
          </w:divBdr>
        </w:div>
        <w:div w:id="907378358">
          <w:marLeft w:val="0"/>
          <w:marRight w:val="0"/>
          <w:marTop w:val="0"/>
          <w:marBottom w:val="0"/>
          <w:divBdr>
            <w:top w:val="none" w:sz="0" w:space="0" w:color="auto"/>
            <w:left w:val="none" w:sz="0" w:space="0" w:color="auto"/>
            <w:bottom w:val="none" w:sz="0" w:space="0" w:color="auto"/>
            <w:right w:val="none" w:sz="0" w:space="0" w:color="auto"/>
          </w:divBdr>
        </w:div>
        <w:div w:id="1270044070">
          <w:marLeft w:val="0"/>
          <w:marRight w:val="0"/>
          <w:marTop w:val="0"/>
          <w:marBottom w:val="0"/>
          <w:divBdr>
            <w:top w:val="none" w:sz="0" w:space="0" w:color="auto"/>
            <w:left w:val="none" w:sz="0" w:space="0" w:color="auto"/>
            <w:bottom w:val="none" w:sz="0" w:space="0" w:color="auto"/>
            <w:right w:val="none" w:sz="0" w:space="0" w:color="auto"/>
          </w:divBdr>
        </w:div>
        <w:div w:id="1648778994">
          <w:marLeft w:val="0"/>
          <w:marRight w:val="0"/>
          <w:marTop w:val="0"/>
          <w:marBottom w:val="0"/>
          <w:divBdr>
            <w:top w:val="none" w:sz="0" w:space="0" w:color="auto"/>
            <w:left w:val="none" w:sz="0" w:space="0" w:color="auto"/>
            <w:bottom w:val="none" w:sz="0" w:space="0" w:color="auto"/>
            <w:right w:val="none" w:sz="0" w:space="0" w:color="auto"/>
          </w:divBdr>
        </w:div>
        <w:div w:id="311373731">
          <w:marLeft w:val="0"/>
          <w:marRight w:val="0"/>
          <w:marTop w:val="0"/>
          <w:marBottom w:val="0"/>
          <w:divBdr>
            <w:top w:val="none" w:sz="0" w:space="0" w:color="auto"/>
            <w:left w:val="none" w:sz="0" w:space="0" w:color="auto"/>
            <w:bottom w:val="none" w:sz="0" w:space="0" w:color="auto"/>
            <w:right w:val="none" w:sz="0" w:space="0" w:color="auto"/>
          </w:divBdr>
        </w:div>
        <w:div w:id="609162858">
          <w:marLeft w:val="0"/>
          <w:marRight w:val="0"/>
          <w:marTop w:val="0"/>
          <w:marBottom w:val="0"/>
          <w:divBdr>
            <w:top w:val="none" w:sz="0" w:space="0" w:color="auto"/>
            <w:left w:val="none" w:sz="0" w:space="0" w:color="auto"/>
            <w:bottom w:val="none" w:sz="0" w:space="0" w:color="auto"/>
            <w:right w:val="none" w:sz="0" w:space="0" w:color="auto"/>
          </w:divBdr>
        </w:div>
        <w:div w:id="1628270483">
          <w:marLeft w:val="0"/>
          <w:marRight w:val="0"/>
          <w:marTop w:val="0"/>
          <w:marBottom w:val="0"/>
          <w:divBdr>
            <w:top w:val="none" w:sz="0" w:space="0" w:color="auto"/>
            <w:left w:val="none" w:sz="0" w:space="0" w:color="auto"/>
            <w:bottom w:val="none" w:sz="0" w:space="0" w:color="auto"/>
            <w:right w:val="none" w:sz="0" w:space="0" w:color="auto"/>
          </w:divBdr>
        </w:div>
        <w:div w:id="103885503">
          <w:marLeft w:val="0"/>
          <w:marRight w:val="0"/>
          <w:marTop w:val="0"/>
          <w:marBottom w:val="0"/>
          <w:divBdr>
            <w:top w:val="none" w:sz="0" w:space="0" w:color="auto"/>
            <w:left w:val="none" w:sz="0" w:space="0" w:color="auto"/>
            <w:bottom w:val="none" w:sz="0" w:space="0" w:color="auto"/>
            <w:right w:val="none" w:sz="0" w:space="0" w:color="auto"/>
          </w:divBdr>
        </w:div>
        <w:div w:id="2025473479">
          <w:marLeft w:val="0"/>
          <w:marRight w:val="0"/>
          <w:marTop w:val="0"/>
          <w:marBottom w:val="0"/>
          <w:divBdr>
            <w:top w:val="none" w:sz="0" w:space="0" w:color="auto"/>
            <w:left w:val="none" w:sz="0" w:space="0" w:color="auto"/>
            <w:bottom w:val="none" w:sz="0" w:space="0" w:color="auto"/>
            <w:right w:val="none" w:sz="0" w:space="0" w:color="auto"/>
          </w:divBdr>
        </w:div>
        <w:div w:id="57024897">
          <w:marLeft w:val="0"/>
          <w:marRight w:val="0"/>
          <w:marTop w:val="0"/>
          <w:marBottom w:val="0"/>
          <w:divBdr>
            <w:top w:val="none" w:sz="0" w:space="0" w:color="auto"/>
            <w:left w:val="none" w:sz="0" w:space="0" w:color="auto"/>
            <w:bottom w:val="none" w:sz="0" w:space="0" w:color="auto"/>
            <w:right w:val="none" w:sz="0" w:space="0" w:color="auto"/>
          </w:divBdr>
        </w:div>
        <w:div w:id="1954240626">
          <w:marLeft w:val="0"/>
          <w:marRight w:val="0"/>
          <w:marTop w:val="0"/>
          <w:marBottom w:val="0"/>
          <w:divBdr>
            <w:top w:val="none" w:sz="0" w:space="0" w:color="auto"/>
            <w:left w:val="none" w:sz="0" w:space="0" w:color="auto"/>
            <w:bottom w:val="none" w:sz="0" w:space="0" w:color="auto"/>
            <w:right w:val="none" w:sz="0" w:space="0" w:color="auto"/>
          </w:divBdr>
        </w:div>
        <w:div w:id="639190857">
          <w:marLeft w:val="0"/>
          <w:marRight w:val="0"/>
          <w:marTop w:val="0"/>
          <w:marBottom w:val="0"/>
          <w:divBdr>
            <w:top w:val="none" w:sz="0" w:space="0" w:color="auto"/>
            <w:left w:val="none" w:sz="0" w:space="0" w:color="auto"/>
            <w:bottom w:val="none" w:sz="0" w:space="0" w:color="auto"/>
            <w:right w:val="none" w:sz="0" w:space="0" w:color="auto"/>
          </w:divBdr>
        </w:div>
        <w:div w:id="1558201399">
          <w:marLeft w:val="0"/>
          <w:marRight w:val="0"/>
          <w:marTop w:val="0"/>
          <w:marBottom w:val="0"/>
          <w:divBdr>
            <w:top w:val="none" w:sz="0" w:space="0" w:color="auto"/>
            <w:left w:val="none" w:sz="0" w:space="0" w:color="auto"/>
            <w:bottom w:val="none" w:sz="0" w:space="0" w:color="auto"/>
            <w:right w:val="none" w:sz="0" w:space="0" w:color="auto"/>
          </w:divBdr>
        </w:div>
        <w:div w:id="2132044712">
          <w:marLeft w:val="0"/>
          <w:marRight w:val="0"/>
          <w:marTop w:val="0"/>
          <w:marBottom w:val="0"/>
          <w:divBdr>
            <w:top w:val="none" w:sz="0" w:space="0" w:color="auto"/>
            <w:left w:val="none" w:sz="0" w:space="0" w:color="auto"/>
            <w:bottom w:val="none" w:sz="0" w:space="0" w:color="auto"/>
            <w:right w:val="none" w:sz="0" w:space="0" w:color="auto"/>
          </w:divBdr>
        </w:div>
        <w:div w:id="837962085">
          <w:marLeft w:val="0"/>
          <w:marRight w:val="0"/>
          <w:marTop w:val="0"/>
          <w:marBottom w:val="0"/>
          <w:divBdr>
            <w:top w:val="none" w:sz="0" w:space="0" w:color="auto"/>
            <w:left w:val="none" w:sz="0" w:space="0" w:color="auto"/>
            <w:bottom w:val="none" w:sz="0" w:space="0" w:color="auto"/>
            <w:right w:val="none" w:sz="0" w:space="0" w:color="auto"/>
          </w:divBdr>
        </w:div>
        <w:div w:id="1310282930">
          <w:marLeft w:val="0"/>
          <w:marRight w:val="0"/>
          <w:marTop w:val="0"/>
          <w:marBottom w:val="0"/>
          <w:divBdr>
            <w:top w:val="none" w:sz="0" w:space="0" w:color="auto"/>
            <w:left w:val="none" w:sz="0" w:space="0" w:color="auto"/>
            <w:bottom w:val="none" w:sz="0" w:space="0" w:color="auto"/>
            <w:right w:val="none" w:sz="0" w:space="0" w:color="auto"/>
          </w:divBdr>
        </w:div>
        <w:div w:id="1672102954">
          <w:marLeft w:val="0"/>
          <w:marRight w:val="0"/>
          <w:marTop w:val="0"/>
          <w:marBottom w:val="0"/>
          <w:divBdr>
            <w:top w:val="none" w:sz="0" w:space="0" w:color="auto"/>
            <w:left w:val="none" w:sz="0" w:space="0" w:color="auto"/>
            <w:bottom w:val="none" w:sz="0" w:space="0" w:color="auto"/>
            <w:right w:val="none" w:sz="0" w:space="0" w:color="auto"/>
          </w:divBdr>
        </w:div>
        <w:div w:id="360982093">
          <w:marLeft w:val="0"/>
          <w:marRight w:val="0"/>
          <w:marTop w:val="0"/>
          <w:marBottom w:val="0"/>
          <w:divBdr>
            <w:top w:val="none" w:sz="0" w:space="0" w:color="auto"/>
            <w:left w:val="none" w:sz="0" w:space="0" w:color="auto"/>
            <w:bottom w:val="none" w:sz="0" w:space="0" w:color="auto"/>
            <w:right w:val="none" w:sz="0" w:space="0" w:color="auto"/>
          </w:divBdr>
        </w:div>
        <w:div w:id="1602253567">
          <w:marLeft w:val="0"/>
          <w:marRight w:val="0"/>
          <w:marTop w:val="0"/>
          <w:marBottom w:val="0"/>
          <w:divBdr>
            <w:top w:val="none" w:sz="0" w:space="0" w:color="auto"/>
            <w:left w:val="none" w:sz="0" w:space="0" w:color="auto"/>
            <w:bottom w:val="none" w:sz="0" w:space="0" w:color="auto"/>
            <w:right w:val="none" w:sz="0" w:space="0" w:color="auto"/>
          </w:divBdr>
        </w:div>
        <w:div w:id="1505053176">
          <w:marLeft w:val="0"/>
          <w:marRight w:val="0"/>
          <w:marTop w:val="0"/>
          <w:marBottom w:val="0"/>
          <w:divBdr>
            <w:top w:val="none" w:sz="0" w:space="0" w:color="auto"/>
            <w:left w:val="none" w:sz="0" w:space="0" w:color="auto"/>
            <w:bottom w:val="none" w:sz="0" w:space="0" w:color="auto"/>
            <w:right w:val="none" w:sz="0" w:space="0" w:color="auto"/>
          </w:divBdr>
        </w:div>
        <w:div w:id="1145852305">
          <w:marLeft w:val="0"/>
          <w:marRight w:val="0"/>
          <w:marTop w:val="0"/>
          <w:marBottom w:val="0"/>
          <w:divBdr>
            <w:top w:val="none" w:sz="0" w:space="0" w:color="auto"/>
            <w:left w:val="none" w:sz="0" w:space="0" w:color="auto"/>
            <w:bottom w:val="none" w:sz="0" w:space="0" w:color="auto"/>
            <w:right w:val="none" w:sz="0" w:space="0" w:color="auto"/>
          </w:divBdr>
        </w:div>
        <w:div w:id="902179169">
          <w:marLeft w:val="0"/>
          <w:marRight w:val="0"/>
          <w:marTop w:val="0"/>
          <w:marBottom w:val="0"/>
          <w:divBdr>
            <w:top w:val="none" w:sz="0" w:space="0" w:color="auto"/>
            <w:left w:val="none" w:sz="0" w:space="0" w:color="auto"/>
            <w:bottom w:val="none" w:sz="0" w:space="0" w:color="auto"/>
            <w:right w:val="none" w:sz="0" w:space="0" w:color="auto"/>
          </w:divBdr>
        </w:div>
        <w:div w:id="82335041">
          <w:marLeft w:val="0"/>
          <w:marRight w:val="0"/>
          <w:marTop w:val="0"/>
          <w:marBottom w:val="0"/>
          <w:divBdr>
            <w:top w:val="none" w:sz="0" w:space="0" w:color="auto"/>
            <w:left w:val="none" w:sz="0" w:space="0" w:color="auto"/>
            <w:bottom w:val="none" w:sz="0" w:space="0" w:color="auto"/>
            <w:right w:val="none" w:sz="0" w:space="0" w:color="auto"/>
          </w:divBdr>
        </w:div>
        <w:div w:id="1107776343">
          <w:marLeft w:val="0"/>
          <w:marRight w:val="0"/>
          <w:marTop w:val="0"/>
          <w:marBottom w:val="0"/>
          <w:divBdr>
            <w:top w:val="none" w:sz="0" w:space="0" w:color="auto"/>
            <w:left w:val="none" w:sz="0" w:space="0" w:color="auto"/>
            <w:bottom w:val="none" w:sz="0" w:space="0" w:color="auto"/>
            <w:right w:val="none" w:sz="0" w:space="0" w:color="auto"/>
          </w:divBdr>
        </w:div>
        <w:div w:id="1200898972">
          <w:marLeft w:val="0"/>
          <w:marRight w:val="0"/>
          <w:marTop w:val="0"/>
          <w:marBottom w:val="0"/>
          <w:divBdr>
            <w:top w:val="none" w:sz="0" w:space="0" w:color="auto"/>
            <w:left w:val="none" w:sz="0" w:space="0" w:color="auto"/>
            <w:bottom w:val="none" w:sz="0" w:space="0" w:color="auto"/>
            <w:right w:val="none" w:sz="0" w:space="0" w:color="auto"/>
          </w:divBdr>
        </w:div>
        <w:div w:id="1405058751">
          <w:marLeft w:val="0"/>
          <w:marRight w:val="0"/>
          <w:marTop w:val="0"/>
          <w:marBottom w:val="0"/>
          <w:divBdr>
            <w:top w:val="none" w:sz="0" w:space="0" w:color="auto"/>
            <w:left w:val="none" w:sz="0" w:space="0" w:color="auto"/>
            <w:bottom w:val="none" w:sz="0" w:space="0" w:color="auto"/>
            <w:right w:val="none" w:sz="0" w:space="0" w:color="auto"/>
          </w:divBdr>
        </w:div>
        <w:div w:id="302387735">
          <w:marLeft w:val="0"/>
          <w:marRight w:val="0"/>
          <w:marTop w:val="0"/>
          <w:marBottom w:val="0"/>
          <w:divBdr>
            <w:top w:val="none" w:sz="0" w:space="0" w:color="auto"/>
            <w:left w:val="none" w:sz="0" w:space="0" w:color="auto"/>
            <w:bottom w:val="none" w:sz="0" w:space="0" w:color="auto"/>
            <w:right w:val="none" w:sz="0" w:space="0" w:color="auto"/>
          </w:divBdr>
        </w:div>
        <w:div w:id="391971650">
          <w:marLeft w:val="0"/>
          <w:marRight w:val="0"/>
          <w:marTop w:val="0"/>
          <w:marBottom w:val="0"/>
          <w:divBdr>
            <w:top w:val="none" w:sz="0" w:space="0" w:color="auto"/>
            <w:left w:val="none" w:sz="0" w:space="0" w:color="auto"/>
            <w:bottom w:val="none" w:sz="0" w:space="0" w:color="auto"/>
            <w:right w:val="none" w:sz="0" w:space="0" w:color="auto"/>
          </w:divBdr>
        </w:div>
        <w:div w:id="305279028">
          <w:marLeft w:val="0"/>
          <w:marRight w:val="0"/>
          <w:marTop w:val="0"/>
          <w:marBottom w:val="0"/>
          <w:divBdr>
            <w:top w:val="none" w:sz="0" w:space="0" w:color="auto"/>
            <w:left w:val="none" w:sz="0" w:space="0" w:color="auto"/>
            <w:bottom w:val="none" w:sz="0" w:space="0" w:color="auto"/>
            <w:right w:val="none" w:sz="0" w:space="0" w:color="auto"/>
          </w:divBdr>
        </w:div>
        <w:div w:id="1187597444">
          <w:marLeft w:val="0"/>
          <w:marRight w:val="0"/>
          <w:marTop w:val="0"/>
          <w:marBottom w:val="0"/>
          <w:divBdr>
            <w:top w:val="none" w:sz="0" w:space="0" w:color="auto"/>
            <w:left w:val="none" w:sz="0" w:space="0" w:color="auto"/>
            <w:bottom w:val="none" w:sz="0" w:space="0" w:color="auto"/>
            <w:right w:val="none" w:sz="0" w:space="0" w:color="auto"/>
          </w:divBdr>
        </w:div>
        <w:div w:id="359742479">
          <w:marLeft w:val="0"/>
          <w:marRight w:val="0"/>
          <w:marTop w:val="0"/>
          <w:marBottom w:val="0"/>
          <w:divBdr>
            <w:top w:val="none" w:sz="0" w:space="0" w:color="auto"/>
            <w:left w:val="none" w:sz="0" w:space="0" w:color="auto"/>
            <w:bottom w:val="none" w:sz="0" w:space="0" w:color="auto"/>
            <w:right w:val="none" w:sz="0" w:space="0" w:color="auto"/>
          </w:divBdr>
        </w:div>
        <w:div w:id="795756629">
          <w:marLeft w:val="0"/>
          <w:marRight w:val="0"/>
          <w:marTop w:val="0"/>
          <w:marBottom w:val="0"/>
          <w:divBdr>
            <w:top w:val="none" w:sz="0" w:space="0" w:color="auto"/>
            <w:left w:val="none" w:sz="0" w:space="0" w:color="auto"/>
            <w:bottom w:val="none" w:sz="0" w:space="0" w:color="auto"/>
            <w:right w:val="none" w:sz="0" w:space="0" w:color="auto"/>
          </w:divBdr>
        </w:div>
        <w:div w:id="2064791375">
          <w:marLeft w:val="0"/>
          <w:marRight w:val="0"/>
          <w:marTop w:val="0"/>
          <w:marBottom w:val="0"/>
          <w:divBdr>
            <w:top w:val="none" w:sz="0" w:space="0" w:color="auto"/>
            <w:left w:val="none" w:sz="0" w:space="0" w:color="auto"/>
            <w:bottom w:val="none" w:sz="0" w:space="0" w:color="auto"/>
            <w:right w:val="none" w:sz="0" w:space="0" w:color="auto"/>
          </w:divBdr>
        </w:div>
        <w:div w:id="1894802513">
          <w:marLeft w:val="0"/>
          <w:marRight w:val="0"/>
          <w:marTop w:val="0"/>
          <w:marBottom w:val="0"/>
          <w:divBdr>
            <w:top w:val="none" w:sz="0" w:space="0" w:color="auto"/>
            <w:left w:val="none" w:sz="0" w:space="0" w:color="auto"/>
            <w:bottom w:val="none" w:sz="0" w:space="0" w:color="auto"/>
            <w:right w:val="none" w:sz="0" w:space="0" w:color="auto"/>
          </w:divBdr>
        </w:div>
        <w:div w:id="511185988">
          <w:marLeft w:val="0"/>
          <w:marRight w:val="0"/>
          <w:marTop w:val="0"/>
          <w:marBottom w:val="0"/>
          <w:divBdr>
            <w:top w:val="none" w:sz="0" w:space="0" w:color="auto"/>
            <w:left w:val="none" w:sz="0" w:space="0" w:color="auto"/>
            <w:bottom w:val="none" w:sz="0" w:space="0" w:color="auto"/>
            <w:right w:val="none" w:sz="0" w:space="0" w:color="auto"/>
          </w:divBdr>
        </w:div>
        <w:div w:id="99881763">
          <w:marLeft w:val="0"/>
          <w:marRight w:val="0"/>
          <w:marTop w:val="0"/>
          <w:marBottom w:val="0"/>
          <w:divBdr>
            <w:top w:val="none" w:sz="0" w:space="0" w:color="auto"/>
            <w:left w:val="none" w:sz="0" w:space="0" w:color="auto"/>
            <w:bottom w:val="none" w:sz="0" w:space="0" w:color="auto"/>
            <w:right w:val="none" w:sz="0" w:space="0" w:color="auto"/>
          </w:divBdr>
        </w:div>
        <w:div w:id="1006321550">
          <w:marLeft w:val="0"/>
          <w:marRight w:val="0"/>
          <w:marTop w:val="0"/>
          <w:marBottom w:val="0"/>
          <w:divBdr>
            <w:top w:val="none" w:sz="0" w:space="0" w:color="auto"/>
            <w:left w:val="none" w:sz="0" w:space="0" w:color="auto"/>
            <w:bottom w:val="none" w:sz="0" w:space="0" w:color="auto"/>
            <w:right w:val="none" w:sz="0" w:space="0" w:color="auto"/>
          </w:divBdr>
        </w:div>
      </w:divsChild>
    </w:div>
    <w:div w:id="1782846348">
      <w:bodyDiv w:val="1"/>
      <w:marLeft w:val="0"/>
      <w:marRight w:val="0"/>
      <w:marTop w:val="0"/>
      <w:marBottom w:val="0"/>
      <w:divBdr>
        <w:top w:val="none" w:sz="0" w:space="0" w:color="auto"/>
        <w:left w:val="none" w:sz="0" w:space="0" w:color="auto"/>
        <w:bottom w:val="none" w:sz="0" w:space="0" w:color="auto"/>
        <w:right w:val="none" w:sz="0" w:space="0" w:color="auto"/>
      </w:divBdr>
      <w:divsChild>
        <w:div w:id="951132109">
          <w:marLeft w:val="0"/>
          <w:marRight w:val="0"/>
          <w:marTop w:val="0"/>
          <w:marBottom w:val="0"/>
          <w:divBdr>
            <w:top w:val="none" w:sz="0" w:space="0" w:color="auto"/>
            <w:left w:val="none" w:sz="0" w:space="0" w:color="auto"/>
            <w:bottom w:val="none" w:sz="0" w:space="0" w:color="auto"/>
            <w:right w:val="none" w:sz="0" w:space="0" w:color="auto"/>
          </w:divBdr>
        </w:div>
        <w:div w:id="307830777">
          <w:marLeft w:val="0"/>
          <w:marRight w:val="0"/>
          <w:marTop w:val="0"/>
          <w:marBottom w:val="0"/>
          <w:divBdr>
            <w:top w:val="none" w:sz="0" w:space="0" w:color="auto"/>
            <w:left w:val="none" w:sz="0" w:space="0" w:color="auto"/>
            <w:bottom w:val="none" w:sz="0" w:space="0" w:color="auto"/>
            <w:right w:val="none" w:sz="0" w:space="0" w:color="auto"/>
          </w:divBdr>
        </w:div>
        <w:div w:id="333454969">
          <w:marLeft w:val="0"/>
          <w:marRight w:val="0"/>
          <w:marTop w:val="0"/>
          <w:marBottom w:val="0"/>
          <w:divBdr>
            <w:top w:val="none" w:sz="0" w:space="0" w:color="auto"/>
            <w:left w:val="none" w:sz="0" w:space="0" w:color="auto"/>
            <w:bottom w:val="none" w:sz="0" w:space="0" w:color="auto"/>
            <w:right w:val="none" w:sz="0" w:space="0" w:color="auto"/>
          </w:divBdr>
        </w:div>
        <w:div w:id="556362550">
          <w:marLeft w:val="0"/>
          <w:marRight w:val="0"/>
          <w:marTop w:val="0"/>
          <w:marBottom w:val="0"/>
          <w:divBdr>
            <w:top w:val="none" w:sz="0" w:space="0" w:color="auto"/>
            <w:left w:val="none" w:sz="0" w:space="0" w:color="auto"/>
            <w:bottom w:val="none" w:sz="0" w:space="0" w:color="auto"/>
            <w:right w:val="none" w:sz="0" w:space="0" w:color="auto"/>
          </w:divBdr>
        </w:div>
        <w:div w:id="732123814">
          <w:marLeft w:val="0"/>
          <w:marRight w:val="0"/>
          <w:marTop w:val="0"/>
          <w:marBottom w:val="0"/>
          <w:divBdr>
            <w:top w:val="none" w:sz="0" w:space="0" w:color="auto"/>
            <w:left w:val="none" w:sz="0" w:space="0" w:color="auto"/>
            <w:bottom w:val="none" w:sz="0" w:space="0" w:color="auto"/>
            <w:right w:val="none" w:sz="0" w:space="0" w:color="auto"/>
          </w:divBdr>
        </w:div>
        <w:div w:id="999118690">
          <w:marLeft w:val="0"/>
          <w:marRight w:val="0"/>
          <w:marTop w:val="0"/>
          <w:marBottom w:val="0"/>
          <w:divBdr>
            <w:top w:val="none" w:sz="0" w:space="0" w:color="auto"/>
            <w:left w:val="none" w:sz="0" w:space="0" w:color="auto"/>
            <w:bottom w:val="none" w:sz="0" w:space="0" w:color="auto"/>
            <w:right w:val="none" w:sz="0" w:space="0" w:color="auto"/>
          </w:divBdr>
        </w:div>
        <w:div w:id="2028172106">
          <w:marLeft w:val="0"/>
          <w:marRight w:val="0"/>
          <w:marTop w:val="0"/>
          <w:marBottom w:val="0"/>
          <w:divBdr>
            <w:top w:val="none" w:sz="0" w:space="0" w:color="auto"/>
            <w:left w:val="none" w:sz="0" w:space="0" w:color="auto"/>
            <w:bottom w:val="none" w:sz="0" w:space="0" w:color="auto"/>
            <w:right w:val="none" w:sz="0" w:space="0" w:color="auto"/>
          </w:divBdr>
        </w:div>
        <w:div w:id="201678865">
          <w:marLeft w:val="0"/>
          <w:marRight w:val="0"/>
          <w:marTop w:val="0"/>
          <w:marBottom w:val="0"/>
          <w:divBdr>
            <w:top w:val="none" w:sz="0" w:space="0" w:color="auto"/>
            <w:left w:val="none" w:sz="0" w:space="0" w:color="auto"/>
            <w:bottom w:val="none" w:sz="0" w:space="0" w:color="auto"/>
            <w:right w:val="none" w:sz="0" w:space="0" w:color="auto"/>
          </w:divBdr>
        </w:div>
        <w:div w:id="472874039">
          <w:marLeft w:val="0"/>
          <w:marRight w:val="0"/>
          <w:marTop w:val="0"/>
          <w:marBottom w:val="0"/>
          <w:divBdr>
            <w:top w:val="none" w:sz="0" w:space="0" w:color="auto"/>
            <w:left w:val="none" w:sz="0" w:space="0" w:color="auto"/>
            <w:bottom w:val="none" w:sz="0" w:space="0" w:color="auto"/>
            <w:right w:val="none" w:sz="0" w:space="0" w:color="auto"/>
          </w:divBdr>
        </w:div>
        <w:div w:id="113408036">
          <w:marLeft w:val="0"/>
          <w:marRight w:val="0"/>
          <w:marTop w:val="0"/>
          <w:marBottom w:val="0"/>
          <w:divBdr>
            <w:top w:val="none" w:sz="0" w:space="0" w:color="auto"/>
            <w:left w:val="none" w:sz="0" w:space="0" w:color="auto"/>
            <w:bottom w:val="none" w:sz="0" w:space="0" w:color="auto"/>
            <w:right w:val="none" w:sz="0" w:space="0" w:color="auto"/>
          </w:divBdr>
        </w:div>
        <w:div w:id="377126647">
          <w:marLeft w:val="0"/>
          <w:marRight w:val="0"/>
          <w:marTop w:val="0"/>
          <w:marBottom w:val="0"/>
          <w:divBdr>
            <w:top w:val="none" w:sz="0" w:space="0" w:color="auto"/>
            <w:left w:val="none" w:sz="0" w:space="0" w:color="auto"/>
            <w:bottom w:val="none" w:sz="0" w:space="0" w:color="auto"/>
            <w:right w:val="none" w:sz="0" w:space="0" w:color="auto"/>
          </w:divBdr>
        </w:div>
        <w:div w:id="1692755288">
          <w:marLeft w:val="0"/>
          <w:marRight w:val="0"/>
          <w:marTop w:val="0"/>
          <w:marBottom w:val="0"/>
          <w:divBdr>
            <w:top w:val="none" w:sz="0" w:space="0" w:color="auto"/>
            <w:left w:val="none" w:sz="0" w:space="0" w:color="auto"/>
            <w:bottom w:val="none" w:sz="0" w:space="0" w:color="auto"/>
            <w:right w:val="none" w:sz="0" w:space="0" w:color="auto"/>
          </w:divBdr>
        </w:div>
        <w:div w:id="2090535655">
          <w:marLeft w:val="0"/>
          <w:marRight w:val="0"/>
          <w:marTop w:val="0"/>
          <w:marBottom w:val="0"/>
          <w:divBdr>
            <w:top w:val="none" w:sz="0" w:space="0" w:color="auto"/>
            <w:left w:val="none" w:sz="0" w:space="0" w:color="auto"/>
            <w:bottom w:val="none" w:sz="0" w:space="0" w:color="auto"/>
            <w:right w:val="none" w:sz="0" w:space="0" w:color="auto"/>
          </w:divBdr>
        </w:div>
        <w:div w:id="1184786695">
          <w:marLeft w:val="0"/>
          <w:marRight w:val="0"/>
          <w:marTop w:val="0"/>
          <w:marBottom w:val="0"/>
          <w:divBdr>
            <w:top w:val="none" w:sz="0" w:space="0" w:color="auto"/>
            <w:left w:val="none" w:sz="0" w:space="0" w:color="auto"/>
            <w:bottom w:val="none" w:sz="0" w:space="0" w:color="auto"/>
            <w:right w:val="none" w:sz="0" w:space="0" w:color="auto"/>
          </w:divBdr>
        </w:div>
        <w:div w:id="1299726341">
          <w:marLeft w:val="0"/>
          <w:marRight w:val="0"/>
          <w:marTop w:val="0"/>
          <w:marBottom w:val="0"/>
          <w:divBdr>
            <w:top w:val="none" w:sz="0" w:space="0" w:color="auto"/>
            <w:left w:val="none" w:sz="0" w:space="0" w:color="auto"/>
            <w:bottom w:val="none" w:sz="0" w:space="0" w:color="auto"/>
            <w:right w:val="none" w:sz="0" w:space="0" w:color="auto"/>
          </w:divBdr>
        </w:div>
        <w:div w:id="330721319">
          <w:marLeft w:val="0"/>
          <w:marRight w:val="0"/>
          <w:marTop w:val="0"/>
          <w:marBottom w:val="0"/>
          <w:divBdr>
            <w:top w:val="none" w:sz="0" w:space="0" w:color="auto"/>
            <w:left w:val="none" w:sz="0" w:space="0" w:color="auto"/>
            <w:bottom w:val="none" w:sz="0" w:space="0" w:color="auto"/>
            <w:right w:val="none" w:sz="0" w:space="0" w:color="auto"/>
          </w:divBdr>
        </w:div>
        <w:div w:id="959604314">
          <w:marLeft w:val="0"/>
          <w:marRight w:val="0"/>
          <w:marTop w:val="0"/>
          <w:marBottom w:val="0"/>
          <w:divBdr>
            <w:top w:val="none" w:sz="0" w:space="0" w:color="auto"/>
            <w:left w:val="none" w:sz="0" w:space="0" w:color="auto"/>
            <w:bottom w:val="none" w:sz="0" w:space="0" w:color="auto"/>
            <w:right w:val="none" w:sz="0" w:space="0" w:color="auto"/>
          </w:divBdr>
        </w:div>
        <w:div w:id="692803162">
          <w:marLeft w:val="0"/>
          <w:marRight w:val="0"/>
          <w:marTop w:val="0"/>
          <w:marBottom w:val="0"/>
          <w:divBdr>
            <w:top w:val="none" w:sz="0" w:space="0" w:color="auto"/>
            <w:left w:val="none" w:sz="0" w:space="0" w:color="auto"/>
            <w:bottom w:val="none" w:sz="0" w:space="0" w:color="auto"/>
            <w:right w:val="none" w:sz="0" w:space="0" w:color="auto"/>
          </w:divBdr>
        </w:div>
        <w:div w:id="1780830269">
          <w:marLeft w:val="0"/>
          <w:marRight w:val="0"/>
          <w:marTop w:val="0"/>
          <w:marBottom w:val="0"/>
          <w:divBdr>
            <w:top w:val="none" w:sz="0" w:space="0" w:color="auto"/>
            <w:left w:val="none" w:sz="0" w:space="0" w:color="auto"/>
            <w:bottom w:val="none" w:sz="0" w:space="0" w:color="auto"/>
            <w:right w:val="none" w:sz="0" w:space="0" w:color="auto"/>
          </w:divBdr>
        </w:div>
        <w:div w:id="1121145373">
          <w:marLeft w:val="0"/>
          <w:marRight w:val="0"/>
          <w:marTop w:val="0"/>
          <w:marBottom w:val="0"/>
          <w:divBdr>
            <w:top w:val="none" w:sz="0" w:space="0" w:color="auto"/>
            <w:left w:val="none" w:sz="0" w:space="0" w:color="auto"/>
            <w:bottom w:val="none" w:sz="0" w:space="0" w:color="auto"/>
            <w:right w:val="none" w:sz="0" w:space="0" w:color="auto"/>
          </w:divBdr>
        </w:div>
        <w:div w:id="1114207133">
          <w:marLeft w:val="0"/>
          <w:marRight w:val="0"/>
          <w:marTop w:val="0"/>
          <w:marBottom w:val="0"/>
          <w:divBdr>
            <w:top w:val="none" w:sz="0" w:space="0" w:color="auto"/>
            <w:left w:val="none" w:sz="0" w:space="0" w:color="auto"/>
            <w:bottom w:val="none" w:sz="0" w:space="0" w:color="auto"/>
            <w:right w:val="none" w:sz="0" w:space="0" w:color="auto"/>
          </w:divBdr>
        </w:div>
        <w:div w:id="1737389663">
          <w:marLeft w:val="0"/>
          <w:marRight w:val="0"/>
          <w:marTop w:val="0"/>
          <w:marBottom w:val="0"/>
          <w:divBdr>
            <w:top w:val="none" w:sz="0" w:space="0" w:color="auto"/>
            <w:left w:val="none" w:sz="0" w:space="0" w:color="auto"/>
            <w:bottom w:val="none" w:sz="0" w:space="0" w:color="auto"/>
            <w:right w:val="none" w:sz="0" w:space="0" w:color="auto"/>
          </w:divBdr>
        </w:div>
        <w:div w:id="1298022836">
          <w:marLeft w:val="0"/>
          <w:marRight w:val="0"/>
          <w:marTop w:val="0"/>
          <w:marBottom w:val="0"/>
          <w:divBdr>
            <w:top w:val="none" w:sz="0" w:space="0" w:color="auto"/>
            <w:left w:val="none" w:sz="0" w:space="0" w:color="auto"/>
            <w:bottom w:val="none" w:sz="0" w:space="0" w:color="auto"/>
            <w:right w:val="none" w:sz="0" w:space="0" w:color="auto"/>
          </w:divBdr>
        </w:div>
        <w:div w:id="646016880">
          <w:marLeft w:val="0"/>
          <w:marRight w:val="0"/>
          <w:marTop w:val="0"/>
          <w:marBottom w:val="0"/>
          <w:divBdr>
            <w:top w:val="none" w:sz="0" w:space="0" w:color="auto"/>
            <w:left w:val="none" w:sz="0" w:space="0" w:color="auto"/>
            <w:bottom w:val="none" w:sz="0" w:space="0" w:color="auto"/>
            <w:right w:val="none" w:sz="0" w:space="0" w:color="auto"/>
          </w:divBdr>
        </w:div>
        <w:div w:id="1109203698">
          <w:marLeft w:val="0"/>
          <w:marRight w:val="0"/>
          <w:marTop w:val="0"/>
          <w:marBottom w:val="0"/>
          <w:divBdr>
            <w:top w:val="none" w:sz="0" w:space="0" w:color="auto"/>
            <w:left w:val="none" w:sz="0" w:space="0" w:color="auto"/>
            <w:bottom w:val="none" w:sz="0" w:space="0" w:color="auto"/>
            <w:right w:val="none" w:sz="0" w:space="0" w:color="auto"/>
          </w:divBdr>
        </w:div>
        <w:div w:id="939289594">
          <w:marLeft w:val="0"/>
          <w:marRight w:val="0"/>
          <w:marTop w:val="0"/>
          <w:marBottom w:val="0"/>
          <w:divBdr>
            <w:top w:val="none" w:sz="0" w:space="0" w:color="auto"/>
            <w:left w:val="none" w:sz="0" w:space="0" w:color="auto"/>
            <w:bottom w:val="none" w:sz="0" w:space="0" w:color="auto"/>
            <w:right w:val="none" w:sz="0" w:space="0" w:color="auto"/>
          </w:divBdr>
        </w:div>
        <w:div w:id="1990819352">
          <w:marLeft w:val="0"/>
          <w:marRight w:val="0"/>
          <w:marTop w:val="0"/>
          <w:marBottom w:val="0"/>
          <w:divBdr>
            <w:top w:val="none" w:sz="0" w:space="0" w:color="auto"/>
            <w:left w:val="none" w:sz="0" w:space="0" w:color="auto"/>
            <w:bottom w:val="none" w:sz="0" w:space="0" w:color="auto"/>
            <w:right w:val="none" w:sz="0" w:space="0" w:color="auto"/>
          </w:divBdr>
        </w:div>
        <w:div w:id="429005800">
          <w:marLeft w:val="0"/>
          <w:marRight w:val="0"/>
          <w:marTop w:val="0"/>
          <w:marBottom w:val="0"/>
          <w:divBdr>
            <w:top w:val="none" w:sz="0" w:space="0" w:color="auto"/>
            <w:left w:val="none" w:sz="0" w:space="0" w:color="auto"/>
            <w:bottom w:val="none" w:sz="0" w:space="0" w:color="auto"/>
            <w:right w:val="none" w:sz="0" w:space="0" w:color="auto"/>
          </w:divBdr>
        </w:div>
        <w:div w:id="647712922">
          <w:marLeft w:val="0"/>
          <w:marRight w:val="0"/>
          <w:marTop w:val="0"/>
          <w:marBottom w:val="0"/>
          <w:divBdr>
            <w:top w:val="none" w:sz="0" w:space="0" w:color="auto"/>
            <w:left w:val="none" w:sz="0" w:space="0" w:color="auto"/>
            <w:bottom w:val="none" w:sz="0" w:space="0" w:color="auto"/>
            <w:right w:val="none" w:sz="0" w:space="0" w:color="auto"/>
          </w:divBdr>
        </w:div>
        <w:div w:id="877396966">
          <w:marLeft w:val="0"/>
          <w:marRight w:val="0"/>
          <w:marTop w:val="0"/>
          <w:marBottom w:val="0"/>
          <w:divBdr>
            <w:top w:val="none" w:sz="0" w:space="0" w:color="auto"/>
            <w:left w:val="none" w:sz="0" w:space="0" w:color="auto"/>
            <w:bottom w:val="none" w:sz="0" w:space="0" w:color="auto"/>
            <w:right w:val="none" w:sz="0" w:space="0" w:color="auto"/>
          </w:divBdr>
        </w:div>
        <w:div w:id="372122583">
          <w:marLeft w:val="0"/>
          <w:marRight w:val="0"/>
          <w:marTop w:val="0"/>
          <w:marBottom w:val="0"/>
          <w:divBdr>
            <w:top w:val="none" w:sz="0" w:space="0" w:color="auto"/>
            <w:left w:val="none" w:sz="0" w:space="0" w:color="auto"/>
            <w:bottom w:val="none" w:sz="0" w:space="0" w:color="auto"/>
            <w:right w:val="none" w:sz="0" w:space="0" w:color="auto"/>
          </w:divBdr>
        </w:div>
        <w:div w:id="105660710">
          <w:marLeft w:val="0"/>
          <w:marRight w:val="0"/>
          <w:marTop w:val="0"/>
          <w:marBottom w:val="0"/>
          <w:divBdr>
            <w:top w:val="none" w:sz="0" w:space="0" w:color="auto"/>
            <w:left w:val="none" w:sz="0" w:space="0" w:color="auto"/>
            <w:bottom w:val="none" w:sz="0" w:space="0" w:color="auto"/>
            <w:right w:val="none" w:sz="0" w:space="0" w:color="auto"/>
          </w:divBdr>
        </w:div>
        <w:div w:id="2000769924">
          <w:marLeft w:val="0"/>
          <w:marRight w:val="0"/>
          <w:marTop w:val="0"/>
          <w:marBottom w:val="0"/>
          <w:divBdr>
            <w:top w:val="none" w:sz="0" w:space="0" w:color="auto"/>
            <w:left w:val="none" w:sz="0" w:space="0" w:color="auto"/>
            <w:bottom w:val="none" w:sz="0" w:space="0" w:color="auto"/>
            <w:right w:val="none" w:sz="0" w:space="0" w:color="auto"/>
          </w:divBdr>
        </w:div>
        <w:div w:id="2122989439">
          <w:marLeft w:val="0"/>
          <w:marRight w:val="0"/>
          <w:marTop w:val="0"/>
          <w:marBottom w:val="0"/>
          <w:divBdr>
            <w:top w:val="none" w:sz="0" w:space="0" w:color="auto"/>
            <w:left w:val="none" w:sz="0" w:space="0" w:color="auto"/>
            <w:bottom w:val="none" w:sz="0" w:space="0" w:color="auto"/>
            <w:right w:val="none" w:sz="0" w:space="0" w:color="auto"/>
          </w:divBdr>
        </w:div>
        <w:div w:id="94449453">
          <w:marLeft w:val="0"/>
          <w:marRight w:val="0"/>
          <w:marTop w:val="0"/>
          <w:marBottom w:val="0"/>
          <w:divBdr>
            <w:top w:val="none" w:sz="0" w:space="0" w:color="auto"/>
            <w:left w:val="none" w:sz="0" w:space="0" w:color="auto"/>
            <w:bottom w:val="none" w:sz="0" w:space="0" w:color="auto"/>
            <w:right w:val="none" w:sz="0" w:space="0" w:color="auto"/>
          </w:divBdr>
        </w:div>
        <w:div w:id="1414356877">
          <w:marLeft w:val="0"/>
          <w:marRight w:val="0"/>
          <w:marTop w:val="0"/>
          <w:marBottom w:val="0"/>
          <w:divBdr>
            <w:top w:val="none" w:sz="0" w:space="0" w:color="auto"/>
            <w:left w:val="none" w:sz="0" w:space="0" w:color="auto"/>
            <w:bottom w:val="none" w:sz="0" w:space="0" w:color="auto"/>
            <w:right w:val="none" w:sz="0" w:space="0" w:color="auto"/>
          </w:divBdr>
        </w:div>
        <w:div w:id="1109590382">
          <w:marLeft w:val="0"/>
          <w:marRight w:val="0"/>
          <w:marTop w:val="0"/>
          <w:marBottom w:val="0"/>
          <w:divBdr>
            <w:top w:val="none" w:sz="0" w:space="0" w:color="auto"/>
            <w:left w:val="none" w:sz="0" w:space="0" w:color="auto"/>
            <w:bottom w:val="none" w:sz="0" w:space="0" w:color="auto"/>
            <w:right w:val="none" w:sz="0" w:space="0" w:color="auto"/>
          </w:divBdr>
        </w:div>
        <w:div w:id="1562672671">
          <w:marLeft w:val="0"/>
          <w:marRight w:val="0"/>
          <w:marTop w:val="0"/>
          <w:marBottom w:val="0"/>
          <w:divBdr>
            <w:top w:val="none" w:sz="0" w:space="0" w:color="auto"/>
            <w:left w:val="none" w:sz="0" w:space="0" w:color="auto"/>
            <w:bottom w:val="none" w:sz="0" w:space="0" w:color="auto"/>
            <w:right w:val="none" w:sz="0" w:space="0" w:color="auto"/>
          </w:divBdr>
        </w:div>
        <w:div w:id="544297123">
          <w:marLeft w:val="0"/>
          <w:marRight w:val="0"/>
          <w:marTop w:val="0"/>
          <w:marBottom w:val="0"/>
          <w:divBdr>
            <w:top w:val="none" w:sz="0" w:space="0" w:color="auto"/>
            <w:left w:val="none" w:sz="0" w:space="0" w:color="auto"/>
            <w:bottom w:val="none" w:sz="0" w:space="0" w:color="auto"/>
            <w:right w:val="none" w:sz="0" w:space="0" w:color="auto"/>
          </w:divBdr>
        </w:div>
        <w:div w:id="453064840">
          <w:marLeft w:val="0"/>
          <w:marRight w:val="0"/>
          <w:marTop w:val="0"/>
          <w:marBottom w:val="0"/>
          <w:divBdr>
            <w:top w:val="none" w:sz="0" w:space="0" w:color="auto"/>
            <w:left w:val="none" w:sz="0" w:space="0" w:color="auto"/>
            <w:bottom w:val="none" w:sz="0" w:space="0" w:color="auto"/>
            <w:right w:val="none" w:sz="0" w:space="0" w:color="auto"/>
          </w:divBdr>
        </w:div>
        <w:div w:id="142352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e251f7ec-ace6-45a4-b682-ba6e3076dc87.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BELL03.ac.ti.ch\UCAF\02%20Consuntivo\2024\Indicatori\C2024_TABELLE%20-%20INDICATORI%20e%20GRAF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it-CH"/>
              <a:t>
</a:t>
            </a:r>
          </a:p>
        </c:rich>
      </c:tx>
      <c:layout>
        <c:manualLayout>
          <c:xMode val="edge"/>
          <c:yMode val="edge"/>
          <c:x val="4.8030784731088582E-3"/>
          <c:y val="8.5910797074334657E-3"/>
        </c:manualLayout>
      </c:layout>
      <c:overlay val="0"/>
      <c:spPr>
        <a:noFill/>
        <a:ln w="25400">
          <a:noFill/>
        </a:ln>
      </c:spPr>
    </c:title>
    <c:autoTitleDeleted val="0"/>
    <c:plotArea>
      <c:layout>
        <c:manualLayout>
          <c:layoutTarget val="inner"/>
          <c:xMode val="edge"/>
          <c:yMode val="edge"/>
          <c:x val="4.1946845981428116E-2"/>
          <c:y val="0.11240208406475852"/>
          <c:w val="0.94908830628631036"/>
          <c:h val="0.76029648882002165"/>
        </c:manualLayout>
      </c:layout>
      <c:barChart>
        <c:barDir val="col"/>
        <c:grouping val="clustered"/>
        <c:varyColors val="0"/>
        <c:ser>
          <c:idx val="1"/>
          <c:order val="0"/>
          <c:tx>
            <c:strRef>
              <c:f>'4-imp-pf+pg'!$B$3</c:f>
              <c:strCache>
                <c:ptCount val="1"/>
                <c:pt idx="0">
                  <c:v>Persone fisiche</c:v>
                </c:pt>
              </c:strCache>
            </c:strRef>
          </c:tx>
          <c:spPr>
            <a:solidFill>
              <a:schemeClr val="accent6">
                <a:lumMod val="60000"/>
                <a:lumOff val="40000"/>
              </a:schemeClr>
            </a:solidFill>
            <a:ln w="25400">
              <a:solidFill>
                <a:schemeClr val="accent6">
                  <a:lumMod val="60000"/>
                  <a:lumOff val="40000"/>
                </a:schemeClr>
              </a:solidFill>
              <a:prstDash val="solid"/>
            </a:ln>
          </c:spPr>
          <c:invertIfNegative val="0"/>
          <c:cat>
            <c:strRef>
              <c:f>'4-imp-pf+pg'!$A$4:$A$27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strCache>
            </c:strRef>
          </c:cat>
          <c:val>
            <c:numRef>
              <c:f>'4-imp-pf+pg'!$B$4:$B$27</c:f>
              <c:numCache>
                <c:formatCode>0</c:formatCode>
                <c:ptCount val="24"/>
                <c:pt idx="0">
                  <c:v>697.86952299999996</c:v>
                </c:pt>
                <c:pt idx="1">
                  <c:v>680.60331900999995</c:v>
                </c:pt>
                <c:pt idx="2">
                  <c:v>640.27281350999999</c:v>
                </c:pt>
                <c:pt idx="3">
                  <c:v>670.72297132000006</c:v>
                </c:pt>
                <c:pt idx="4">
                  <c:v>744.48823442999992</c:v>
                </c:pt>
                <c:pt idx="5">
                  <c:v>730.11566272000005</c:v>
                </c:pt>
                <c:pt idx="6">
                  <c:v>767.03769567999996</c:v>
                </c:pt>
                <c:pt idx="7">
                  <c:v>811.83728030999998</c:v>
                </c:pt>
                <c:pt idx="8">
                  <c:v>799.60783985</c:v>
                </c:pt>
                <c:pt idx="9">
                  <c:v>786.34256545000005</c:v>
                </c:pt>
                <c:pt idx="10">
                  <c:v>874.28100717999996</c:v>
                </c:pt>
                <c:pt idx="11">
                  <c:v>896.11871890999998</c:v>
                </c:pt>
                <c:pt idx="12">
                  <c:v>894.89038697000001</c:v>
                </c:pt>
                <c:pt idx="13">
                  <c:v>923.77337951000004</c:v>
                </c:pt>
                <c:pt idx="14">
                  <c:v>917.64950251999994</c:v>
                </c:pt>
                <c:pt idx="15">
                  <c:v>944.38271486999997</c:v>
                </c:pt>
                <c:pt idx="16">
                  <c:v>1021.35302373</c:v>
                </c:pt>
                <c:pt idx="17">
                  <c:v>1073.68514054</c:v>
                </c:pt>
                <c:pt idx="18">
                  <c:v>1117.28422099</c:v>
                </c:pt>
                <c:pt idx="19">
                  <c:v>1042.7122024800001</c:v>
                </c:pt>
                <c:pt idx="20">
                  <c:v>1128.49613591</c:v>
                </c:pt>
                <c:pt idx="21">
                  <c:v>1163.54098056</c:v>
                </c:pt>
                <c:pt idx="22">
                  <c:v>1190.59178877</c:v>
                </c:pt>
                <c:pt idx="23">
                  <c:v>1262.5299551800001</c:v>
                </c:pt>
              </c:numCache>
            </c:numRef>
          </c:val>
          <c:extLst>
            <c:ext xmlns:c16="http://schemas.microsoft.com/office/drawing/2014/chart" uri="{C3380CC4-5D6E-409C-BE32-E72D297353CC}">
              <c16:uniqueId val="{00000000-1401-461F-AD3C-6BFD1DD91F22}"/>
            </c:ext>
          </c:extLst>
        </c:ser>
        <c:ser>
          <c:idx val="0"/>
          <c:order val="1"/>
          <c:tx>
            <c:strRef>
              <c:f>'4-imp-pf+pg'!$C$3</c:f>
              <c:strCache>
                <c:ptCount val="1"/>
                <c:pt idx="0">
                  <c:v>Persone giuridiche</c:v>
                </c:pt>
              </c:strCache>
            </c:strRef>
          </c:tx>
          <c:spPr>
            <a:solidFill>
              <a:schemeClr val="accent6">
                <a:lumMod val="75000"/>
              </a:schemeClr>
            </a:solidFill>
            <a:ln w="25400">
              <a:solidFill>
                <a:schemeClr val="accent6">
                  <a:lumMod val="75000"/>
                </a:schemeClr>
              </a:solidFill>
              <a:prstDash val="solid"/>
            </a:ln>
          </c:spPr>
          <c:invertIfNegative val="0"/>
          <c:cat>
            <c:strRef>
              <c:f>'4-imp-pf+pg'!$A$4:$A$27</c:f>
              <c:strCach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strCache>
            </c:strRef>
          </c:cat>
          <c:val>
            <c:numRef>
              <c:f>'4-imp-pf+pg'!$C$4:$C$27</c:f>
              <c:numCache>
                <c:formatCode>0</c:formatCode>
                <c:ptCount val="24"/>
                <c:pt idx="0">
                  <c:v>267.73427815000002</c:v>
                </c:pt>
                <c:pt idx="1">
                  <c:v>349.44508597000004</c:v>
                </c:pt>
                <c:pt idx="2">
                  <c:v>251.94688635</c:v>
                </c:pt>
                <c:pt idx="3">
                  <c:v>249.1752615</c:v>
                </c:pt>
                <c:pt idx="4">
                  <c:v>270.00402086999998</c:v>
                </c:pt>
                <c:pt idx="5">
                  <c:v>302.10557381000001</c:v>
                </c:pt>
                <c:pt idx="6">
                  <c:v>348.98887206000001</c:v>
                </c:pt>
                <c:pt idx="7">
                  <c:v>361.00546844999997</c:v>
                </c:pt>
                <c:pt idx="8">
                  <c:v>365.98561027</c:v>
                </c:pt>
                <c:pt idx="9">
                  <c:v>362.36391669</c:v>
                </c:pt>
                <c:pt idx="10">
                  <c:v>345.60707431999998</c:v>
                </c:pt>
                <c:pt idx="11">
                  <c:v>330.62550649999997</c:v>
                </c:pt>
                <c:pt idx="12">
                  <c:v>322.29365677999999</c:v>
                </c:pt>
                <c:pt idx="13">
                  <c:v>349.01964914999996</c:v>
                </c:pt>
                <c:pt idx="14">
                  <c:v>320.19326386</c:v>
                </c:pt>
                <c:pt idx="15">
                  <c:v>338.99750655000003</c:v>
                </c:pt>
                <c:pt idx="16">
                  <c:v>348.62065418999998</c:v>
                </c:pt>
                <c:pt idx="17">
                  <c:v>352.50470107999996</c:v>
                </c:pt>
                <c:pt idx="18">
                  <c:v>308.40426402999998</c:v>
                </c:pt>
                <c:pt idx="19">
                  <c:v>296.23683339999997</c:v>
                </c:pt>
                <c:pt idx="20">
                  <c:v>291.66175039000001</c:v>
                </c:pt>
                <c:pt idx="21">
                  <c:v>317.77321767000001</c:v>
                </c:pt>
                <c:pt idx="22">
                  <c:v>346.57979463999999</c:v>
                </c:pt>
                <c:pt idx="23">
                  <c:v>385.81314864999996</c:v>
                </c:pt>
              </c:numCache>
            </c:numRef>
          </c:val>
          <c:extLst>
            <c:ext xmlns:c16="http://schemas.microsoft.com/office/drawing/2014/chart" uri="{C3380CC4-5D6E-409C-BE32-E72D297353CC}">
              <c16:uniqueId val="{00000001-1401-461F-AD3C-6BFD1DD91F22}"/>
            </c:ext>
          </c:extLst>
        </c:ser>
        <c:dLbls>
          <c:showLegendKey val="0"/>
          <c:showVal val="0"/>
          <c:showCatName val="0"/>
          <c:showSerName val="0"/>
          <c:showPercent val="0"/>
          <c:showBubbleSize val="0"/>
        </c:dLbls>
        <c:gapWidth val="50"/>
        <c:axId val="118581888"/>
        <c:axId val="118583680"/>
      </c:barChart>
      <c:catAx>
        <c:axId val="118581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a:latin typeface="Gill Sans" panose="020B0602020204020204" pitchFamily="34" charset="0"/>
              </a:defRPr>
            </a:pPr>
            <a:endParaRPr lang="it-CH"/>
          </a:p>
        </c:txPr>
        <c:crossAx val="118583680"/>
        <c:crosses val="autoZero"/>
        <c:auto val="0"/>
        <c:lblAlgn val="ctr"/>
        <c:lblOffset val="100"/>
        <c:tickLblSkip val="1"/>
        <c:tickMarkSkip val="1"/>
        <c:noMultiLvlLbl val="0"/>
      </c:catAx>
      <c:valAx>
        <c:axId val="118583680"/>
        <c:scaling>
          <c:orientation val="minMax"/>
        </c:scaling>
        <c:delete val="0"/>
        <c:axPos val="l"/>
        <c:majorGridlines>
          <c:spPr>
            <a:ln w="3175">
              <a:solidFill>
                <a:srgbClr val="808080"/>
              </a:solidFill>
              <a:prstDash val="solid"/>
            </a:ln>
          </c:spPr>
        </c:majorGridlines>
        <c:title>
          <c:tx>
            <c:rich>
              <a:bodyPr rot="0" vert="horz"/>
              <a:lstStyle/>
              <a:p>
                <a:pPr>
                  <a:defRPr sz="600">
                    <a:latin typeface="Gill Sans" panose="020B0602020204020204" pitchFamily="34" charset="0"/>
                  </a:defRPr>
                </a:pPr>
                <a:r>
                  <a:rPr lang="it-CH" sz="600">
                    <a:effectLst/>
                    <a:latin typeface="Gill Sans" panose="020B0602020204020204" pitchFamily="34" charset="0"/>
                  </a:rPr>
                  <a:t>in</a:t>
                </a:r>
                <a:r>
                  <a:rPr lang="it-CH" sz="600" baseline="0">
                    <a:effectLst/>
                    <a:latin typeface="Gill Sans" panose="020B0602020204020204" pitchFamily="34" charset="0"/>
                  </a:rPr>
                  <a:t> milioni di</a:t>
                </a:r>
                <a:r>
                  <a:rPr lang="it-CH" sz="600">
                    <a:effectLst/>
                    <a:latin typeface="Gill Sans" panose="020B0602020204020204" pitchFamily="34" charset="0"/>
                  </a:rPr>
                  <a:t> CHF</a:t>
                </a:r>
              </a:p>
            </c:rich>
          </c:tx>
          <c:layout>
            <c:manualLayout>
              <c:xMode val="edge"/>
              <c:yMode val="edge"/>
              <c:x val="1.3525989663663177E-2"/>
              <c:y val="2.9802900364183472E-2"/>
            </c:manualLayout>
          </c:layout>
          <c:overlay val="0"/>
        </c:title>
        <c:numFmt formatCode="#,##0" sourceLinked="0"/>
        <c:majorTickMark val="out"/>
        <c:minorTickMark val="none"/>
        <c:tickLblPos val="nextTo"/>
        <c:spPr>
          <a:ln w="3175">
            <a:solidFill>
              <a:srgbClr val="808080"/>
            </a:solidFill>
            <a:prstDash val="solid"/>
          </a:ln>
        </c:spPr>
        <c:txPr>
          <a:bodyPr rot="0" vert="horz"/>
          <a:lstStyle/>
          <a:p>
            <a:pPr>
              <a:defRPr sz="800" b="1">
                <a:latin typeface="Gill Sans" panose="020B0602020204020204" pitchFamily="34" charset="0"/>
              </a:defRPr>
            </a:pPr>
            <a:endParaRPr lang="it-CH"/>
          </a:p>
        </c:txPr>
        <c:crossAx val="118581888"/>
        <c:crosses val="autoZero"/>
        <c:crossBetween val="between"/>
      </c:valAx>
      <c:spPr>
        <a:solidFill>
          <a:srgbClr val="FFFFFF"/>
        </a:solidFill>
        <a:ln w="12700">
          <a:solidFill>
            <a:srgbClr val="808080"/>
          </a:solidFill>
          <a:prstDash val="solid"/>
        </a:ln>
      </c:spPr>
    </c:plotArea>
    <c:legend>
      <c:legendPos val="b"/>
      <c:layout>
        <c:manualLayout>
          <c:xMode val="edge"/>
          <c:yMode val="edge"/>
          <c:x val="3.9419798749940109E-2"/>
          <c:y val="0.94327017415805314"/>
          <c:w val="0.91798289922864484"/>
          <c:h val="3.9143718538442167E-2"/>
        </c:manualLayout>
      </c:layout>
      <c:overlay val="0"/>
      <c:spPr>
        <a:solidFill>
          <a:srgbClr val="FFFFFF"/>
        </a:solidFill>
        <a:ln w="25400">
          <a:noFill/>
        </a:ln>
      </c:spPr>
      <c:txPr>
        <a:bodyPr/>
        <a:lstStyle/>
        <a:p>
          <a:pPr>
            <a:defRPr sz="800">
              <a:latin typeface="Gill Sans" panose="020B0602020204020204" pitchFamily="34" charset="0"/>
            </a:defRPr>
          </a:pPr>
          <a:endParaRPr lang="it-CH"/>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Gill Sans Light" panose="020B0402020204020204" pitchFamily="34" charset="0"/>
          <a:ea typeface="Arial"/>
          <a:cs typeface="Arial"/>
        </a:defRPr>
      </a:pPr>
      <a:endParaRPr lang="it-CH"/>
    </a:p>
  </c:txPr>
  <c:externalData r:id="rId1">
    <c:autoUpdate val="0"/>
  </c:externalData>
</c:chartSpac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1415582173</Id>
      <Width>0</Width>
      <Height>0</Height>
      <XPath>//Image[@id='Profile.Org.WappenSW']</XPath>
      <ImageHash>02f1c0cdac6aeac316213b2e7cb733a0</ImageHash>
    </ImageSizeDefinition>
    <ImageSizeDefinition>
      <Id>102327381</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1 2 a 4 f 1 2 5 - d a 4 0 - 4 0 b a - 8 c 6 4 - e 9 d 3 3 4 b 7 0 3 3 8 "   t I d = " a 3 6 2 a 5 d 4 - 9 5 8 9 - 4 1 b f - a 4 e 6 - 4 f 8 7 c 4 e 4 1 2 3 9 "   i n t e r n a l T I d = " 9 0 6 4 c c 7 f - 3 1 6 d - 4 6 b 1 - a 4 a c - 7 4 8 6 0 c 3 f 8 a 5 b "   m t I d = " 2 7 5 a f 3 2 e - b c 4 0 - 4 5 c 2 - 8 5 b 7 - a f b 1 c 0 3 8 2 6 5 3 "   r e v i s i o n = " 0 "   c r e a t e d m a j o r v e r s i o n = " 0 "   c r e a t e d m i n o r v e r s i o n = " 0 "   c r e a t e d = " 2 0 2 4 - 0 6 - 0 4 T 1 1 : 2 9 : 4 7 . 1 3 3 9 9 9 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T e x t >  
                 < T e x t   i d = " C u s t o m E l e m e n t s . S u b T e m p l a t e . L a n d s c a p e . H e a d e r . T i t o l o "   l a b e l = " C u s t o m E l e m e n t s . S u b T e m p l a t e . L a n d s c a p e . H e a d e r . T i t o l o " > < ! [ C D A T A [ R a p p o r t o   d i   m i n o r a n z a   n .   8 5 6 2   R 2 - 1   d e l   2 7   m a g g i o   2 0 2 5 ] ] > < / T e x t >  
                 < T e x t   i d = " C u s t o m E l e m e n t s . T e x t s . D r a f t "   l a b e l = " C u s t o m E l e m e n t s . T e x t s . D r a f t " > < ! [ C D A T A [ B o z z a ] ] > < / T e x t >  
                 < T e x t   i d = " C u s t o m E l e m e n t s . F i e l d s . D i p a r t i m e n t i "   l a b e l = " C u s t o m E l e m e n t s . F i e l d s . D i p a r t i m e n t i " > < ! [ C D A T A [ D i p a r t i m e n t o   d e l l e   f i n a n z e   e   d e l l  e c o n o m i a ] ] > < / T e x t >  
                 < T e x t   i d = " C u s t o m E l e m e n t s . F i e l d s . T i t o l o 1 "   l a b e l = " C u s t o m E l e m e n t s . F i e l d s . T i t o l o 1 " > < ! [ C D A T A [ R a p p o r t o   d i   m i n o r a n z a   1 ] ] > < / T e x t >  
                 < T e x t   i d = " C u s t o m E l e m e n t s . F i e l d s . T i t o l o 2 "   l a b e l = " C u s t o m E l e m e n t s . F i e l d s . T i t o l o 2 " > < ! [ C D A T A [ R a p p o r t o   d i   m i n o r a n z a   1   n .   8 5 6 2   R 2 - 1   d e l   2 7   m a g g i o 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5 6 2   R 2 - 1 ] ] > < / T e x t >  
                 < T e x t   i d = " D o c P a r a m . D o c u m e n t o " > < ! [ C D A T A [ R a p p o r t o   d i   m i n o r a n z a ] ] > < / T e x t >  
                 < T e x t   i d = " D o c P a r a m . A g g i u n t a D o c "   t o o l t i p = " ( e s .   b i s ,   a g g i u n t i v o ,   a g g i u n t i v o   b i s ,   1 ,   2   e c c . ) " > < ! [ C D A T A [ 1 ] ] > < / T e x t >  
                 < T e x t   i d = " D o c P a r a m . D i p a r t i m e n t i " > < ! [ C D A T A [ D i p a r t i m e n t o   d e l l e   f i n a n z e   e   d e l l  e c o n o m i a ] ] > < / 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1B219E26-4EA0-4579-B0EE-4AC41EEFDAC5}">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AA9158F2-5101-45AF-8557-C71758F374FC}">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7C3E9296-397F-44A8-8336-C6372D6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e251f7ec-ace6-45a4-b682-ba6e3076dc87.dotx</Template>
  <TotalTime>22</TotalTime>
  <Pages>22</Pages>
  <Words>7438</Words>
  <Characters>42030</Characters>
  <Application>Microsoft Office Word</Application>
  <DocSecurity>0</DocSecurity>
  <Lines>1106</Lines>
  <Paragraphs>543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Francesca</dc:creator>
  <cp:lastModifiedBy>Venturi Luca</cp:lastModifiedBy>
  <cp:revision>23</cp:revision>
  <cp:lastPrinted>2025-05-27T14:36:00Z</cp:lastPrinted>
  <dcterms:created xsi:type="dcterms:W3CDTF">2025-05-27T09:43:00Z</dcterms:created>
  <dcterms:modified xsi:type="dcterms:W3CDTF">2025-05-27T14:37:00Z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