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3274A" w14:textId="77777777" w:rsidR="008F52AF" w:rsidRPr="00530C11" w:rsidRDefault="00530C11" w:rsidP="00D33940">
      <w:pPr>
        <w:pStyle w:val="StandardRisoluzionedelConsigliodiStato"/>
        <w:ind w:right="-1"/>
        <w:rPr>
          <w:b/>
          <w:sz w:val="28"/>
          <w:szCs w:val="28"/>
        </w:rPr>
      </w:pPr>
      <w:bookmarkStart w:id="0" w:name="_Hlk197651577"/>
      <w:bookmarkStart w:id="1" w:name="_GoBack"/>
      <w:bookmarkEnd w:id="0"/>
      <w:bookmarkEnd w:id="1"/>
      <w:r w:rsidRPr="00530C11">
        <w:rPr>
          <w:b/>
          <w:sz w:val="28"/>
          <w:szCs w:val="28"/>
        </w:rPr>
        <w:t>della Commissione gestione e finanze</w:t>
      </w:r>
    </w:p>
    <w:p w14:paraId="43B6F61C" w14:textId="77777777" w:rsidR="00530C11" w:rsidRDefault="00530C11" w:rsidP="00D33940">
      <w:pPr>
        <w:pStyle w:val="StandardRisoluzionedelConsigliodiStato"/>
        <w:ind w:right="-1"/>
        <w:rPr>
          <w:b/>
          <w:sz w:val="28"/>
          <w:szCs w:val="28"/>
        </w:rPr>
      </w:pPr>
      <w:r w:rsidRPr="00530C11">
        <w:rPr>
          <w:b/>
          <w:sz w:val="28"/>
          <w:szCs w:val="28"/>
        </w:rPr>
        <w:t>sul messaggio</w:t>
      </w:r>
      <w:r>
        <w:rPr>
          <w:b/>
          <w:sz w:val="28"/>
          <w:szCs w:val="28"/>
        </w:rPr>
        <w:t xml:space="preserve"> </w:t>
      </w:r>
      <w:r w:rsidR="00A52F92">
        <w:rPr>
          <w:b/>
          <w:sz w:val="28"/>
          <w:szCs w:val="28"/>
        </w:rPr>
        <w:t xml:space="preserve">9 aprile </w:t>
      </w:r>
      <w:r>
        <w:rPr>
          <w:b/>
          <w:sz w:val="28"/>
          <w:szCs w:val="28"/>
        </w:rPr>
        <w:t>202</w:t>
      </w:r>
      <w:r w:rsidR="00A52F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concernente il Consuntivo 202</w:t>
      </w:r>
      <w:r w:rsidR="00A52F92">
        <w:rPr>
          <w:b/>
          <w:sz w:val="28"/>
          <w:szCs w:val="28"/>
        </w:rPr>
        <w:t>4</w:t>
      </w:r>
    </w:p>
    <w:p w14:paraId="5D0C5ACD" w14:textId="77777777" w:rsidR="00530C11" w:rsidRPr="00AC1D16" w:rsidRDefault="00530C11" w:rsidP="00D33940">
      <w:pPr>
        <w:pStyle w:val="StandardRisoluzionedelConsigliodiStato"/>
        <w:ind w:right="-1"/>
        <w:rPr>
          <w:szCs w:val="24"/>
        </w:rPr>
      </w:pPr>
    </w:p>
    <w:p w14:paraId="7314E6F4" w14:textId="45A8603D" w:rsidR="000D0508" w:rsidRDefault="000D0508" w:rsidP="00EE7531">
      <w:pPr>
        <w:rPr>
          <w:sz w:val="24"/>
          <w:szCs w:val="24"/>
        </w:rPr>
      </w:pPr>
    </w:p>
    <w:p w14:paraId="56E22501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Il Consuntivo 2024, seppur abbia chiuso con un disavanzo di Fr. 71.8 mio, invece dei Fr. 130.8 mio preventivati, dimostra che le finanze del nostro Cantone continuano ad essere precarie e fuori controllo.</w:t>
      </w:r>
    </w:p>
    <w:p w14:paraId="3CB26F1B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Il fatto che il miglioramento dei conti sia dovuto essenzialmente a dei ricavi fiscali straordinari per complessivi Fr. 49.9 mio (tralasciando i ricavi di trasferimento pari a Fr. 72.6 mio dovuti ai profughi ucraini, poiché considerati solo nel preventivo 2025) e non a delle misure per il contenimento della spesa, deve preoccuparci.</w:t>
      </w:r>
    </w:p>
    <w:p w14:paraId="245D2D30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259B3DC4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Il capitale proprio continua a peggiorare, attestandosi a Fr. -215.9 mio e il debito pubblico, rispetto al 2023 è ancora aumentato, arrivando a superare la soglia di Fr. 2.6 miliardi.</w:t>
      </w:r>
    </w:p>
    <w:p w14:paraId="4F9D4BF0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607717D1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 xml:space="preserve">Lo stesso Consiglio di Stato, nella presentazione del Messaggio scrive:” </w:t>
      </w:r>
      <w:r w:rsidRPr="004D359D">
        <w:rPr>
          <w:rFonts w:eastAsia="DengXian" w:cs="Arial"/>
          <w:i/>
          <w:sz w:val="24"/>
          <w:szCs w:val="24"/>
          <w:lang w:eastAsia="zh-CN" w:bidi="hi-IN"/>
        </w:rPr>
        <w:t>Delle scelte, comunque, si impongono e il loro differimento nel tempo comporta il rischio di paralizzare la politica finanziaria del Cantone e di conseguenza la progettualità, oltre che incidere sulla possibilità di realizzare gli investimenti pianificati.</w:t>
      </w:r>
      <w:r w:rsidRPr="004D359D">
        <w:rPr>
          <w:rFonts w:eastAsia="DengXian" w:cs="Arial"/>
          <w:sz w:val="24"/>
          <w:szCs w:val="24"/>
          <w:lang w:eastAsia="zh-CN" w:bidi="hi-IN"/>
        </w:rPr>
        <w:t>”</w:t>
      </w:r>
    </w:p>
    <w:p w14:paraId="53D9A0C4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5EF951FF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Nel 2024 il livello degli investimenti è aumentato di Fr. 21 mio rispetto al Preventivo, arrivando a Fr. 302.3 mio.</w:t>
      </w:r>
    </w:p>
    <w:p w14:paraId="1DCB98D4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26B2B3CA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 xml:space="preserve">Leggendo questi dati è chiaro che se da una parte il Governo è pienamente cosciente che ci troviamo sull’orlo del baratro, dall’altra è altresì pacifico che nel corso del 2024 non vi siano stati degli interventi per tentare di “correggere la rotta”, né esiste una pianificazione di misure strutturali da attuare a medio-lungo termine. </w:t>
      </w:r>
    </w:p>
    <w:p w14:paraId="30A81DC2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3C8A58FE" w14:textId="0C7851E1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Il Decreto Morisoli, votato nel mese di ottobre 2021 dal Gran consiglio e accolto dal popolo nel maggio 2022, che chiede il pareggio del conto economico entro il 31 dicembre 2025 con misure di contenimento della spesa e senza riversamento di oneri sui Comuni, è stato disatteso anche nel 2024 e non ci si illude che, a meno di un miracolo, nemmeno con il consuntivo 2025 verranno raggiunti gli obiettivi prefissati e voluti dal popolo.</w:t>
      </w:r>
    </w:p>
    <w:p w14:paraId="7EE9CFF8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2284E6FC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Anzi, la spesa è aumentata di circa Fr. 69.3 mio e i rapporti con i Comuni sono vieppiù difficili. L’unico aspetto positivo è che la via dell’aumento delle imposte è stata bloccata.</w:t>
      </w:r>
    </w:p>
    <w:p w14:paraId="5F9E1BCD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4F9D6189" w14:textId="77777777" w:rsidR="004D359D" w:rsidRPr="004D359D" w:rsidRDefault="004D359D" w:rsidP="004D359D">
      <w:pPr>
        <w:spacing w:after="160" w:line="259" w:lineRule="auto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Ancora una volta si constata che lo Stato spende troppo e non è in grado di fissare delle priorità.</w:t>
      </w:r>
    </w:p>
    <w:p w14:paraId="63B3AB58" w14:textId="77777777" w:rsidR="004D359D" w:rsidRPr="004D359D" w:rsidRDefault="004D359D" w:rsidP="004D359D">
      <w:pPr>
        <w:spacing w:after="160" w:line="259" w:lineRule="auto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Nel Consuntivo 2024 non si intravedono delle misure che facciano supporre che vi sia una strategia d’insieme tesa, da una parte al contenimento della spesa e dall’altra alla crescita economica e ad una visione futura del nostro Cantone a medio lungo termine.</w:t>
      </w:r>
    </w:p>
    <w:p w14:paraId="7EC1425B" w14:textId="1CEA6009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lastRenderedPageBreak/>
        <w:t>Il primo passo per poter pianificare delle misure concrete e coerenti è certamente quello di uscire dalla logica granitica del dipartimentalismo, che purtroppo dal Consuntivo 2024 ne esce ancor di più cristallizzata.</w:t>
      </w:r>
    </w:p>
    <w:p w14:paraId="66730CE3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571B92C5" w14:textId="42F94957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 xml:space="preserve">Un altro aspetto che affligge sia i cittadini che le imprese è la crescente burocrazia con la quale essi sono confrontati in tutti gli ambiti. Anche qui da parte del Governo non vi è traccia di voler ridurre e semplificare le varie procedure, ma piuttosto si tende a volerle digitalizzare e automatizzarle, in funzione delle tempistiche e snellimento delle operazioni. Tuttavia, questo non significa meno burocrazia. </w:t>
      </w:r>
    </w:p>
    <w:p w14:paraId="707F6046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57DA7731" w14:textId="6D9107AA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Anche in questo ambito non vi è dunque alcuna visione di voler ridurre la burocrazia.</w:t>
      </w:r>
    </w:p>
    <w:p w14:paraId="6FDFFFA3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731B74A8" w14:textId="2E893C11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Un’accelerazione nell’introduzione della digitalizzazione e dell'AI faciliterebbe semmai il flusso lavorativo amministrativo, comportando minori sprechi, razionalizzando il tempo di lavoro e migliorando il servizio alla cittadinanza.</w:t>
      </w:r>
    </w:p>
    <w:p w14:paraId="61D222BA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7F573369" w14:textId="2B0F7377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Non vi è traccia di voler rivedere al meglio le scadenze dei prestiti e debiti verso terzi, rinegoziando tassi e swap, al fine di risparmiare ulteriormente sugli interessi negativi, né una strategia per futuri prestiti bancari, ad esempio indirizzandoli verso prestiti digitalizzati in blockchain come fanno già da tempo in altri Cantoni e sull'esempio di Lugano e Bellinzona.</w:t>
      </w:r>
    </w:p>
    <w:p w14:paraId="0ACD62E4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4F5C3004" w14:textId="05C393F5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In sede di Preventivo 2024 l’UDC aveva proposto delle misure, che lasciavano al Governo un grande margine di manovra, senza sconfinare in dettami puntuali che esulano dalle competenze del Parlamento.</w:t>
      </w:r>
    </w:p>
    <w:p w14:paraId="3B0FDA2C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1EAAE072" w14:textId="7BEC4305" w:rsidR="004D359D" w:rsidRDefault="004D359D" w:rsidP="004D359D">
      <w:pPr>
        <w:spacing w:line="259" w:lineRule="auto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Le voci puntuali sulle quali l’UDC chiede da tempo di intervenire sono quelle del personale, del funzionamento (beni e servizi) e sussidi (spese di trasferimento).</w:t>
      </w:r>
    </w:p>
    <w:p w14:paraId="31D41CF0" w14:textId="77777777" w:rsidR="004D359D" w:rsidRPr="004D359D" w:rsidRDefault="004D359D" w:rsidP="004D359D">
      <w:pPr>
        <w:spacing w:line="259" w:lineRule="auto"/>
        <w:rPr>
          <w:rFonts w:eastAsia="DengXian" w:cs="Arial"/>
          <w:sz w:val="24"/>
          <w:szCs w:val="24"/>
          <w:lang w:eastAsia="zh-CN" w:bidi="hi-IN"/>
        </w:rPr>
      </w:pPr>
    </w:p>
    <w:p w14:paraId="1C714AD6" w14:textId="77777777" w:rsidR="004D359D" w:rsidRPr="004D359D" w:rsidRDefault="004D359D" w:rsidP="004D359D">
      <w:pPr>
        <w:spacing w:after="160" w:line="259" w:lineRule="auto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u w:val="single"/>
          <w:lang w:eastAsia="zh-CN" w:bidi="hi-IN"/>
        </w:rPr>
        <w:t>In particolare, in sede di Preventivo 2024 venivano proposti dei Decreti-legge aventi per oggetto</w:t>
      </w:r>
      <w:r w:rsidRPr="004D359D">
        <w:rPr>
          <w:rFonts w:eastAsia="DengXian" w:cs="Arial"/>
          <w:sz w:val="24"/>
          <w:szCs w:val="24"/>
          <w:lang w:eastAsia="zh-CN" w:bidi="hi-IN"/>
        </w:rPr>
        <w:t>:</w:t>
      </w:r>
    </w:p>
    <w:p w14:paraId="4150A9EA" w14:textId="77777777" w:rsidR="004D359D" w:rsidRPr="004D359D" w:rsidRDefault="004D359D" w:rsidP="004D359D">
      <w:pPr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eastAsia="DengXian" w:cs="Arial"/>
          <w:color w:val="000000"/>
          <w:sz w:val="24"/>
          <w:szCs w:val="24"/>
          <w:shd w:val="clear" w:color="auto" w:fill="FFFFFF"/>
          <w:lang w:eastAsia="zh-CN" w:bidi="hi-IN"/>
        </w:rPr>
      </w:pPr>
      <w:r w:rsidRPr="004D359D">
        <w:rPr>
          <w:rFonts w:eastAsia="DengXian" w:cs="Arial"/>
          <w:color w:val="000000"/>
          <w:sz w:val="24"/>
          <w:szCs w:val="24"/>
          <w:u w:val="single"/>
          <w:shd w:val="clear" w:color="auto" w:fill="FFFFFF"/>
          <w:lang w:eastAsia="zh-CN" w:bidi="hi-IN"/>
        </w:rPr>
        <w:t>La spesa del personale</w:t>
      </w:r>
      <w:r w:rsidRPr="004D359D">
        <w:rPr>
          <w:rFonts w:eastAsia="DengXian" w:cs="Arial"/>
          <w:color w:val="000000"/>
          <w:sz w:val="24"/>
          <w:szCs w:val="24"/>
          <w:shd w:val="clear" w:color="auto" w:fill="FFFFFF"/>
          <w:lang w:eastAsia="zh-CN" w:bidi="hi-IN"/>
        </w:rPr>
        <w:t xml:space="preserve"> (gruppo di spesa 30) doveva essere ridotta di Fr. 30 mio.</w:t>
      </w:r>
    </w:p>
    <w:p w14:paraId="4E935C5C" w14:textId="77777777" w:rsidR="004D359D" w:rsidRPr="004D359D" w:rsidRDefault="004D359D" w:rsidP="004D359D">
      <w:pPr>
        <w:ind w:left="284" w:hanging="284"/>
        <w:rPr>
          <w:rFonts w:eastAsia="DengXian" w:cs="Arial"/>
          <w:sz w:val="24"/>
          <w:szCs w:val="24"/>
          <w:lang w:eastAsia="zh-CN" w:bidi="hi-IN"/>
        </w:rPr>
      </w:pPr>
    </w:p>
    <w:p w14:paraId="064B13E9" w14:textId="77777777" w:rsidR="004D359D" w:rsidRPr="004D359D" w:rsidRDefault="004D359D" w:rsidP="004D359D">
      <w:pPr>
        <w:ind w:left="284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Nel Consuntivo 2024 emerge che questa voce è aumentata di Fr. 14 mio rispetto al Preventivo.</w:t>
      </w:r>
    </w:p>
    <w:p w14:paraId="094786FF" w14:textId="77777777" w:rsidR="004D359D" w:rsidRPr="004D359D" w:rsidRDefault="004D359D" w:rsidP="004D359D">
      <w:pPr>
        <w:ind w:left="284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 xml:space="preserve">È dunque impellente intervenire, non solo in funzione del contenimento di questa voce, ma anche allocare delle risorse laddove vi è reale necessità, ad esempio nella Giustizia. Appare chiaro che il dipartimentalismo blocca qualsiasi iniziativa.  </w:t>
      </w:r>
    </w:p>
    <w:p w14:paraId="1812A4B4" w14:textId="77777777" w:rsidR="004D359D" w:rsidRPr="004D359D" w:rsidRDefault="004D359D" w:rsidP="004D359D">
      <w:pPr>
        <w:ind w:left="284" w:hanging="284"/>
        <w:rPr>
          <w:rFonts w:eastAsia="DengXian" w:cs="Arial"/>
          <w:sz w:val="24"/>
          <w:szCs w:val="24"/>
          <w:lang w:eastAsia="zh-CN" w:bidi="hi-IN"/>
        </w:rPr>
      </w:pPr>
    </w:p>
    <w:p w14:paraId="1E454C7C" w14:textId="77777777" w:rsidR="004D359D" w:rsidRPr="004D359D" w:rsidRDefault="004D359D" w:rsidP="004D359D">
      <w:pPr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eastAsia="DengXian" w:cs="Arial"/>
          <w:color w:val="000000"/>
          <w:sz w:val="24"/>
          <w:szCs w:val="24"/>
          <w:shd w:val="clear" w:color="auto" w:fill="FFFFFF"/>
          <w:lang w:eastAsia="zh-CN" w:bidi="hi-IN"/>
        </w:rPr>
      </w:pPr>
      <w:r w:rsidRPr="004D359D">
        <w:rPr>
          <w:rFonts w:eastAsia="DengXian" w:cs="Arial"/>
          <w:color w:val="000000"/>
          <w:sz w:val="24"/>
          <w:szCs w:val="24"/>
          <w:u w:val="single"/>
          <w:shd w:val="clear" w:color="auto" w:fill="FFFFFF"/>
          <w:lang w:eastAsia="zh-CN" w:bidi="hi-IN"/>
        </w:rPr>
        <w:t>La spesa per Beni e servizi</w:t>
      </w:r>
      <w:r w:rsidRPr="004D359D">
        <w:rPr>
          <w:rFonts w:eastAsia="DengXian" w:cs="Arial"/>
          <w:color w:val="000000"/>
          <w:sz w:val="24"/>
          <w:szCs w:val="24"/>
          <w:shd w:val="clear" w:color="auto" w:fill="FFFFFF"/>
          <w:lang w:eastAsia="zh-CN" w:bidi="hi-IN"/>
        </w:rPr>
        <w:t xml:space="preserve"> (gruppo di spesa 31) doveva essere ridotta e bloccata al valore dell’ultimo Consuntivo prima della Pandemia (C2019) ossia a Fr. 316.7 mio annui, poiché era stato assicurato che l’esplosione avvenuta successivamente </w:t>
      </w:r>
      <w:r w:rsidRPr="004D359D">
        <w:rPr>
          <w:rFonts w:eastAsia="DengXian" w:cs="Arial"/>
          <w:sz w:val="24"/>
          <w:szCs w:val="24"/>
          <w:lang w:eastAsia="zh-CN" w:bidi="hi-IN"/>
        </w:rPr>
        <w:t>era una situazione “comprensibile” e temporanea.</w:t>
      </w:r>
    </w:p>
    <w:p w14:paraId="6393E246" w14:textId="77777777" w:rsidR="004D359D" w:rsidRPr="004D359D" w:rsidRDefault="004D359D" w:rsidP="004D359D">
      <w:pPr>
        <w:ind w:left="284" w:hanging="284"/>
        <w:contextualSpacing/>
        <w:rPr>
          <w:rFonts w:eastAsia="DengXian" w:cs="Arial"/>
          <w:sz w:val="24"/>
          <w:szCs w:val="24"/>
          <w:lang w:eastAsia="zh-CN" w:bidi="hi-IN"/>
        </w:rPr>
      </w:pPr>
    </w:p>
    <w:p w14:paraId="3B5C7E3B" w14:textId="52A297CB" w:rsidR="004D359D" w:rsidRPr="004D359D" w:rsidRDefault="004D359D" w:rsidP="004D359D">
      <w:pPr>
        <w:ind w:left="284" w:hanging="284"/>
        <w:rPr>
          <w:rFonts w:eastAsia="DengXian" w:cs="Arial"/>
          <w:sz w:val="24"/>
          <w:szCs w:val="24"/>
          <w:lang w:eastAsia="zh-CN" w:bidi="hi-IN"/>
        </w:rPr>
      </w:pPr>
      <w:r>
        <w:rPr>
          <w:rFonts w:eastAsia="DengXian" w:cs="Arial"/>
          <w:sz w:val="24"/>
          <w:szCs w:val="24"/>
          <w:lang w:eastAsia="zh-CN" w:bidi="hi-IN"/>
        </w:rPr>
        <w:tab/>
      </w:r>
      <w:r w:rsidRPr="004D359D">
        <w:rPr>
          <w:rFonts w:eastAsia="DengXian" w:cs="Arial"/>
          <w:sz w:val="24"/>
          <w:szCs w:val="24"/>
          <w:lang w:eastAsia="zh-CN" w:bidi="hi-IN"/>
        </w:rPr>
        <w:t>Nel Consuntivo 2024 emerge invece che questa voce è aumentata rispetto al Consuntivo 2023 di circa Fr. 13.6 mio, ossia il 4.15% in più.</w:t>
      </w:r>
    </w:p>
    <w:p w14:paraId="66637F5D" w14:textId="258E2A80" w:rsidR="004D359D" w:rsidRPr="004D359D" w:rsidRDefault="004D359D" w:rsidP="004D359D">
      <w:pPr>
        <w:ind w:left="284" w:hanging="284"/>
        <w:rPr>
          <w:rFonts w:eastAsia="DengXian" w:cs="Arial"/>
          <w:sz w:val="24"/>
          <w:szCs w:val="24"/>
          <w:lang w:eastAsia="zh-CN" w:bidi="hi-IN"/>
        </w:rPr>
      </w:pPr>
      <w:r>
        <w:rPr>
          <w:rFonts w:eastAsia="DengXian" w:cs="Arial"/>
          <w:sz w:val="24"/>
          <w:szCs w:val="24"/>
          <w:lang w:eastAsia="zh-CN" w:bidi="hi-IN"/>
        </w:rPr>
        <w:tab/>
      </w:r>
      <w:r w:rsidRPr="004D359D">
        <w:rPr>
          <w:rFonts w:eastAsia="DengXian" w:cs="Arial"/>
          <w:sz w:val="24"/>
          <w:szCs w:val="24"/>
          <w:lang w:eastAsia="zh-CN" w:bidi="hi-IN"/>
        </w:rPr>
        <w:t>Questo significa che la nostra richiesta di ottimizzare, rinunciare e posticipare delle spese, non è stata considerata.</w:t>
      </w:r>
    </w:p>
    <w:p w14:paraId="09EA8D08" w14:textId="77777777" w:rsidR="004D359D" w:rsidRPr="004D359D" w:rsidRDefault="004D359D" w:rsidP="004D359D">
      <w:pPr>
        <w:numPr>
          <w:ilvl w:val="0"/>
          <w:numId w:val="37"/>
        </w:numPr>
        <w:shd w:val="clear" w:color="auto" w:fill="FFFFFF"/>
        <w:spacing w:after="160" w:line="259" w:lineRule="auto"/>
        <w:ind w:left="284" w:right="187" w:hanging="284"/>
        <w:contextualSpacing/>
        <w:jc w:val="left"/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color w:val="000000"/>
          <w:sz w:val="24"/>
          <w:szCs w:val="24"/>
          <w:u w:val="single"/>
          <w:shd w:val="clear" w:color="auto" w:fill="FFFFFF"/>
          <w:lang w:eastAsia="zh-CN" w:bidi="hi-IN"/>
        </w:rPr>
        <w:lastRenderedPageBreak/>
        <w:t>La spesa di trasferimento (sussidi)</w:t>
      </w:r>
      <w:r w:rsidRPr="004D359D">
        <w:rPr>
          <w:rFonts w:eastAsia="DengXian" w:cs="Arial"/>
          <w:color w:val="000000"/>
          <w:sz w:val="24"/>
          <w:szCs w:val="24"/>
          <w:shd w:val="clear" w:color="auto" w:fill="FFFFFF"/>
          <w:lang w:eastAsia="zh-CN" w:bidi="hi-IN"/>
        </w:rPr>
        <w:t xml:space="preserve"> (gruppo di spesa 36) doveva essere ridotta di Fr. 30 mio.</w:t>
      </w:r>
    </w:p>
    <w:p w14:paraId="063115DF" w14:textId="77777777" w:rsidR="004D359D" w:rsidRPr="004D359D" w:rsidRDefault="004D359D" w:rsidP="004D359D">
      <w:pPr>
        <w:shd w:val="clear" w:color="auto" w:fill="FFFFFF"/>
        <w:ind w:left="284" w:right="187" w:hanging="284"/>
        <w:contextualSpacing/>
        <w:rPr>
          <w:rFonts w:eastAsia="DengXian" w:cs="Arial"/>
          <w:sz w:val="24"/>
          <w:szCs w:val="24"/>
          <w:lang w:eastAsia="zh-CN" w:bidi="hi-IN"/>
        </w:rPr>
      </w:pPr>
    </w:p>
    <w:p w14:paraId="2420B4B3" w14:textId="225B5311" w:rsidR="004D359D" w:rsidRPr="004D359D" w:rsidRDefault="004D359D" w:rsidP="004D359D">
      <w:pPr>
        <w:ind w:left="284" w:hanging="284"/>
        <w:contextualSpacing/>
        <w:rPr>
          <w:rFonts w:eastAsia="DengXian" w:cs="Arial"/>
          <w:sz w:val="24"/>
          <w:szCs w:val="24"/>
          <w:lang w:eastAsia="zh-CN" w:bidi="hi-IN"/>
        </w:rPr>
      </w:pPr>
      <w:r>
        <w:rPr>
          <w:rFonts w:eastAsia="DengXian" w:cs="Arial"/>
          <w:sz w:val="24"/>
          <w:szCs w:val="24"/>
          <w:lang w:eastAsia="zh-CN" w:bidi="hi-IN"/>
        </w:rPr>
        <w:tab/>
      </w:r>
      <w:r w:rsidRPr="004D359D">
        <w:rPr>
          <w:rFonts w:eastAsia="DengXian" w:cs="Arial"/>
          <w:sz w:val="24"/>
          <w:szCs w:val="24"/>
          <w:lang w:eastAsia="zh-CN" w:bidi="hi-IN"/>
        </w:rPr>
        <w:t>Nel Consuntivo 2024 emerge che questa voce è invece aumentata di Fr. 46.2 mio rispetto al Preventivo e di Fr. 82.8 mio rispetto al Consuntivo 2023, con un incremento del 36.5%.</w:t>
      </w:r>
    </w:p>
    <w:p w14:paraId="15C102B5" w14:textId="5B4EBB14" w:rsidR="004D359D" w:rsidRPr="004D359D" w:rsidRDefault="004D359D" w:rsidP="004D359D">
      <w:pPr>
        <w:ind w:left="284" w:hanging="284"/>
        <w:contextualSpacing/>
        <w:rPr>
          <w:rFonts w:eastAsia="DengXian" w:cs="Arial"/>
          <w:sz w:val="24"/>
          <w:szCs w:val="24"/>
          <w:lang w:eastAsia="zh-CN" w:bidi="hi-IN"/>
        </w:rPr>
      </w:pPr>
      <w:r>
        <w:rPr>
          <w:rFonts w:eastAsia="DengXian" w:cs="Arial"/>
          <w:sz w:val="24"/>
          <w:szCs w:val="24"/>
          <w:lang w:eastAsia="zh-CN" w:bidi="hi-IN"/>
        </w:rPr>
        <w:tab/>
      </w:r>
      <w:r w:rsidRPr="004D359D">
        <w:rPr>
          <w:rFonts w:eastAsia="DengXian" w:cs="Arial"/>
          <w:sz w:val="24"/>
          <w:szCs w:val="24"/>
          <w:lang w:eastAsia="zh-CN" w:bidi="hi-IN"/>
        </w:rPr>
        <w:t>Questo significa che la nostra richiesta di ripensare gli obiettivi, i criteri e i modi di ridistribuire i soldi pubblici e nell’allestire i contratti di prestazione non sono stati considerati.</w:t>
      </w:r>
    </w:p>
    <w:p w14:paraId="28919EC4" w14:textId="77777777" w:rsidR="004D359D" w:rsidRPr="004D359D" w:rsidRDefault="004D359D" w:rsidP="004D359D">
      <w:pPr>
        <w:spacing w:after="160" w:line="259" w:lineRule="auto"/>
        <w:rPr>
          <w:rFonts w:eastAsia="DengXian" w:cs="Arial"/>
          <w:sz w:val="24"/>
          <w:szCs w:val="24"/>
          <w:lang w:eastAsia="zh-CN" w:bidi="hi-IN"/>
        </w:rPr>
      </w:pPr>
    </w:p>
    <w:p w14:paraId="758483D7" w14:textId="0C7E9B10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b/>
          <w:bCs/>
          <w:sz w:val="24"/>
          <w:szCs w:val="24"/>
          <w:lang w:eastAsia="zh-CN" w:bidi="hi-IN"/>
        </w:rPr>
        <w:t>In conclusione</w:t>
      </w:r>
      <w:r w:rsidRPr="004D359D">
        <w:rPr>
          <w:rFonts w:eastAsia="DengXian" w:cs="Arial"/>
          <w:sz w:val="24"/>
          <w:szCs w:val="24"/>
          <w:lang w:eastAsia="zh-CN" w:bidi="hi-IN"/>
        </w:rPr>
        <w:t>, nel prossimo futuro, 2027, il nostro Cantone sarà confrontato con delle misure di risparmio della Confederazione, quantificate per il momento in circa Fr. 40 mio, oltre Fr. 15 mio destinati a finanziamenti di USI e SUPSI. La ferma opposizione del Governo non farà tornare Berna completamente sui suoi passi. Non illudiamoci. Anche la riforma EFAS aggraverà le finanze cantonali di parecchi milioni.</w:t>
      </w:r>
    </w:p>
    <w:p w14:paraId="700F7E17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77C2C99C" w14:textId="746757CE" w:rsid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L’UDC è cosciente che bocciare il Consuntivo 2024 non sortirà alcun effetto concreto, poiché il denaro pubblico speso, non verrà certamente recuperato.</w:t>
      </w:r>
    </w:p>
    <w:p w14:paraId="3BA08068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</w:p>
    <w:p w14:paraId="06BD6547" w14:textId="77777777" w:rsidR="004D359D" w:rsidRPr="004D359D" w:rsidRDefault="004D359D" w:rsidP="004D359D">
      <w:pPr>
        <w:rPr>
          <w:rFonts w:eastAsia="DengXian" w:cs="Arial"/>
          <w:sz w:val="24"/>
          <w:szCs w:val="24"/>
          <w:lang w:eastAsia="zh-CN" w:bidi="hi-IN"/>
        </w:rPr>
      </w:pPr>
      <w:r w:rsidRPr="004D359D">
        <w:rPr>
          <w:rFonts w:eastAsia="DengXian" w:cs="Arial"/>
          <w:sz w:val="24"/>
          <w:szCs w:val="24"/>
          <w:lang w:eastAsia="zh-CN" w:bidi="hi-IN"/>
        </w:rPr>
        <w:t>Tuttavia, in considerazione del mancato agire puntuale e di una visione d’insieme del Governo, nel rispetto delle cittadine e cittadini che lavorano e vivono nel nostro Cantone e che si adoperano per farlo prosperare, ma che sono, malgrado loro, costantemente confrontati con l’aumento del costo della vita, l’UDC invita a respingere il Consuntivo 2024.</w:t>
      </w:r>
    </w:p>
    <w:p w14:paraId="6780DF1F" w14:textId="77777777" w:rsidR="00FC53AE" w:rsidRPr="000D0508" w:rsidRDefault="00FC53AE" w:rsidP="004D359D">
      <w:pPr>
        <w:rPr>
          <w:sz w:val="24"/>
          <w:szCs w:val="24"/>
        </w:rPr>
      </w:pPr>
    </w:p>
    <w:p w14:paraId="41279C49" w14:textId="77777777" w:rsidR="00E07683" w:rsidRDefault="00E07683" w:rsidP="004D359D">
      <w:pPr>
        <w:rPr>
          <w:sz w:val="24"/>
          <w:szCs w:val="24"/>
        </w:rPr>
      </w:pPr>
    </w:p>
    <w:p w14:paraId="03ED15A1" w14:textId="37683DCF" w:rsidR="000D0508" w:rsidRPr="000D0508" w:rsidRDefault="000D0508" w:rsidP="004D359D">
      <w:pPr>
        <w:spacing w:after="120"/>
        <w:rPr>
          <w:sz w:val="24"/>
          <w:szCs w:val="24"/>
        </w:rPr>
      </w:pPr>
      <w:r w:rsidRPr="000D0508">
        <w:rPr>
          <w:sz w:val="24"/>
          <w:szCs w:val="24"/>
        </w:rPr>
        <w:t xml:space="preserve">Per la </w:t>
      </w:r>
      <w:r w:rsidR="009C4474">
        <w:rPr>
          <w:sz w:val="24"/>
          <w:szCs w:val="24"/>
        </w:rPr>
        <w:t xml:space="preserve">minoranza </w:t>
      </w:r>
      <w:r w:rsidR="00E07683">
        <w:rPr>
          <w:sz w:val="24"/>
          <w:szCs w:val="24"/>
        </w:rPr>
        <w:t>2</w:t>
      </w:r>
      <w:r w:rsidR="00175387">
        <w:rPr>
          <w:sz w:val="24"/>
          <w:szCs w:val="24"/>
        </w:rPr>
        <w:t xml:space="preserve"> </w:t>
      </w:r>
      <w:r w:rsidR="009C4474">
        <w:rPr>
          <w:sz w:val="24"/>
          <w:szCs w:val="24"/>
        </w:rPr>
        <w:t xml:space="preserve">della </w:t>
      </w:r>
      <w:r w:rsidRPr="000D0508">
        <w:rPr>
          <w:sz w:val="24"/>
          <w:szCs w:val="24"/>
        </w:rPr>
        <w:t>Commissione gestione e finanze</w:t>
      </w:r>
      <w:r w:rsidR="00175387">
        <w:rPr>
          <w:sz w:val="24"/>
          <w:szCs w:val="24"/>
        </w:rPr>
        <w:t>:</w:t>
      </w:r>
    </w:p>
    <w:p w14:paraId="27D0F761" w14:textId="006404C3" w:rsidR="00FC53AE" w:rsidRPr="000D0508" w:rsidRDefault="00E07683" w:rsidP="004D359D">
      <w:pPr>
        <w:rPr>
          <w:sz w:val="24"/>
          <w:szCs w:val="24"/>
        </w:rPr>
      </w:pPr>
      <w:r>
        <w:rPr>
          <w:sz w:val="24"/>
          <w:szCs w:val="24"/>
        </w:rPr>
        <w:t>Roberta Soldati e Tiziano Galeazzi, relatori</w:t>
      </w:r>
    </w:p>
    <w:sectPr w:rsidR="00FC53AE" w:rsidRPr="000D0508" w:rsidSect="00203B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45E4" w14:textId="77777777" w:rsidR="00476F63" w:rsidRDefault="00476F63" w:rsidP="00F657BF">
      <w:r>
        <w:separator/>
      </w:r>
    </w:p>
  </w:endnote>
  <w:endnote w:type="continuationSeparator" w:id="0">
    <w:p w14:paraId="0477BDE7" w14:textId="77777777" w:rsidR="00476F63" w:rsidRDefault="00476F63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07FE" w14:textId="77777777" w:rsidR="00E07683" w:rsidRDefault="00E076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476F63" w:rsidRPr="003D1008" w14:paraId="252DE246" w14:textId="77777777" w:rsidTr="00203BA7">
      <w:trPr>
        <w:trHeight w:hRule="exact" w:val="737"/>
      </w:trPr>
      <w:tc>
        <w:tcPr>
          <w:tcW w:w="4695" w:type="dxa"/>
        </w:tcPr>
        <w:p w14:paraId="370680AA" w14:textId="77777777" w:rsidR="00476F63" w:rsidRPr="003D1008" w:rsidRDefault="00476F63" w:rsidP="00203BA7">
          <w:pPr>
            <w:tabs>
              <w:tab w:val="center" w:pos="2382"/>
            </w:tabs>
          </w:pPr>
        </w:p>
      </w:tc>
      <w:tc>
        <w:tcPr>
          <w:tcW w:w="721" w:type="dxa"/>
        </w:tcPr>
        <w:p w14:paraId="0F82BAB9" w14:textId="77777777" w:rsidR="00476F63" w:rsidRPr="003D1008" w:rsidRDefault="00476F63" w:rsidP="00203BA7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17F22199" wp14:editId="3EFFB536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14:paraId="25421131" w14:textId="77777777" w:rsidR="00476F63" w:rsidRPr="003D1008" w:rsidRDefault="00476F63" w:rsidP="00203BA7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72D7AF28" wp14:editId="576789DD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14:paraId="729A514D" w14:textId="77777777" w:rsidR="00476F63" w:rsidRPr="003D1008" w:rsidRDefault="00476F63" w:rsidP="00203BA7"/>
      </w:tc>
    </w:tr>
  </w:tbl>
  <w:p w14:paraId="6C4E4F19" w14:textId="77777777" w:rsidR="00476F63" w:rsidRDefault="00476F63" w:rsidP="00203BA7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3A64" w14:textId="77777777" w:rsidR="00476F63" w:rsidRDefault="00476F63">
    <w:pPr>
      <w:pStyle w:val="Pidipagina"/>
      <w:jc w:val="center"/>
    </w:pPr>
  </w:p>
  <w:p w14:paraId="061F077E" w14:textId="77777777" w:rsidR="00476F63" w:rsidRPr="008C6C46" w:rsidRDefault="00476F63" w:rsidP="00203BA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6AA93" w14:textId="77777777" w:rsidR="00476F63" w:rsidRDefault="00476F63" w:rsidP="00F657BF">
      <w:r>
        <w:separator/>
      </w:r>
    </w:p>
  </w:footnote>
  <w:footnote w:type="continuationSeparator" w:id="0">
    <w:p w14:paraId="3BFBCB61" w14:textId="77777777" w:rsidR="00476F63" w:rsidRDefault="00476F63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58F4" w14:textId="77777777" w:rsidR="00E07683" w:rsidRDefault="00E076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476F63" w:rsidRPr="002747E7" w14:paraId="42A4A724" w14:textId="77777777" w:rsidTr="00203BA7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14:paraId="3655419D" w14:textId="77777777" w:rsidR="00476F63" w:rsidRDefault="009A450F" w:rsidP="00203BA7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A0ABDD2B-656C-48F8-9499-897BD149C4F0}"/>
              <w:text w:multiLine="1"/>
            </w:sdtPr>
            <w:sdtEndPr/>
            <w:sdtContent>
              <w:r w:rsidR="00476F63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14:paraId="7FC2E5AB" w14:textId="77777777" w:rsidR="00476F63" w:rsidRPr="00E8185F" w:rsidRDefault="009A450F" w:rsidP="00203BA7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A0ABDD2B-656C-48F8-9499-897BD149C4F0}"/>
              <w:text w:multiLine="1"/>
            </w:sdtPr>
            <w:sdtEndPr/>
            <w:sdtContent>
              <w:r w:rsidR="00476F63">
                <w:rPr>
                  <w:rFonts w:ascii="Gill Alt One MT Light" w:hAnsi="Gill Alt One MT Light"/>
                  <w:sz w:val="16"/>
                  <w:szCs w:val="16"/>
                </w:rPr>
                <w:t>Dipartimento delle finanze e dell’economia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14:paraId="72F1D5D1" w14:textId="563010D1" w:rsidR="00476F63" w:rsidRPr="004204CB" w:rsidRDefault="00476F63" w:rsidP="00203BA7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9A450F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9A450F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476F63" w:rsidRPr="009E444B" w14:paraId="5E1DCCB1" w14:textId="77777777" w:rsidTr="00203BA7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A0ABDD2B-656C-48F8-9499-897BD149C4F0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14:paraId="41ACDF6D" w14:textId="5A62278D" w:rsidR="00476F63" w:rsidRPr="00530C11" w:rsidRDefault="00E07683" w:rsidP="00FC53AE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minoranza 2 n. 8562 R2-2 del 27 maggio 2025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14:paraId="20044027" w14:textId="77777777" w:rsidR="00476F63" w:rsidRPr="00530C11" w:rsidRDefault="00476F63" w:rsidP="00203BA7">
          <w:pPr>
            <w:pStyle w:val="InvisibleLine"/>
            <w:rPr>
              <w:lang w:val="it-CH"/>
            </w:rPr>
          </w:pPr>
        </w:p>
      </w:tc>
    </w:tr>
  </w:tbl>
  <w:p w14:paraId="384288CE" w14:textId="77777777" w:rsidR="00476F63" w:rsidRPr="00980362" w:rsidRDefault="00476F63" w:rsidP="00203BA7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C355145" wp14:editId="047BAEEB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A0ABDD2B-656C-48F8-9499-897BD149C4F0}"/>
                            <w:text w:multiLine="1"/>
                          </w:sdtPr>
                          <w:sdtEndPr/>
                          <w:sdtContent>
                            <w:p w14:paraId="2223B95D" w14:textId="77777777" w:rsidR="00476F63" w:rsidRPr="00411371" w:rsidRDefault="00476F63" w:rsidP="00203BA7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55145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CB73A3BC-9D9C-4C2D-9A5E-577AA9D1EC65}"/>
                      <w:text w:multiLine="1"/>
                    </w:sdtPr>
                    <w:sdtEndPr/>
                    <w:sdtContent>
                      <w:p w14:paraId="2223B95D" w14:textId="77777777" w:rsidR="00476F63" w:rsidRPr="00411371" w:rsidRDefault="00476F63" w:rsidP="00203BA7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476F63" w:rsidRPr="0004624C" w14:paraId="79321F68" w14:textId="77777777" w:rsidTr="00203BA7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14:paraId="3719CF0F" w14:textId="77777777" w:rsidR="00476F63" w:rsidRDefault="00476F63" w:rsidP="00203BA7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14:paraId="74293D3A" w14:textId="77777777" w:rsidR="00476F63" w:rsidRDefault="00476F63" w:rsidP="00203BA7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14:paraId="6D1EBE8C" w14:textId="77777777" w:rsidR="00476F63" w:rsidRPr="008966E7" w:rsidRDefault="00476F63" w:rsidP="00203BA7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14:paraId="4F80F107" w14:textId="77777777" w:rsidR="00476F63" w:rsidRPr="003108C0" w:rsidRDefault="00476F63" w:rsidP="00203BA7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14:paraId="20AB703D" w14:textId="77777777" w:rsidR="00476F63" w:rsidRDefault="00476F63" w:rsidP="00203BA7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3A20D8B3" wp14:editId="192616B5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415582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14:paraId="6BFD8DB4" w14:textId="167289CE" w:rsidR="00476F63" w:rsidRPr="004204CB" w:rsidRDefault="00476F63" w:rsidP="00203BA7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9A450F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9A450F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476F63" w:rsidRPr="0004624C" w14:paraId="7E997A26" w14:textId="77777777" w:rsidTr="00203BA7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A0ABDD2B-656C-48F8-9499-897BD149C4F0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14:paraId="12EBE413" w14:textId="1D9E19CB" w:rsidR="00476F63" w:rsidRPr="008C03B5" w:rsidRDefault="00E07683" w:rsidP="00203BA7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minoranza 2</w:t>
              </w:r>
            </w:p>
          </w:tc>
        </w:sdtContent>
      </w:sdt>
    </w:tr>
    <w:tr w:rsidR="00476F63" w:rsidRPr="0004624C" w14:paraId="3F388821" w14:textId="77777777" w:rsidTr="00203BA7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14:paraId="60F00E6C" w14:textId="77777777" w:rsidR="00476F63" w:rsidRPr="00C7320A" w:rsidRDefault="00476F63" w:rsidP="00203BA7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14:paraId="74662092" w14:textId="77777777" w:rsidR="00476F63" w:rsidRPr="00C7320A" w:rsidRDefault="00476F63" w:rsidP="00203BA7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14:paraId="0CFC6AFE" w14:textId="77777777" w:rsidR="00476F63" w:rsidRPr="00C7320A" w:rsidRDefault="00476F63" w:rsidP="00203BA7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14:paraId="4AA13FC1" w14:textId="77777777" w:rsidR="00476F63" w:rsidRPr="00C7320A" w:rsidRDefault="00476F63" w:rsidP="00203BA7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14:paraId="2717B2C5" w14:textId="77777777" w:rsidR="00476F63" w:rsidRPr="00C7320A" w:rsidRDefault="00476F63" w:rsidP="00203BA7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14:paraId="5331F95F" w14:textId="77777777" w:rsidR="00476F63" w:rsidRPr="008C03B5" w:rsidRDefault="00476F63" w:rsidP="00203BA7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476F63" w:rsidRPr="0004624C" w14:paraId="68D0DC1F" w14:textId="77777777" w:rsidTr="00203BA7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14:paraId="76CB32ED" w14:textId="03884282" w:rsidR="00476F63" w:rsidRPr="00BE22A2" w:rsidRDefault="009A450F" w:rsidP="00A52F92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A0ABDD2B-656C-48F8-9499-897BD149C4F0}"/>
              <w:text w:multiLine="1"/>
            </w:sdtPr>
            <w:sdtEndPr/>
            <w:sdtContent>
              <w:r w:rsidR="00E07683">
                <w:rPr>
                  <w:rFonts w:cstheme="minorHAnsi"/>
                  <w:b/>
                  <w:sz w:val="24"/>
                  <w:szCs w:val="24"/>
                </w:rPr>
                <w:t>8562 R2-2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A0ABDD2B-656C-48F8-9499-897BD149C4F0}"/>
          <w:date w:fullDate="2025-05-27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14:paraId="6C6D9F3D" w14:textId="6761E008" w:rsidR="00476F63" w:rsidRPr="002A0371" w:rsidRDefault="00E07683" w:rsidP="00A52F92">
              <w:pPr>
                <w:pStyle w:val="Data"/>
              </w:pPr>
              <w:r>
                <w:rPr>
                  <w:sz w:val="24"/>
                </w:rPr>
                <w:t>27 maggio 2025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14:paraId="4482CBCA" w14:textId="77777777" w:rsidR="00476F63" w:rsidRPr="00BE22A2" w:rsidRDefault="009A450F" w:rsidP="00203BA7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A0ABDD2B-656C-48F8-9499-897BD149C4F0}"/>
              <w:text w:multiLine="1"/>
            </w:sdtPr>
            <w:sdtEndPr/>
            <w:sdtContent>
              <w:r w:rsidR="00476F63">
                <w:rPr>
                  <w:smallCaps/>
                  <w:sz w:val="23"/>
                  <w:szCs w:val="23"/>
                </w:rPr>
                <w:t>Dipartimento delle finanze e dell’economia</w:t>
              </w:r>
            </w:sdtContent>
          </w:sdt>
        </w:p>
      </w:tc>
    </w:tr>
    <w:tr w:rsidR="00476F63" w:rsidRPr="00C63927" w14:paraId="2FB687B1" w14:textId="77777777" w:rsidTr="00203BA7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14:paraId="2F998600" w14:textId="77777777" w:rsidR="00476F63" w:rsidRPr="00C7320A" w:rsidRDefault="00476F63" w:rsidP="00203BA7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14:paraId="0880550A" w14:textId="77777777" w:rsidR="00476F63" w:rsidRPr="00DA2879" w:rsidRDefault="00476F63" w:rsidP="00203BA7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6541E2C3" wp14:editId="2BA537D8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02327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C5C2D9C" wp14:editId="774EB932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A0ABDD2B-656C-48F8-9499-897BD149C4F0}"/>
                            <w:text w:multiLine="1"/>
                          </w:sdtPr>
                          <w:sdtEndPr/>
                          <w:sdtContent>
                            <w:p w14:paraId="1E6EBECE" w14:textId="77777777" w:rsidR="00476F63" w:rsidRPr="00411371" w:rsidRDefault="00476F63" w:rsidP="00203BA7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C2D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CB73A3BC-9D9C-4C2D-9A5E-577AA9D1EC65}"/>
                      <w:text w:multiLine="1"/>
                    </w:sdtPr>
                    <w:sdtEndPr/>
                    <w:sdtContent>
                      <w:p w14:paraId="1E6EBECE" w14:textId="77777777" w:rsidR="00476F63" w:rsidRPr="00411371" w:rsidRDefault="00476F63" w:rsidP="00203BA7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04595"/>
    <w:multiLevelType w:val="hybridMultilevel"/>
    <w:tmpl w:val="38EAB566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E2127"/>
    <w:multiLevelType w:val="hybridMultilevel"/>
    <w:tmpl w:val="01FEB778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964011"/>
    <w:multiLevelType w:val="hybridMultilevel"/>
    <w:tmpl w:val="177C3522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166AEC"/>
    <w:multiLevelType w:val="hybridMultilevel"/>
    <w:tmpl w:val="375ADAB8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55BA248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0070C1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821DA5"/>
    <w:multiLevelType w:val="hybridMultilevel"/>
    <w:tmpl w:val="02501678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144F42AA"/>
    <w:multiLevelType w:val="hybridMultilevel"/>
    <w:tmpl w:val="23EC8B3C"/>
    <w:lvl w:ilvl="0" w:tplc="08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37EEF"/>
    <w:multiLevelType w:val="hybridMultilevel"/>
    <w:tmpl w:val="60BEC72E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C073C7"/>
    <w:multiLevelType w:val="hybridMultilevel"/>
    <w:tmpl w:val="1B82CE84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55B7C"/>
    <w:multiLevelType w:val="hybridMultilevel"/>
    <w:tmpl w:val="C096CE84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2" w15:restartNumberingAfterBreak="0">
    <w:nsid w:val="209A6FA2"/>
    <w:multiLevelType w:val="hybridMultilevel"/>
    <w:tmpl w:val="C7FA3F26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CA12D2"/>
    <w:multiLevelType w:val="multilevel"/>
    <w:tmpl w:val="08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432D6F"/>
    <w:multiLevelType w:val="hybridMultilevel"/>
    <w:tmpl w:val="9424D40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2BAA61B0"/>
    <w:multiLevelType w:val="hybridMultilevel"/>
    <w:tmpl w:val="B9D2310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611CC"/>
    <w:multiLevelType w:val="hybridMultilevel"/>
    <w:tmpl w:val="F62ED30C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9" w15:restartNumberingAfterBreak="0">
    <w:nsid w:val="3B71104D"/>
    <w:multiLevelType w:val="hybridMultilevel"/>
    <w:tmpl w:val="05E09C5C"/>
    <w:lvl w:ilvl="0" w:tplc="1A8A8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E19D6"/>
    <w:multiLevelType w:val="hybridMultilevel"/>
    <w:tmpl w:val="CB72616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953CA1B2"/>
    <w:numStyleLink w:val="HeadingList"/>
  </w:abstractNum>
  <w:abstractNum w:abstractNumId="33" w15:restartNumberingAfterBreak="0">
    <w:nsid w:val="552D5841"/>
    <w:multiLevelType w:val="hybridMultilevel"/>
    <w:tmpl w:val="DEB2019A"/>
    <w:lvl w:ilvl="0" w:tplc="2D0C8EF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C645C"/>
    <w:multiLevelType w:val="hybridMultilevel"/>
    <w:tmpl w:val="4A06530C"/>
    <w:lvl w:ilvl="0" w:tplc="AF863270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A1719"/>
    <w:multiLevelType w:val="multilevel"/>
    <w:tmpl w:val="93883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E72C0E"/>
    <w:multiLevelType w:val="hybridMultilevel"/>
    <w:tmpl w:val="9AE24666"/>
    <w:lvl w:ilvl="0" w:tplc="CB0870F8">
      <w:start w:val="1"/>
      <w:numFmt w:val="bullet"/>
      <w:lvlText w:val="-"/>
      <w:lvlJc w:val="left"/>
      <w:pPr>
        <w:ind w:left="360" w:hanging="360"/>
      </w:pPr>
      <w:rPr>
        <w:rFonts w:ascii="72 Light" w:hAnsi="72 Light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5"/>
  </w:num>
  <w:num w:numId="4">
    <w:abstractNumId w:val="31"/>
  </w:num>
  <w:num w:numId="5">
    <w:abstractNumId w:val="28"/>
  </w:num>
  <w:num w:numId="6">
    <w:abstractNumId w:val="21"/>
  </w:num>
  <w:num w:numId="7">
    <w:abstractNumId w:val="2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5"/>
  </w:num>
  <w:num w:numId="19">
    <w:abstractNumId w:val="29"/>
  </w:num>
  <w:num w:numId="20">
    <w:abstractNumId w:val="23"/>
  </w:num>
  <w:num w:numId="21">
    <w:abstractNumId w:val="22"/>
  </w:num>
  <w:num w:numId="22">
    <w:abstractNumId w:val="27"/>
  </w:num>
  <w:num w:numId="23">
    <w:abstractNumId w:val="13"/>
  </w:num>
  <w:num w:numId="24">
    <w:abstractNumId w:val="12"/>
  </w:num>
  <w:num w:numId="25">
    <w:abstractNumId w:val="24"/>
  </w:num>
  <w:num w:numId="26">
    <w:abstractNumId w:val="36"/>
  </w:num>
  <w:num w:numId="27">
    <w:abstractNumId w:val="18"/>
  </w:num>
  <w:num w:numId="28">
    <w:abstractNumId w:val="11"/>
  </w:num>
  <w:num w:numId="29">
    <w:abstractNumId w:val="17"/>
  </w:num>
  <w:num w:numId="30">
    <w:abstractNumId w:val="19"/>
  </w:num>
  <w:num w:numId="31">
    <w:abstractNumId w:val="10"/>
  </w:num>
  <w:num w:numId="32">
    <w:abstractNumId w:val="26"/>
  </w:num>
  <w:num w:numId="33">
    <w:abstractNumId w:val="33"/>
  </w:num>
  <w:num w:numId="34">
    <w:abstractNumId w:val="14"/>
  </w:num>
  <w:num w:numId="35">
    <w:abstractNumId w:val="34"/>
  </w:num>
  <w:num w:numId="36">
    <w:abstractNumId w:val="16"/>
  </w:num>
  <w:num w:numId="37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1"/>
    <w:rsid w:val="00001386"/>
    <w:rsid w:val="000014D3"/>
    <w:rsid w:val="00005298"/>
    <w:rsid w:val="0001331D"/>
    <w:rsid w:val="0001635F"/>
    <w:rsid w:val="00020B2C"/>
    <w:rsid w:val="00035541"/>
    <w:rsid w:val="00036DAD"/>
    <w:rsid w:val="00083D92"/>
    <w:rsid w:val="000B1ECA"/>
    <w:rsid w:val="000B23AC"/>
    <w:rsid w:val="000C223F"/>
    <w:rsid w:val="000D0508"/>
    <w:rsid w:val="000E51FE"/>
    <w:rsid w:val="000E66E4"/>
    <w:rsid w:val="000F4CC8"/>
    <w:rsid w:val="000F76D3"/>
    <w:rsid w:val="00114C86"/>
    <w:rsid w:val="001175CE"/>
    <w:rsid w:val="001403F1"/>
    <w:rsid w:val="00144D76"/>
    <w:rsid w:val="00166A27"/>
    <w:rsid w:val="00171235"/>
    <w:rsid w:val="00175387"/>
    <w:rsid w:val="00183183"/>
    <w:rsid w:val="00186D4D"/>
    <w:rsid w:val="00187E25"/>
    <w:rsid w:val="00193537"/>
    <w:rsid w:val="00195031"/>
    <w:rsid w:val="001B2740"/>
    <w:rsid w:val="001B64C3"/>
    <w:rsid w:val="001D7A60"/>
    <w:rsid w:val="001E128C"/>
    <w:rsid w:val="001E2EEB"/>
    <w:rsid w:val="001E345D"/>
    <w:rsid w:val="001F0EB2"/>
    <w:rsid w:val="001F2DF6"/>
    <w:rsid w:val="00203BA7"/>
    <w:rsid w:val="00222BB5"/>
    <w:rsid w:val="00223C83"/>
    <w:rsid w:val="002251EA"/>
    <w:rsid w:val="002376B0"/>
    <w:rsid w:val="0024142D"/>
    <w:rsid w:val="00244314"/>
    <w:rsid w:val="002464AE"/>
    <w:rsid w:val="00255BAC"/>
    <w:rsid w:val="002577D0"/>
    <w:rsid w:val="00257967"/>
    <w:rsid w:val="00262208"/>
    <w:rsid w:val="00276EFF"/>
    <w:rsid w:val="00284C31"/>
    <w:rsid w:val="00284D43"/>
    <w:rsid w:val="00287CCC"/>
    <w:rsid w:val="002A6D11"/>
    <w:rsid w:val="002B5D9F"/>
    <w:rsid w:val="002C6053"/>
    <w:rsid w:val="002F6C0B"/>
    <w:rsid w:val="00315FA5"/>
    <w:rsid w:val="00330157"/>
    <w:rsid w:val="00336FF5"/>
    <w:rsid w:val="0034260E"/>
    <w:rsid w:val="00345A60"/>
    <w:rsid w:val="00346EB9"/>
    <w:rsid w:val="00352409"/>
    <w:rsid w:val="0036096A"/>
    <w:rsid w:val="0037195A"/>
    <w:rsid w:val="00372549"/>
    <w:rsid w:val="003956AE"/>
    <w:rsid w:val="003A21B2"/>
    <w:rsid w:val="003B275B"/>
    <w:rsid w:val="003B756D"/>
    <w:rsid w:val="003C36A4"/>
    <w:rsid w:val="003D1EDF"/>
    <w:rsid w:val="003F0EF0"/>
    <w:rsid w:val="003F22A0"/>
    <w:rsid w:val="003F525C"/>
    <w:rsid w:val="00403ADB"/>
    <w:rsid w:val="00445D80"/>
    <w:rsid w:val="00450E21"/>
    <w:rsid w:val="0045480C"/>
    <w:rsid w:val="00476A23"/>
    <w:rsid w:val="00476F63"/>
    <w:rsid w:val="004809E4"/>
    <w:rsid w:val="00494BDE"/>
    <w:rsid w:val="00496371"/>
    <w:rsid w:val="004A2BCB"/>
    <w:rsid w:val="004A4BE3"/>
    <w:rsid w:val="004A7B9F"/>
    <w:rsid w:val="004B0A79"/>
    <w:rsid w:val="004B7DA7"/>
    <w:rsid w:val="004C70B4"/>
    <w:rsid w:val="004D0E53"/>
    <w:rsid w:val="004D359D"/>
    <w:rsid w:val="004E2150"/>
    <w:rsid w:val="004F3FAE"/>
    <w:rsid w:val="004F7AC3"/>
    <w:rsid w:val="00513694"/>
    <w:rsid w:val="0052159B"/>
    <w:rsid w:val="00524F4D"/>
    <w:rsid w:val="00530C11"/>
    <w:rsid w:val="005333A9"/>
    <w:rsid w:val="00535636"/>
    <w:rsid w:val="005361C4"/>
    <w:rsid w:val="00542C61"/>
    <w:rsid w:val="00564D27"/>
    <w:rsid w:val="00572FD3"/>
    <w:rsid w:val="005760FB"/>
    <w:rsid w:val="00576A44"/>
    <w:rsid w:val="00576E2E"/>
    <w:rsid w:val="0058158B"/>
    <w:rsid w:val="005A28A8"/>
    <w:rsid w:val="005B1164"/>
    <w:rsid w:val="005B4480"/>
    <w:rsid w:val="005B6B57"/>
    <w:rsid w:val="005C0F69"/>
    <w:rsid w:val="005C6B87"/>
    <w:rsid w:val="005F29A9"/>
    <w:rsid w:val="0062148F"/>
    <w:rsid w:val="006265DF"/>
    <w:rsid w:val="00630653"/>
    <w:rsid w:val="0063090E"/>
    <w:rsid w:val="00630D77"/>
    <w:rsid w:val="00635FB3"/>
    <w:rsid w:val="006417D9"/>
    <w:rsid w:val="00647D80"/>
    <w:rsid w:val="00657C41"/>
    <w:rsid w:val="006712CA"/>
    <w:rsid w:val="006776DE"/>
    <w:rsid w:val="006803D3"/>
    <w:rsid w:val="00681BCF"/>
    <w:rsid w:val="00696200"/>
    <w:rsid w:val="006D2CFB"/>
    <w:rsid w:val="006D3876"/>
    <w:rsid w:val="006E2206"/>
    <w:rsid w:val="006F47D4"/>
    <w:rsid w:val="00700C72"/>
    <w:rsid w:val="00702002"/>
    <w:rsid w:val="00704F3B"/>
    <w:rsid w:val="00705CF8"/>
    <w:rsid w:val="00712088"/>
    <w:rsid w:val="00721906"/>
    <w:rsid w:val="00725A53"/>
    <w:rsid w:val="00750455"/>
    <w:rsid w:val="0075481E"/>
    <w:rsid w:val="00756DA4"/>
    <w:rsid w:val="00762932"/>
    <w:rsid w:val="00765823"/>
    <w:rsid w:val="00777F39"/>
    <w:rsid w:val="00793A77"/>
    <w:rsid w:val="0079657D"/>
    <w:rsid w:val="007C6626"/>
    <w:rsid w:val="007D05D8"/>
    <w:rsid w:val="007D1ECA"/>
    <w:rsid w:val="007D2CB9"/>
    <w:rsid w:val="007E367C"/>
    <w:rsid w:val="007F3E31"/>
    <w:rsid w:val="0080078D"/>
    <w:rsid w:val="0080662D"/>
    <w:rsid w:val="008119C0"/>
    <w:rsid w:val="0081417D"/>
    <w:rsid w:val="00822980"/>
    <w:rsid w:val="00830ED4"/>
    <w:rsid w:val="0083524B"/>
    <w:rsid w:val="0084175D"/>
    <w:rsid w:val="00867EB5"/>
    <w:rsid w:val="00871F7F"/>
    <w:rsid w:val="008720C4"/>
    <w:rsid w:val="008802A8"/>
    <w:rsid w:val="00887004"/>
    <w:rsid w:val="00896A3E"/>
    <w:rsid w:val="008A4CED"/>
    <w:rsid w:val="008B0ED1"/>
    <w:rsid w:val="008B26BB"/>
    <w:rsid w:val="008B5F81"/>
    <w:rsid w:val="008D6C52"/>
    <w:rsid w:val="008D7520"/>
    <w:rsid w:val="008F118E"/>
    <w:rsid w:val="008F52AF"/>
    <w:rsid w:val="009066AC"/>
    <w:rsid w:val="00907BE7"/>
    <w:rsid w:val="009110B3"/>
    <w:rsid w:val="009122BE"/>
    <w:rsid w:val="009130FF"/>
    <w:rsid w:val="00917758"/>
    <w:rsid w:val="009177D0"/>
    <w:rsid w:val="00930832"/>
    <w:rsid w:val="0093166C"/>
    <w:rsid w:val="0093790E"/>
    <w:rsid w:val="009610FB"/>
    <w:rsid w:val="00981205"/>
    <w:rsid w:val="00981C30"/>
    <w:rsid w:val="009A450F"/>
    <w:rsid w:val="009B3994"/>
    <w:rsid w:val="009B4223"/>
    <w:rsid w:val="009B6A65"/>
    <w:rsid w:val="009C009E"/>
    <w:rsid w:val="009C4474"/>
    <w:rsid w:val="009C5E5A"/>
    <w:rsid w:val="009D1ECE"/>
    <w:rsid w:val="009D3964"/>
    <w:rsid w:val="009F0871"/>
    <w:rsid w:val="009F2907"/>
    <w:rsid w:val="00A22E20"/>
    <w:rsid w:val="00A2530A"/>
    <w:rsid w:val="00A25780"/>
    <w:rsid w:val="00A37361"/>
    <w:rsid w:val="00A37B24"/>
    <w:rsid w:val="00A52F92"/>
    <w:rsid w:val="00A530B0"/>
    <w:rsid w:val="00AB302D"/>
    <w:rsid w:val="00AC1D16"/>
    <w:rsid w:val="00AF0268"/>
    <w:rsid w:val="00B03797"/>
    <w:rsid w:val="00B13633"/>
    <w:rsid w:val="00B238E3"/>
    <w:rsid w:val="00B26226"/>
    <w:rsid w:val="00B311F7"/>
    <w:rsid w:val="00B42353"/>
    <w:rsid w:val="00B5113A"/>
    <w:rsid w:val="00B522E4"/>
    <w:rsid w:val="00B52550"/>
    <w:rsid w:val="00B5468E"/>
    <w:rsid w:val="00B727F3"/>
    <w:rsid w:val="00B731A3"/>
    <w:rsid w:val="00B759F8"/>
    <w:rsid w:val="00B77BB3"/>
    <w:rsid w:val="00B83ADF"/>
    <w:rsid w:val="00B850C6"/>
    <w:rsid w:val="00B8702F"/>
    <w:rsid w:val="00B92AE9"/>
    <w:rsid w:val="00BA2919"/>
    <w:rsid w:val="00BA349E"/>
    <w:rsid w:val="00BB2771"/>
    <w:rsid w:val="00BB3D8F"/>
    <w:rsid w:val="00BB5817"/>
    <w:rsid w:val="00BC64AC"/>
    <w:rsid w:val="00BD21DB"/>
    <w:rsid w:val="00BE7F7D"/>
    <w:rsid w:val="00BF0A1F"/>
    <w:rsid w:val="00BF1F77"/>
    <w:rsid w:val="00BF379C"/>
    <w:rsid w:val="00C059A7"/>
    <w:rsid w:val="00C138F6"/>
    <w:rsid w:val="00C26983"/>
    <w:rsid w:val="00C302EC"/>
    <w:rsid w:val="00C30F79"/>
    <w:rsid w:val="00C564DC"/>
    <w:rsid w:val="00C659B6"/>
    <w:rsid w:val="00C80D9F"/>
    <w:rsid w:val="00C837E5"/>
    <w:rsid w:val="00C869F0"/>
    <w:rsid w:val="00C8770C"/>
    <w:rsid w:val="00C93F8F"/>
    <w:rsid w:val="00C944C0"/>
    <w:rsid w:val="00CA0C24"/>
    <w:rsid w:val="00CB216A"/>
    <w:rsid w:val="00CE1C91"/>
    <w:rsid w:val="00CE2CD9"/>
    <w:rsid w:val="00CF10F5"/>
    <w:rsid w:val="00CF2F69"/>
    <w:rsid w:val="00D01594"/>
    <w:rsid w:val="00D14DF8"/>
    <w:rsid w:val="00D15389"/>
    <w:rsid w:val="00D15C64"/>
    <w:rsid w:val="00D20147"/>
    <w:rsid w:val="00D33940"/>
    <w:rsid w:val="00D5782D"/>
    <w:rsid w:val="00D600FD"/>
    <w:rsid w:val="00D61A8F"/>
    <w:rsid w:val="00D64242"/>
    <w:rsid w:val="00D649A8"/>
    <w:rsid w:val="00D64D7A"/>
    <w:rsid w:val="00D8483F"/>
    <w:rsid w:val="00D85372"/>
    <w:rsid w:val="00D862C4"/>
    <w:rsid w:val="00D935B0"/>
    <w:rsid w:val="00DA7B92"/>
    <w:rsid w:val="00DB3B2D"/>
    <w:rsid w:val="00DE395A"/>
    <w:rsid w:val="00DF1669"/>
    <w:rsid w:val="00DF22B2"/>
    <w:rsid w:val="00DF256A"/>
    <w:rsid w:val="00DF2B56"/>
    <w:rsid w:val="00DF3A1A"/>
    <w:rsid w:val="00DF5DF6"/>
    <w:rsid w:val="00E07683"/>
    <w:rsid w:val="00E24E09"/>
    <w:rsid w:val="00E27D08"/>
    <w:rsid w:val="00E361BA"/>
    <w:rsid w:val="00E37285"/>
    <w:rsid w:val="00E45773"/>
    <w:rsid w:val="00E6550F"/>
    <w:rsid w:val="00E75334"/>
    <w:rsid w:val="00EB06B4"/>
    <w:rsid w:val="00EB088A"/>
    <w:rsid w:val="00EC21BB"/>
    <w:rsid w:val="00EC5928"/>
    <w:rsid w:val="00ED064C"/>
    <w:rsid w:val="00ED08F6"/>
    <w:rsid w:val="00ED2BB0"/>
    <w:rsid w:val="00EE1F8F"/>
    <w:rsid w:val="00EE7520"/>
    <w:rsid w:val="00EE7531"/>
    <w:rsid w:val="00EF60C0"/>
    <w:rsid w:val="00F168D5"/>
    <w:rsid w:val="00F17B2A"/>
    <w:rsid w:val="00F2153E"/>
    <w:rsid w:val="00F25DF2"/>
    <w:rsid w:val="00F30BB1"/>
    <w:rsid w:val="00F31628"/>
    <w:rsid w:val="00F337F3"/>
    <w:rsid w:val="00F4162F"/>
    <w:rsid w:val="00F56BF6"/>
    <w:rsid w:val="00F614F9"/>
    <w:rsid w:val="00F657BF"/>
    <w:rsid w:val="00F73E22"/>
    <w:rsid w:val="00F74F13"/>
    <w:rsid w:val="00F8712E"/>
    <w:rsid w:val="00FB7B70"/>
    <w:rsid w:val="00FC53AE"/>
    <w:rsid w:val="00FC5C2A"/>
    <w:rsid w:val="00FD5E29"/>
    <w:rsid w:val="00FE0F50"/>
    <w:rsid w:val="00FE14A3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41B35B"/>
  <w15:docId w15:val="{F376481B-C7F5-4704-A8D3-1E848CB9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150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756DA4"/>
    <w:pPr>
      <w:spacing w:before="0" w:after="6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qFormat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qFormat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qFormat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B77BB3"/>
  </w:style>
  <w:style w:type="paragraph" w:styleId="NormaleWeb">
    <w:name w:val="Normal (Web)"/>
    <w:basedOn w:val="Normale"/>
    <w:uiPriority w:val="99"/>
    <w:semiHidden/>
    <w:unhideWhenUsed/>
    <w:rsid w:val="00B77B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Collegamentoipertestuale">
    <w:name w:val="Hyperlink"/>
    <w:basedOn w:val="Carpredefinitoparagrafo"/>
    <w:uiPriority w:val="99"/>
    <w:unhideWhenUsed/>
    <w:rsid w:val="00B77BB3"/>
    <w:rPr>
      <w:color w:val="0000FF"/>
      <w:u w:val="single"/>
    </w:rPr>
  </w:style>
  <w:style w:type="paragraph" w:customStyle="1" w:styleId="Default">
    <w:name w:val="Default"/>
    <w:rsid w:val="00B77BB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  <w:lang w:val="it-CH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7BB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F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F69"/>
    <w:rPr>
      <w:rFonts w:ascii="Segoe UI" w:hAnsi="Segoe UI" w:cs="Segoe UI"/>
      <w:sz w:val="18"/>
      <w:szCs w:val="18"/>
      <w:lang w:val="it-CH"/>
    </w:rPr>
  </w:style>
  <w:style w:type="table" w:customStyle="1" w:styleId="Stile2">
    <w:name w:val="Stile2"/>
    <w:basedOn w:val="Tabellanormale"/>
    <w:uiPriority w:val="99"/>
    <w:rsid w:val="006F47D4"/>
    <w:pPr>
      <w:jc w:val="left"/>
    </w:pPr>
    <w:rPr>
      <w:lang w:val="it-CH"/>
    </w:rPr>
    <w:tblPr>
      <w:tblBorders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Segoe UI" w:hAnsi="Segoe U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59"/>
    <w:rsid w:val="006F47D4"/>
    <w:pPr>
      <w:jc w:val="left"/>
    </w:pPr>
    <w:rPr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TestoCarattere">
    <w:name w:val="4-Testo Carattere"/>
    <w:basedOn w:val="Carpredefinitoparagrafo"/>
    <w:link w:val="4-Testo"/>
    <w:locked/>
    <w:rsid w:val="006F47D4"/>
    <w:rPr>
      <w:rFonts w:ascii="Gill Sans Light" w:hAnsi="Gill Sans Light"/>
      <w:lang w:eastAsia="it-IT"/>
    </w:rPr>
  </w:style>
  <w:style w:type="paragraph" w:customStyle="1" w:styleId="4-Testo">
    <w:name w:val="4-Testo"/>
    <w:basedOn w:val="Normale"/>
    <w:link w:val="4-TestoCarattere"/>
    <w:qFormat/>
    <w:rsid w:val="006F47D4"/>
    <w:pPr>
      <w:spacing w:after="60"/>
    </w:pPr>
    <w:rPr>
      <w:rFonts w:ascii="Gill Sans Light" w:hAnsi="Gill Sans Light"/>
      <w:lang w:val="de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85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1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4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5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79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3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2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3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854621">
          <w:marLeft w:val="0"/>
          <w:marRight w:val="0"/>
          <w:marTop w:val="0"/>
          <w:marBottom w:val="0"/>
          <w:divBdr>
            <w:top w:val="single" w:sz="6" w:space="0" w:color="909299"/>
            <w:left w:val="single" w:sz="6" w:space="0" w:color="909299"/>
            <w:bottom w:val="single" w:sz="6" w:space="0" w:color="909299"/>
            <w:right w:val="single" w:sz="6" w:space="0" w:color="909299"/>
          </w:divBdr>
          <w:divsChild>
            <w:div w:id="12762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2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0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6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8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0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297844">
          <w:marLeft w:val="0"/>
          <w:marRight w:val="0"/>
          <w:marTop w:val="0"/>
          <w:marBottom w:val="0"/>
          <w:divBdr>
            <w:top w:val="single" w:sz="6" w:space="0" w:color="909299"/>
            <w:left w:val="single" w:sz="6" w:space="0" w:color="909299"/>
            <w:bottom w:val="single" w:sz="6" w:space="0" w:color="909299"/>
            <w:right w:val="single" w:sz="6" w:space="0" w:color="909299"/>
          </w:divBdr>
          <w:divsChild>
            <w:div w:id="4959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e251f7ec-ace6-45a4-b682-ba6e3076dc87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1415582173</Id>
      <Width>0</Width>
      <Height>0</Height>
      <XPath>//Image[@id='Profile.Org.WappenSW']</XPath>
      <ImageHash>02f1c0cdac6aeac316213b2e7cb733a0</ImageHash>
    </ImageSizeDefinition>
    <ImageSizeDefinition>
      <Id>102327381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2 a 4 f 1 2 5 - d a 4 0 - 4 0 b a - 8 c 6 4 - e 9 d 3 3 4 b 7 0 3 3 8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0 6 - 0 4 T 1 1 : 2 9 : 4 7 . 1 3 3 9 9 9 6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e   f i n a n z e   e   d e l l  e c o n o m i a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i   m i n o r a n z a   n .   8 5 6 2   R 2 - 2   d e l   2 7   m a g g i o   2 0 2 5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e   f i n a n z e   e   d e l l  e c o n o m i a ] ] > < / T e x t >  
                 < T e x t   i d = " C u s t o m E l e m e n t s . F i e l d s . T i t o l o 1 "   l a b e l = " C u s t o m E l e m e n t s . F i e l d s . T i t o l o 1 " > < ! [ C D A T A [ R a p p o r t o   d i   m i n o r a n z a   2 ] ] > < / T e x t >  
                 < T e x t   i d = " C u s t o m E l e m e n t s . F i e l d s . T i t o l o 2 "   l a b e l = " C u s t o m E l e m e n t s . F i e l d s . T i t o l o 2 " > < ! [ C D A T A [ R a p p o r t o   d i   m i n o r a n z a   2   n .   8 5 6 2   R 2 - 2   d e l   2 7   m a g g i o   2 0 2 5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 2 0 2 5 - 0 5 - 2 7 T 0 0 : 0 0 : 0 0 Z < / D a t e T i m e >  
                 < T e x t   i d = " D o c P a r a m . N u m b e r " > < ! [ C D A T A [ 8 5 6 2   R 2 - 2 ] ] > < / T e x t >  
                 < T e x t   i d = " D o c P a r a m . D o c u m e n t o " > < ! [ C D A T A [ R a p p o r t o   d i   m i n o r a n z a ] ] > < / T e x t >  
                 < T e x t   i d = " D o c P a r a m . A g g i u n t a D o c "   t o o l t i p = " ( e s .   b i s ,   a g g i u n t i v o ,   a g g i u n t i v o   b i s ,   1 ,   2   e c c . ) " > < ! [ C D A T A [ 2 ] ] > < / T e x t >  
                 < T e x t   i d = " D o c P a r a m . D i p a r t i m e n t i " > < ! [ C D A T A [ D i p a r t i m e n t o   d e l l e   f i n a n z e   e   d e l l  e c o n o m i a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1B219E26-4EA0-4579-B0EE-4AC41EEFDAC5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A0ABDD2B-656C-48F8-9499-897BD149C4F0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C06BC95D-74FA-4D46-BBB2-C4B580E8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e251f7ec-ace6-45a4-b682-ba6e3076dc87.dotx</Template>
  <TotalTime>37</TotalTime>
  <Pages>3</Pages>
  <Words>1031</Words>
  <Characters>5830</Characters>
  <Application>Microsoft Office Word</Application>
  <DocSecurity>0</DocSecurity>
  <Lines>153</Lines>
  <Paragraphs>75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Martini Francesca</dc:creator>
  <cp:lastModifiedBy>Venturi Luca</cp:lastModifiedBy>
  <cp:revision>30</cp:revision>
  <cp:lastPrinted>2025-05-27T14:39:00Z</cp:lastPrinted>
  <dcterms:created xsi:type="dcterms:W3CDTF">2025-05-27T09:43:00Z</dcterms:created>
  <dcterms:modified xsi:type="dcterms:W3CDTF">2025-05-27T14:41:00Z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