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BE" w:rsidRPr="005211BE" w:rsidRDefault="005211BE" w:rsidP="00F42D0A">
      <w:pPr>
        <w:rPr>
          <w:rFonts w:eastAsia="Aptos" w:cs="Arial"/>
          <w:b/>
          <w:sz w:val="28"/>
          <w:szCs w:val="28"/>
        </w:rPr>
      </w:pPr>
      <w:r w:rsidRPr="005211BE">
        <w:rPr>
          <w:rFonts w:eastAsia="Aptos" w:cs="Arial"/>
          <w:b/>
          <w:sz w:val="28"/>
          <w:szCs w:val="28"/>
        </w:rPr>
        <w:t>della Commissione gestione e finanze</w:t>
      </w:r>
    </w:p>
    <w:p w:rsidR="005211BE" w:rsidRPr="005211BE" w:rsidRDefault="005211BE" w:rsidP="00F42D0A">
      <w:pPr>
        <w:rPr>
          <w:rFonts w:eastAsia="Aptos" w:cs="Arial"/>
          <w:sz w:val="24"/>
          <w:szCs w:val="24"/>
        </w:rPr>
      </w:pPr>
      <w:r w:rsidRPr="005211BE">
        <w:rPr>
          <w:rFonts w:eastAsia="Aptos" w:cs="Arial"/>
          <w:b/>
          <w:sz w:val="28"/>
          <w:szCs w:val="28"/>
        </w:rPr>
        <w:t xml:space="preserve">sul messaggio </w:t>
      </w:r>
      <w:r w:rsidRPr="005211BE">
        <w:rPr>
          <w:rFonts w:eastAsia="Aptos" w:cs="Arial"/>
          <w:b/>
          <w:bCs/>
          <w:color w:val="000000"/>
          <w:sz w:val="28"/>
          <w:szCs w:val="28"/>
        </w:rPr>
        <w:t xml:space="preserve">19 febbraio 2025 concernente la </w:t>
      </w:r>
      <w:r w:rsidR="00F42D0A" w:rsidRPr="00F42D0A">
        <w:rPr>
          <w:rFonts w:eastAsia="Aptos" w:cs="Arial"/>
          <w:b/>
          <w:bCs/>
          <w:color w:val="000000"/>
          <w:sz w:val="28"/>
          <w:szCs w:val="28"/>
        </w:rPr>
        <w:t>di contributi finanziari ricorrenti al Locarno Film Festival per il quinquennio 2026-2030 per complessivi 17'000'000.- di franchi e rinnovo della convenzione</w:t>
      </w:r>
    </w:p>
    <w:p w:rsidR="005211BE" w:rsidRPr="005211BE" w:rsidRDefault="005211BE" w:rsidP="00F42D0A">
      <w:pPr>
        <w:rPr>
          <w:rFonts w:eastAsia="Aptos" w:cs="Arial"/>
          <w:sz w:val="24"/>
          <w:szCs w:val="24"/>
        </w:rPr>
      </w:pPr>
    </w:p>
    <w:p w:rsidR="005211BE" w:rsidRDefault="005211BE" w:rsidP="005211BE">
      <w:pPr>
        <w:rPr>
          <w:rFonts w:eastAsia="Aptos" w:cs="Arial"/>
          <w:sz w:val="24"/>
        </w:rPr>
      </w:pPr>
    </w:p>
    <w:p w:rsidR="00F42D0A" w:rsidRPr="005211BE" w:rsidRDefault="00F42D0A" w:rsidP="005211BE">
      <w:pPr>
        <w:rPr>
          <w:rFonts w:eastAsia="Aptos" w:cs="Arial"/>
          <w:sz w:val="24"/>
        </w:rPr>
      </w:pPr>
    </w:p>
    <w:p w:rsidR="005211BE" w:rsidRPr="005211BE" w:rsidRDefault="005211BE" w:rsidP="00F42D0A">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5211BE">
        <w:rPr>
          <w:rFonts w:eastAsia="Calibri" w:cs="Times New Roman"/>
          <w:caps/>
          <w:sz w:val="24"/>
          <w:szCs w:val="24"/>
          <w:lang w:val="it-IT" w:eastAsia="it-IT"/>
        </w:rPr>
        <w:t xml:space="preserve">Il Festival </w:t>
      </w:r>
    </w:p>
    <w:p w:rsidR="005211BE" w:rsidRDefault="004F6433" w:rsidP="00F42D0A">
      <w:pPr>
        <w:rPr>
          <w:rFonts w:eastAsia="Times New Roman" w:cs="Arial"/>
          <w:sz w:val="24"/>
          <w:szCs w:val="24"/>
          <w:lang w:eastAsia="zh-CN"/>
        </w:rPr>
      </w:pPr>
      <w:r>
        <w:rPr>
          <w:rFonts w:eastAsia="Times New Roman" w:cs="Arial"/>
          <w:sz w:val="24"/>
          <w:szCs w:val="24"/>
          <w:lang w:eastAsia="zh-CN"/>
        </w:rPr>
        <w:t>Con il M</w:t>
      </w:r>
      <w:r w:rsidR="005211BE" w:rsidRPr="005211BE">
        <w:rPr>
          <w:rFonts w:eastAsia="Times New Roman" w:cs="Arial"/>
          <w:sz w:val="24"/>
          <w:szCs w:val="24"/>
          <w:lang w:eastAsia="zh-CN"/>
        </w:rPr>
        <w:t>essaggio n. 8545, il Consiglio di Stato propone di rinnovare il sostegno finanziario al Locarno Film Festival (LFF) per il quinquennio 2026–2030. La proposta prevede un contributo complessivo di 17 milioni di franchi, ripartito in cinque tranche annuali da 3.4 milioni di franchi ciascuna.</w:t>
      </w:r>
    </w:p>
    <w:p w:rsidR="00F42D0A" w:rsidRPr="005211BE" w:rsidRDefault="00F42D0A" w:rsidP="00F42D0A">
      <w:pPr>
        <w:rPr>
          <w:rFonts w:eastAsia="Times New Roman" w:cs="Arial"/>
          <w:sz w:val="24"/>
          <w:szCs w:val="24"/>
          <w:lang w:eastAsia="zh-CN"/>
        </w:rPr>
      </w:pP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Tale impegno conferma la volontà del Cantone di affiancare in modo stabile e strategico una manifestazione culturale di rilievo internazionale, che rappresenta non solo un’eccellenza artistica, ma anche un volano importante per l’economia e l’immagine della Svizzera italiana.</w:t>
      </w:r>
    </w:p>
    <w:p w:rsidR="00F42D0A" w:rsidRPr="005211BE" w:rsidRDefault="00F42D0A" w:rsidP="00F42D0A">
      <w:pPr>
        <w:rPr>
          <w:rFonts w:eastAsia="Times New Roman" w:cs="Arial"/>
          <w:sz w:val="24"/>
          <w:szCs w:val="24"/>
          <w:lang w:eastAsia="zh-CN"/>
        </w:rPr>
      </w:pP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Fondato nel 1946, il Locarno Film Festival (LFF) è il terzo festival cinematografico più antico al mondo, dopo quelli di Venezia e Mosca. Oggi rappresenta una delle manifestazioni culturali più prestigiose a livello internazionale. Nel corso della sua lunga storia, il Festival ha saputo mantenere il proprio prestigio e la propria rilevanza grazie a una costante capacità di rinnovarsi, interpretando in anticipo le trasformazioni dell’industria cinematografica e affrontando con dinamismo le nuove sfide di un settore sempre più competitivo.</w:t>
      </w:r>
    </w:p>
    <w:p w:rsidR="00F42D0A" w:rsidRPr="005211BE" w:rsidRDefault="00F42D0A" w:rsidP="00F42D0A">
      <w:pPr>
        <w:rPr>
          <w:rFonts w:eastAsia="Times New Roman" w:cs="Arial"/>
          <w:sz w:val="24"/>
          <w:szCs w:val="24"/>
          <w:lang w:eastAsia="zh-CN"/>
        </w:rPr>
      </w:pP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Se la prima edizione nacque dallo spirito di collaborazione tra grandi personalità del mondo della cultura e del turismo, nel tempo il Locarno Film Festival si è evoluto in un organismo articolato, capace di rispondere a esigenze sempre più complesse. Oggi il Festival non è soltanto un appuntamento con il grande cinema d’autore, ma anche un punto di riferimento per professioniste e professionisti del settore (Locarno Pro), uno spazio formativo e inclusivo per le giovani generazioni (Locarno Edu e Kids), un laboratorio per aspiranti talenti (Locarno Factory, BaseCamp e Academy), e un attore attento allo sviluppo del territorio, anche attraverso attività commerciali e collaterali (come il settore Food &amp; Beverage).</w:t>
      </w:r>
    </w:p>
    <w:p w:rsidR="00F42D0A" w:rsidRPr="005211BE" w:rsidRDefault="00F42D0A" w:rsidP="00F42D0A">
      <w:pPr>
        <w:rPr>
          <w:rFonts w:eastAsia="Times New Roman" w:cs="Arial"/>
          <w:sz w:val="24"/>
          <w:szCs w:val="24"/>
          <w:lang w:eastAsia="zh-CN"/>
        </w:rPr>
      </w:pP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 xml:space="preserve">Il Locarno Film Festival è una manifestazione in costante evoluzione, capace di adattarsi a un pubblico e a un mercato in continua trasformazione. Questa capacità di rinnovarsi e di diversificare la propria offerta rappresenta una delle chiavi della sua attrattività e del suo successo internazionale. Una tale complessità richiede una struttura artistica, organizzativa e gestionale altamente professionale. Il Festival è attualmente gestito da un’associazione di diritto privato, che si distingue per la sua solidità e autonomia: è infatti </w:t>
      </w:r>
      <w:r w:rsidRPr="005211BE">
        <w:rPr>
          <w:rFonts w:eastAsia="Times New Roman" w:cs="Arial"/>
          <w:sz w:val="24"/>
          <w:szCs w:val="24"/>
          <w:lang w:eastAsia="zh-CN"/>
        </w:rPr>
        <w:lastRenderedPageBreak/>
        <w:t>in grado di coprire circa il 60% dei propri costi attraverso ricavi propri e il sostegno di numerosi partner privati. Si tratta di un risultato significativo, che segna un netto miglioramento rispetto al 54,8% registrato nel 2018, e che testimonia l’impegno costante verso una maggiore sostenibilità finanziaria e indipendenza economica.</w:t>
      </w:r>
    </w:p>
    <w:p w:rsidR="00F42D0A" w:rsidRDefault="00F42D0A" w:rsidP="00F42D0A">
      <w:pPr>
        <w:rPr>
          <w:rFonts w:eastAsia="Times New Roman" w:cs="Arial"/>
          <w:sz w:val="24"/>
          <w:szCs w:val="24"/>
          <w:lang w:eastAsia="zh-CN"/>
        </w:rPr>
      </w:pPr>
    </w:p>
    <w:p w:rsidR="00F42D0A" w:rsidRPr="005211BE" w:rsidRDefault="00F42D0A" w:rsidP="00F42D0A">
      <w:pPr>
        <w:rPr>
          <w:rFonts w:eastAsia="Times New Roman" w:cs="Arial"/>
          <w:sz w:val="24"/>
          <w:szCs w:val="24"/>
          <w:lang w:eastAsia="zh-CN"/>
        </w:rPr>
      </w:pPr>
    </w:p>
    <w:p w:rsidR="005211BE" w:rsidRPr="005211BE" w:rsidRDefault="005211BE" w:rsidP="00F42D0A">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5211BE">
        <w:rPr>
          <w:rFonts w:eastAsia="Calibri" w:cs="Times New Roman"/>
          <w:caps/>
          <w:sz w:val="24"/>
          <w:szCs w:val="24"/>
          <w:lang w:val="it-IT" w:eastAsia="it-IT"/>
        </w:rPr>
        <w:t xml:space="preserve">Ricadute economiche, impatto culturale ed identitario </w:t>
      </w: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Il Locarno Film Festival genera importanti ricadute economiche per la regione e per l’intero Cantone, in particolare nei settori del turismo, dei servizi e delle prestazioni locali. Secondo uno studio condotto nel 2005 dall’Istituto di ricerche economiche (IRE)</w:t>
      </w:r>
      <w:r w:rsidRPr="005211BE">
        <w:rPr>
          <w:rFonts w:eastAsia="Times New Roman" w:cs="Arial"/>
          <w:sz w:val="24"/>
          <w:szCs w:val="24"/>
          <w:vertAlign w:val="superscript"/>
          <w:lang w:eastAsia="zh-CN"/>
        </w:rPr>
        <w:footnoteReference w:id="1"/>
      </w:r>
      <w:r w:rsidRPr="005211BE">
        <w:rPr>
          <w:rFonts w:eastAsia="Times New Roman" w:cs="Arial"/>
          <w:sz w:val="24"/>
          <w:szCs w:val="24"/>
          <w:lang w:eastAsia="zh-CN"/>
        </w:rPr>
        <w:t xml:space="preserve">, l’impatto economico annuo del Festival è stimato tra i 20 e i 30 milioni di franchi annui. </w:t>
      </w:r>
    </w:p>
    <w:p w:rsidR="00F42D0A" w:rsidRPr="005211BE" w:rsidRDefault="00F42D0A" w:rsidP="00F42D0A">
      <w:pPr>
        <w:rPr>
          <w:rFonts w:eastAsia="Times New Roman" w:cs="Arial"/>
          <w:sz w:val="24"/>
          <w:szCs w:val="24"/>
          <w:lang w:eastAsia="zh-CN"/>
        </w:rPr>
      </w:pP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Nel tempo, l’importanza del Locarno Film Festival è cresciuta costantemente, come dimostrano numerosi indicatori di natura economica, sociale e reputazionale. Sin dalle sue origini, il Festival ha saputo conquistare e mantenere un pubblico numeroso e fidelizzato, che continua a partecipare con entusiasmo a ogni edizione.</w:t>
      </w:r>
    </w:p>
    <w:p w:rsidR="00F42D0A" w:rsidRPr="005211BE" w:rsidRDefault="00F42D0A" w:rsidP="00F42D0A">
      <w:pPr>
        <w:rPr>
          <w:rFonts w:eastAsia="Times New Roman" w:cs="Arial"/>
          <w:sz w:val="24"/>
          <w:szCs w:val="24"/>
          <w:lang w:eastAsia="zh-CN"/>
        </w:rPr>
      </w:pP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Un’indagine condotta nel 2022 sulla base dei dati WEMF/REMP</w:t>
      </w:r>
      <w:r w:rsidRPr="005211BE">
        <w:rPr>
          <w:rFonts w:eastAsia="Times New Roman" w:cs="Arial"/>
          <w:sz w:val="24"/>
          <w:szCs w:val="24"/>
          <w:vertAlign w:val="superscript"/>
          <w:lang w:eastAsia="zh-CN"/>
        </w:rPr>
        <w:footnoteReference w:id="2"/>
      </w:r>
      <w:r w:rsidRPr="005211BE">
        <w:rPr>
          <w:rFonts w:eastAsia="Times New Roman" w:cs="Arial"/>
          <w:sz w:val="24"/>
          <w:szCs w:val="24"/>
          <w:lang w:eastAsia="zh-CN"/>
        </w:rPr>
        <w:t xml:space="preserve"> (campione rappresentativo di 30’000 persone in Svizzera e Liechtenstein) ha rilevato che 240’000 persone hanno visitato almeno una volta il Locarno Film Festival nei sei anni precedenti. Inoltre, 654’300 persone – pari al 9.5% della popolazione – dichiarano di conoscere e seguire attivamente la manifestazione, a riprova della sua diffusione e notorietà su scala nazionale.</w:t>
      </w:r>
    </w:p>
    <w:p w:rsidR="00F42D0A" w:rsidRPr="005211BE" w:rsidRDefault="00F42D0A" w:rsidP="00F42D0A">
      <w:pPr>
        <w:rPr>
          <w:rFonts w:eastAsia="Times New Roman" w:cs="Arial"/>
          <w:sz w:val="24"/>
          <w:szCs w:val="24"/>
          <w:lang w:eastAsia="zh-CN"/>
        </w:rPr>
      </w:pP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 xml:space="preserve">L’edizione 2024 del Locarno Film Festival ha registrato un aumento dell’affluenza del </w:t>
      </w:r>
      <w:r w:rsidRPr="005211BE">
        <w:rPr>
          <w:rFonts w:eastAsia="DengXian Light" w:cs="Arial"/>
          <w:sz w:val="24"/>
          <w:szCs w:val="24"/>
          <w:lang w:eastAsia="zh-CN"/>
        </w:rPr>
        <w:t>3,5% rispetto al 2023</w:t>
      </w:r>
      <w:r w:rsidRPr="005211BE">
        <w:rPr>
          <w:rFonts w:eastAsia="Times New Roman" w:cs="Arial"/>
          <w:sz w:val="24"/>
          <w:szCs w:val="24"/>
          <w:lang w:eastAsia="zh-CN"/>
        </w:rPr>
        <w:t xml:space="preserve">, raggiungendo un totale di </w:t>
      </w:r>
      <w:r w:rsidRPr="005211BE">
        <w:rPr>
          <w:rFonts w:eastAsia="DengXian Light" w:cs="Arial"/>
          <w:sz w:val="24"/>
          <w:szCs w:val="24"/>
          <w:lang w:eastAsia="zh-CN"/>
        </w:rPr>
        <w:t>152’000 spettatori</w:t>
      </w:r>
      <w:r w:rsidRPr="005211BE">
        <w:rPr>
          <w:rFonts w:eastAsia="Times New Roman" w:cs="Arial"/>
          <w:sz w:val="24"/>
          <w:szCs w:val="24"/>
          <w:lang w:eastAsia="zh-CN"/>
        </w:rPr>
        <w:t xml:space="preserve">. A questa cifra si aggiungono gli oltre </w:t>
      </w:r>
      <w:r w:rsidRPr="005211BE">
        <w:rPr>
          <w:rFonts w:eastAsia="DengXian Light" w:cs="Arial"/>
          <w:sz w:val="24"/>
          <w:szCs w:val="24"/>
          <w:lang w:eastAsia="zh-CN"/>
        </w:rPr>
        <w:t>115’000 visitatori de La Rotonda</w:t>
      </w:r>
      <w:r w:rsidRPr="005211BE">
        <w:rPr>
          <w:rFonts w:eastAsia="Times New Roman" w:cs="Arial"/>
          <w:sz w:val="24"/>
          <w:szCs w:val="24"/>
          <w:lang w:eastAsia="zh-CN"/>
        </w:rPr>
        <w:t>, spazio informale e gratuito che rappresenta un punto di aggregazione importante durante i giorni della manifestazione.</w:t>
      </w:r>
    </w:p>
    <w:p w:rsidR="00F42D0A" w:rsidRPr="005211BE" w:rsidRDefault="00F42D0A" w:rsidP="00F42D0A">
      <w:pPr>
        <w:rPr>
          <w:rFonts w:eastAsia="Times New Roman" w:cs="Arial"/>
          <w:sz w:val="24"/>
          <w:szCs w:val="24"/>
          <w:lang w:eastAsia="zh-CN"/>
        </w:rPr>
      </w:pP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 xml:space="preserve">Si tratta di un risultato rilevante, soprattutto considerando il contesto post-pandemico, e che conferma la capacità attrattiva del Festival. È dunque opportuno valutarne appieno la portata, anche in termini di </w:t>
      </w:r>
      <w:r w:rsidRPr="005211BE">
        <w:rPr>
          <w:rFonts w:eastAsia="DengXian Light" w:cs="Arial"/>
          <w:sz w:val="24"/>
          <w:szCs w:val="24"/>
          <w:lang w:eastAsia="zh-CN"/>
        </w:rPr>
        <w:t>ricadute economiche</w:t>
      </w:r>
      <w:r w:rsidRPr="005211BE">
        <w:rPr>
          <w:rFonts w:eastAsia="Times New Roman" w:cs="Arial"/>
          <w:sz w:val="24"/>
          <w:szCs w:val="24"/>
          <w:lang w:eastAsia="zh-CN"/>
        </w:rPr>
        <w:t xml:space="preserve"> e </w:t>
      </w:r>
      <w:r w:rsidRPr="005211BE">
        <w:rPr>
          <w:rFonts w:eastAsia="DengXian Light" w:cs="Arial"/>
          <w:sz w:val="24"/>
          <w:szCs w:val="24"/>
          <w:lang w:eastAsia="zh-CN"/>
        </w:rPr>
        <w:t>benefici indotti</w:t>
      </w:r>
      <w:r w:rsidRPr="005211BE">
        <w:rPr>
          <w:rFonts w:eastAsia="Times New Roman" w:cs="Arial"/>
          <w:sz w:val="24"/>
          <w:szCs w:val="24"/>
          <w:lang w:eastAsia="zh-CN"/>
        </w:rPr>
        <w:t xml:space="preserve"> per la città di Locarno, per la regione del Locarnese e per l’intero Cantone Ticino.</w:t>
      </w:r>
    </w:p>
    <w:p w:rsidR="00F42D0A" w:rsidRPr="005211BE" w:rsidRDefault="00F42D0A" w:rsidP="00F42D0A">
      <w:pPr>
        <w:rPr>
          <w:rFonts w:eastAsia="Times New Roman" w:cs="Arial"/>
          <w:sz w:val="24"/>
          <w:szCs w:val="24"/>
          <w:lang w:eastAsia="zh-CN"/>
        </w:rPr>
      </w:pPr>
    </w:p>
    <w:p w:rsidR="005211BE" w:rsidRDefault="005211BE" w:rsidP="00F42D0A">
      <w:pPr>
        <w:jc w:val="left"/>
        <w:rPr>
          <w:rFonts w:eastAsia="Times New Roman" w:cs="Arial"/>
          <w:sz w:val="24"/>
          <w:szCs w:val="24"/>
          <w:lang w:eastAsia="zh-CN"/>
        </w:rPr>
      </w:pPr>
      <w:r w:rsidRPr="005211BE">
        <w:rPr>
          <w:rFonts w:eastAsia="DengXian Light" w:cs="Arial"/>
          <w:sz w:val="24"/>
          <w:szCs w:val="24"/>
          <w:lang w:eastAsia="zh-CN"/>
        </w:rPr>
        <w:t>Le ricadute economiche generate dalla loro presenza sul territorio sono aumentate in modo significativo</w:t>
      </w:r>
      <w:r w:rsidRPr="005211BE">
        <w:rPr>
          <w:rFonts w:eastAsia="Times New Roman" w:cs="Arial"/>
          <w:sz w:val="24"/>
          <w:szCs w:val="24"/>
          <w:lang w:eastAsia="zh-CN"/>
        </w:rPr>
        <w:t xml:space="preserve"> rispetto al rilevamento condotto dall’Istituto di Ricerche Economiche (IRE) nel 2005</w:t>
      </w:r>
      <w:r w:rsidRPr="005211BE">
        <w:rPr>
          <w:rFonts w:eastAsia="Times New Roman" w:cs="Arial"/>
          <w:sz w:val="24"/>
          <w:szCs w:val="24"/>
          <w:vertAlign w:val="superscript"/>
          <w:lang w:eastAsia="zh-CN"/>
        </w:rPr>
        <w:footnoteReference w:id="3"/>
      </w:r>
      <w:r w:rsidRPr="005211BE">
        <w:rPr>
          <w:rFonts w:eastAsia="Times New Roman" w:cs="Arial"/>
          <w:sz w:val="24"/>
          <w:szCs w:val="24"/>
          <w:lang w:eastAsia="zh-CN"/>
        </w:rPr>
        <w:t>.</w:t>
      </w:r>
    </w:p>
    <w:p w:rsidR="00F42D0A" w:rsidRPr="005211BE" w:rsidRDefault="00F42D0A" w:rsidP="00F42D0A">
      <w:pPr>
        <w:jc w:val="left"/>
        <w:rPr>
          <w:rFonts w:eastAsia="Times New Roman" w:cs="Arial"/>
          <w:sz w:val="24"/>
          <w:szCs w:val="24"/>
          <w:lang w:eastAsia="zh-CN"/>
        </w:rPr>
      </w:pPr>
    </w:p>
    <w:p w:rsidR="005211BE" w:rsidRPr="005211BE" w:rsidRDefault="005211BE" w:rsidP="00F42D0A">
      <w:pPr>
        <w:rPr>
          <w:rFonts w:eastAsia="Times New Roman" w:cs="Arial"/>
          <w:sz w:val="24"/>
          <w:szCs w:val="24"/>
          <w:lang w:eastAsia="zh-CN"/>
        </w:rPr>
      </w:pPr>
      <w:r w:rsidRPr="005211BE">
        <w:rPr>
          <w:rFonts w:eastAsia="Times New Roman" w:cs="Arial"/>
          <w:sz w:val="24"/>
          <w:szCs w:val="24"/>
          <w:lang w:eastAsia="zh-CN"/>
        </w:rPr>
        <w:t xml:space="preserve">Un’analisi effettuata da </w:t>
      </w:r>
      <w:r w:rsidRPr="005211BE">
        <w:rPr>
          <w:rFonts w:eastAsia="DengXian Light" w:cs="Arial"/>
          <w:sz w:val="24"/>
          <w:szCs w:val="24"/>
          <w:lang w:eastAsia="zh-CN"/>
        </w:rPr>
        <w:t>BAK Economics AG nel 2019</w:t>
      </w:r>
      <w:r w:rsidRPr="005211BE">
        <w:rPr>
          <w:rFonts w:eastAsia="DengXian Light" w:cs="Arial"/>
          <w:sz w:val="24"/>
          <w:szCs w:val="24"/>
          <w:vertAlign w:val="superscript"/>
          <w:lang w:eastAsia="zh-CN"/>
        </w:rPr>
        <w:footnoteReference w:id="4"/>
      </w:r>
      <w:r w:rsidRPr="005211BE">
        <w:rPr>
          <w:rFonts w:eastAsia="Times New Roman" w:cs="Arial"/>
          <w:sz w:val="24"/>
          <w:szCs w:val="24"/>
          <w:lang w:eastAsia="zh-CN"/>
        </w:rPr>
        <w:t xml:space="preserve"> ha evidenziato un incremento rilevante della </w:t>
      </w:r>
      <w:r w:rsidRPr="005211BE">
        <w:rPr>
          <w:rFonts w:eastAsia="DengXian Light" w:cs="Arial"/>
          <w:sz w:val="24"/>
          <w:szCs w:val="24"/>
          <w:lang w:eastAsia="zh-CN"/>
        </w:rPr>
        <w:t>spesa media per persona e per giorno</w:t>
      </w:r>
      <w:r w:rsidRPr="005211BE">
        <w:rPr>
          <w:rFonts w:eastAsia="Times New Roman" w:cs="Arial"/>
          <w:sz w:val="24"/>
          <w:szCs w:val="24"/>
          <w:lang w:eastAsia="zh-CN"/>
        </w:rPr>
        <w:t xml:space="preserve">, tanto da parte dei turisti con almeno una notte di soggiorno, quanto da parte dei visitatori giornalieri e dei residenti ticinesi. </w:t>
      </w:r>
      <w:r w:rsidRPr="005211BE">
        <w:rPr>
          <w:rFonts w:eastAsia="Times New Roman" w:cs="Arial"/>
          <w:sz w:val="24"/>
          <w:szCs w:val="24"/>
          <w:lang w:eastAsia="zh-CN"/>
        </w:rPr>
        <w:lastRenderedPageBreak/>
        <w:t xml:space="preserve">Questa tendenza conferma che la manifestazione ha assunto nel tempo una </w:t>
      </w:r>
      <w:r w:rsidRPr="005211BE">
        <w:rPr>
          <w:rFonts w:eastAsia="DengXian Light" w:cs="Arial"/>
          <w:sz w:val="24"/>
          <w:szCs w:val="24"/>
          <w:lang w:eastAsia="zh-CN"/>
        </w:rPr>
        <w:t>rilevanza economica sempre maggiore</w:t>
      </w:r>
      <w:r w:rsidRPr="005211BE">
        <w:rPr>
          <w:rFonts w:eastAsia="Times New Roman" w:cs="Arial"/>
          <w:sz w:val="24"/>
          <w:szCs w:val="24"/>
          <w:lang w:eastAsia="zh-CN"/>
        </w:rPr>
        <w:t>.</w:t>
      </w:r>
    </w:p>
    <w:p w:rsidR="005211BE" w:rsidRPr="005211BE" w:rsidRDefault="005211BE" w:rsidP="005211BE">
      <w:pPr>
        <w:spacing w:before="100" w:beforeAutospacing="1" w:after="100" w:afterAutospacing="1"/>
        <w:rPr>
          <w:rFonts w:eastAsia="Times New Roman" w:cs="Arial"/>
          <w:sz w:val="24"/>
          <w:szCs w:val="24"/>
          <w:lang w:eastAsia="zh-CN"/>
        </w:rPr>
      </w:pPr>
      <w:r w:rsidRPr="005211BE">
        <w:rPr>
          <w:rFonts w:eastAsia="Times New Roman" w:cs="Arial"/>
          <w:sz w:val="24"/>
          <w:szCs w:val="24"/>
          <w:lang w:eastAsia="zh-CN"/>
        </w:rPr>
        <w:t xml:space="preserve">Oltre all’indotto diretto, il Festival </w:t>
      </w:r>
      <w:r w:rsidRPr="005211BE">
        <w:rPr>
          <w:rFonts w:eastAsia="DengXian Light" w:cs="Arial"/>
          <w:sz w:val="24"/>
          <w:szCs w:val="24"/>
          <w:lang w:eastAsia="zh-CN"/>
        </w:rPr>
        <w:t>contribuisce fortemente alla promozione e all’immagine del Ticino a livello internazionale</w:t>
      </w:r>
      <w:r w:rsidRPr="005211BE">
        <w:rPr>
          <w:rFonts w:eastAsia="Times New Roman" w:cs="Arial"/>
          <w:sz w:val="24"/>
          <w:szCs w:val="24"/>
          <w:lang w:eastAsia="zh-CN"/>
        </w:rPr>
        <w:t xml:space="preserve">. Ogni anno, testate di rilievo come </w:t>
      </w:r>
      <w:r w:rsidRPr="005211BE">
        <w:rPr>
          <w:rFonts w:eastAsia="Times New Roman" w:cs="Arial"/>
          <w:i/>
          <w:iCs/>
          <w:sz w:val="24"/>
          <w:szCs w:val="24"/>
          <w:lang w:eastAsia="zh-CN"/>
        </w:rPr>
        <w:t>Forbes</w:t>
      </w:r>
      <w:r w:rsidRPr="005211BE">
        <w:rPr>
          <w:rFonts w:eastAsia="Times New Roman" w:cs="Arial"/>
          <w:sz w:val="24"/>
          <w:szCs w:val="24"/>
          <w:lang w:eastAsia="zh-CN"/>
        </w:rPr>
        <w:t xml:space="preserve">, </w:t>
      </w:r>
      <w:r w:rsidRPr="005211BE">
        <w:rPr>
          <w:rFonts w:eastAsia="Times New Roman" w:cs="Arial"/>
          <w:i/>
          <w:iCs/>
          <w:sz w:val="24"/>
          <w:szCs w:val="24"/>
          <w:lang w:eastAsia="zh-CN"/>
        </w:rPr>
        <w:t>The Guardian</w:t>
      </w:r>
      <w:r w:rsidRPr="005211BE">
        <w:rPr>
          <w:rFonts w:eastAsia="Times New Roman" w:cs="Arial"/>
          <w:sz w:val="24"/>
          <w:szCs w:val="24"/>
          <w:lang w:eastAsia="zh-CN"/>
        </w:rPr>
        <w:t xml:space="preserve">, </w:t>
      </w:r>
      <w:r w:rsidRPr="005211BE">
        <w:rPr>
          <w:rFonts w:eastAsia="Times New Roman" w:cs="Arial"/>
          <w:i/>
          <w:iCs/>
          <w:sz w:val="24"/>
          <w:szCs w:val="24"/>
          <w:lang w:eastAsia="zh-CN"/>
        </w:rPr>
        <w:t>Frankfurter Allgemeine Zeitung</w:t>
      </w:r>
      <w:r w:rsidRPr="005211BE">
        <w:rPr>
          <w:rFonts w:eastAsia="Times New Roman" w:cs="Arial"/>
          <w:sz w:val="24"/>
          <w:szCs w:val="24"/>
          <w:lang w:eastAsia="zh-CN"/>
        </w:rPr>
        <w:t xml:space="preserve">, </w:t>
      </w:r>
      <w:r w:rsidRPr="005211BE">
        <w:rPr>
          <w:rFonts w:eastAsia="Times New Roman" w:cs="Arial"/>
          <w:i/>
          <w:iCs/>
          <w:sz w:val="24"/>
          <w:szCs w:val="24"/>
          <w:lang w:eastAsia="zh-CN"/>
        </w:rPr>
        <w:t>Die Zeit</w:t>
      </w:r>
      <w:r w:rsidRPr="005211BE">
        <w:rPr>
          <w:rFonts w:eastAsia="Times New Roman" w:cs="Arial"/>
          <w:sz w:val="24"/>
          <w:szCs w:val="24"/>
          <w:lang w:eastAsia="zh-CN"/>
        </w:rPr>
        <w:t xml:space="preserve">, </w:t>
      </w:r>
      <w:r w:rsidRPr="005211BE">
        <w:rPr>
          <w:rFonts w:eastAsia="Times New Roman" w:cs="Arial"/>
          <w:i/>
          <w:iCs/>
          <w:sz w:val="24"/>
          <w:szCs w:val="24"/>
          <w:lang w:eastAsia="zh-CN"/>
        </w:rPr>
        <w:t>Le Monde</w:t>
      </w:r>
      <w:r w:rsidRPr="005211BE">
        <w:rPr>
          <w:rFonts w:eastAsia="Times New Roman" w:cs="Arial"/>
          <w:sz w:val="24"/>
          <w:szCs w:val="24"/>
          <w:lang w:eastAsia="zh-CN"/>
        </w:rPr>
        <w:t xml:space="preserve"> e </w:t>
      </w:r>
      <w:r w:rsidRPr="005211BE">
        <w:rPr>
          <w:rFonts w:eastAsia="Times New Roman" w:cs="Arial"/>
          <w:i/>
          <w:iCs/>
          <w:sz w:val="24"/>
          <w:szCs w:val="24"/>
          <w:lang w:eastAsia="zh-CN"/>
        </w:rPr>
        <w:t>Corriere della Sera</w:t>
      </w:r>
      <w:r w:rsidRPr="005211BE">
        <w:rPr>
          <w:rFonts w:eastAsia="Times New Roman" w:cs="Arial"/>
          <w:sz w:val="24"/>
          <w:szCs w:val="24"/>
          <w:lang w:eastAsia="zh-CN"/>
        </w:rPr>
        <w:t xml:space="preserve"> dedicano ampio spazio alla rassegna, rafforzando l’attrattività della regione nel contesto culturale globale.</w:t>
      </w:r>
    </w:p>
    <w:p w:rsidR="005211BE" w:rsidRPr="005211BE" w:rsidRDefault="005211BE" w:rsidP="00F42D0A">
      <w:pPr>
        <w:pStyle w:val="Titolo2"/>
        <w:numPr>
          <w:ilvl w:val="0"/>
          <w:numId w:val="0"/>
        </w:numPr>
        <w:tabs>
          <w:tab w:val="left" w:pos="567"/>
        </w:tabs>
        <w:spacing w:before="0" w:after="120"/>
        <w:jc w:val="both"/>
        <w:rPr>
          <w:rFonts w:eastAsia="Calibri" w:cs="Times New Roman"/>
          <w:sz w:val="24"/>
          <w:lang w:val="it-IT" w:eastAsia="it-IT"/>
        </w:rPr>
      </w:pPr>
      <w:r w:rsidRPr="005211BE">
        <w:rPr>
          <w:rFonts w:eastAsia="Calibri" w:cs="Times New Roman"/>
          <w:sz w:val="24"/>
          <w:lang w:val="it-IT" w:eastAsia="it-IT"/>
        </w:rPr>
        <w:t>Un motore per l’economia e l’occupazione ticinese</w:t>
      </w:r>
    </w:p>
    <w:p w:rsidR="005211BE" w:rsidRPr="005211BE" w:rsidRDefault="005211BE" w:rsidP="00F42D0A">
      <w:pPr>
        <w:jc w:val="left"/>
        <w:rPr>
          <w:rFonts w:eastAsia="Times New Roman" w:cs="Arial"/>
          <w:sz w:val="24"/>
          <w:szCs w:val="24"/>
          <w:lang w:eastAsia="zh-CN"/>
        </w:rPr>
      </w:pPr>
      <w:r w:rsidRPr="005211BE">
        <w:rPr>
          <w:rFonts w:eastAsia="Times New Roman" w:cs="Arial"/>
          <w:sz w:val="24"/>
          <w:szCs w:val="24"/>
          <w:lang w:eastAsia="zh-CN"/>
        </w:rPr>
        <w:t>Il Locarno Film Festival rappresenta oggi un attore economico strategico per il Canton Ticino. Nel 2023:</w:t>
      </w:r>
    </w:p>
    <w:p w:rsidR="005211BE" w:rsidRPr="005211BE" w:rsidRDefault="005211BE" w:rsidP="00F42D0A">
      <w:pPr>
        <w:numPr>
          <w:ilvl w:val="0"/>
          <w:numId w:val="20"/>
        </w:numPr>
        <w:spacing w:before="120"/>
        <w:ind w:left="284" w:hanging="284"/>
        <w:rPr>
          <w:rFonts w:eastAsia="Times New Roman" w:cs="Arial"/>
          <w:sz w:val="24"/>
          <w:szCs w:val="24"/>
          <w:lang w:eastAsia="zh-CN"/>
        </w:rPr>
      </w:pPr>
      <w:r w:rsidRPr="005211BE">
        <w:rPr>
          <w:rFonts w:eastAsia="Times New Roman" w:cs="Arial"/>
          <w:b/>
          <w:bCs/>
          <w:sz w:val="24"/>
          <w:szCs w:val="24"/>
          <w:lang w:eastAsia="zh-CN"/>
        </w:rPr>
        <w:t>L’86% delle spese (pari a CHF 10,7 milioni)</w:t>
      </w:r>
      <w:r w:rsidRPr="005211BE">
        <w:rPr>
          <w:rFonts w:eastAsia="DengXian Light" w:cs="Arial"/>
          <w:sz w:val="24"/>
          <w:szCs w:val="24"/>
          <w:lang w:eastAsia="zh-CN"/>
        </w:rPr>
        <w:t xml:space="preserve"> è stato destinato a imprese e professionisti con sede in Ticino, con un </w:t>
      </w:r>
      <w:r w:rsidRPr="005211BE">
        <w:rPr>
          <w:rFonts w:eastAsia="Times New Roman" w:cs="Arial"/>
          <w:b/>
          <w:bCs/>
          <w:sz w:val="24"/>
          <w:szCs w:val="24"/>
          <w:lang w:eastAsia="zh-CN"/>
        </w:rPr>
        <w:t>aumento del 15% rispetto al 2018</w:t>
      </w:r>
      <w:r w:rsidRPr="005211BE">
        <w:rPr>
          <w:rFonts w:eastAsia="DengXian Light" w:cs="Arial"/>
          <w:sz w:val="24"/>
          <w:szCs w:val="24"/>
          <w:lang w:eastAsia="zh-CN"/>
        </w:rPr>
        <w:t>.</w:t>
      </w:r>
    </w:p>
    <w:p w:rsidR="005211BE" w:rsidRPr="005211BE" w:rsidRDefault="005211BE" w:rsidP="00F42D0A">
      <w:pPr>
        <w:numPr>
          <w:ilvl w:val="0"/>
          <w:numId w:val="20"/>
        </w:numPr>
        <w:spacing w:before="120"/>
        <w:ind w:left="284" w:hanging="284"/>
        <w:rPr>
          <w:rFonts w:eastAsia="Times New Roman" w:cs="Arial"/>
          <w:sz w:val="24"/>
          <w:szCs w:val="24"/>
          <w:lang w:eastAsia="zh-CN"/>
        </w:rPr>
      </w:pPr>
      <w:r w:rsidRPr="005211BE">
        <w:rPr>
          <w:rFonts w:eastAsia="DengXian Light" w:cs="Arial"/>
          <w:sz w:val="24"/>
          <w:szCs w:val="24"/>
          <w:lang w:eastAsia="zh-CN"/>
        </w:rPr>
        <w:t xml:space="preserve">Il Festival ha impiegato </w:t>
      </w:r>
      <w:r w:rsidRPr="005211BE">
        <w:rPr>
          <w:rFonts w:eastAsia="Times New Roman" w:cs="Arial"/>
          <w:b/>
          <w:bCs/>
          <w:sz w:val="24"/>
          <w:szCs w:val="24"/>
          <w:lang w:eastAsia="zh-CN"/>
        </w:rPr>
        <w:t>37 collaboratori stabili</w:t>
      </w:r>
      <w:r w:rsidRPr="005211BE">
        <w:rPr>
          <w:rFonts w:eastAsia="DengXian Light" w:cs="Arial"/>
          <w:sz w:val="24"/>
          <w:szCs w:val="24"/>
          <w:lang w:eastAsia="zh-CN"/>
        </w:rPr>
        <w:t xml:space="preserve"> e circa </w:t>
      </w:r>
      <w:r w:rsidRPr="005211BE">
        <w:rPr>
          <w:rFonts w:eastAsia="Times New Roman" w:cs="Arial"/>
          <w:b/>
          <w:bCs/>
          <w:sz w:val="24"/>
          <w:szCs w:val="24"/>
          <w:lang w:eastAsia="zh-CN"/>
        </w:rPr>
        <w:t>650 temporanei</w:t>
      </w:r>
      <w:r w:rsidRPr="005211BE">
        <w:rPr>
          <w:rFonts w:eastAsia="DengXian Light" w:cs="Arial"/>
          <w:sz w:val="24"/>
          <w:szCs w:val="24"/>
          <w:lang w:eastAsia="zh-CN"/>
        </w:rPr>
        <w:t xml:space="preserve">, per una </w:t>
      </w:r>
      <w:r w:rsidRPr="005211BE">
        <w:rPr>
          <w:rFonts w:eastAsia="Times New Roman" w:cs="Arial"/>
          <w:b/>
          <w:bCs/>
          <w:sz w:val="24"/>
          <w:szCs w:val="24"/>
          <w:lang w:eastAsia="zh-CN"/>
        </w:rPr>
        <w:t>massa salariale complessiva di CHF 7,5 milioni</w:t>
      </w:r>
      <w:r w:rsidRPr="005211BE">
        <w:rPr>
          <w:rFonts w:eastAsia="DengXian Light" w:cs="Arial"/>
          <w:sz w:val="24"/>
          <w:szCs w:val="24"/>
          <w:lang w:eastAsia="zh-CN"/>
        </w:rPr>
        <w:t xml:space="preserve">, pari al </w:t>
      </w:r>
      <w:r w:rsidRPr="005211BE">
        <w:rPr>
          <w:rFonts w:eastAsia="Times New Roman" w:cs="Arial"/>
          <w:b/>
          <w:bCs/>
          <w:sz w:val="24"/>
          <w:szCs w:val="24"/>
          <w:lang w:eastAsia="zh-CN"/>
        </w:rPr>
        <w:t>42% del budget totale</w:t>
      </w:r>
      <w:r w:rsidRPr="005211BE">
        <w:rPr>
          <w:rFonts w:eastAsia="DengXian Light" w:cs="Arial"/>
          <w:sz w:val="24"/>
          <w:szCs w:val="24"/>
          <w:lang w:eastAsia="zh-CN"/>
        </w:rPr>
        <w:t>.</w:t>
      </w:r>
    </w:p>
    <w:p w:rsidR="005211BE" w:rsidRDefault="005211BE" w:rsidP="00F42D0A">
      <w:pPr>
        <w:numPr>
          <w:ilvl w:val="0"/>
          <w:numId w:val="20"/>
        </w:numPr>
        <w:spacing w:before="120"/>
        <w:ind w:left="284" w:hanging="284"/>
        <w:rPr>
          <w:rFonts w:eastAsia="Times New Roman" w:cs="Arial"/>
          <w:sz w:val="24"/>
          <w:szCs w:val="24"/>
          <w:lang w:eastAsia="zh-CN"/>
        </w:rPr>
      </w:pPr>
      <w:r w:rsidRPr="005211BE">
        <w:rPr>
          <w:rFonts w:eastAsia="DengXian Light" w:cs="Arial"/>
          <w:b/>
          <w:bCs/>
          <w:sz w:val="24"/>
          <w:szCs w:val="24"/>
          <w:lang w:eastAsia="zh-CN"/>
        </w:rPr>
        <w:t>L’83% della forza lavoro risiede in Ticino</w:t>
      </w:r>
      <w:r w:rsidRPr="005211BE">
        <w:rPr>
          <w:rFonts w:eastAsia="Times New Roman" w:cs="Arial"/>
          <w:sz w:val="24"/>
          <w:szCs w:val="24"/>
          <w:lang w:eastAsia="zh-CN"/>
        </w:rPr>
        <w:t xml:space="preserve">, </w:t>
      </w:r>
      <w:r w:rsidRPr="005211BE">
        <w:rPr>
          <w:rFonts w:eastAsia="Times New Roman" w:cs="Arial"/>
          <w:b/>
          <w:bCs/>
          <w:sz w:val="24"/>
          <w:szCs w:val="24"/>
          <w:lang w:eastAsia="zh-CN"/>
        </w:rPr>
        <w:t xml:space="preserve">in aumento rispetto al 77% </w:t>
      </w:r>
      <w:r w:rsidRPr="005211BE">
        <w:rPr>
          <w:rFonts w:eastAsia="Times New Roman" w:cs="Arial"/>
          <w:sz w:val="24"/>
          <w:szCs w:val="24"/>
          <w:lang w:eastAsia="zh-CN"/>
        </w:rPr>
        <w:t>del 2018, a conferma di un forte impegno verso l’occupazione locale.</w:t>
      </w:r>
    </w:p>
    <w:p w:rsidR="00F42D0A" w:rsidRPr="005211BE" w:rsidRDefault="00F42D0A" w:rsidP="00F42D0A">
      <w:pPr>
        <w:spacing w:before="120"/>
        <w:ind w:left="284"/>
        <w:rPr>
          <w:rFonts w:eastAsia="Times New Roman" w:cs="Arial"/>
          <w:sz w:val="24"/>
          <w:szCs w:val="24"/>
          <w:lang w:eastAsia="zh-CN"/>
        </w:rPr>
      </w:pPr>
    </w:p>
    <w:p w:rsidR="005211BE" w:rsidRPr="005211BE" w:rsidRDefault="005211BE" w:rsidP="00F42D0A">
      <w:pPr>
        <w:pStyle w:val="Titolo2"/>
        <w:numPr>
          <w:ilvl w:val="0"/>
          <w:numId w:val="0"/>
        </w:numPr>
        <w:tabs>
          <w:tab w:val="left" w:pos="567"/>
        </w:tabs>
        <w:spacing w:before="0" w:after="120"/>
        <w:jc w:val="both"/>
        <w:rPr>
          <w:rFonts w:eastAsia="Calibri" w:cs="Times New Roman"/>
          <w:sz w:val="24"/>
          <w:lang w:val="it-IT" w:eastAsia="it-IT"/>
        </w:rPr>
      </w:pPr>
      <w:r w:rsidRPr="005211BE">
        <w:rPr>
          <w:rFonts w:eastAsia="Calibri" w:cs="Times New Roman"/>
          <w:sz w:val="24"/>
          <w:lang w:val="it-IT" w:eastAsia="it-IT"/>
        </w:rPr>
        <w:t>Indotto turistico e profilo del pubblico</w:t>
      </w: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 xml:space="preserve">Anche </w:t>
      </w:r>
      <w:r w:rsidRPr="005211BE">
        <w:rPr>
          <w:rFonts w:eastAsia="DengXian Light" w:cs="Arial"/>
          <w:sz w:val="24"/>
          <w:szCs w:val="24"/>
          <w:lang w:eastAsia="zh-CN"/>
        </w:rPr>
        <w:t>l’impatto turistico è rilevante</w:t>
      </w:r>
      <w:r w:rsidRPr="005211BE">
        <w:rPr>
          <w:rFonts w:eastAsia="Times New Roman" w:cs="Arial"/>
          <w:sz w:val="24"/>
          <w:szCs w:val="24"/>
          <w:lang w:eastAsia="zh-CN"/>
        </w:rPr>
        <w:t xml:space="preserve">: nel 2023, circa </w:t>
      </w:r>
      <w:r w:rsidRPr="005211BE">
        <w:rPr>
          <w:rFonts w:eastAsia="DengXian Light" w:cs="Arial"/>
          <w:sz w:val="24"/>
          <w:szCs w:val="24"/>
          <w:lang w:eastAsia="zh-CN"/>
        </w:rPr>
        <w:t>1’100 ospiti hanno soggiornato in Ticino per una media di 6 giorni</w:t>
      </w:r>
      <w:r w:rsidRPr="005211BE">
        <w:rPr>
          <w:rFonts w:eastAsia="Times New Roman" w:cs="Arial"/>
          <w:sz w:val="24"/>
          <w:szCs w:val="24"/>
          <w:lang w:eastAsia="zh-CN"/>
        </w:rPr>
        <w:t xml:space="preserve">, generando un indotto di </w:t>
      </w:r>
      <w:r w:rsidRPr="005211BE">
        <w:rPr>
          <w:rFonts w:eastAsia="DengXian Light" w:cs="Arial"/>
          <w:sz w:val="24"/>
          <w:szCs w:val="24"/>
          <w:lang w:eastAsia="zh-CN"/>
        </w:rPr>
        <w:t>CHF 1,6 milioni per il settore alberghiero</w:t>
      </w:r>
      <w:r w:rsidRPr="005211BE">
        <w:rPr>
          <w:rFonts w:eastAsia="Times New Roman" w:cs="Arial"/>
          <w:sz w:val="24"/>
          <w:szCs w:val="24"/>
          <w:lang w:eastAsia="zh-CN"/>
        </w:rPr>
        <w:t xml:space="preserve">. Questo risultato è stato favorito dallo sviluppo del dipartimento </w:t>
      </w:r>
      <w:r w:rsidRPr="005211BE">
        <w:rPr>
          <w:rFonts w:eastAsia="DengXian Light" w:cs="Arial"/>
          <w:sz w:val="24"/>
          <w:szCs w:val="24"/>
          <w:lang w:eastAsia="zh-CN"/>
        </w:rPr>
        <w:t>Locarno Pro</w:t>
      </w:r>
      <w:r w:rsidRPr="005211BE">
        <w:rPr>
          <w:rFonts w:eastAsia="Times New Roman" w:cs="Arial"/>
          <w:sz w:val="24"/>
          <w:szCs w:val="24"/>
          <w:lang w:eastAsia="zh-CN"/>
        </w:rPr>
        <w:t>, che attrae figure chiave dell’industria cinematografica internazionale.</w:t>
      </w:r>
    </w:p>
    <w:p w:rsidR="00F42D0A" w:rsidRPr="005211BE" w:rsidRDefault="00F42D0A" w:rsidP="00F42D0A">
      <w:pPr>
        <w:rPr>
          <w:rFonts w:eastAsia="Times New Roman" w:cs="Arial"/>
          <w:sz w:val="24"/>
          <w:szCs w:val="24"/>
          <w:lang w:eastAsia="zh-CN"/>
        </w:rPr>
      </w:pPr>
    </w:p>
    <w:p w:rsidR="005211BE" w:rsidRPr="005211BE" w:rsidRDefault="005211BE" w:rsidP="00F42D0A">
      <w:pPr>
        <w:rPr>
          <w:rFonts w:eastAsia="Times New Roman" w:cs="Arial"/>
          <w:sz w:val="24"/>
          <w:szCs w:val="24"/>
          <w:lang w:eastAsia="zh-CN"/>
        </w:rPr>
      </w:pPr>
      <w:r w:rsidRPr="005211BE">
        <w:rPr>
          <w:rFonts w:eastAsia="Times New Roman" w:cs="Arial"/>
          <w:sz w:val="24"/>
          <w:szCs w:val="24"/>
          <w:lang w:eastAsia="zh-CN"/>
        </w:rPr>
        <w:t xml:space="preserve">Un </w:t>
      </w:r>
      <w:r w:rsidRPr="005211BE">
        <w:rPr>
          <w:rFonts w:eastAsia="DengXian Light" w:cs="Arial"/>
          <w:sz w:val="24"/>
          <w:szCs w:val="24"/>
          <w:lang w:eastAsia="zh-CN"/>
        </w:rPr>
        <w:t>sondaggio realizzato nel 2023</w:t>
      </w:r>
      <w:r w:rsidRPr="005211BE">
        <w:rPr>
          <w:rFonts w:eastAsia="Times New Roman" w:cs="Arial"/>
          <w:sz w:val="24"/>
          <w:szCs w:val="24"/>
          <w:lang w:eastAsia="zh-CN"/>
        </w:rPr>
        <w:t xml:space="preserve"> in collaborazione con il </w:t>
      </w:r>
      <w:r w:rsidRPr="005211BE">
        <w:rPr>
          <w:rFonts w:eastAsia="DengXian Light" w:cs="Arial"/>
          <w:sz w:val="24"/>
          <w:szCs w:val="24"/>
          <w:lang w:eastAsia="zh-CN"/>
        </w:rPr>
        <w:t>King’s College di Londra</w:t>
      </w:r>
      <w:r w:rsidRPr="005211BE">
        <w:rPr>
          <w:rFonts w:eastAsia="DengXian Light" w:cs="Arial"/>
          <w:sz w:val="24"/>
          <w:szCs w:val="24"/>
          <w:vertAlign w:val="superscript"/>
          <w:lang w:eastAsia="zh-CN"/>
        </w:rPr>
        <w:footnoteReference w:id="5"/>
      </w:r>
      <w:r w:rsidRPr="005211BE">
        <w:rPr>
          <w:rFonts w:eastAsia="Times New Roman" w:cs="Arial"/>
          <w:sz w:val="24"/>
          <w:szCs w:val="24"/>
          <w:lang w:eastAsia="zh-CN"/>
        </w:rPr>
        <w:t xml:space="preserve"> ha fotografato la composizione del pubblico:</w:t>
      </w:r>
    </w:p>
    <w:p w:rsidR="005211BE" w:rsidRPr="005211BE" w:rsidRDefault="005211BE" w:rsidP="00F42D0A">
      <w:pPr>
        <w:numPr>
          <w:ilvl w:val="0"/>
          <w:numId w:val="21"/>
        </w:numPr>
        <w:spacing w:before="80"/>
        <w:ind w:left="284" w:hanging="284"/>
        <w:rPr>
          <w:rFonts w:eastAsia="Times New Roman" w:cs="Arial"/>
          <w:sz w:val="24"/>
          <w:szCs w:val="24"/>
          <w:lang w:eastAsia="zh-CN"/>
        </w:rPr>
      </w:pPr>
      <w:r w:rsidRPr="005211BE">
        <w:rPr>
          <w:rFonts w:eastAsia="Times New Roman" w:cs="Arial"/>
          <w:sz w:val="24"/>
          <w:szCs w:val="24"/>
          <w:lang w:eastAsia="zh-CN"/>
        </w:rPr>
        <w:t>39,5% residenti in Ticino</w:t>
      </w:r>
    </w:p>
    <w:p w:rsidR="005211BE" w:rsidRPr="005211BE" w:rsidRDefault="005211BE" w:rsidP="00F42D0A">
      <w:pPr>
        <w:numPr>
          <w:ilvl w:val="0"/>
          <w:numId w:val="21"/>
        </w:numPr>
        <w:spacing w:before="80"/>
        <w:ind w:left="284" w:hanging="284"/>
        <w:rPr>
          <w:rFonts w:eastAsia="Times New Roman" w:cs="Arial"/>
          <w:sz w:val="24"/>
          <w:szCs w:val="24"/>
          <w:lang w:eastAsia="zh-CN"/>
        </w:rPr>
      </w:pPr>
      <w:r w:rsidRPr="005211BE">
        <w:rPr>
          <w:rFonts w:eastAsia="Times New Roman" w:cs="Arial"/>
          <w:sz w:val="24"/>
          <w:szCs w:val="24"/>
          <w:lang w:eastAsia="zh-CN"/>
        </w:rPr>
        <w:t>44,6% provenienti dal resto della Svizzera</w:t>
      </w:r>
    </w:p>
    <w:p w:rsidR="005211BE" w:rsidRPr="005211BE" w:rsidRDefault="005211BE" w:rsidP="00F42D0A">
      <w:pPr>
        <w:numPr>
          <w:ilvl w:val="0"/>
          <w:numId w:val="21"/>
        </w:numPr>
        <w:spacing w:before="80"/>
        <w:ind w:left="284" w:hanging="284"/>
        <w:rPr>
          <w:rFonts w:eastAsia="Times New Roman" w:cs="Arial"/>
          <w:sz w:val="24"/>
          <w:szCs w:val="24"/>
          <w:lang w:eastAsia="zh-CN"/>
        </w:rPr>
      </w:pPr>
      <w:r w:rsidRPr="005211BE">
        <w:rPr>
          <w:rFonts w:eastAsia="Times New Roman" w:cs="Arial"/>
          <w:sz w:val="24"/>
          <w:szCs w:val="24"/>
          <w:lang w:eastAsia="zh-CN"/>
        </w:rPr>
        <w:t>15,9% visitatori internazionali</w:t>
      </w:r>
    </w:p>
    <w:p w:rsidR="00F42D0A" w:rsidRDefault="00F42D0A" w:rsidP="00F42D0A">
      <w:pPr>
        <w:rPr>
          <w:rFonts w:eastAsia="Times New Roman" w:cs="Arial"/>
          <w:sz w:val="24"/>
          <w:szCs w:val="24"/>
          <w:lang w:eastAsia="zh-CN"/>
        </w:rPr>
      </w:pPr>
    </w:p>
    <w:p w:rsidR="005211BE" w:rsidRPr="005211BE" w:rsidRDefault="005211BE" w:rsidP="00F42D0A">
      <w:pPr>
        <w:rPr>
          <w:rFonts w:eastAsia="Times New Roman" w:cs="Arial"/>
          <w:sz w:val="24"/>
          <w:szCs w:val="24"/>
          <w:lang w:eastAsia="zh-CN"/>
        </w:rPr>
      </w:pPr>
      <w:r w:rsidRPr="005211BE">
        <w:rPr>
          <w:rFonts w:eastAsia="Times New Roman" w:cs="Arial"/>
          <w:sz w:val="24"/>
          <w:szCs w:val="24"/>
          <w:lang w:eastAsia="zh-CN"/>
        </w:rPr>
        <w:t xml:space="preserve">Il pubblico si dimostra </w:t>
      </w:r>
      <w:r w:rsidRPr="005211BE">
        <w:rPr>
          <w:rFonts w:eastAsia="DengXian Light" w:cs="Arial"/>
          <w:sz w:val="24"/>
          <w:szCs w:val="24"/>
          <w:lang w:eastAsia="zh-CN"/>
        </w:rPr>
        <w:t>altamente fidelizzato</w:t>
      </w:r>
      <w:r w:rsidRPr="005211BE">
        <w:rPr>
          <w:rFonts w:eastAsia="Times New Roman" w:cs="Arial"/>
          <w:sz w:val="24"/>
          <w:szCs w:val="24"/>
          <w:lang w:eastAsia="zh-CN"/>
        </w:rPr>
        <w:t>: l’81,9% partecipa per almeno 3 giorni e il 78,2% ha già frequentato il Festival nei cinque anni precedenti.</w:t>
      </w:r>
    </w:p>
    <w:p w:rsidR="00F42D0A" w:rsidRDefault="00F42D0A" w:rsidP="00F42D0A">
      <w:pPr>
        <w:jc w:val="left"/>
        <w:rPr>
          <w:rFonts w:eastAsia="Times New Roman" w:cs="Arial"/>
          <w:b/>
          <w:bCs/>
          <w:sz w:val="24"/>
          <w:szCs w:val="24"/>
          <w:lang w:eastAsia="zh-CN"/>
        </w:rPr>
      </w:pPr>
    </w:p>
    <w:p w:rsidR="005211BE" w:rsidRPr="005211BE" w:rsidRDefault="005211BE" w:rsidP="00F42D0A">
      <w:pPr>
        <w:pStyle w:val="Titolo2"/>
        <w:numPr>
          <w:ilvl w:val="0"/>
          <w:numId w:val="0"/>
        </w:numPr>
        <w:tabs>
          <w:tab w:val="left" w:pos="567"/>
        </w:tabs>
        <w:spacing w:before="0" w:after="120"/>
        <w:jc w:val="both"/>
        <w:rPr>
          <w:rFonts w:eastAsia="Calibri" w:cs="Times New Roman"/>
          <w:sz w:val="24"/>
          <w:lang w:val="it-IT" w:eastAsia="it-IT"/>
        </w:rPr>
      </w:pPr>
      <w:r w:rsidRPr="005211BE">
        <w:rPr>
          <w:rFonts w:eastAsia="Calibri" w:cs="Times New Roman"/>
          <w:sz w:val="24"/>
          <w:lang w:val="it-IT" w:eastAsia="it-IT"/>
        </w:rPr>
        <w:t>Valore promozionale e visibilità internazionale</w:t>
      </w:r>
    </w:p>
    <w:p w:rsidR="00F42D0A" w:rsidRDefault="005211BE" w:rsidP="00F42D0A">
      <w:pPr>
        <w:rPr>
          <w:rFonts w:eastAsia="DengXian Light" w:cs="Arial"/>
          <w:sz w:val="24"/>
          <w:szCs w:val="24"/>
          <w:lang w:eastAsia="zh-CN"/>
        </w:rPr>
      </w:pPr>
      <w:r w:rsidRPr="005211BE">
        <w:rPr>
          <w:rFonts w:eastAsia="DengXian Light" w:cs="Arial"/>
          <w:sz w:val="24"/>
          <w:szCs w:val="24"/>
          <w:lang w:eastAsia="zh-CN"/>
        </w:rPr>
        <w:t xml:space="preserve">Il Festival contribuisce anche a </w:t>
      </w:r>
      <w:r w:rsidRPr="005211BE">
        <w:rPr>
          <w:rFonts w:eastAsia="Times New Roman" w:cs="Arial"/>
          <w:sz w:val="24"/>
          <w:szCs w:val="24"/>
          <w:lang w:eastAsia="zh-CN"/>
        </w:rPr>
        <w:t>valorizzare altre realtà culturali e turistiche del territorio</w:t>
      </w:r>
      <w:r w:rsidRPr="005211BE">
        <w:rPr>
          <w:rFonts w:eastAsia="DengXian Light" w:cs="Arial"/>
          <w:sz w:val="24"/>
          <w:szCs w:val="24"/>
          <w:lang w:eastAsia="zh-CN"/>
        </w:rPr>
        <w:t>, grazie alla collaborazione con l’</w:t>
      </w:r>
      <w:r w:rsidRPr="005211BE">
        <w:rPr>
          <w:rFonts w:eastAsia="Times New Roman" w:cs="Arial"/>
          <w:sz w:val="24"/>
          <w:szCs w:val="24"/>
          <w:lang w:eastAsia="zh-CN"/>
        </w:rPr>
        <w:t>Organizzazione Turistica Lago Maggiore e Valli</w:t>
      </w:r>
      <w:r w:rsidRPr="005211BE">
        <w:rPr>
          <w:rFonts w:eastAsia="DengXian Light" w:cs="Arial"/>
          <w:sz w:val="24"/>
          <w:szCs w:val="24"/>
          <w:lang w:eastAsia="zh-CN"/>
        </w:rPr>
        <w:t xml:space="preserve">. In qualità di </w:t>
      </w:r>
      <w:r w:rsidRPr="005211BE">
        <w:rPr>
          <w:rFonts w:eastAsia="Times New Roman" w:cs="Arial"/>
          <w:sz w:val="24"/>
          <w:szCs w:val="24"/>
          <w:lang w:eastAsia="zh-CN"/>
        </w:rPr>
        <w:t>membro di Swiss Top Events</w:t>
      </w:r>
      <w:r w:rsidRPr="005211BE">
        <w:rPr>
          <w:rFonts w:eastAsia="DengXian Light" w:cs="Arial"/>
          <w:sz w:val="24"/>
          <w:szCs w:val="24"/>
          <w:lang w:eastAsia="zh-CN"/>
        </w:rPr>
        <w:t xml:space="preserve">, il Locarno Film Festival rafforza la </w:t>
      </w:r>
      <w:r w:rsidRPr="005211BE">
        <w:rPr>
          <w:rFonts w:eastAsia="Times New Roman" w:cs="Arial"/>
          <w:sz w:val="24"/>
          <w:szCs w:val="24"/>
          <w:lang w:eastAsia="zh-CN"/>
        </w:rPr>
        <w:t>visibilità internazionale della Svizzera</w:t>
      </w:r>
      <w:r w:rsidRPr="005211BE">
        <w:rPr>
          <w:rFonts w:eastAsia="DengXian Light" w:cs="Arial"/>
          <w:sz w:val="24"/>
          <w:szCs w:val="24"/>
          <w:lang w:eastAsia="zh-CN"/>
        </w:rPr>
        <w:t xml:space="preserve">. Nel 2023 sono stati pubblicati </w:t>
      </w:r>
      <w:r w:rsidRPr="005211BE">
        <w:rPr>
          <w:rFonts w:eastAsia="Times New Roman" w:cs="Arial"/>
          <w:sz w:val="24"/>
          <w:szCs w:val="24"/>
          <w:lang w:eastAsia="zh-CN"/>
        </w:rPr>
        <w:t>oltre 11’000 articoli sul Festival</w:t>
      </w:r>
      <w:r w:rsidRPr="005211BE">
        <w:rPr>
          <w:rFonts w:eastAsia="DengXian Light" w:cs="Arial"/>
          <w:sz w:val="24"/>
          <w:szCs w:val="24"/>
          <w:lang w:eastAsia="zh-CN"/>
        </w:rPr>
        <w:t xml:space="preserve">, di cui </w:t>
      </w:r>
      <w:r w:rsidRPr="005211BE">
        <w:rPr>
          <w:rFonts w:eastAsia="Times New Roman" w:cs="Arial"/>
          <w:sz w:val="24"/>
          <w:szCs w:val="24"/>
          <w:lang w:eastAsia="zh-CN"/>
        </w:rPr>
        <w:t>più di 8’300 sulla stampa internazionale</w:t>
      </w:r>
      <w:r w:rsidRPr="005211BE">
        <w:rPr>
          <w:rFonts w:eastAsia="DengXian Light" w:cs="Arial"/>
          <w:sz w:val="24"/>
          <w:szCs w:val="24"/>
          <w:lang w:eastAsia="zh-CN"/>
        </w:rPr>
        <w:t>.</w:t>
      </w:r>
    </w:p>
    <w:p w:rsidR="00F42D0A" w:rsidRDefault="00F42D0A">
      <w:pPr>
        <w:rPr>
          <w:rFonts w:eastAsia="DengXian Light" w:cs="Arial"/>
          <w:sz w:val="24"/>
          <w:szCs w:val="24"/>
          <w:lang w:eastAsia="zh-CN"/>
        </w:rPr>
      </w:pPr>
      <w:r>
        <w:rPr>
          <w:rFonts w:eastAsia="DengXian Light" w:cs="Arial"/>
          <w:sz w:val="24"/>
          <w:szCs w:val="24"/>
          <w:lang w:eastAsia="zh-CN"/>
        </w:rPr>
        <w:br w:type="page"/>
      </w:r>
    </w:p>
    <w:p w:rsidR="005211BE" w:rsidRPr="005211BE" w:rsidRDefault="005211BE" w:rsidP="00F42D0A">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0" w:name="_GoBack"/>
      <w:bookmarkEnd w:id="0"/>
      <w:r w:rsidRPr="005211BE">
        <w:rPr>
          <w:rFonts w:eastAsia="Calibri" w:cs="Times New Roman"/>
          <w:caps/>
          <w:sz w:val="24"/>
          <w:szCs w:val="24"/>
          <w:lang w:val="it-IT" w:eastAsia="it-IT"/>
        </w:rPr>
        <w:lastRenderedPageBreak/>
        <w:t>Prospettive</w:t>
      </w:r>
    </w:p>
    <w:p w:rsidR="005211BE" w:rsidRDefault="005211BE" w:rsidP="00F42D0A">
      <w:pPr>
        <w:rPr>
          <w:rFonts w:eastAsia="Times New Roman" w:cs="Arial"/>
          <w:sz w:val="24"/>
          <w:szCs w:val="24"/>
          <w:lang w:eastAsia="zh-CN"/>
        </w:rPr>
      </w:pPr>
      <w:r w:rsidRPr="005211BE">
        <w:rPr>
          <w:rFonts w:eastAsia="Times New Roman" w:cs="Arial"/>
          <w:sz w:val="24"/>
          <w:szCs w:val="24"/>
          <w:lang w:eastAsia="zh-CN"/>
        </w:rPr>
        <w:t>Per una manifestazione dal forte valore storico come il Locarno Film Festival, guardare al futuro significa saper evolvere senza perdere la propria identità. Per rimanere attrattivo, in particolare nei confronti del pubblico giovane, il Festival ha avviato un percorso di trasformazione, rafforzando da un lato la dimensione esperienziale dell’evento e, dall’altro, ampliando la diffusione dei propri contenuti per raggiungere nuovi pubblici.</w:t>
      </w:r>
    </w:p>
    <w:p w:rsidR="00F42D0A" w:rsidRPr="005211BE" w:rsidRDefault="00F42D0A" w:rsidP="00F42D0A">
      <w:pPr>
        <w:rPr>
          <w:rFonts w:eastAsia="Times New Roman" w:cs="Arial"/>
          <w:sz w:val="24"/>
          <w:szCs w:val="24"/>
          <w:lang w:eastAsia="zh-CN"/>
        </w:rPr>
      </w:pPr>
    </w:p>
    <w:p w:rsidR="005211BE" w:rsidRPr="005211BE" w:rsidRDefault="005211BE" w:rsidP="00F42D0A">
      <w:pPr>
        <w:jc w:val="left"/>
        <w:rPr>
          <w:rFonts w:eastAsia="Times New Roman" w:cs="Arial"/>
          <w:sz w:val="24"/>
          <w:szCs w:val="24"/>
          <w:lang w:eastAsia="zh-CN"/>
        </w:rPr>
      </w:pPr>
      <w:r w:rsidRPr="005211BE">
        <w:rPr>
          <w:rFonts w:eastAsia="Times New Roman" w:cs="Arial"/>
          <w:sz w:val="24"/>
          <w:szCs w:val="24"/>
          <w:lang w:eastAsia="zh-CN"/>
        </w:rPr>
        <w:t>Questa evoluzione si basa su alcuni pilastri strategici.</w:t>
      </w:r>
    </w:p>
    <w:p w:rsidR="005211BE" w:rsidRPr="005211BE" w:rsidRDefault="005211BE" w:rsidP="00F42D0A">
      <w:pPr>
        <w:numPr>
          <w:ilvl w:val="1"/>
          <w:numId w:val="25"/>
        </w:numPr>
        <w:spacing w:before="80"/>
        <w:ind w:left="284" w:hanging="284"/>
        <w:rPr>
          <w:rFonts w:eastAsia="Times New Roman" w:cs="Arial"/>
          <w:sz w:val="24"/>
          <w:szCs w:val="24"/>
          <w:lang w:eastAsia="zh-CN"/>
        </w:rPr>
      </w:pPr>
      <w:r w:rsidRPr="005211BE">
        <w:rPr>
          <w:rFonts w:eastAsia="DengXian Light" w:cs="Arial"/>
          <w:sz w:val="24"/>
          <w:szCs w:val="24"/>
          <w:lang w:eastAsia="zh-CN"/>
        </w:rPr>
        <w:t>Integrazione</w:t>
      </w:r>
      <w:r w:rsidRPr="005211BE">
        <w:rPr>
          <w:rFonts w:eastAsia="Times New Roman" w:cs="Arial"/>
          <w:sz w:val="24"/>
          <w:szCs w:val="24"/>
          <w:lang w:eastAsia="zh-CN"/>
        </w:rPr>
        <w:t>: i nuovi formati e linguaggi vengono inclusi nel programma in modo organico, senza relegarli a sezioni separate.</w:t>
      </w:r>
    </w:p>
    <w:p w:rsidR="005211BE" w:rsidRPr="005211BE" w:rsidRDefault="005211BE" w:rsidP="00F42D0A">
      <w:pPr>
        <w:numPr>
          <w:ilvl w:val="1"/>
          <w:numId w:val="25"/>
        </w:numPr>
        <w:spacing w:before="80"/>
        <w:ind w:left="284" w:hanging="284"/>
        <w:rPr>
          <w:rFonts w:eastAsia="Times New Roman" w:cs="Arial"/>
          <w:sz w:val="24"/>
          <w:szCs w:val="24"/>
          <w:lang w:eastAsia="zh-CN"/>
        </w:rPr>
      </w:pPr>
      <w:r w:rsidRPr="005211BE">
        <w:rPr>
          <w:rFonts w:eastAsia="DengXian Light" w:cs="Arial"/>
          <w:sz w:val="24"/>
          <w:szCs w:val="24"/>
          <w:lang w:eastAsia="zh-CN"/>
        </w:rPr>
        <w:t>Coinvolgimento dei giovani</w:t>
      </w:r>
      <w:r w:rsidRPr="005211BE">
        <w:rPr>
          <w:rFonts w:eastAsia="Times New Roman" w:cs="Arial"/>
          <w:sz w:val="24"/>
          <w:szCs w:val="24"/>
          <w:lang w:eastAsia="zh-CN"/>
        </w:rPr>
        <w:t>: puntare sul futuro significa adottare linguaggi e forme espressive in sintonia con i nativi digitali, che vivono il cinema come parte di un ecosistema culturale più ampio, fatto di musica, design, animazione e creatività web.</w:t>
      </w:r>
    </w:p>
    <w:p w:rsidR="005211BE" w:rsidRPr="005211BE" w:rsidRDefault="005211BE" w:rsidP="00F42D0A">
      <w:pPr>
        <w:numPr>
          <w:ilvl w:val="1"/>
          <w:numId w:val="25"/>
        </w:numPr>
        <w:spacing w:before="80"/>
        <w:ind w:left="284" w:hanging="284"/>
        <w:rPr>
          <w:rFonts w:eastAsia="Times New Roman" w:cs="Arial"/>
          <w:sz w:val="24"/>
          <w:szCs w:val="24"/>
          <w:lang w:eastAsia="zh-CN"/>
        </w:rPr>
      </w:pPr>
      <w:r w:rsidRPr="005211BE">
        <w:rPr>
          <w:rFonts w:eastAsia="DengXian Light" w:cs="Arial"/>
          <w:sz w:val="24"/>
          <w:szCs w:val="24"/>
          <w:lang w:eastAsia="zh-CN"/>
        </w:rPr>
        <w:t>Formazione e talent scouting</w:t>
      </w:r>
      <w:r w:rsidRPr="005211BE">
        <w:rPr>
          <w:rFonts w:eastAsia="Times New Roman" w:cs="Arial"/>
          <w:sz w:val="24"/>
          <w:szCs w:val="24"/>
          <w:lang w:eastAsia="zh-CN"/>
        </w:rPr>
        <w:t>: il Festival investe nella formazione di giovani critici, registi, produttori e curatori, provenienti da contesti diversi, valorizzando sia le industrie consolidate sia i paesi dove la cinematografia è meno sviluppata.</w:t>
      </w:r>
    </w:p>
    <w:p w:rsidR="005211BE" w:rsidRPr="005211BE" w:rsidRDefault="005211BE" w:rsidP="00F42D0A">
      <w:pPr>
        <w:numPr>
          <w:ilvl w:val="1"/>
          <w:numId w:val="25"/>
        </w:numPr>
        <w:spacing w:before="80"/>
        <w:ind w:left="284" w:hanging="284"/>
        <w:rPr>
          <w:rFonts w:eastAsia="Times New Roman" w:cs="Arial"/>
          <w:sz w:val="24"/>
          <w:szCs w:val="24"/>
          <w:lang w:eastAsia="zh-CN"/>
        </w:rPr>
      </w:pPr>
      <w:r w:rsidRPr="005211BE">
        <w:rPr>
          <w:rFonts w:eastAsia="DengXian Light" w:cs="Arial"/>
          <w:sz w:val="24"/>
          <w:szCs w:val="24"/>
          <w:lang w:eastAsia="zh-CN"/>
        </w:rPr>
        <w:t>Educazione all’immagine</w:t>
      </w:r>
      <w:r w:rsidRPr="005211BE">
        <w:rPr>
          <w:rFonts w:eastAsia="Times New Roman" w:cs="Arial"/>
          <w:sz w:val="24"/>
          <w:szCs w:val="24"/>
          <w:lang w:eastAsia="zh-CN"/>
        </w:rPr>
        <w:t xml:space="preserve">: con iniziative come </w:t>
      </w:r>
      <w:r w:rsidRPr="005211BE">
        <w:rPr>
          <w:rFonts w:eastAsia="Times New Roman" w:cs="Arial"/>
          <w:i/>
          <w:iCs/>
          <w:sz w:val="24"/>
          <w:szCs w:val="24"/>
          <w:lang w:eastAsia="zh-CN"/>
        </w:rPr>
        <w:t>Locarno Kids</w:t>
      </w:r>
      <w:r w:rsidRPr="005211BE">
        <w:rPr>
          <w:rFonts w:eastAsia="Times New Roman" w:cs="Arial"/>
          <w:sz w:val="24"/>
          <w:szCs w:val="24"/>
          <w:lang w:eastAsia="zh-CN"/>
        </w:rPr>
        <w:t xml:space="preserve"> e </w:t>
      </w:r>
      <w:r w:rsidRPr="005211BE">
        <w:rPr>
          <w:rFonts w:eastAsia="Times New Roman" w:cs="Arial"/>
          <w:i/>
          <w:iCs/>
          <w:sz w:val="24"/>
          <w:szCs w:val="24"/>
          <w:lang w:eastAsia="zh-CN"/>
        </w:rPr>
        <w:t>Locarno Edu</w:t>
      </w:r>
      <w:r w:rsidRPr="005211BE">
        <w:rPr>
          <w:rFonts w:eastAsia="Times New Roman" w:cs="Arial"/>
          <w:sz w:val="24"/>
          <w:szCs w:val="24"/>
          <w:lang w:eastAsia="zh-CN"/>
        </w:rPr>
        <w:t>, il Festival avvicina anche i più piccoli al linguaggio cinematografico, creando nuove passioni e favorendo la partecipazione delle famiglie.</w:t>
      </w:r>
    </w:p>
    <w:p w:rsidR="005211BE" w:rsidRPr="005211BE" w:rsidRDefault="005211BE" w:rsidP="00F42D0A">
      <w:pPr>
        <w:numPr>
          <w:ilvl w:val="1"/>
          <w:numId w:val="25"/>
        </w:numPr>
        <w:spacing w:before="80"/>
        <w:ind w:left="284" w:hanging="284"/>
        <w:rPr>
          <w:rFonts w:eastAsia="Times New Roman" w:cs="Arial"/>
          <w:sz w:val="24"/>
          <w:szCs w:val="24"/>
          <w:lang w:eastAsia="zh-CN"/>
        </w:rPr>
      </w:pPr>
      <w:r w:rsidRPr="005211BE">
        <w:rPr>
          <w:rFonts w:eastAsia="DengXian Light" w:cs="Arial"/>
          <w:sz w:val="24"/>
          <w:szCs w:val="24"/>
          <w:lang w:eastAsia="zh-CN"/>
        </w:rPr>
        <w:t>Connessione con il mondo accademico</w:t>
      </w:r>
      <w:r w:rsidRPr="005211BE">
        <w:rPr>
          <w:rFonts w:eastAsia="Times New Roman" w:cs="Arial"/>
          <w:sz w:val="24"/>
          <w:szCs w:val="24"/>
          <w:lang w:eastAsia="zh-CN"/>
        </w:rPr>
        <w:t xml:space="preserve">: la collaborazione con l’USI e l’istituzione della </w:t>
      </w:r>
      <w:r w:rsidRPr="005211BE">
        <w:rPr>
          <w:rFonts w:eastAsia="Times New Roman" w:cs="Arial"/>
          <w:i/>
          <w:iCs/>
          <w:sz w:val="24"/>
          <w:szCs w:val="24"/>
          <w:lang w:eastAsia="zh-CN"/>
        </w:rPr>
        <w:t>Professorship for the Future of Cinema and Audiovisual Arts</w:t>
      </w:r>
      <w:r w:rsidRPr="005211BE">
        <w:rPr>
          <w:rFonts w:eastAsia="Times New Roman" w:cs="Arial"/>
          <w:sz w:val="24"/>
          <w:szCs w:val="24"/>
          <w:lang w:eastAsia="zh-CN"/>
        </w:rPr>
        <w:t xml:space="preserve"> rafforzano il legame con le giovani generazioni, la società e il territorio.</w:t>
      </w:r>
    </w:p>
    <w:p w:rsidR="005211BE" w:rsidRPr="005211BE" w:rsidRDefault="005211BE" w:rsidP="005211BE">
      <w:pPr>
        <w:spacing w:before="100" w:beforeAutospacing="1" w:after="100" w:afterAutospacing="1"/>
        <w:rPr>
          <w:rFonts w:eastAsia="Times New Roman" w:cs="Arial"/>
          <w:sz w:val="24"/>
          <w:szCs w:val="24"/>
          <w:lang w:eastAsia="zh-CN"/>
        </w:rPr>
      </w:pPr>
      <w:r w:rsidRPr="005211BE">
        <w:rPr>
          <w:rFonts w:eastAsia="Times New Roman" w:cs="Arial"/>
          <w:sz w:val="24"/>
          <w:szCs w:val="24"/>
          <w:lang w:eastAsia="zh-CN"/>
        </w:rPr>
        <w:t xml:space="preserve">Tra le iniziative più rilevanti c’è la </w:t>
      </w:r>
      <w:r w:rsidRPr="005211BE">
        <w:rPr>
          <w:rFonts w:eastAsia="DengXian Light" w:cs="Arial"/>
          <w:sz w:val="24"/>
          <w:szCs w:val="24"/>
          <w:lang w:eastAsia="zh-CN"/>
        </w:rPr>
        <w:t>Locarno Factory</w:t>
      </w:r>
      <w:r w:rsidRPr="005211BE">
        <w:rPr>
          <w:rFonts w:eastAsia="Times New Roman" w:cs="Arial"/>
          <w:sz w:val="24"/>
          <w:szCs w:val="24"/>
          <w:lang w:eastAsia="zh-CN"/>
        </w:rPr>
        <w:t xml:space="preserve">, laboratorio creativo e generatore di opportunità per giovani talenti. Ne è un esempio il </w:t>
      </w:r>
      <w:r w:rsidRPr="005211BE">
        <w:rPr>
          <w:rFonts w:eastAsia="DengXian Light" w:cs="Arial"/>
          <w:sz w:val="24"/>
          <w:szCs w:val="24"/>
          <w:lang w:eastAsia="zh-CN"/>
        </w:rPr>
        <w:t>BaseCamp</w:t>
      </w:r>
      <w:r w:rsidRPr="005211BE">
        <w:rPr>
          <w:rFonts w:eastAsia="Times New Roman" w:cs="Arial"/>
          <w:sz w:val="24"/>
          <w:szCs w:val="24"/>
          <w:lang w:eastAsia="zh-CN"/>
        </w:rPr>
        <w:t>, residenza annuale per 200 artisti dai 18 ai 30 anni provenienti da tutto il mondo. Nato nel 2019, il progetto promuove contaminazione, sperimentazione e collaborazioni interdisciplinari, grazie anche al supporto di importanti scuole d’arte svizzere (HEAD, ECAL, ZHdK, HSLU, CISA).</w:t>
      </w:r>
    </w:p>
    <w:p w:rsidR="005211BE" w:rsidRPr="005211BE" w:rsidRDefault="005211BE" w:rsidP="005211BE">
      <w:pPr>
        <w:spacing w:before="100" w:beforeAutospacing="1" w:after="100" w:afterAutospacing="1"/>
        <w:rPr>
          <w:rFonts w:eastAsia="Times New Roman" w:cs="Arial"/>
          <w:sz w:val="24"/>
          <w:szCs w:val="24"/>
          <w:lang w:eastAsia="zh-CN"/>
        </w:rPr>
      </w:pPr>
      <w:r w:rsidRPr="005211BE">
        <w:rPr>
          <w:rFonts w:eastAsia="Times New Roman" w:cs="Arial"/>
          <w:sz w:val="24"/>
          <w:szCs w:val="24"/>
          <w:lang w:eastAsia="zh-CN"/>
        </w:rPr>
        <w:t xml:space="preserve">Dal 2003, attraverso </w:t>
      </w:r>
      <w:r w:rsidRPr="005211BE">
        <w:rPr>
          <w:rFonts w:eastAsia="DengXian Light" w:cs="Arial"/>
          <w:sz w:val="24"/>
          <w:szCs w:val="24"/>
          <w:lang w:eastAsia="zh-CN"/>
        </w:rPr>
        <w:t>Open Doors</w:t>
      </w:r>
      <w:r w:rsidRPr="005211BE">
        <w:rPr>
          <w:rFonts w:eastAsia="Times New Roman" w:cs="Arial"/>
          <w:sz w:val="24"/>
          <w:szCs w:val="24"/>
          <w:lang w:eastAsia="zh-CN"/>
        </w:rPr>
        <w:t>, in collaborazione con la Direzione dello sviluppo e della cooperazione (DSC), il Festival sostiene registi e progetti cinematografici da Paesi a rischio per il cinema d’autore. Per il quadriennio 2025–2028, l’attenzione sarà rivolta a 42 Paesi africani. Tuttavia, a partire dal 2029, la DSC interromperà il proprio sostegno strategico, costringendo il Festival a cercare nuovi partner privati per garantire la continuità dell’iniziativa.</w:t>
      </w:r>
    </w:p>
    <w:p w:rsidR="005211BE" w:rsidRPr="005211BE" w:rsidRDefault="005211BE" w:rsidP="005211BE">
      <w:pPr>
        <w:spacing w:before="100" w:beforeAutospacing="1" w:after="100" w:afterAutospacing="1"/>
        <w:rPr>
          <w:rFonts w:eastAsia="Times New Roman" w:cs="Arial"/>
          <w:sz w:val="24"/>
          <w:szCs w:val="24"/>
          <w:lang w:eastAsia="zh-CN"/>
        </w:rPr>
      </w:pPr>
      <w:r w:rsidRPr="005211BE">
        <w:rPr>
          <w:rFonts w:eastAsia="Times New Roman" w:cs="Arial"/>
          <w:sz w:val="24"/>
          <w:szCs w:val="24"/>
          <w:lang w:eastAsia="zh-CN"/>
        </w:rPr>
        <w:t>Per avvicinare ancora di più il pubblico giovane, il Locarno Film Festival sta aprendo nuove strade nel campo dell’audiovisivo: realtà virtuale, serialità, videogiochi, narrazione immersiva e intelligenza artificiale. Centrale è anche il rapporto con le grandi piattaforme digitali: alcune collaborazioni, come quelle con Swisscom e MUBI, hanno già portato i contenuti del Festival su nuovi canali, ampliando la platea. In parallelo, la produzione di video e podcast consente di vivere l’esperienza del Festival anche a distanza.</w:t>
      </w:r>
    </w:p>
    <w:p w:rsidR="005211BE" w:rsidRPr="005211BE" w:rsidRDefault="005211BE" w:rsidP="005211BE">
      <w:pPr>
        <w:spacing w:before="100" w:beforeAutospacing="1" w:after="100" w:afterAutospacing="1"/>
        <w:jc w:val="left"/>
        <w:rPr>
          <w:rFonts w:eastAsia="Times New Roman" w:cs="Arial"/>
          <w:sz w:val="24"/>
          <w:szCs w:val="24"/>
          <w:lang w:eastAsia="zh-CN"/>
        </w:rPr>
      </w:pPr>
      <w:r w:rsidRPr="005211BE">
        <w:rPr>
          <w:rFonts w:eastAsia="Times New Roman" w:cs="Arial"/>
          <w:sz w:val="24"/>
          <w:szCs w:val="24"/>
          <w:lang w:eastAsia="zh-CN"/>
        </w:rPr>
        <w:t xml:space="preserve">Sul fronte della </w:t>
      </w:r>
      <w:r w:rsidRPr="005211BE">
        <w:rPr>
          <w:rFonts w:eastAsia="DengXian Light" w:cs="Arial"/>
          <w:sz w:val="24"/>
          <w:szCs w:val="24"/>
          <w:lang w:eastAsia="zh-CN"/>
        </w:rPr>
        <w:t>digitalizzazione</w:t>
      </w:r>
      <w:r w:rsidRPr="005211BE">
        <w:rPr>
          <w:rFonts w:eastAsia="Times New Roman" w:cs="Arial"/>
          <w:sz w:val="24"/>
          <w:szCs w:val="24"/>
          <w:lang w:eastAsia="zh-CN"/>
        </w:rPr>
        <w:t>, il Locarno Film Festival sta costruendo un ecosistema digitale sostenibile, in grado di migliorare l’esperienza del pubblico, ottimizzare i processi interni e generare nuove opportunità. Tra i progetti in sviluppo:</w:t>
      </w:r>
    </w:p>
    <w:p w:rsidR="005211BE" w:rsidRPr="005211BE" w:rsidRDefault="005211BE" w:rsidP="00F42D0A">
      <w:pPr>
        <w:numPr>
          <w:ilvl w:val="1"/>
          <w:numId w:val="26"/>
        </w:numPr>
        <w:spacing w:before="80"/>
        <w:ind w:left="284" w:hanging="284"/>
        <w:rPr>
          <w:rFonts w:eastAsia="Times New Roman" w:cs="Arial"/>
          <w:sz w:val="24"/>
          <w:szCs w:val="24"/>
          <w:lang w:eastAsia="zh-CN"/>
        </w:rPr>
      </w:pPr>
      <w:r w:rsidRPr="005211BE">
        <w:rPr>
          <w:rFonts w:eastAsia="Times New Roman" w:cs="Arial"/>
          <w:sz w:val="24"/>
          <w:szCs w:val="24"/>
          <w:lang w:eastAsia="zh-CN"/>
        </w:rPr>
        <w:lastRenderedPageBreak/>
        <w:t xml:space="preserve">una </w:t>
      </w:r>
      <w:r w:rsidRPr="005211BE">
        <w:rPr>
          <w:rFonts w:eastAsia="DengXian Light" w:cs="Arial"/>
          <w:sz w:val="24"/>
          <w:szCs w:val="24"/>
          <w:lang w:eastAsia="zh-CN"/>
        </w:rPr>
        <w:t>app mobile</w:t>
      </w:r>
      <w:r w:rsidRPr="005211BE">
        <w:rPr>
          <w:rFonts w:eastAsia="Times New Roman" w:cs="Arial"/>
          <w:sz w:val="24"/>
          <w:szCs w:val="24"/>
          <w:lang w:eastAsia="zh-CN"/>
        </w:rPr>
        <w:t xml:space="preserve"> ricca di contenuti, attiva tutto l’anno;</w:t>
      </w:r>
    </w:p>
    <w:p w:rsidR="005211BE" w:rsidRPr="005211BE" w:rsidRDefault="005211BE" w:rsidP="00F42D0A">
      <w:pPr>
        <w:numPr>
          <w:ilvl w:val="1"/>
          <w:numId w:val="26"/>
        </w:numPr>
        <w:spacing w:before="80"/>
        <w:ind w:left="284" w:hanging="284"/>
        <w:rPr>
          <w:rFonts w:eastAsia="Times New Roman" w:cs="Arial"/>
          <w:sz w:val="24"/>
          <w:szCs w:val="24"/>
          <w:lang w:eastAsia="zh-CN"/>
        </w:rPr>
      </w:pPr>
      <w:r w:rsidRPr="005211BE">
        <w:rPr>
          <w:rFonts w:eastAsia="Times New Roman" w:cs="Arial"/>
          <w:sz w:val="24"/>
          <w:szCs w:val="24"/>
          <w:lang w:eastAsia="zh-CN"/>
        </w:rPr>
        <w:t xml:space="preserve">la </w:t>
      </w:r>
      <w:r w:rsidRPr="005211BE">
        <w:rPr>
          <w:rFonts w:eastAsia="DengXian Light" w:cs="Arial"/>
          <w:sz w:val="24"/>
          <w:szCs w:val="24"/>
          <w:lang w:eastAsia="zh-CN"/>
        </w:rPr>
        <w:t>semplificazione del sistema di prenotazione</w:t>
      </w:r>
      <w:r w:rsidRPr="005211BE">
        <w:rPr>
          <w:rFonts w:eastAsia="Times New Roman" w:cs="Arial"/>
          <w:sz w:val="24"/>
          <w:szCs w:val="24"/>
          <w:lang w:eastAsia="zh-CN"/>
        </w:rPr>
        <w:t xml:space="preserve"> per rendere il Festival ancora più accessibile;</w:t>
      </w:r>
    </w:p>
    <w:p w:rsidR="005211BE" w:rsidRDefault="005211BE" w:rsidP="00F42D0A">
      <w:pPr>
        <w:numPr>
          <w:ilvl w:val="1"/>
          <w:numId w:val="26"/>
        </w:numPr>
        <w:spacing w:before="80"/>
        <w:ind w:left="284" w:hanging="284"/>
        <w:rPr>
          <w:rFonts w:eastAsia="Times New Roman" w:cs="Arial"/>
          <w:sz w:val="24"/>
          <w:szCs w:val="24"/>
          <w:lang w:eastAsia="zh-CN"/>
        </w:rPr>
      </w:pPr>
      <w:r w:rsidRPr="005211BE">
        <w:rPr>
          <w:rFonts w:eastAsia="Times New Roman" w:cs="Arial"/>
          <w:sz w:val="24"/>
          <w:szCs w:val="24"/>
          <w:lang w:eastAsia="zh-CN"/>
        </w:rPr>
        <w:t xml:space="preserve">una </w:t>
      </w:r>
      <w:r w:rsidRPr="005211BE">
        <w:rPr>
          <w:rFonts w:eastAsia="DengXian Light" w:cs="Arial"/>
          <w:sz w:val="24"/>
          <w:szCs w:val="24"/>
          <w:lang w:eastAsia="zh-CN"/>
        </w:rPr>
        <w:t>presenza comunicativa diffusa</w:t>
      </w:r>
      <w:r w:rsidRPr="005211BE">
        <w:rPr>
          <w:rFonts w:eastAsia="Times New Roman" w:cs="Arial"/>
          <w:sz w:val="24"/>
          <w:szCs w:val="24"/>
          <w:lang w:eastAsia="zh-CN"/>
        </w:rPr>
        <w:t xml:space="preserve"> durante tutto l’anno, con l’obiettivo di trasformare il Locarno Film Festival in una piattaforma culturale attiva e connessa al pubblico ben oltre le giornate di agosto.</w:t>
      </w:r>
    </w:p>
    <w:p w:rsidR="00F42D0A" w:rsidRPr="005211BE" w:rsidRDefault="00F42D0A" w:rsidP="00F42D0A">
      <w:pPr>
        <w:spacing w:before="80"/>
        <w:ind w:left="714"/>
        <w:rPr>
          <w:rFonts w:eastAsia="Times New Roman" w:cs="Arial"/>
          <w:sz w:val="24"/>
          <w:szCs w:val="24"/>
          <w:lang w:eastAsia="zh-CN"/>
        </w:rPr>
      </w:pPr>
    </w:p>
    <w:p w:rsidR="005211BE" w:rsidRPr="005211BE" w:rsidRDefault="005211BE" w:rsidP="00F42D0A">
      <w:pPr>
        <w:rPr>
          <w:rFonts w:eastAsia="Times New Roman" w:cs="Arial"/>
          <w:sz w:val="24"/>
          <w:szCs w:val="24"/>
          <w:lang w:eastAsia="zh-CN"/>
        </w:rPr>
      </w:pPr>
      <w:r w:rsidRPr="005211BE">
        <w:rPr>
          <w:rFonts w:eastAsia="Times New Roman" w:cs="Arial"/>
          <w:sz w:val="24"/>
          <w:szCs w:val="24"/>
          <w:lang w:eastAsia="zh-CN"/>
        </w:rPr>
        <w:t xml:space="preserve">Per avere ulteriori dettagli in merito alle prospettive di intervento elencate qui di seguito, si rimanda direttamente a pag. 17-20 del messaggio: </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sviluppo delle infrastrutture e digitalizzazione</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 xml:space="preserve">sostenibilità finanziaria e sviluppo delle competenze </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innovazione nei contenuti e legame con il territorio</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effetto leva sugli investimenti privati</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ospitalità e coinvolgimento del pubblico</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utilizzo delle risorse finanziarie</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diversificazione delle fonti di finanziamento</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ottimizzazione delle risorse e digitalizzazione</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innovazione die contenuti e coinvolgimento del pubblico</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 xml:space="preserve">sostenibilità finaziaria e ambientale </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collaborazioni strategiche e internazionalizzazione</w:t>
      </w:r>
    </w:p>
    <w:p w:rsidR="005211BE" w:rsidRPr="005211BE" w:rsidRDefault="005211BE" w:rsidP="009C2303">
      <w:pPr>
        <w:numPr>
          <w:ilvl w:val="0"/>
          <w:numId w:val="22"/>
        </w:numPr>
        <w:spacing w:before="80"/>
        <w:ind w:left="284" w:hanging="284"/>
        <w:rPr>
          <w:rFonts w:eastAsia="Times New Roman" w:cs="Arial"/>
          <w:sz w:val="24"/>
          <w:szCs w:val="24"/>
          <w:lang w:eastAsia="zh-CN"/>
        </w:rPr>
      </w:pPr>
      <w:r w:rsidRPr="005211BE">
        <w:rPr>
          <w:rFonts w:eastAsia="Times New Roman" w:cs="Arial"/>
          <w:sz w:val="24"/>
          <w:szCs w:val="24"/>
          <w:lang w:eastAsia="zh-CN"/>
        </w:rPr>
        <w:t xml:space="preserve">Public Affairs </w:t>
      </w:r>
    </w:p>
    <w:p w:rsidR="005211BE" w:rsidRDefault="005211BE" w:rsidP="00F42D0A">
      <w:pPr>
        <w:rPr>
          <w:rFonts w:eastAsia="Times New Roman" w:cs="Arial"/>
          <w:sz w:val="24"/>
          <w:szCs w:val="24"/>
          <w:lang w:eastAsia="zh-CN"/>
        </w:rPr>
      </w:pPr>
    </w:p>
    <w:p w:rsidR="007F41C0" w:rsidRPr="005211BE" w:rsidRDefault="007F41C0" w:rsidP="00F42D0A">
      <w:pPr>
        <w:rPr>
          <w:rFonts w:eastAsia="Times New Roman" w:cs="Arial"/>
          <w:sz w:val="24"/>
          <w:szCs w:val="24"/>
          <w:lang w:eastAsia="zh-CN"/>
        </w:rPr>
      </w:pPr>
    </w:p>
    <w:p w:rsidR="005211BE" w:rsidRPr="005211BE" w:rsidRDefault="005211BE" w:rsidP="007F41C0">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5211BE">
        <w:rPr>
          <w:rFonts w:eastAsia="Calibri" w:cs="Times New Roman"/>
          <w:caps/>
          <w:sz w:val="24"/>
          <w:szCs w:val="24"/>
          <w:lang w:val="it-IT" w:eastAsia="it-IT"/>
        </w:rPr>
        <w:t>Aspetti finanziari e contributi per il periodo 2026-2030</w:t>
      </w:r>
    </w:p>
    <w:p w:rsidR="005211BE" w:rsidRDefault="005211BE" w:rsidP="007F41C0">
      <w:pPr>
        <w:rPr>
          <w:rFonts w:eastAsia="Times New Roman" w:cs="Arial"/>
          <w:sz w:val="24"/>
          <w:szCs w:val="24"/>
          <w:lang w:eastAsia="zh-CN"/>
        </w:rPr>
      </w:pPr>
      <w:r w:rsidRPr="005211BE">
        <w:rPr>
          <w:rFonts w:eastAsia="Times New Roman" w:cs="Arial"/>
          <w:sz w:val="24"/>
          <w:szCs w:val="24"/>
          <w:lang w:eastAsia="zh-CN"/>
        </w:rPr>
        <w:t>Tra il 2019 e il 2023, il Locarno Film Festival ha attraversato una fase di profonda trasformazione, segnata dagli effetti della pandemia ma anche da importanti sviluppi strategici. Dopo un 2019 particolarmente positivo, con ricavi pari a 13,5 milioni di franchi, il 2020 ha registrato una brusca contrazione del 43%, dovuta all’impossibilità di svolgere il Festival in forma tradizionale. A partire dal 2021, tuttavia, è iniziata una fase di solido recupero, con una crescita media annua di ricavi e costi attorno al 16%.</w:t>
      </w:r>
    </w:p>
    <w:p w:rsidR="007F41C0" w:rsidRPr="005211BE" w:rsidRDefault="007F41C0" w:rsidP="007F41C0">
      <w:pPr>
        <w:rPr>
          <w:rFonts w:eastAsia="Times New Roman" w:cs="Arial"/>
          <w:sz w:val="24"/>
          <w:szCs w:val="24"/>
          <w:lang w:eastAsia="zh-CN"/>
        </w:rPr>
      </w:pPr>
    </w:p>
    <w:p w:rsidR="005211BE" w:rsidRDefault="005211BE" w:rsidP="007F41C0">
      <w:pPr>
        <w:rPr>
          <w:rFonts w:eastAsia="Times New Roman" w:cs="Arial"/>
          <w:sz w:val="24"/>
          <w:szCs w:val="24"/>
          <w:lang w:eastAsia="zh-CN"/>
        </w:rPr>
      </w:pPr>
      <w:r w:rsidRPr="005211BE">
        <w:rPr>
          <w:rFonts w:eastAsia="Times New Roman" w:cs="Arial"/>
          <w:sz w:val="24"/>
          <w:szCs w:val="24"/>
          <w:lang w:eastAsia="zh-CN"/>
        </w:rPr>
        <w:t>Un fattore determinante in questo percorso è stato l’aumento del contributo pubblico da parte del Cantone, introdotto nel 2021. Questo sostegno ha consentito al Festival di assorbire l’impatto dell’inflazione e del generale incremento dei costi a livello globale, ma anche di rafforzare il dialogo con il settore privato, portando a un aumento delle sponsorizzazioni.</w:t>
      </w:r>
    </w:p>
    <w:p w:rsidR="007F41C0" w:rsidRPr="005211BE" w:rsidRDefault="007F41C0" w:rsidP="007F41C0">
      <w:pPr>
        <w:rPr>
          <w:rFonts w:eastAsia="Times New Roman" w:cs="Arial"/>
          <w:sz w:val="24"/>
          <w:szCs w:val="24"/>
          <w:lang w:eastAsia="zh-CN"/>
        </w:rPr>
      </w:pPr>
    </w:p>
    <w:p w:rsidR="005211BE" w:rsidRPr="005211BE" w:rsidRDefault="005211BE" w:rsidP="007F41C0">
      <w:pPr>
        <w:rPr>
          <w:rFonts w:eastAsia="Times New Roman" w:cs="Arial"/>
          <w:sz w:val="24"/>
          <w:szCs w:val="24"/>
          <w:lang w:eastAsia="zh-CN"/>
        </w:rPr>
      </w:pPr>
      <w:r w:rsidRPr="005211BE">
        <w:rPr>
          <w:rFonts w:eastAsia="Times New Roman" w:cs="Arial"/>
          <w:sz w:val="24"/>
          <w:szCs w:val="24"/>
          <w:lang w:eastAsia="zh-CN"/>
        </w:rPr>
        <w:t>Alla crescita dei ricavi ha fatto seguito un incremento significativo dei costi, attribuibile sia al contesto macroeconomico sia agli investimenti strategici necessari per mantenere la competitività e l’efficienza del Festival. Particolarmente rilevante è stato l’impegno nella digitalizzazione dei processi interni, scelta fondamentale per adeguarsi all’evoluzione tecnologica e ottimizzare la gestione operativa dell’evento.</w:t>
      </w:r>
    </w:p>
    <w:p w:rsidR="005211BE" w:rsidRPr="005211BE" w:rsidRDefault="005211BE" w:rsidP="005211BE">
      <w:pPr>
        <w:rPr>
          <w:rFonts w:eastAsia="Aptos" w:cs="Arial"/>
          <w:sz w:val="24"/>
          <w:szCs w:val="24"/>
        </w:rPr>
      </w:pPr>
    </w:p>
    <w:p w:rsidR="005211BE" w:rsidRDefault="005211BE" w:rsidP="005211BE">
      <w:pPr>
        <w:keepNext/>
        <w:suppressAutoHyphens/>
        <w:rPr>
          <w:rFonts w:eastAsia="Aptos" w:cs="Arial"/>
          <w:i/>
          <w:iCs/>
          <w:color w:val="0E2841"/>
          <w:sz w:val="24"/>
          <w:szCs w:val="24"/>
        </w:rPr>
      </w:pPr>
      <w:r w:rsidRPr="005211BE">
        <w:rPr>
          <w:rFonts w:eastAsia="Aptos" w:cs="Arial"/>
          <w:i/>
          <w:iCs/>
          <w:color w:val="0E2841"/>
          <w:sz w:val="24"/>
          <w:szCs w:val="24"/>
        </w:rPr>
        <w:lastRenderedPageBreak/>
        <w:t xml:space="preserve">Tabella </w:t>
      </w:r>
      <w:r w:rsidRPr="005211BE">
        <w:rPr>
          <w:rFonts w:eastAsia="Aptos" w:cs="Arial"/>
          <w:i/>
          <w:iCs/>
          <w:color w:val="0E2841"/>
          <w:sz w:val="24"/>
          <w:szCs w:val="24"/>
        </w:rPr>
        <w:fldChar w:fldCharType="begin"/>
      </w:r>
      <w:r w:rsidRPr="005211BE">
        <w:rPr>
          <w:rFonts w:eastAsia="Aptos" w:cs="Arial"/>
          <w:i/>
          <w:iCs/>
          <w:color w:val="0E2841"/>
          <w:sz w:val="24"/>
          <w:szCs w:val="24"/>
        </w:rPr>
        <w:instrText xml:space="preserve"> SEQ Tabella \* ARABIC </w:instrText>
      </w:r>
      <w:r w:rsidRPr="005211BE">
        <w:rPr>
          <w:rFonts w:eastAsia="Aptos" w:cs="Arial"/>
          <w:i/>
          <w:iCs/>
          <w:color w:val="0E2841"/>
          <w:sz w:val="24"/>
          <w:szCs w:val="24"/>
        </w:rPr>
        <w:fldChar w:fldCharType="separate"/>
      </w:r>
      <w:r w:rsidR="004F6433">
        <w:rPr>
          <w:rFonts w:eastAsia="Aptos" w:cs="Arial"/>
          <w:i/>
          <w:iCs/>
          <w:noProof/>
          <w:color w:val="0E2841"/>
          <w:sz w:val="24"/>
          <w:szCs w:val="24"/>
        </w:rPr>
        <w:t>1</w:t>
      </w:r>
      <w:r w:rsidRPr="005211BE">
        <w:rPr>
          <w:rFonts w:eastAsia="Aptos" w:cs="Arial"/>
          <w:i/>
          <w:iCs/>
          <w:color w:val="0E2841"/>
          <w:sz w:val="24"/>
          <w:szCs w:val="24"/>
        </w:rPr>
        <w:fldChar w:fldCharType="end"/>
      </w:r>
      <w:r w:rsidRPr="005211BE">
        <w:rPr>
          <w:rFonts w:eastAsia="Aptos" w:cs="Arial"/>
          <w:i/>
          <w:iCs/>
          <w:color w:val="0E2841"/>
          <w:sz w:val="24"/>
          <w:szCs w:val="24"/>
        </w:rPr>
        <w:t xml:space="preserve"> Costi e ricavi d’esercizio, ammortamenti e utilizzo riserva per il periodo 2000-2023, in franchi</w:t>
      </w:r>
    </w:p>
    <w:p w:rsidR="007F41C0" w:rsidRPr="005211BE" w:rsidRDefault="007F41C0" w:rsidP="005211BE">
      <w:pPr>
        <w:keepNext/>
        <w:suppressAutoHyphens/>
        <w:rPr>
          <w:rFonts w:eastAsia="Aptos" w:cs="Arial"/>
          <w:i/>
          <w:iCs/>
          <w:color w:val="0E2841"/>
          <w:sz w:val="24"/>
          <w:szCs w:val="24"/>
        </w:rPr>
      </w:pPr>
    </w:p>
    <w:tbl>
      <w:tblPr>
        <w:tblW w:w="5000" w:type="pct"/>
        <w:jc w:val="right"/>
        <w:tblLayout w:type="fixed"/>
        <w:tblCellMar>
          <w:left w:w="70" w:type="dxa"/>
          <w:right w:w="70" w:type="dxa"/>
        </w:tblCellMar>
        <w:tblLook w:val="0000" w:firstRow="0" w:lastRow="0" w:firstColumn="0" w:lastColumn="0" w:noHBand="0" w:noVBand="0"/>
      </w:tblPr>
      <w:tblGrid>
        <w:gridCol w:w="750"/>
        <w:gridCol w:w="1745"/>
        <w:gridCol w:w="1745"/>
        <w:gridCol w:w="1745"/>
        <w:gridCol w:w="1745"/>
        <w:gridCol w:w="1745"/>
      </w:tblGrid>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b/>
              </w:rPr>
            </w:pPr>
            <w:r w:rsidRPr="005211BE">
              <w:rPr>
                <w:rFonts w:asciiTheme="minorHAnsi" w:eastAsia="Aptos" w:hAnsiTheme="minorHAnsi" w:cstheme="minorHAnsi"/>
                <w:b/>
              </w:rPr>
              <w:t>Anno</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center"/>
              <w:outlineLvl w:val="4"/>
              <w:rPr>
                <w:rFonts w:asciiTheme="minorHAnsi" w:eastAsia="Aptos" w:hAnsiTheme="minorHAnsi" w:cstheme="minorHAnsi"/>
                <w:b/>
              </w:rPr>
            </w:pPr>
            <w:r w:rsidRPr="005211BE">
              <w:rPr>
                <w:rFonts w:asciiTheme="minorHAnsi" w:eastAsia="Aptos" w:hAnsiTheme="minorHAnsi" w:cstheme="minorHAnsi"/>
                <w:b/>
              </w:rPr>
              <w:t>Costi</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center"/>
              <w:outlineLvl w:val="4"/>
              <w:rPr>
                <w:rFonts w:asciiTheme="minorHAnsi" w:eastAsia="Aptos" w:hAnsiTheme="minorHAnsi" w:cstheme="minorHAnsi"/>
                <w:b/>
              </w:rPr>
            </w:pPr>
            <w:r w:rsidRPr="005211BE">
              <w:rPr>
                <w:rFonts w:asciiTheme="minorHAnsi" w:eastAsia="Aptos" w:hAnsiTheme="minorHAnsi" w:cstheme="minorHAnsi"/>
                <w:b/>
              </w:rPr>
              <w:t>Ricavi</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center"/>
              <w:outlineLvl w:val="4"/>
              <w:rPr>
                <w:rFonts w:asciiTheme="minorHAnsi" w:eastAsia="Aptos" w:hAnsiTheme="minorHAnsi" w:cstheme="minorHAnsi"/>
                <w:b/>
              </w:rPr>
            </w:pPr>
            <w:r w:rsidRPr="005211BE">
              <w:rPr>
                <w:rFonts w:asciiTheme="minorHAnsi" w:eastAsia="Aptos" w:hAnsiTheme="minorHAnsi" w:cstheme="minorHAnsi"/>
                <w:b/>
              </w:rPr>
              <w:t>Avanzo/ Disavanzo</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center"/>
              <w:outlineLvl w:val="4"/>
              <w:rPr>
                <w:rFonts w:asciiTheme="minorHAnsi" w:eastAsia="Aptos" w:hAnsiTheme="minorHAnsi" w:cstheme="minorHAnsi"/>
                <w:b/>
              </w:rPr>
            </w:pPr>
            <w:r w:rsidRPr="005211BE">
              <w:rPr>
                <w:rFonts w:asciiTheme="minorHAnsi" w:eastAsia="Aptos" w:hAnsiTheme="minorHAnsi" w:cstheme="minorHAnsi"/>
                <w:b/>
              </w:rPr>
              <w:t>Ammortamenti</w:t>
            </w:r>
          </w:p>
        </w:tc>
        <w:tc>
          <w:tcPr>
            <w:tcW w:w="922"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center"/>
              <w:outlineLvl w:val="4"/>
              <w:rPr>
                <w:rFonts w:asciiTheme="minorHAnsi" w:eastAsia="Aptos" w:hAnsiTheme="minorHAnsi" w:cstheme="minorHAnsi"/>
                <w:b/>
                <w:color w:val="000000"/>
              </w:rPr>
            </w:pPr>
            <w:r w:rsidRPr="005211BE">
              <w:rPr>
                <w:rFonts w:asciiTheme="minorHAnsi" w:eastAsia="Aptos" w:hAnsiTheme="minorHAnsi" w:cstheme="minorHAnsi"/>
                <w:b/>
                <w:color w:val="000000"/>
              </w:rPr>
              <w:t>Utilizzo riserva</w:t>
            </w:r>
            <w:r w:rsidRPr="007F41C0">
              <w:rPr>
                <w:rFonts w:asciiTheme="minorHAnsi" w:eastAsia="Aptos" w:hAnsiTheme="minorHAnsi" w:cstheme="minorHAnsi"/>
                <w:b/>
                <w:color w:val="000000"/>
                <w:vertAlign w:val="superscript"/>
              </w:rPr>
              <w:footnoteReference w:id="6"/>
            </w:r>
          </w:p>
        </w:tc>
      </w:tr>
      <w:tr w:rsidR="005211BE" w:rsidRPr="005211BE" w:rsidTr="007F41C0">
        <w:trPr>
          <w:jc w:val="right"/>
        </w:trPr>
        <w:tc>
          <w:tcPr>
            <w:tcW w:w="395" w:type="pct"/>
            <w:tcBorders>
              <w:top w:val="single" w:sz="18"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2000</w:t>
            </w:r>
          </w:p>
        </w:tc>
        <w:tc>
          <w:tcPr>
            <w:tcW w:w="921" w:type="pct"/>
            <w:tcBorders>
              <w:top w:val="single" w:sz="18"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7'725'879</w:t>
            </w:r>
          </w:p>
        </w:tc>
        <w:tc>
          <w:tcPr>
            <w:tcW w:w="921" w:type="pct"/>
            <w:tcBorders>
              <w:top w:val="single" w:sz="18"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7'736'244</w:t>
            </w:r>
          </w:p>
        </w:tc>
        <w:tc>
          <w:tcPr>
            <w:tcW w:w="921" w:type="pct"/>
            <w:tcBorders>
              <w:top w:val="single" w:sz="18"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10'365</w:t>
            </w:r>
          </w:p>
        </w:tc>
        <w:tc>
          <w:tcPr>
            <w:tcW w:w="921" w:type="pct"/>
            <w:tcBorders>
              <w:top w:val="single" w:sz="18"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1'022'206</w:t>
            </w:r>
          </w:p>
        </w:tc>
        <w:tc>
          <w:tcPr>
            <w:tcW w:w="922" w:type="pct"/>
            <w:tcBorders>
              <w:top w:val="single" w:sz="18"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-10'368</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2001</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7'233'470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7'269'299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35'829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456'175</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-35'828</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2002</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8'804'530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8'836'381</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31'851</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1'024'795</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31'851</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2003</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9'678'690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9'681'417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2'727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885'791</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277'273</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2004</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10'145'055</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10'147'953</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2'898</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993'923</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817'102</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2005</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9'954'283</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9'954'283</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394'742</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554'499</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9'703'246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9'703'246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272'578</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-442'769</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10'022'354</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10'022'354</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265'153</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-542'499</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2008</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11'087'389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11'087'389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470'458</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385'591</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2009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11'094'667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11'094'667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365'928</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171'876</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10'821'320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10'821'320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885'560</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2011</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11'471'967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11'471'967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790'857</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-864'779</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2012</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12'008'580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12'008'580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438'525</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-131'247</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2013</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12'492'489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12'492'489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554'873</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keepNext/>
              <w:tabs>
                <w:tab w:val="left" w:pos="851"/>
              </w:tabs>
              <w:jc w:val="right"/>
              <w:outlineLvl w:val="4"/>
              <w:rPr>
                <w:rFonts w:asciiTheme="minorHAnsi" w:eastAsia="Aptos" w:hAnsiTheme="minorHAnsi" w:cstheme="minorHAnsi"/>
              </w:rPr>
            </w:pPr>
            <w:r w:rsidRPr="005211BE">
              <w:rPr>
                <w:rFonts w:asciiTheme="minorHAnsi" w:eastAsia="Aptos" w:hAnsiTheme="minorHAnsi" w:cstheme="minorHAnsi"/>
              </w:rPr>
              <w:t>12'213</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2014</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12'547’100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12'547’100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199'600</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21'589</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2015</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13'225’929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13'225’929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331'667</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96'568</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13’148’664</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13'148’664</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261'961</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132'163</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13'993’726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13'993’726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429'896</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248'388</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2018</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13’331'726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13’331'726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418'122</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21'945</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2019</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13'515’817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13'515’817</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369’469</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sidDel="008B7495">
              <w:rPr>
                <w:rFonts w:asciiTheme="minorHAnsi" w:eastAsia="Aptos" w:hAnsiTheme="minorHAnsi" w:cstheme="minorHAnsi"/>
              </w:rPr>
              <w:t>-</w:t>
            </w:r>
            <w:r w:rsidRPr="005211BE">
              <w:rPr>
                <w:rFonts w:asciiTheme="minorHAnsi" w:eastAsia="Aptos" w:hAnsiTheme="minorHAnsi" w:cstheme="minorHAnsi"/>
              </w:rPr>
              <w:t>93’832</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2020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7'748’656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7'748’656</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212’378</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356’599</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2021</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14'452’671</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14'452’671</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170’543</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991</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2022</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16'721’700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16'721’700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331’380</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-299’257</w:t>
            </w:r>
          </w:p>
        </w:tc>
      </w:tr>
      <w:tr w:rsidR="005211BE" w:rsidRPr="005211BE" w:rsidTr="007F41C0">
        <w:trPr>
          <w:jc w:val="right"/>
        </w:trPr>
        <w:tc>
          <w:tcPr>
            <w:tcW w:w="395" w:type="pct"/>
            <w:tcBorders>
              <w:top w:val="single" w:sz="4" w:space="0" w:color="auto"/>
              <w:left w:val="single" w:sz="4" w:space="0" w:color="auto"/>
              <w:bottom w:val="single" w:sz="4" w:space="0" w:color="auto"/>
              <w:right w:val="single" w:sz="4" w:space="0" w:color="auto"/>
            </w:tcBorders>
            <w:vAlign w:val="center"/>
          </w:tcPr>
          <w:p w:rsidR="005211BE" w:rsidRPr="005211BE" w:rsidRDefault="005211BE" w:rsidP="005211BE">
            <w:pPr>
              <w:jc w:val="center"/>
              <w:rPr>
                <w:rFonts w:asciiTheme="minorHAnsi" w:eastAsia="Aptos" w:hAnsiTheme="minorHAnsi" w:cstheme="minorHAnsi"/>
              </w:rPr>
            </w:pPr>
            <w:r w:rsidRPr="005211BE">
              <w:rPr>
                <w:rFonts w:asciiTheme="minorHAnsi" w:eastAsia="Aptos" w:hAnsiTheme="minorHAnsi" w:cstheme="minorHAnsi"/>
              </w:rPr>
              <w:t>2023</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17'578’600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17'578’600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0</w:t>
            </w:r>
          </w:p>
        </w:tc>
        <w:tc>
          <w:tcPr>
            <w:tcW w:w="921" w:type="pct"/>
            <w:tcBorders>
              <w:top w:val="single" w:sz="4" w:space="0" w:color="auto"/>
              <w:left w:val="nil"/>
              <w:bottom w:val="single" w:sz="4" w:space="0" w:color="auto"/>
              <w:right w:val="single" w:sz="4" w:space="0" w:color="auto"/>
            </w:tcBorders>
            <w:vAlign w:val="center"/>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465’318</w:t>
            </w:r>
          </w:p>
        </w:tc>
        <w:tc>
          <w:tcPr>
            <w:tcW w:w="922" w:type="pct"/>
            <w:tcBorders>
              <w:top w:val="single" w:sz="4" w:space="0" w:color="auto"/>
              <w:left w:val="nil"/>
              <w:bottom w:val="single" w:sz="4" w:space="0" w:color="auto"/>
              <w:right w:val="single" w:sz="4" w:space="0" w:color="auto"/>
            </w:tcBorders>
          </w:tcPr>
          <w:p w:rsidR="005211BE" w:rsidRPr="005211BE" w:rsidRDefault="005211BE" w:rsidP="005211BE">
            <w:pPr>
              <w:jc w:val="right"/>
              <w:rPr>
                <w:rFonts w:asciiTheme="minorHAnsi" w:eastAsia="Aptos" w:hAnsiTheme="minorHAnsi" w:cstheme="minorHAnsi"/>
              </w:rPr>
            </w:pPr>
            <w:r w:rsidRPr="005211BE">
              <w:rPr>
                <w:rFonts w:asciiTheme="minorHAnsi" w:eastAsia="Aptos" w:hAnsiTheme="minorHAnsi" w:cstheme="minorHAnsi"/>
              </w:rPr>
              <w:t>-485’550</w:t>
            </w:r>
          </w:p>
        </w:tc>
      </w:tr>
    </w:tbl>
    <w:p w:rsidR="007F41C0" w:rsidRDefault="007F41C0" w:rsidP="005211BE">
      <w:pPr>
        <w:suppressAutoHyphens/>
        <w:contextualSpacing/>
        <w:rPr>
          <w:rFonts w:eastAsia="Aptos" w:cs="Arial"/>
          <w:sz w:val="24"/>
          <w:szCs w:val="24"/>
        </w:rPr>
      </w:pPr>
    </w:p>
    <w:p w:rsidR="005211BE" w:rsidRPr="005211BE" w:rsidRDefault="005211BE" w:rsidP="005211BE">
      <w:pPr>
        <w:suppressAutoHyphens/>
        <w:contextualSpacing/>
        <w:rPr>
          <w:rFonts w:eastAsia="Aptos" w:cs="Arial"/>
          <w:sz w:val="24"/>
          <w:szCs w:val="24"/>
        </w:rPr>
      </w:pPr>
      <w:r w:rsidRPr="005211BE">
        <w:rPr>
          <w:rFonts w:eastAsia="Aptos" w:cs="Arial"/>
          <w:sz w:val="24"/>
          <w:szCs w:val="24"/>
        </w:rPr>
        <w:t>FONTE: LFF</w:t>
      </w:r>
    </w:p>
    <w:p w:rsidR="007F41C0" w:rsidRDefault="007F41C0" w:rsidP="007F41C0">
      <w:pPr>
        <w:rPr>
          <w:rFonts w:eastAsia="DengXian Light" w:cs="Arial"/>
          <w:sz w:val="24"/>
          <w:szCs w:val="24"/>
          <w:lang w:eastAsia="zh-CN"/>
        </w:rPr>
      </w:pPr>
    </w:p>
    <w:p w:rsidR="005211BE" w:rsidRDefault="005211BE" w:rsidP="007F41C0">
      <w:pPr>
        <w:rPr>
          <w:rFonts w:eastAsia="Times New Roman" w:cs="Arial"/>
          <w:sz w:val="24"/>
          <w:szCs w:val="24"/>
          <w:lang w:eastAsia="zh-CN"/>
        </w:rPr>
      </w:pPr>
      <w:r w:rsidRPr="005211BE">
        <w:rPr>
          <w:rFonts w:eastAsia="DengXian Light" w:cs="Arial"/>
          <w:sz w:val="24"/>
          <w:szCs w:val="24"/>
          <w:lang w:eastAsia="zh-CN"/>
        </w:rPr>
        <w:t>Nel biennio 2022-2023, il Locarno Film Festival ha affrontato sfide significative legate all’incremento dei costi operativi</w:t>
      </w:r>
      <w:r w:rsidRPr="005211BE">
        <w:rPr>
          <w:rFonts w:eastAsia="Times New Roman" w:cs="Arial"/>
          <w:sz w:val="24"/>
          <w:szCs w:val="24"/>
          <w:lang w:eastAsia="zh-CN"/>
        </w:rPr>
        <w:t>, che hanno inciso sulla gestione finanziaria e reso necessario l’utilizzo parziale delle riserve per mantenere l’equilibrio di bilancio. Sebbene questa misura abbia permesso di chiudere i conti in pareggio, ha avuto un impatto negativo sulla liquidità, limitando la disponibilità di risorse per esigenze future.</w:t>
      </w:r>
    </w:p>
    <w:p w:rsidR="007F41C0" w:rsidRPr="005211BE" w:rsidRDefault="007F41C0" w:rsidP="007F41C0">
      <w:pPr>
        <w:rPr>
          <w:rFonts w:eastAsia="Times New Roman" w:cs="Arial"/>
          <w:sz w:val="24"/>
          <w:szCs w:val="24"/>
          <w:lang w:eastAsia="zh-CN"/>
        </w:rPr>
      </w:pPr>
    </w:p>
    <w:p w:rsidR="005211BE" w:rsidRDefault="005211BE" w:rsidP="007F41C0">
      <w:pPr>
        <w:rPr>
          <w:rFonts w:eastAsia="Times New Roman" w:cs="Arial"/>
          <w:sz w:val="24"/>
          <w:szCs w:val="24"/>
          <w:lang w:eastAsia="zh-CN"/>
        </w:rPr>
      </w:pPr>
      <w:r w:rsidRPr="005211BE">
        <w:rPr>
          <w:rFonts w:eastAsia="Times New Roman" w:cs="Arial"/>
          <w:sz w:val="24"/>
          <w:szCs w:val="24"/>
          <w:lang w:eastAsia="zh-CN"/>
        </w:rPr>
        <w:t>Parallelamente, il Festival ha vissuto una fase di profonda transizione coincisa con la partenza del Presidente Marco Solari, figura di riferimento per oltre vent’anni. Questo cambiamento ha avviato un ripensamento strategico su più livelli, che ha coinvolto la governance, la ridefinizione della strategia complessiva e l’adeguamento degli statuti dell’associazione.</w:t>
      </w:r>
    </w:p>
    <w:p w:rsidR="007F41C0" w:rsidRPr="005211BE" w:rsidRDefault="007F41C0" w:rsidP="007F41C0">
      <w:pPr>
        <w:rPr>
          <w:rFonts w:eastAsia="Times New Roman" w:cs="Arial"/>
          <w:sz w:val="24"/>
          <w:szCs w:val="24"/>
          <w:lang w:eastAsia="zh-CN"/>
        </w:rPr>
      </w:pPr>
    </w:p>
    <w:p w:rsidR="005211BE" w:rsidRDefault="005211BE" w:rsidP="007F41C0">
      <w:pPr>
        <w:rPr>
          <w:rFonts w:eastAsia="Times New Roman" w:cs="Arial"/>
          <w:sz w:val="24"/>
          <w:szCs w:val="24"/>
          <w:lang w:eastAsia="zh-CN"/>
        </w:rPr>
      </w:pPr>
      <w:r w:rsidRPr="005211BE">
        <w:rPr>
          <w:rFonts w:eastAsia="Times New Roman" w:cs="Arial"/>
          <w:sz w:val="24"/>
          <w:szCs w:val="24"/>
          <w:lang w:eastAsia="zh-CN"/>
        </w:rPr>
        <w:t xml:space="preserve">La ristrutturazione organizzativa è stata altrettanto incisiva, con l’obiettivo di chiarire meglio i ruoli dei vari reparti, valorizzare i progetti in corso e analizzare con maggiore accuratezza le fonti di finanziamento. Il percorso di trasformazione è stato dettato dalla necessità di ottimizzare i costi e riportare il bilancio in equilibrio, senza compromettere la qualità </w:t>
      </w:r>
      <w:r w:rsidRPr="005211BE">
        <w:rPr>
          <w:rFonts w:eastAsia="Times New Roman" w:cs="Arial"/>
          <w:sz w:val="24"/>
          <w:szCs w:val="24"/>
          <w:lang w:eastAsia="zh-CN"/>
        </w:rPr>
        <w:lastRenderedPageBreak/>
        <w:t>dell’offerta artistica — cuore del Festival — e mantenendo alta l’attrattività per l’industria cinematografica e i partner privati.</w:t>
      </w:r>
    </w:p>
    <w:p w:rsidR="007F41C0" w:rsidRPr="005211BE" w:rsidRDefault="007F41C0" w:rsidP="007F41C0">
      <w:pPr>
        <w:rPr>
          <w:rFonts w:eastAsia="Times New Roman" w:cs="Arial"/>
          <w:sz w:val="24"/>
          <w:szCs w:val="24"/>
          <w:lang w:eastAsia="zh-CN"/>
        </w:rPr>
      </w:pPr>
    </w:p>
    <w:p w:rsidR="005211BE" w:rsidRDefault="005211BE" w:rsidP="007F41C0">
      <w:pPr>
        <w:rPr>
          <w:rFonts w:eastAsia="Times New Roman" w:cs="Arial"/>
          <w:sz w:val="24"/>
          <w:szCs w:val="24"/>
          <w:lang w:eastAsia="zh-CN"/>
        </w:rPr>
      </w:pPr>
      <w:r w:rsidRPr="005211BE">
        <w:rPr>
          <w:rFonts w:eastAsia="Times New Roman" w:cs="Arial"/>
          <w:sz w:val="24"/>
          <w:szCs w:val="24"/>
          <w:lang w:eastAsia="zh-CN"/>
        </w:rPr>
        <w:t>Tra gli obiettivi strategici della nuova presidenza vi è l’ampliamento delle opportunità di finanziamento internazionale: un processo già avviato, ma che richiederà tempo per produrre risultati concreti. Nel frattempo, sono state avviate ottimizzazioni mirate nei reparti gestionali, salvaguardando per quanto possibile quelli artistici.</w:t>
      </w:r>
    </w:p>
    <w:p w:rsidR="007F41C0" w:rsidRPr="005211BE" w:rsidRDefault="007F41C0" w:rsidP="007F41C0">
      <w:pPr>
        <w:rPr>
          <w:rFonts w:eastAsia="Times New Roman" w:cs="Arial"/>
          <w:sz w:val="24"/>
          <w:szCs w:val="24"/>
          <w:lang w:eastAsia="zh-CN"/>
        </w:rPr>
      </w:pPr>
    </w:p>
    <w:p w:rsidR="005211BE" w:rsidRPr="005211BE" w:rsidRDefault="005211BE" w:rsidP="007F41C0">
      <w:pPr>
        <w:rPr>
          <w:rFonts w:eastAsia="Times New Roman" w:cs="Arial"/>
          <w:sz w:val="24"/>
          <w:szCs w:val="24"/>
          <w:lang w:eastAsia="zh-CN"/>
        </w:rPr>
      </w:pPr>
      <w:r w:rsidRPr="005211BE">
        <w:rPr>
          <w:rFonts w:eastAsia="Times New Roman" w:cs="Arial"/>
          <w:sz w:val="24"/>
          <w:szCs w:val="24"/>
          <w:lang w:eastAsia="zh-CN"/>
        </w:rPr>
        <w:t>Questa trasformazione strutturale si è completata alla fine del 2024 con la creazione di una nuova direzione, volta a rafforzare la gestione strategica e operativa del Festival. Nonostante una disponibilità finanziaria ancora contenuta, il rinnovamento rappresenta un punto di partenza fondamentale per introdurre innovazioni nei settori più critici e per consolidare ulteriormente la posizione del Festival sul piano nazionale e internazionale.</w:t>
      </w:r>
    </w:p>
    <w:p w:rsidR="007F41C0" w:rsidRDefault="007F41C0" w:rsidP="007F41C0">
      <w:pPr>
        <w:contextualSpacing/>
        <w:rPr>
          <w:rFonts w:eastAsia="Times New Roman" w:cs="Arial"/>
          <w:b/>
          <w:sz w:val="24"/>
          <w:szCs w:val="24"/>
          <w:lang w:eastAsia="zh-CN"/>
        </w:rPr>
      </w:pPr>
    </w:p>
    <w:p w:rsidR="00220CE9" w:rsidRDefault="00220CE9" w:rsidP="007F41C0">
      <w:pPr>
        <w:contextualSpacing/>
        <w:rPr>
          <w:rFonts w:eastAsia="Times New Roman" w:cs="Arial"/>
          <w:b/>
          <w:sz w:val="24"/>
          <w:szCs w:val="24"/>
          <w:lang w:eastAsia="zh-CN"/>
        </w:rPr>
      </w:pPr>
    </w:p>
    <w:p w:rsidR="005211BE" w:rsidRPr="005211BE" w:rsidRDefault="005211BE" w:rsidP="007F41C0">
      <w:pPr>
        <w:pStyle w:val="Titolo2"/>
        <w:numPr>
          <w:ilvl w:val="0"/>
          <w:numId w:val="0"/>
        </w:numPr>
        <w:tabs>
          <w:tab w:val="left" w:pos="567"/>
        </w:tabs>
        <w:spacing w:before="0" w:after="120"/>
        <w:jc w:val="both"/>
        <w:rPr>
          <w:rFonts w:eastAsia="Calibri" w:cs="Times New Roman"/>
          <w:sz w:val="24"/>
          <w:lang w:val="it-IT" w:eastAsia="it-IT"/>
        </w:rPr>
      </w:pPr>
      <w:r w:rsidRPr="005211BE">
        <w:rPr>
          <w:rFonts w:eastAsia="Calibri" w:cs="Times New Roman"/>
          <w:sz w:val="24"/>
          <w:lang w:val="it-IT" w:eastAsia="it-IT"/>
        </w:rPr>
        <w:t xml:space="preserve">Ricavi </w:t>
      </w:r>
    </w:p>
    <w:p w:rsidR="005211BE" w:rsidRDefault="005211BE" w:rsidP="007F41C0">
      <w:pPr>
        <w:suppressAutoHyphens/>
        <w:contextualSpacing/>
        <w:rPr>
          <w:rFonts w:eastAsia="Aptos" w:cs="Arial"/>
          <w:sz w:val="24"/>
          <w:szCs w:val="24"/>
        </w:rPr>
      </w:pPr>
      <w:r w:rsidRPr="005211BE">
        <w:rPr>
          <w:rFonts w:eastAsia="Aptos" w:cs="Arial"/>
          <w:sz w:val="24"/>
          <w:szCs w:val="24"/>
        </w:rPr>
        <w:t xml:space="preserve">Come illustrato nella figura 1 sottostante, dal 2018 al 2024, c’è stata un'evoluzione significativa nella composizione delle fonti di finanziamento del Festival. Le sovvenzioni pubbliche sono passate da 44% del budget totale nel 2018 al 40% per il 2024. </w:t>
      </w:r>
    </w:p>
    <w:p w:rsidR="007F41C0" w:rsidRPr="005211BE" w:rsidRDefault="007F41C0" w:rsidP="007F41C0">
      <w:pPr>
        <w:suppressAutoHyphens/>
        <w:contextualSpacing/>
        <w:rPr>
          <w:rFonts w:eastAsia="Aptos" w:cs="Arial"/>
          <w:sz w:val="24"/>
          <w:szCs w:val="24"/>
        </w:rPr>
      </w:pPr>
    </w:p>
    <w:p w:rsidR="005211BE" w:rsidRDefault="005211BE" w:rsidP="007F41C0">
      <w:pPr>
        <w:suppressAutoHyphens/>
        <w:contextualSpacing/>
        <w:rPr>
          <w:rFonts w:eastAsia="Aptos" w:cs="Arial"/>
          <w:sz w:val="24"/>
          <w:szCs w:val="24"/>
        </w:rPr>
      </w:pPr>
      <w:r w:rsidRPr="005211BE">
        <w:rPr>
          <w:rFonts w:eastAsia="Aptos" w:cs="Arial"/>
          <w:sz w:val="24"/>
          <w:szCs w:val="24"/>
        </w:rPr>
        <w:t xml:space="preserve">Nel 2020, un anno che è stato fortemente influenzato dalla pandemia, le sovvenzioni pubbliche sono temporaneamente salite al 67%, in assenza di numerose controprestazioni da parte del settore privato. </w:t>
      </w:r>
    </w:p>
    <w:p w:rsidR="007F41C0" w:rsidRPr="005211BE" w:rsidRDefault="007F41C0" w:rsidP="007F41C0">
      <w:pPr>
        <w:suppressAutoHyphens/>
        <w:contextualSpacing/>
        <w:rPr>
          <w:rFonts w:eastAsia="Aptos" w:cs="Arial"/>
          <w:sz w:val="24"/>
          <w:szCs w:val="24"/>
        </w:rPr>
      </w:pPr>
    </w:p>
    <w:p w:rsidR="005211BE" w:rsidRPr="005211BE" w:rsidRDefault="005211BE" w:rsidP="007F41C0">
      <w:pPr>
        <w:suppressAutoHyphens/>
        <w:contextualSpacing/>
        <w:rPr>
          <w:rFonts w:eastAsia="Aptos" w:cs="Arial"/>
          <w:sz w:val="24"/>
          <w:szCs w:val="24"/>
        </w:rPr>
      </w:pPr>
      <w:r w:rsidRPr="005211BE">
        <w:rPr>
          <w:rFonts w:eastAsia="Aptos" w:cs="Arial"/>
          <w:sz w:val="24"/>
          <w:szCs w:val="24"/>
        </w:rPr>
        <w:t xml:space="preserve">Con la ripresa delle attività e con una maggiore capacità di attrarre sponsorizzazioni private e ricavi propri, la percentuale delle sovvenzioni pubbliche è gradualmente diminuita negli anni successivi. </w:t>
      </w:r>
    </w:p>
    <w:p w:rsidR="005211BE" w:rsidRPr="005211BE" w:rsidRDefault="005211BE" w:rsidP="007F41C0">
      <w:pPr>
        <w:suppressAutoHyphens/>
        <w:contextualSpacing/>
        <w:rPr>
          <w:rFonts w:eastAsia="Aptos" w:cs="Arial"/>
          <w:sz w:val="24"/>
          <w:szCs w:val="24"/>
        </w:rPr>
      </w:pPr>
    </w:p>
    <w:p w:rsidR="005211BE" w:rsidRDefault="005211BE" w:rsidP="007F41C0">
      <w:pPr>
        <w:suppressAutoHyphens/>
        <w:contextualSpacing/>
        <w:rPr>
          <w:rFonts w:eastAsia="Aptos" w:cs="Arial"/>
          <w:sz w:val="24"/>
          <w:szCs w:val="24"/>
        </w:rPr>
      </w:pPr>
      <w:r w:rsidRPr="005211BE">
        <w:rPr>
          <w:rFonts w:eastAsia="Aptos" w:cs="Arial"/>
          <w:sz w:val="24"/>
          <w:szCs w:val="24"/>
        </w:rPr>
        <w:t>Parallelamente, i contributi degli sponsor hanno giocato un ruolo sempre più rilevante, passando dal 31% nel 2018 al 36% nel 2024, dimostrando la crescente attrattività del Festival per il settore privato. Anche i ricavi propri, pur subendo una drastica riduzione al 3% nel 2020 a causa dell'interruzione delle attività legate al pubblico durante la pandemia, sono gradualmente risaliti al 24-25% negli anni successivi. Questa evoluzione dimostra come il Festival abbia saputo diversificare le proprie fonti di finanziamento, bilanciando il sostegno pubblico con una sempre maggiore capacità di attrarre sponsor privati e generare ricavi propri, garantendo così la stabilità e la continuità dell’evento anche in periodi di incertezza economica.</w:t>
      </w:r>
    </w:p>
    <w:p w:rsidR="00220CE9" w:rsidRPr="005211BE" w:rsidRDefault="00220CE9" w:rsidP="007F41C0">
      <w:pPr>
        <w:suppressAutoHyphens/>
        <w:contextualSpacing/>
        <w:rPr>
          <w:rFonts w:eastAsia="Aptos" w:cs="Arial"/>
          <w:sz w:val="24"/>
          <w:szCs w:val="24"/>
        </w:rPr>
      </w:pPr>
    </w:p>
    <w:p w:rsidR="005211BE" w:rsidRPr="005211BE" w:rsidRDefault="005211BE" w:rsidP="007F41C0">
      <w:pPr>
        <w:contextualSpacing/>
        <w:rPr>
          <w:rFonts w:eastAsia="Times New Roman" w:cs="Arial"/>
          <w:sz w:val="24"/>
          <w:szCs w:val="24"/>
          <w:lang w:eastAsia="zh-CN"/>
        </w:rPr>
      </w:pPr>
      <w:r w:rsidRPr="005211BE">
        <w:rPr>
          <w:rFonts w:eastAsia="Times New Roman" w:cs="Arial"/>
          <w:sz w:val="24"/>
          <w:szCs w:val="24"/>
          <w:lang w:eastAsia="zh-CN"/>
        </w:rPr>
        <w:t xml:space="preserve">Figura </w:t>
      </w:r>
      <w:r w:rsidRPr="005211BE">
        <w:rPr>
          <w:rFonts w:eastAsia="Times New Roman" w:cs="Arial"/>
          <w:sz w:val="24"/>
          <w:szCs w:val="24"/>
          <w:lang w:eastAsia="zh-CN"/>
        </w:rPr>
        <w:fldChar w:fldCharType="begin"/>
      </w:r>
      <w:r w:rsidRPr="005211BE">
        <w:rPr>
          <w:rFonts w:eastAsia="Times New Roman" w:cs="Arial"/>
          <w:sz w:val="24"/>
          <w:szCs w:val="24"/>
          <w:lang w:eastAsia="zh-CN"/>
        </w:rPr>
        <w:instrText xml:space="preserve"> SEQ Figura \* ARABIC </w:instrText>
      </w:r>
      <w:r w:rsidRPr="005211BE">
        <w:rPr>
          <w:rFonts w:eastAsia="Times New Roman" w:cs="Arial"/>
          <w:sz w:val="24"/>
          <w:szCs w:val="24"/>
          <w:lang w:eastAsia="zh-CN"/>
        </w:rPr>
        <w:fldChar w:fldCharType="separate"/>
      </w:r>
      <w:r w:rsidR="004F6433">
        <w:rPr>
          <w:rFonts w:eastAsia="Times New Roman" w:cs="Arial"/>
          <w:noProof/>
          <w:sz w:val="24"/>
          <w:szCs w:val="24"/>
          <w:lang w:eastAsia="zh-CN"/>
        </w:rPr>
        <w:t>1</w:t>
      </w:r>
      <w:r w:rsidRPr="005211BE">
        <w:rPr>
          <w:rFonts w:eastAsia="Times New Roman" w:cs="Arial"/>
          <w:sz w:val="24"/>
          <w:szCs w:val="24"/>
          <w:lang w:eastAsia="zh-CN"/>
        </w:rPr>
        <w:fldChar w:fldCharType="end"/>
      </w:r>
      <w:r w:rsidRPr="005211BE">
        <w:rPr>
          <w:rFonts w:eastAsia="Times New Roman" w:cs="Arial"/>
          <w:sz w:val="24"/>
          <w:szCs w:val="24"/>
          <w:lang w:eastAsia="zh-CN"/>
        </w:rPr>
        <w:t xml:space="preserve"> Fonti di finanziamento per anno e per tipologia, valori percentuali, in franchi</w:t>
      </w:r>
    </w:p>
    <w:p w:rsidR="005211BE" w:rsidRPr="005211BE" w:rsidRDefault="005211BE" w:rsidP="005211BE">
      <w:pPr>
        <w:spacing w:before="100" w:beforeAutospacing="1" w:after="100" w:afterAutospacing="1"/>
        <w:rPr>
          <w:rFonts w:eastAsia="Times New Roman" w:cs="Arial"/>
          <w:sz w:val="24"/>
          <w:szCs w:val="24"/>
          <w:lang w:eastAsia="zh-CN"/>
        </w:rPr>
      </w:pPr>
      <w:r w:rsidRPr="005211BE">
        <w:rPr>
          <w:rFonts w:eastAsia="Times New Roman" w:cs="Arial"/>
          <w:noProof/>
          <w:sz w:val="24"/>
          <w:szCs w:val="24"/>
          <w:lang w:eastAsia="it-CH"/>
        </w:rPr>
        <w:lastRenderedPageBreak/>
        <w:drawing>
          <wp:inline distT="0" distB="0" distL="0" distR="0" wp14:anchorId="0F27F104" wp14:editId="0A55ED57">
            <wp:extent cx="6022975" cy="2095980"/>
            <wp:effectExtent l="0" t="0" r="0" b="0"/>
            <wp:docPr id="963526473" name="Picture 1" descr="A graph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526473" name="Picture 1" descr="A graph with green squares&#10;&#10;Description automatically generated"/>
                    <pic:cNvPicPr/>
                  </pic:nvPicPr>
                  <pic:blipFill>
                    <a:blip r:embed="rId11"/>
                    <a:stretch>
                      <a:fillRect/>
                    </a:stretch>
                  </pic:blipFill>
                  <pic:spPr>
                    <a:xfrm>
                      <a:off x="0" y="0"/>
                      <a:ext cx="6022975" cy="2095980"/>
                    </a:xfrm>
                    <a:prstGeom prst="rect">
                      <a:avLst/>
                    </a:prstGeom>
                  </pic:spPr>
                </pic:pic>
              </a:graphicData>
            </a:graphic>
          </wp:inline>
        </w:drawing>
      </w:r>
    </w:p>
    <w:p w:rsidR="005211BE" w:rsidRPr="005211BE" w:rsidRDefault="005211BE" w:rsidP="005211BE">
      <w:pPr>
        <w:ind w:left="-284" w:right="-568" w:firstLine="284"/>
        <w:jc w:val="left"/>
        <w:rPr>
          <w:rFonts w:eastAsia="Aptos" w:cs="Arial"/>
          <w:b/>
          <w:sz w:val="16"/>
          <w:szCs w:val="16"/>
        </w:rPr>
      </w:pPr>
      <w:r w:rsidRPr="005211BE">
        <w:rPr>
          <w:rFonts w:eastAsia="Aptos" w:cs="Arial"/>
          <w:sz w:val="16"/>
          <w:szCs w:val="16"/>
        </w:rPr>
        <w:t>Fonte: LFF</w:t>
      </w:r>
    </w:p>
    <w:p w:rsidR="005211BE" w:rsidRPr="005211BE" w:rsidRDefault="005211BE" w:rsidP="005211BE">
      <w:pPr>
        <w:spacing w:before="100" w:beforeAutospacing="1" w:after="100" w:afterAutospacing="1"/>
        <w:rPr>
          <w:rFonts w:eastAsia="Times New Roman" w:cs="Arial"/>
          <w:sz w:val="24"/>
          <w:szCs w:val="24"/>
          <w:lang w:eastAsia="zh-CN"/>
        </w:rPr>
      </w:pPr>
      <w:r w:rsidRPr="005211BE">
        <w:rPr>
          <w:rFonts w:eastAsia="Times New Roman" w:cs="Arial"/>
          <w:sz w:val="24"/>
          <w:szCs w:val="24"/>
          <w:lang w:eastAsia="zh-CN"/>
        </w:rPr>
        <w:t xml:space="preserve">Rispetto al 2019, i ricavi del Festival sono aumentati di fr. 4'000'000.-. Di questo incremento, 1 milione è attribuibile all'aumento delle sovvenzioni pubbliche complessive. Mentre i restanti 3 milioni provengono da un incremento di 2 milioni dal sostegno del settore privato e da una maggiore generazione di ricavi propri per 1 milione grazie anche al progetto </w:t>
      </w:r>
      <w:r w:rsidRPr="005211BE">
        <w:rPr>
          <w:rFonts w:eastAsia="Times New Roman" w:cs="Arial"/>
          <w:i/>
          <w:sz w:val="24"/>
          <w:szCs w:val="24"/>
          <w:lang w:eastAsia="zh-CN"/>
        </w:rPr>
        <w:t>Rotonda by la Mobiliare</w:t>
      </w:r>
      <w:r w:rsidRPr="005211BE">
        <w:rPr>
          <w:rFonts w:eastAsia="Times New Roman" w:cs="Arial"/>
          <w:sz w:val="24"/>
          <w:szCs w:val="24"/>
          <w:lang w:eastAsia="zh-CN"/>
        </w:rPr>
        <w:t>. Di conseguenza, la percentuale dei contributi pubblici sui ricavi annuali è diminuita del 4%. Questo cambiamento evidenzia una minore dipendenza dalle sovvenzioni pubbliche e una crescente capacità di attrarre finanziamenti privati. La proporzione dei ricavi propri è rimasta stabile, a dimostrazione del fatto che l’offerta del Festival ha raggiunto la maturità in termini di generazione di entrate, seppur limitata principalmente da vincoli logistici e operativi.</w:t>
      </w:r>
    </w:p>
    <w:p w:rsidR="005211BE" w:rsidRPr="005211BE" w:rsidRDefault="005211BE" w:rsidP="005211BE">
      <w:pPr>
        <w:keepNext/>
        <w:suppressAutoHyphens/>
        <w:rPr>
          <w:rFonts w:eastAsia="Aptos" w:cs="Arial"/>
          <w:i/>
          <w:iCs/>
          <w:color w:val="0E2841"/>
          <w:sz w:val="18"/>
          <w:szCs w:val="18"/>
        </w:rPr>
      </w:pPr>
      <w:r w:rsidRPr="005211BE">
        <w:rPr>
          <w:rFonts w:eastAsia="Aptos" w:cs="Arial"/>
          <w:i/>
          <w:iCs/>
          <w:color w:val="0E2841"/>
          <w:sz w:val="18"/>
          <w:szCs w:val="18"/>
        </w:rPr>
        <w:t xml:space="preserve">Tabella </w:t>
      </w:r>
      <w:r w:rsidRPr="005211BE">
        <w:rPr>
          <w:rFonts w:eastAsia="Aptos" w:cs="Arial"/>
          <w:i/>
          <w:iCs/>
          <w:color w:val="0E2841"/>
          <w:sz w:val="18"/>
          <w:szCs w:val="18"/>
        </w:rPr>
        <w:fldChar w:fldCharType="begin"/>
      </w:r>
      <w:r w:rsidRPr="005211BE">
        <w:rPr>
          <w:rFonts w:eastAsia="Aptos" w:cs="Arial"/>
          <w:i/>
          <w:iCs/>
          <w:color w:val="0E2841"/>
          <w:sz w:val="18"/>
          <w:szCs w:val="18"/>
        </w:rPr>
        <w:instrText xml:space="preserve"> SEQ Tabella \* ARABIC </w:instrText>
      </w:r>
      <w:r w:rsidRPr="005211BE">
        <w:rPr>
          <w:rFonts w:eastAsia="Aptos" w:cs="Arial"/>
          <w:i/>
          <w:iCs/>
          <w:color w:val="0E2841"/>
          <w:sz w:val="18"/>
          <w:szCs w:val="18"/>
        </w:rPr>
        <w:fldChar w:fldCharType="separate"/>
      </w:r>
      <w:r w:rsidR="004F6433">
        <w:rPr>
          <w:rFonts w:eastAsia="Aptos" w:cs="Arial"/>
          <w:i/>
          <w:iCs/>
          <w:noProof/>
          <w:color w:val="0E2841"/>
          <w:sz w:val="18"/>
          <w:szCs w:val="18"/>
        </w:rPr>
        <w:t>2</w:t>
      </w:r>
      <w:r w:rsidRPr="005211BE">
        <w:rPr>
          <w:rFonts w:eastAsia="Aptos" w:cs="Arial"/>
          <w:i/>
          <w:iCs/>
          <w:noProof/>
          <w:color w:val="0E2841"/>
          <w:sz w:val="18"/>
          <w:szCs w:val="18"/>
        </w:rPr>
        <w:fldChar w:fldCharType="end"/>
      </w:r>
      <w:r w:rsidRPr="005211BE">
        <w:rPr>
          <w:rFonts w:eastAsia="Aptos" w:cs="Arial"/>
          <w:i/>
          <w:iCs/>
          <w:color w:val="0E2841"/>
          <w:sz w:val="18"/>
          <w:szCs w:val="18"/>
        </w:rPr>
        <w:t xml:space="preserve"> Ripartizione per tipologia di ricavi, valori assoluti e percentuali, in franchi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1601"/>
        <w:gridCol w:w="5604"/>
      </w:tblGrid>
      <w:tr w:rsidR="005211BE" w:rsidRPr="005211BE" w:rsidTr="007F41C0">
        <w:trPr>
          <w:trHeight w:val="75"/>
        </w:trPr>
        <w:tc>
          <w:tcPr>
            <w:tcW w:w="5000" w:type="pct"/>
            <w:gridSpan w:val="3"/>
          </w:tcPr>
          <w:p w:rsidR="005211BE" w:rsidRPr="005211BE" w:rsidRDefault="005211BE" w:rsidP="005211BE">
            <w:pPr>
              <w:autoSpaceDE w:val="0"/>
              <w:autoSpaceDN w:val="0"/>
              <w:adjustRightInd w:val="0"/>
              <w:jc w:val="center"/>
              <w:rPr>
                <w:rFonts w:eastAsia="Aptos" w:cs="Arial"/>
                <w:color w:val="000000"/>
                <w:sz w:val="20"/>
              </w:rPr>
            </w:pPr>
            <w:r w:rsidRPr="005211BE">
              <w:rPr>
                <w:rFonts w:eastAsia="Aptos" w:cs="Arial"/>
                <w:b/>
                <w:color w:val="000000"/>
                <w:sz w:val="20"/>
              </w:rPr>
              <w:t>Ricavi consuntivo 2018</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2'135'000</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16.0%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Sovvenzioni federali</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2'800'000</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21.0%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Sovvenzioni cantonali</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672'500</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5.0%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Sovvenzioni comunali</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415'843</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3.2%</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Sovvenzioni enti e diversi</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4'108'656</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30.8%</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Sponsor</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3'199'673</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24.0%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Mezzi propri (biglietti/tessere e diversi)</w:t>
            </w:r>
          </w:p>
        </w:tc>
      </w:tr>
      <w:tr w:rsidR="005211BE" w:rsidRPr="005211BE" w:rsidTr="007F41C0">
        <w:tblPrEx>
          <w:tblCellMar>
            <w:left w:w="70" w:type="dxa"/>
            <w:right w:w="70" w:type="dxa"/>
          </w:tblCellMar>
          <w:tblLook w:val="04A0" w:firstRow="1" w:lastRow="0" w:firstColumn="1" w:lastColumn="0" w:noHBand="0" w:noVBand="1"/>
        </w:tblPrEx>
        <w:trPr>
          <w:trHeight w:val="222"/>
        </w:trPr>
        <w:tc>
          <w:tcPr>
            <w:tcW w:w="1198" w:type="pct"/>
            <w:shd w:val="clear" w:color="auto" w:fill="auto"/>
            <w:hideMark/>
          </w:tcPr>
          <w:p w:rsidR="005211BE" w:rsidRPr="005211BE" w:rsidRDefault="005211BE" w:rsidP="005211BE">
            <w:pPr>
              <w:jc w:val="right"/>
              <w:rPr>
                <w:rFonts w:eastAsia="Aptos" w:cs="Arial"/>
                <w:b/>
                <w:sz w:val="20"/>
              </w:rPr>
            </w:pPr>
            <w:r w:rsidRPr="005211BE">
              <w:rPr>
                <w:rFonts w:eastAsia="Aptos" w:cs="Arial"/>
                <w:b/>
                <w:sz w:val="20"/>
                <w:u w:val="single"/>
              </w:rPr>
              <w:t>13'331'672</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100.0%</w:t>
            </w:r>
          </w:p>
        </w:tc>
        <w:tc>
          <w:tcPr>
            <w:tcW w:w="2957" w:type="pct"/>
            <w:shd w:val="clear" w:color="auto" w:fill="auto"/>
            <w:hideMark/>
          </w:tcPr>
          <w:p w:rsidR="005211BE" w:rsidRPr="005211BE" w:rsidRDefault="005211BE" w:rsidP="005211BE">
            <w:pPr>
              <w:jc w:val="left"/>
              <w:rPr>
                <w:rFonts w:eastAsia="Aptos" w:cs="Arial"/>
                <w:sz w:val="20"/>
              </w:rPr>
            </w:pPr>
          </w:p>
        </w:tc>
      </w:tr>
      <w:tr w:rsidR="005211BE" w:rsidRPr="005211BE" w:rsidTr="007F41C0">
        <w:tblPrEx>
          <w:tblCellMar>
            <w:left w:w="70" w:type="dxa"/>
            <w:right w:w="70" w:type="dxa"/>
          </w:tblCellMar>
          <w:tblLook w:val="04A0" w:firstRow="1" w:lastRow="0" w:firstColumn="1" w:lastColumn="0" w:noHBand="0" w:noVBand="1"/>
        </w:tblPrEx>
        <w:trPr>
          <w:trHeight w:val="222"/>
        </w:trPr>
        <w:tc>
          <w:tcPr>
            <w:tcW w:w="1198" w:type="pct"/>
            <w:shd w:val="clear" w:color="auto" w:fill="auto"/>
          </w:tcPr>
          <w:p w:rsidR="005211BE" w:rsidRPr="005211BE" w:rsidRDefault="005211BE" w:rsidP="005211BE">
            <w:pPr>
              <w:jc w:val="right"/>
              <w:rPr>
                <w:rFonts w:eastAsia="Aptos" w:cs="Arial"/>
                <w:b/>
                <w:sz w:val="20"/>
                <w:u w:val="single"/>
              </w:rPr>
            </w:pPr>
          </w:p>
        </w:tc>
        <w:tc>
          <w:tcPr>
            <w:tcW w:w="845" w:type="pct"/>
            <w:shd w:val="clear" w:color="auto" w:fill="auto"/>
          </w:tcPr>
          <w:p w:rsidR="005211BE" w:rsidRPr="005211BE" w:rsidRDefault="005211BE" w:rsidP="005211BE">
            <w:pPr>
              <w:jc w:val="right"/>
              <w:rPr>
                <w:rFonts w:eastAsia="Aptos" w:cs="Arial"/>
                <w:sz w:val="20"/>
              </w:rPr>
            </w:pPr>
          </w:p>
        </w:tc>
        <w:tc>
          <w:tcPr>
            <w:tcW w:w="2957" w:type="pct"/>
            <w:shd w:val="clear" w:color="auto" w:fill="auto"/>
          </w:tcPr>
          <w:p w:rsidR="005211BE" w:rsidRPr="005211BE" w:rsidRDefault="005211BE" w:rsidP="005211BE">
            <w:pPr>
              <w:jc w:val="left"/>
              <w:rPr>
                <w:rFonts w:eastAsia="Aptos" w:cs="Arial"/>
                <w:sz w:val="20"/>
              </w:rPr>
            </w:pPr>
          </w:p>
        </w:tc>
      </w:tr>
      <w:tr w:rsidR="005211BE" w:rsidRPr="005211BE" w:rsidTr="007F41C0">
        <w:trPr>
          <w:trHeight w:val="75"/>
        </w:trPr>
        <w:tc>
          <w:tcPr>
            <w:tcW w:w="5000" w:type="pct"/>
            <w:gridSpan w:val="3"/>
          </w:tcPr>
          <w:p w:rsidR="005211BE" w:rsidRPr="005211BE" w:rsidRDefault="005211BE" w:rsidP="005211BE">
            <w:pPr>
              <w:autoSpaceDE w:val="0"/>
              <w:autoSpaceDN w:val="0"/>
              <w:adjustRightInd w:val="0"/>
              <w:jc w:val="center"/>
              <w:rPr>
                <w:rFonts w:eastAsia="Aptos" w:cs="Arial"/>
                <w:color w:val="000000"/>
                <w:sz w:val="20"/>
              </w:rPr>
            </w:pPr>
            <w:r w:rsidRPr="005211BE">
              <w:rPr>
                <w:rFonts w:eastAsia="Aptos" w:cs="Arial"/>
                <w:b/>
                <w:color w:val="000000"/>
                <w:sz w:val="20"/>
              </w:rPr>
              <w:t>Ricavi consuntivo 2023</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2'525'000</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14.0%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Sovvenzioni federali</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3'446’223</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20.0%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Sovvenzioni cantonali</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756’100</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4.0%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Sovvenzioni comunali</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271’429</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2.0%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Sovvenzioni enti e diversi</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6'248’786</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35.0%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Sponsor</w:t>
            </w:r>
          </w:p>
        </w:tc>
      </w:tr>
      <w:tr w:rsidR="005211BE" w:rsidRPr="005211BE" w:rsidTr="007F41C0">
        <w:tblPrEx>
          <w:tblCellMar>
            <w:left w:w="70" w:type="dxa"/>
            <w:right w:w="70" w:type="dxa"/>
          </w:tblCellMar>
          <w:tblLook w:val="04A0" w:firstRow="1" w:lastRow="0" w:firstColumn="1" w:lastColumn="0" w:noHBand="0" w:noVBand="1"/>
        </w:tblPrEx>
        <w:trPr>
          <w:trHeight w:val="180"/>
        </w:trPr>
        <w:tc>
          <w:tcPr>
            <w:tcW w:w="1198"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4'331’062</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25.0%</w:t>
            </w:r>
          </w:p>
        </w:tc>
        <w:tc>
          <w:tcPr>
            <w:tcW w:w="2957" w:type="pct"/>
            <w:shd w:val="clear" w:color="auto" w:fill="auto"/>
            <w:hideMark/>
          </w:tcPr>
          <w:p w:rsidR="005211BE" w:rsidRPr="005211BE" w:rsidRDefault="005211BE" w:rsidP="005211BE">
            <w:pPr>
              <w:jc w:val="left"/>
              <w:rPr>
                <w:rFonts w:eastAsia="Aptos" w:cs="Arial"/>
                <w:sz w:val="20"/>
              </w:rPr>
            </w:pPr>
            <w:r w:rsidRPr="005211BE">
              <w:rPr>
                <w:rFonts w:eastAsia="Aptos" w:cs="Arial"/>
                <w:sz w:val="20"/>
              </w:rPr>
              <w:t>Mezzi propri (biglietti/tessere e diversi)</w:t>
            </w:r>
          </w:p>
        </w:tc>
      </w:tr>
      <w:tr w:rsidR="005211BE" w:rsidRPr="005211BE" w:rsidTr="007F41C0">
        <w:tblPrEx>
          <w:tblCellMar>
            <w:left w:w="70" w:type="dxa"/>
            <w:right w:w="70" w:type="dxa"/>
          </w:tblCellMar>
          <w:tblLook w:val="04A0" w:firstRow="1" w:lastRow="0" w:firstColumn="1" w:lastColumn="0" w:noHBand="0" w:noVBand="1"/>
        </w:tblPrEx>
        <w:trPr>
          <w:trHeight w:val="222"/>
        </w:trPr>
        <w:tc>
          <w:tcPr>
            <w:tcW w:w="1198" w:type="pct"/>
            <w:shd w:val="clear" w:color="auto" w:fill="auto"/>
            <w:hideMark/>
          </w:tcPr>
          <w:p w:rsidR="005211BE" w:rsidRPr="005211BE" w:rsidRDefault="005211BE" w:rsidP="005211BE">
            <w:pPr>
              <w:jc w:val="right"/>
              <w:rPr>
                <w:rFonts w:eastAsia="Aptos" w:cs="Arial"/>
                <w:b/>
                <w:sz w:val="20"/>
              </w:rPr>
            </w:pPr>
            <w:r w:rsidRPr="005211BE">
              <w:rPr>
                <w:rFonts w:eastAsia="Aptos" w:cs="Arial"/>
                <w:b/>
                <w:sz w:val="20"/>
                <w:u w:val="single"/>
              </w:rPr>
              <w:t>17'578’600</w:t>
            </w:r>
          </w:p>
        </w:tc>
        <w:tc>
          <w:tcPr>
            <w:tcW w:w="845" w:type="pct"/>
            <w:shd w:val="clear" w:color="auto" w:fill="auto"/>
            <w:hideMark/>
          </w:tcPr>
          <w:p w:rsidR="005211BE" w:rsidRPr="005211BE" w:rsidRDefault="005211BE" w:rsidP="005211BE">
            <w:pPr>
              <w:jc w:val="right"/>
              <w:rPr>
                <w:rFonts w:eastAsia="Aptos" w:cs="Arial"/>
                <w:sz w:val="20"/>
              </w:rPr>
            </w:pPr>
            <w:r w:rsidRPr="005211BE">
              <w:rPr>
                <w:rFonts w:eastAsia="Aptos" w:cs="Arial"/>
                <w:sz w:val="20"/>
              </w:rPr>
              <w:t>100.0%</w:t>
            </w:r>
          </w:p>
        </w:tc>
        <w:tc>
          <w:tcPr>
            <w:tcW w:w="2957" w:type="pct"/>
            <w:shd w:val="clear" w:color="auto" w:fill="auto"/>
            <w:hideMark/>
          </w:tcPr>
          <w:p w:rsidR="005211BE" w:rsidRPr="005211BE" w:rsidRDefault="005211BE" w:rsidP="005211BE">
            <w:pPr>
              <w:jc w:val="left"/>
              <w:rPr>
                <w:rFonts w:eastAsia="Aptos" w:cs="Arial"/>
                <w:sz w:val="20"/>
              </w:rPr>
            </w:pPr>
          </w:p>
        </w:tc>
      </w:tr>
      <w:tr w:rsidR="005211BE" w:rsidRPr="005211BE" w:rsidTr="007F41C0">
        <w:tblPrEx>
          <w:tblCellMar>
            <w:left w:w="70" w:type="dxa"/>
            <w:right w:w="70" w:type="dxa"/>
          </w:tblCellMar>
          <w:tblLook w:val="04A0" w:firstRow="1" w:lastRow="0" w:firstColumn="1" w:lastColumn="0" w:noHBand="0" w:noVBand="1"/>
        </w:tblPrEx>
        <w:trPr>
          <w:trHeight w:val="222"/>
        </w:trPr>
        <w:tc>
          <w:tcPr>
            <w:tcW w:w="1198" w:type="pct"/>
            <w:shd w:val="clear" w:color="auto" w:fill="auto"/>
          </w:tcPr>
          <w:p w:rsidR="005211BE" w:rsidRPr="005211BE" w:rsidRDefault="005211BE" w:rsidP="005211BE">
            <w:pPr>
              <w:jc w:val="right"/>
              <w:rPr>
                <w:rFonts w:eastAsia="Aptos" w:cs="Arial"/>
                <w:b/>
                <w:sz w:val="20"/>
                <w:u w:val="single"/>
              </w:rPr>
            </w:pPr>
          </w:p>
        </w:tc>
        <w:tc>
          <w:tcPr>
            <w:tcW w:w="845" w:type="pct"/>
            <w:shd w:val="clear" w:color="auto" w:fill="auto"/>
          </w:tcPr>
          <w:p w:rsidR="005211BE" w:rsidRPr="005211BE" w:rsidRDefault="005211BE" w:rsidP="005211BE">
            <w:pPr>
              <w:jc w:val="right"/>
              <w:rPr>
                <w:rFonts w:eastAsia="Aptos" w:cs="Arial"/>
                <w:sz w:val="20"/>
              </w:rPr>
            </w:pPr>
          </w:p>
        </w:tc>
        <w:tc>
          <w:tcPr>
            <w:tcW w:w="2957" w:type="pct"/>
            <w:shd w:val="clear" w:color="auto" w:fill="auto"/>
          </w:tcPr>
          <w:p w:rsidR="005211BE" w:rsidRPr="005211BE" w:rsidRDefault="005211BE" w:rsidP="005211BE">
            <w:pPr>
              <w:jc w:val="left"/>
              <w:rPr>
                <w:rFonts w:eastAsia="Aptos" w:cs="Arial"/>
                <w:sz w:val="20"/>
              </w:rPr>
            </w:pPr>
          </w:p>
        </w:tc>
      </w:tr>
    </w:tbl>
    <w:p w:rsidR="005211BE" w:rsidRPr="005211BE" w:rsidRDefault="005211BE" w:rsidP="005211BE">
      <w:pPr>
        <w:ind w:left="-284" w:right="-568" w:firstLine="284"/>
        <w:jc w:val="left"/>
        <w:rPr>
          <w:rFonts w:eastAsia="Aptos" w:cs="Arial"/>
          <w:b/>
          <w:sz w:val="16"/>
          <w:szCs w:val="16"/>
        </w:rPr>
      </w:pPr>
      <w:r w:rsidRPr="005211BE">
        <w:rPr>
          <w:rFonts w:eastAsia="Aptos" w:cs="Arial"/>
          <w:sz w:val="16"/>
          <w:szCs w:val="16"/>
        </w:rPr>
        <w:t>Fonte: LFF</w:t>
      </w:r>
    </w:p>
    <w:p w:rsidR="005211BE" w:rsidRPr="005211BE" w:rsidRDefault="005211BE" w:rsidP="005211BE">
      <w:pPr>
        <w:spacing w:before="100" w:beforeAutospacing="1" w:after="100" w:afterAutospacing="1"/>
        <w:rPr>
          <w:rFonts w:eastAsia="Times New Roman" w:cs="Arial"/>
          <w:sz w:val="24"/>
          <w:szCs w:val="24"/>
          <w:lang w:eastAsia="zh-CN"/>
        </w:rPr>
      </w:pPr>
      <w:r w:rsidRPr="005211BE">
        <w:rPr>
          <w:rFonts w:eastAsia="Times New Roman" w:cs="Arial"/>
          <w:sz w:val="24"/>
          <w:szCs w:val="24"/>
          <w:lang w:eastAsia="zh-CN"/>
        </w:rPr>
        <w:t>Per ulteriori dettagli si rimanda a pagina 15 e seguenti del messaggio. In sintesi, l’evoluzione della ripartizione dei ricavi tra il 2018 e il 2023 mostra un rafforzamento del ruolo degli sponsor e una crescita costante dei ricavi propri, mentre il supporto pubblico, pur rimanendo rilevante e fondamentale, ha visto una lieve diminuzione percentuale rispetto all'aumento complessivo del budget.</w:t>
      </w:r>
    </w:p>
    <w:p w:rsidR="005211BE" w:rsidRPr="00220CE9" w:rsidRDefault="005211BE" w:rsidP="00220CE9">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220CE9">
        <w:rPr>
          <w:rFonts w:eastAsia="Calibri" w:cs="Times New Roman"/>
          <w:caps/>
          <w:sz w:val="24"/>
          <w:szCs w:val="24"/>
          <w:lang w:val="it-IT" w:eastAsia="it-IT"/>
        </w:rPr>
        <w:lastRenderedPageBreak/>
        <w:t>Discussioni commissionali</w:t>
      </w:r>
    </w:p>
    <w:p w:rsidR="005211BE" w:rsidRDefault="005211BE" w:rsidP="00220CE9">
      <w:pPr>
        <w:rPr>
          <w:rFonts w:eastAsia="Times New Roman" w:cs="Arial"/>
          <w:sz w:val="24"/>
          <w:szCs w:val="24"/>
          <w:lang w:val="it-IT" w:eastAsia="zh-CN"/>
        </w:rPr>
      </w:pPr>
      <w:r w:rsidRPr="005211BE">
        <w:rPr>
          <w:rFonts w:eastAsia="Times New Roman" w:cs="Arial"/>
          <w:sz w:val="24"/>
          <w:szCs w:val="24"/>
          <w:lang w:eastAsia="zh-CN"/>
        </w:rPr>
        <w:t xml:space="preserve">In data 13 maggio 2025 la Commissione gestione e finanze ha sentito in audizione durante la sua sessione extra muros i rappresentanti del Locarno Film Festival: il Vicepresidente Luigi Pedrazzini, il Direttore operativo </w:t>
      </w:r>
      <w:r w:rsidRPr="005211BE">
        <w:rPr>
          <w:rFonts w:eastAsia="Times New Roman" w:cs="Arial"/>
          <w:sz w:val="24"/>
          <w:szCs w:val="24"/>
          <w:lang w:val="it-IT" w:eastAsia="zh-CN"/>
        </w:rPr>
        <w:t>Raphaël Brunschwig</w:t>
      </w:r>
      <w:r w:rsidRPr="005211BE">
        <w:rPr>
          <w:rFonts w:eastAsia="Times New Roman" w:cs="Arial"/>
          <w:sz w:val="24"/>
          <w:szCs w:val="24"/>
          <w:lang w:eastAsia="zh-CN"/>
        </w:rPr>
        <w:t xml:space="preserve">, la Capo delle finanze </w:t>
      </w:r>
      <w:r w:rsidRPr="005211BE">
        <w:rPr>
          <w:rFonts w:eastAsia="Times New Roman" w:cs="Arial"/>
          <w:sz w:val="24"/>
          <w:szCs w:val="24"/>
          <w:lang w:val="it-IT" w:eastAsia="zh-CN"/>
        </w:rPr>
        <w:t xml:space="preserve">Liliana Sampietro, e il responsabile delle infrastrutture, della logistica e dell’informatica Mattia De-Sassi. </w:t>
      </w:r>
    </w:p>
    <w:p w:rsidR="00220CE9" w:rsidRPr="005211BE" w:rsidRDefault="00220CE9" w:rsidP="00220CE9">
      <w:pPr>
        <w:rPr>
          <w:rFonts w:eastAsia="Times New Roman" w:cs="Arial"/>
          <w:sz w:val="24"/>
          <w:szCs w:val="24"/>
          <w:lang w:val="it-IT" w:eastAsia="zh-CN"/>
        </w:rPr>
      </w:pPr>
    </w:p>
    <w:p w:rsidR="005211BE" w:rsidRDefault="005211BE" w:rsidP="00220CE9">
      <w:pPr>
        <w:rPr>
          <w:rFonts w:eastAsia="Times New Roman" w:cs="Arial"/>
          <w:sz w:val="24"/>
          <w:szCs w:val="24"/>
          <w:lang w:val="it-IT" w:eastAsia="zh-CN"/>
        </w:rPr>
      </w:pPr>
      <w:r w:rsidRPr="005211BE">
        <w:rPr>
          <w:rFonts w:eastAsia="Times New Roman" w:cs="Arial"/>
          <w:sz w:val="24"/>
          <w:szCs w:val="24"/>
          <w:lang w:val="it-IT" w:eastAsia="zh-CN"/>
        </w:rPr>
        <w:t xml:space="preserve">Lo scopo dei rappresentanti del Locarno Film Festival è stato quello di fornire alla Commissione una valutazione della manifestazione al momento del rinnovo del sostegno da parte del Cantone. Il Direttore operativo ha fornito informazioni circa lo stato di salute del Festival, le cifre e la crescita avvenuta nel corso degli ultimi anni. Mentre il Vicepresidente si è concentrato nell’illustrare quali sono state le novità in questi primi anni di presidenza di Maja Hoffmann, iniziando dalle prospettive del CdA, dalle sue attività e dalle sue scelte. </w:t>
      </w:r>
    </w:p>
    <w:p w:rsidR="00220CE9" w:rsidRPr="005211BE" w:rsidRDefault="00220CE9" w:rsidP="00220CE9">
      <w:pPr>
        <w:rPr>
          <w:rFonts w:eastAsia="Times New Roman" w:cs="Arial"/>
          <w:sz w:val="24"/>
          <w:szCs w:val="24"/>
          <w:lang w:val="it-IT"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L’edizione 2025 del Locarno Film Festival si presenta più solida e dinamica rispetto a quelle degli anni 2020 e 2023, grazie in particolare al rafforzamento del suo assetto organizzativo. La nuova composizione del Consiglio di Amministrazione ha promosso una significativa professionalizzazione della struttura direzionale, oggi composta da un team di sette figure chiave. Questa nuova configurazione consente una gestione più efficiente e mirata, capace di ottimizzare le risorse e generare risparmi, pur garantendo un alto livello qualitativo delle attività.</w:t>
      </w:r>
    </w:p>
    <w:p w:rsidR="00220CE9" w:rsidRPr="005211BE" w:rsidRDefault="00220CE9" w:rsidP="00220CE9">
      <w:pPr>
        <w:rPr>
          <w:rFonts w:eastAsia="Times New Roman" w:cs="Arial"/>
          <w:sz w:val="24"/>
          <w:szCs w:val="24"/>
          <w:lang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Sebbene il nuovo assetto sia stato pienamente consolidato solo nel corso dell’autunno 2024, i primi risultati sono già evidenti: l’edizione più recente ha registrato un aumento del pubblico, un miglior risultato economico rispetto alle previsioni, una crescita degli accreditamenti professionali e un incremento significativo dell’engagement online.</w:t>
      </w:r>
    </w:p>
    <w:p w:rsidR="00220CE9" w:rsidRPr="005211BE" w:rsidRDefault="00220CE9" w:rsidP="00220CE9">
      <w:pPr>
        <w:rPr>
          <w:rFonts w:eastAsia="Times New Roman" w:cs="Arial"/>
          <w:sz w:val="24"/>
          <w:szCs w:val="24"/>
          <w:lang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In piena trasparenza sono state tematizzate anche alcune problematiche interne, dopo la lunga presidenza di Marco Solari (2000–2023); il Locarno Film Festival ha avviato una fase di profonda riorganizzazione sotto la guida di Maja Hoffmann, presidente dal 2023. Il cambiamento si è reso necessario per affrontare un contesto culturale e operativo sempre più competitivo, ma anche per dare seguito alle indicazioni emerse in ambito politico e strategico.</w:t>
      </w:r>
    </w:p>
    <w:p w:rsidR="00220CE9" w:rsidRPr="005211BE" w:rsidRDefault="00220CE9" w:rsidP="00220CE9">
      <w:pPr>
        <w:rPr>
          <w:rFonts w:eastAsia="Times New Roman" w:cs="Arial"/>
          <w:sz w:val="24"/>
          <w:szCs w:val="24"/>
          <w:lang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La ristrutturazione ha comportato la nomina di un nuovo Consiglio di amministrazione dotato di competenze strategiche, la costituzione di una Direzione rafforzata e coesa (oggi composta da 7 membri), e l’attuazione di misure volte a riequilibrare la situazione finanziaria, compromessa negli anni passati da disavanzi che hanno ridotto le riserve. Le strategie adottate – già comunicate pubblicamente – mirano a costruire un Festival sostenibile, autorevole e proiettato verso il futuro.</w:t>
      </w:r>
    </w:p>
    <w:p w:rsidR="00220CE9" w:rsidRPr="005211BE" w:rsidRDefault="00220CE9" w:rsidP="00220CE9">
      <w:pPr>
        <w:rPr>
          <w:rFonts w:eastAsia="Times New Roman" w:cs="Arial"/>
          <w:sz w:val="24"/>
          <w:szCs w:val="24"/>
          <w:lang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 xml:space="preserve">Questa fase di transizione ha comportato anche alcune scelte complesse, ma necessarie, per garantire l’evoluzione e la sostenibilità dell’organizzazione. Nell’autunno 2024, si è proceduto a una riorganizzazione che ha interessato alcuni ruoli nei settori amministrazione, finanze, comunicazione e informatica. Le posizioni coinvolte risultavano non più coerenti con la nuova struttura o richiedevano competenze differenti. Il Locarno Film Festival si è impegnato a gestire questo cambiamento con attenzione e responsabilità. Vista la delicatezza della tematica, la Commissione ha ritenuto opportuno </w:t>
      </w:r>
      <w:r w:rsidRPr="005211BE">
        <w:rPr>
          <w:rFonts w:eastAsia="Times New Roman" w:cs="Arial"/>
          <w:sz w:val="24"/>
          <w:szCs w:val="24"/>
          <w:lang w:eastAsia="zh-CN"/>
        </w:rPr>
        <w:lastRenderedPageBreak/>
        <w:t>approfondire ulteriormente questi aspetti. Nel rispetto delle sue competenze, la Commissione auspica che la sostenibilità economica e sociale continui a rappresentare una priorità e venga garantita anche in futuro.</w:t>
      </w:r>
    </w:p>
    <w:p w:rsidR="00220CE9" w:rsidRPr="005211BE" w:rsidRDefault="00220CE9" w:rsidP="00220CE9">
      <w:pPr>
        <w:rPr>
          <w:rFonts w:eastAsia="Times New Roman" w:cs="Arial"/>
          <w:sz w:val="24"/>
          <w:szCs w:val="24"/>
          <w:lang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Parallelamente, il Festival ha deciso di internalizzare alcune funzioni precedentemente affidate a consulenze esterne, quali la logistica, il suono e l’immagine. Questa scelta consente di garantire maggiore continuità, migliorare la qualità dei servizi e, soprattutto, razionalizzare i costi, destinando una quota più significativa delle risorse alle attività artistiche.</w:t>
      </w:r>
    </w:p>
    <w:p w:rsidR="00220CE9" w:rsidRPr="005211BE" w:rsidRDefault="00220CE9" w:rsidP="00220CE9">
      <w:pPr>
        <w:rPr>
          <w:rFonts w:eastAsia="Times New Roman" w:cs="Arial"/>
          <w:sz w:val="24"/>
          <w:szCs w:val="24"/>
          <w:lang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 xml:space="preserve">Sul piano della gestione delle risorse umane, è anche stato sottolineato, che un aspetto sollevato durante la discussione del precedente credito quadro è stata presa in considerazione del personale stagista. Nel 2020 c’erano 19 stages; nel frattempo il numero è stato diminuito a 10, previsti per il 2025, di cui 5 sono curriculari; gli extracurriculari si concentrano soprattutto in ambiti quale la comunicazione, in cui stage integrati nel percorso di studio soprattutto nelle facoltà umanistiche sono ben frequenti. Quindi di fatto sono posizioni importanti per neodiplomati o per chi si sta ancora formando. Diversi collaboratrici e collaboratori che hanno operato quali stagisti ritornano nell’organico fisso e possono crescere all’interno della squadra del Festival. </w:t>
      </w:r>
    </w:p>
    <w:p w:rsidR="00220CE9" w:rsidRDefault="00220CE9" w:rsidP="00220CE9">
      <w:pPr>
        <w:rPr>
          <w:rFonts w:eastAsia="Times New Roman" w:cs="Arial"/>
          <w:sz w:val="24"/>
          <w:szCs w:val="24"/>
          <w:lang w:eastAsia="zh-CN"/>
        </w:rPr>
      </w:pPr>
    </w:p>
    <w:p w:rsidR="00220CE9" w:rsidRPr="005211BE" w:rsidRDefault="00220CE9" w:rsidP="00220CE9">
      <w:pPr>
        <w:rPr>
          <w:rFonts w:eastAsia="Times New Roman" w:cs="Arial"/>
          <w:sz w:val="24"/>
          <w:szCs w:val="24"/>
          <w:lang w:eastAsia="zh-CN"/>
        </w:rPr>
      </w:pPr>
    </w:p>
    <w:p w:rsidR="005211BE" w:rsidRPr="00220CE9" w:rsidRDefault="005211BE" w:rsidP="00220CE9">
      <w:pPr>
        <w:pStyle w:val="Titolo2"/>
        <w:numPr>
          <w:ilvl w:val="0"/>
          <w:numId w:val="0"/>
        </w:numPr>
        <w:tabs>
          <w:tab w:val="left" w:pos="567"/>
        </w:tabs>
        <w:spacing w:before="0" w:after="120"/>
        <w:jc w:val="both"/>
        <w:rPr>
          <w:rFonts w:eastAsia="Calibri" w:cs="Times New Roman"/>
          <w:sz w:val="24"/>
          <w:lang w:val="it-IT" w:eastAsia="it-IT"/>
        </w:rPr>
      </w:pPr>
      <w:r w:rsidRPr="00220CE9">
        <w:rPr>
          <w:rFonts w:eastAsia="Calibri" w:cs="Times New Roman"/>
          <w:sz w:val="24"/>
          <w:lang w:val="it-IT" w:eastAsia="it-IT"/>
        </w:rPr>
        <w:t>Alcuni aspetti chiave messi in evidenza</w:t>
      </w: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L’edizione 2025 ha segnato un aumento di pubblico, di accreditamenti e di contatti online, insieme a un miglioramento dei risultati economici. Dal punto di vista finanziario, la percentuale di autofinanziamento è in crescita e i contributi privati sono saliti da CHF 4,2 milioni nel 2019 a CHF 6,4 milioni nel 2024: un incremento superiore al 50%, che risponde alle aspettative formulate a livello parlamentare.</w:t>
      </w:r>
    </w:p>
    <w:p w:rsidR="00220CE9" w:rsidRPr="005211BE" w:rsidRDefault="00220CE9" w:rsidP="00220CE9">
      <w:pPr>
        <w:rPr>
          <w:rFonts w:eastAsia="Times New Roman" w:cs="Arial"/>
          <w:sz w:val="24"/>
          <w:szCs w:val="24"/>
          <w:lang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Durante la seconda parte dell’audizione sono state chieste delucidazioni e completamento di informazioni da parte dei commissari. I temi affrontati sono stati in particolare l’impatto economico sul territorio, i cambiamenti in atto, le prospettive future, le sfide a cui far fronte nel corso del breve, medio e lungo termine e il prospettato cambiamento di date.</w:t>
      </w:r>
    </w:p>
    <w:p w:rsidR="00220CE9" w:rsidRPr="005211BE" w:rsidRDefault="00220CE9" w:rsidP="00220CE9">
      <w:pPr>
        <w:rPr>
          <w:rFonts w:eastAsia="Times New Roman" w:cs="Arial"/>
          <w:sz w:val="24"/>
          <w:szCs w:val="24"/>
          <w:lang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Negli ultimi cinque anni, il Locarno Film Festival ha perseguito con successo una strategia di rafforzamento del partenariato privato, a complemento del sostegno pubblico. Il contributo aggiuntivo di mezzo milione di franchi concesso dal Cantone nel 2020 è stato chiaramente destinato a generare un effetto leva sul finanziamento privato. I risultati confermano l’efficacia di questo approccio: lo sponsoring privato è cresciuto del 55% dal 2020, nonostante le difficoltà legate alla pandemia, passando da CHF 4,2 a CHF 6,4 milioni.</w:t>
      </w:r>
    </w:p>
    <w:p w:rsidR="00220CE9" w:rsidRPr="005211BE" w:rsidRDefault="00220CE9" w:rsidP="00220CE9">
      <w:pPr>
        <w:rPr>
          <w:rFonts w:eastAsia="Times New Roman" w:cs="Arial"/>
          <w:sz w:val="24"/>
          <w:szCs w:val="24"/>
          <w:lang w:eastAsia="zh-CN"/>
        </w:rPr>
      </w:pPr>
    </w:p>
    <w:p w:rsidR="005211BE" w:rsidRDefault="005211BE" w:rsidP="00220CE9">
      <w:pPr>
        <w:rPr>
          <w:rFonts w:eastAsia="Times New Roman" w:cs="Arial"/>
          <w:sz w:val="24"/>
          <w:szCs w:val="24"/>
          <w:lang w:eastAsia="zh-CN"/>
        </w:rPr>
      </w:pPr>
      <w:r w:rsidRPr="005211BE">
        <w:rPr>
          <w:rFonts w:eastAsia="Times New Roman" w:cs="Arial"/>
          <w:sz w:val="24"/>
          <w:szCs w:val="24"/>
          <w:lang w:eastAsia="zh-CN"/>
        </w:rPr>
        <w:t>Oggi la quota dei contributi pubblici (Cantone, Confederazione e Comuni) rappresenta il 39% del budget complessivo, mentre quella dei partner privati si attesta attorno al 37–38%. Anche i ricavi propri derivanti da biglietteria, merchandising e attività collaterali (food &amp; beverage) sono in ripresa, con margini di crescita ulteriori. Questo bilanciamento dimostra l’attrattività e la solidità del modello gestionale del Festival.</w:t>
      </w:r>
    </w:p>
    <w:p w:rsidR="00E30F40" w:rsidRDefault="00220CE9" w:rsidP="00220CE9">
      <w:pPr>
        <w:rPr>
          <w:rFonts w:eastAsia="Times New Roman" w:cs="Arial"/>
          <w:sz w:val="24"/>
          <w:szCs w:val="24"/>
          <w:lang w:eastAsia="zh-CN"/>
        </w:rPr>
      </w:pPr>
      <w:r>
        <w:rPr>
          <w:rFonts w:eastAsia="Times New Roman" w:cs="Arial"/>
          <w:sz w:val="24"/>
          <w:szCs w:val="24"/>
          <w:lang w:eastAsia="zh-CN"/>
        </w:rPr>
        <w:br/>
      </w:r>
    </w:p>
    <w:p w:rsidR="00220CE9" w:rsidRPr="005211BE" w:rsidRDefault="00E30F40" w:rsidP="00220CE9">
      <w:pPr>
        <w:rPr>
          <w:rFonts w:eastAsia="Times New Roman" w:cs="Arial"/>
          <w:sz w:val="24"/>
          <w:szCs w:val="24"/>
          <w:lang w:eastAsia="zh-CN"/>
        </w:rPr>
      </w:pPr>
      <w:r>
        <w:rPr>
          <w:rFonts w:eastAsia="Times New Roman" w:cs="Arial"/>
          <w:sz w:val="24"/>
          <w:szCs w:val="24"/>
          <w:lang w:eastAsia="zh-CN"/>
        </w:rPr>
        <w:br w:type="page"/>
      </w:r>
    </w:p>
    <w:p w:rsidR="005211BE" w:rsidRPr="005211BE" w:rsidRDefault="005211BE" w:rsidP="00220CE9">
      <w:pPr>
        <w:rPr>
          <w:rFonts w:eastAsia="Times New Roman" w:cs="Arial"/>
          <w:sz w:val="24"/>
          <w:szCs w:val="24"/>
          <w:lang w:eastAsia="zh-CN"/>
        </w:rPr>
      </w:pPr>
      <w:r w:rsidRPr="005211BE">
        <w:rPr>
          <w:rFonts w:eastAsia="Times New Roman" w:cs="Arial"/>
          <w:b/>
          <w:bCs/>
          <w:sz w:val="24"/>
          <w:szCs w:val="24"/>
          <w:lang w:eastAsia="zh-CN"/>
        </w:rPr>
        <w:lastRenderedPageBreak/>
        <w:t>Focus sviluppo e progettualità per un settore in trasformazione</w:t>
      </w:r>
    </w:p>
    <w:p w:rsidR="005211BE" w:rsidRPr="005211BE" w:rsidRDefault="005211BE" w:rsidP="00220CE9">
      <w:pPr>
        <w:spacing w:before="120"/>
        <w:rPr>
          <w:rFonts w:eastAsia="Times New Roman" w:cs="Arial"/>
          <w:sz w:val="24"/>
          <w:szCs w:val="24"/>
          <w:lang w:eastAsia="zh-CN"/>
        </w:rPr>
      </w:pPr>
      <w:r w:rsidRPr="005211BE">
        <w:rPr>
          <w:rFonts w:eastAsia="Times New Roman" w:cs="Arial"/>
          <w:sz w:val="24"/>
          <w:szCs w:val="24"/>
          <w:lang w:eastAsia="zh-CN"/>
        </w:rPr>
        <w:t>In un contesto in cui il settore cinematografico globale è in difficoltà – con un calo generalizzato della frequentazione delle sale – il Locarno Film Festival si sta attrezzando per mantenere la propria rilevanza attraverso progettualità mirate. Il ringiovanimento del pubblico non è un processo spontaneo, ma richiede strategie attive e investimenti mirati.</w:t>
      </w:r>
    </w:p>
    <w:p w:rsidR="005211BE" w:rsidRDefault="005211BE" w:rsidP="00220CE9">
      <w:pPr>
        <w:spacing w:before="240"/>
        <w:rPr>
          <w:rFonts w:eastAsia="Times New Roman" w:cs="Arial"/>
          <w:sz w:val="24"/>
          <w:szCs w:val="24"/>
          <w:lang w:eastAsia="zh-CN"/>
        </w:rPr>
      </w:pPr>
      <w:r w:rsidRPr="005211BE">
        <w:rPr>
          <w:rFonts w:eastAsia="Times New Roman" w:cs="Arial"/>
          <w:sz w:val="24"/>
          <w:szCs w:val="24"/>
          <w:lang w:eastAsia="zh-CN"/>
        </w:rPr>
        <w:t xml:space="preserve">Tra le nuove iniziative si segnala il lancio del progetto </w:t>
      </w:r>
      <w:r w:rsidRPr="005211BE">
        <w:rPr>
          <w:rFonts w:eastAsia="DengXian Light" w:cs="Arial"/>
          <w:sz w:val="24"/>
          <w:szCs w:val="24"/>
          <w:lang w:eastAsia="zh-CN"/>
        </w:rPr>
        <w:t>Locarno Investment Community</w:t>
      </w:r>
      <w:r w:rsidRPr="005211BE">
        <w:rPr>
          <w:rFonts w:eastAsia="Times New Roman" w:cs="Arial"/>
          <w:sz w:val="24"/>
          <w:szCs w:val="24"/>
          <w:lang w:eastAsia="zh-CN"/>
        </w:rPr>
        <w:t>, nell’ambito di Locarno Pro, che coinvolgerà 40–60 filantropi interessati a sostenere film in fase di sviluppo. Questa iniziativa conferma il ruolo del Festival quale piattaforma dinamica per l’industria audiovisiva internazionale.</w:t>
      </w:r>
    </w:p>
    <w:p w:rsidR="00220CE9" w:rsidRDefault="00220CE9" w:rsidP="00220CE9">
      <w:pPr>
        <w:rPr>
          <w:rFonts w:eastAsia="Times New Roman" w:cs="Arial"/>
          <w:sz w:val="24"/>
          <w:szCs w:val="24"/>
          <w:lang w:eastAsia="zh-CN"/>
        </w:rPr>
      </w:pPr>
    </w:p>
    <w:p w:rsidR="00220CE9" w:rsidRDefault="005211BE" w:rsidP="00220CE9">
      <w:pPr>
        <w:spacing w:after="120"/>
        <w:rPr>
          <w:rFonts w:eastAsia="Times New Roman" w:cs="Arial"/>
          <w:b/>
          <w:bCs/>
          <w:sz w:val="24"/>
          <w:szCs w:val="24"/>
          <w:lang w:eastAsia="zh-CN"/>
        </w:rPr>
      </w:pPr>
      <w:r w:rsidRPr="005211BE">
        <w:rPr>
          <w:rFonts w:eastAsia="Times New Roman" w:cs="Arial"/>
          <w:b/>
          <w:bCs/>
          <w:sz w:val="24"/>
          <w:szCs w:val="24"/>
          <w:lang w:eastAsia="zh-CN"/>
        </w:rPr>
        <w:t>Focus impatto economico sul territorio: dati e stime</w:t>
      </w:r>
    </w:p>
    <w:p w:rsidR="005211BE" w:rsidRPr="00220CE9" w:rsidRDefault="005211BE" w:rsidP="00220CE9">
      <w:pPr>
        <w:spacing w:after="120"/>
        <w:rPr>
          <w:rFonts w:eastAsia="Times New Roman" w:cs="Arial"/>
          <w:b/>
          <w:bCs/>
          <w:sz w:val="24"/>
          <w:szCs w:val="24"/>
          <w:lang w:eastAsia="zh-CN"/>
        </w:rPr>
      </w:pPr>
      <w:r w:rsidRPr="005211BE">
        <w:rPr>
          <w:rFonts w:eastAsia="Times New Roman" w:cs="Arial"/>
          <w:sz w:val="24"/>
          <w:szCs w:val="24"/>
          <w:lang w:eastAsia="zh-CN"/>
        </w:rPr>
        <w:t>Il budget complessivo del Festival si attesta tra i 17 e i 18 milioni di franchi, di cui circa l’80% viene speso in Ticino. Questo dato evidenzia il forte radicamento territoriale della manifestazione.</w:t>
      </w:r>
    </w:p>
    <w:p w:rsidR="005211BE" w:rsidRPr="005211BE" w:rsidRDefault="005211BE" w:rsidP="008B42B5">
      <w:pPr>
        <w:rPr>
          <w:rFonts w:eastAsia="Times New Roman" w:cs="Arial"/>
          <w:sz w:val="24"/>
          <w:szCs w:val="24"/>
          <w:lang w:eastAsia="zh-CN"/>
        </w:rPr>
      </w:pPr>
      <w:r w:rsidRPr="005211BE">
        <w:rPr>
          <w:rFonts w:eastAsia="Times New Roman" w:cs="Arial"/>
          <w:sz w:val="24"/>
          <w:szCs w:val="24"/>
          <w:lang w:eastAsia="zh-CN"/>
        </w:rPr>
        <w:t xml:space="preserve">Lo studio dell’IRE del 2005 stimava in 23 milioni di franchi le ricadute economiche generate in termini di turismo, servizi e prestazioni locali. Dati più recenti, provenienti da BAK Basel Economics (2021), confermano un effetto moltiplicatore significativo: </w:t>
      </w:r>
      <w:r w:rsidRPr="005211BE">
        <w:rPr>
          <w:rFonts w:eastAsia="Times New Roman" w:cs="Arial"/>
          <w:b/>
          <w:bCs/>
          <w:sz w:val="24"/>
          <w:szCs w:val="24"/>
          <w:lang w:eastAsia="zh-CN"/>
        </w:rPr>
        <w:t>ogni franco di sovvenzione pubblica ne genera altri tre in termini di impatto economico</w:t>
      </w:r>
      <w:r w:rsidRPr="005211BE">
        <w:rPr>
          <w:rFonts w:eastAsia="Times New Roman" w:cs="Arial"/>
          <w:sz w:val="24"/>
          <w:szCs w:val="24"/>
          <w:lang w:eastAsia="zh-CN"/>
        </w:rPr>
        <w:t>. Lo studio rileva:</w:t>
      </w:r>
    </w:p>
    <w:p w:rsidR="005211BE" w:rsidRPr="005211BE" w:rsidRDefault="005211BE" w:rsidP="008B42B5">
      <w:pPr>
        <w:numPr>
          <w:ilvl w:val="0"/>
          <w:numId w:val="24"/>
        </w:numPr>
        <w:spacing w:before="120"/>
        <w:ind w:left="284" w:hanging="284"/>
        <w:rPr>
          <w:rFonts w:eastAsia="Times New Roman" w:cs="Arial"/>
          <w:sz w:val="24"/>
          <w:szCs w:val="24"/>
          <w:lang w:eastAsia="zh-CN"/>
        </w:rPr>
      </w:pPr>
      <w:r w:rsidRPr="005211BE">
        <w:rPr>
          <w:rFonts w:eastAsia="Times New Roman" w:cs="Arial"/>
          <w:sz w:val="24"/>
          <w:szCs w:val="24"/>
          <w:lang w:eastAsia="zh-CN"/>
        </w:rPr>
        <w:t>5 milioni di impatto diretto del Festival;</w:t>
      </w:r>
    </w:p>
    <w:p w:rsidR="005211BE" w:rsidRPr="005211BE" w:rsidRDefault="005211BE" w:rsidP="008B42B5">
      <w:pPr>
        <w:numPr>
          <w:ilvl w:val="0"/>
          <w:numId w:val="24"/>
        </w:numPr>
        <w:spacing w:before="120"/>
        <w:ind w:left="284" w:hanging="284"/>
        <w:rPr>
          <w:rFonts w:eastAsia="Times New Roman" w:cs="Arial"/>
          <w:sz w:val="24"/>
          <w:szCs w:val="24"/>
          <w:lang w:eastAsia="zh-CN"/>
        </w:rPr>
      </w:pPr>
      <w:r w:rsidRPr="005211BE">
        <w:rPr>
          <w:rFonts w:eastAsia="Times New Roman" w:cs="Arial"/>
          <w:sz w:val="24"/>
          <w:szCs w:val="24"/>
          <w:lang w:eastAsia="zh-CN"/>
        </w:rPr>
        <w:t>7 milioni di indotto sulle aziende fornitrici;</w:t>
      </w:r>
    </w:p>
    <w:p w:rsidR="005211BE" w:rsidRDefault="005211BE" w:rsidP="008B42B5">
      <w:pPr>
        <w:numPr>
          <w:ilvl w:val="0"/>
          <w:numId w:val="24"/>
        </w:numPr>
        <w:spacing w:before="120"/>
        <w:ind w:left="284" w:hanging="284"/>
        <w:rPr>
          <w:rFonts w:eastAsia="Times New Roman" w:cs="Arial"/>
          <w:sz w:val="24"/>
          <w:szCs w:val="24"/>
          <w:lang w:eastAsia="zh-CN"/>
        </w:rPr>
      </w:pPr>
      <w:r w:rsidRPr="005211BE">
        <w:rPr>
          <w:rFonts w:eastAsia="Times New Roman" w:cs="Arial"/>
          <w:sz w:val="24"/>
          <w:szCs w:val="24"/>
          <w:lang w:eastAsia="zh-CN"/>
        </w:rPr>
        <w:t>6–7 milioni di effetti “spillover” sul turismo.</w:t>
      </w:r>
    </w:p>
    <w:p w:rsidR="008B42B5" w:rsidRPr="005211BE" w:rsidRDefault="008B42B5" w:rsidP="008B42B5">
      <w:pPr>
        <w:ind w:left="284"/>
        <w:rPr>
          <w:rFonts w:eastAsia="Times New Roman" w:cs="Arial"/>
          <w:sz w:val="24"/>
          <w:szCs w:val="24"/>
          <w:lang w:eastAsia="zh-CN"/>
        </w:rPr>
      </w:pPr>
    </w:p>
    <w:p w:rsidR="005211BE" w:rsidRPr="005211BE" w:rsidRDefault="005211BE" w:rsidP="008B42B5">
      <w:pPr>
        <w:rPr>
          <w:rFonts w:eastAsia="Times New Roman" w:cs="Arial"/>
          <w:sz w:val="24"/>
          <w:szCs w:val="24"/>
          <w:lang w:eastAsia="zh-CN"/>
        </w:rPr>
      </w:pPr>
      <w:r w:rsidRPr="005211BE">
        <w:rPr>
          <w:rFonts w:eastAsia="Times New Roman" w:cs="Arial"/>
          <w:sz w:val="24"/>
          <w:szCs w:val="24"/>
          <w:lang w:eastAsia="zh-CN"/>
        </w:rPr>
        <w:t>Inoltre, secondo le stime trasmesse dalle regioni turistiche di Ascona e Locarno, il Festival genera circa 20’000 pernottamenti in due settimane, per un valore stimato attorno ai 4 milioni di franchi (sulla base di un costo medio a camera di CHF 200.–).</w:t>
      </w:r>
    </w:p>
    <w:p w:rsidR="008B42B5" w:rsidRDefault="008B42B5" w:rsidP="008B42B5">
      <w:pPr>
        <w:spacing w:after="120"/>
        <w:rPr>
          <w:rFonts w:eastAsia="Times New Roman" w:cs="Arial"/>
          <w:b/>
          <w:bCs/>
          <w:sz w:val="24"/>
          <w:szCs w:val="24"/>
          <w:lang w:eastAsia="zh-CN"/>
        </w:rPr>
      </w:pPr>
    </w:p>
    <w:p w:rsidR="008B42B5" w:rsidRDefault="005211BE" w:rsidP="008B42B5">
      <w:pPr>
        <w:spacing w:after="120"/>
        <w:rPr>
          <w:rFonts w:eastAsia="Times New Roman" w:cs="Arial"/>
          <w:b/>
          <w:bCs/>
          <w:sz w:val="24"/>
          <w:szCs w:val="24"/>
          <w:lang w:eastAsia="zh-CN"/>
        </w:rPr>
      </w:pPr>
      <w:r w:rsidRPr="005211BE">
        <w:rPr>
          <w:rFonts w:eastAsia="Times New Roman" w:cs="Arial"/>
          <w:b/>
          <w:bCs/>
          <w:sz w:val="24"/>
          <w:szCs w:val="24"/>
          <w:lang w:eastAsia="zh-CN"/>
        </w:rPr>
        <w:t>Un impatto che va oltre i numeri</w:t>
      </w:r>
    </w:p>
    <w:p w:rsidR="005211BE" w:rsidRDefault="005211BE" w:rsidP="0084196E">
      <w:pPr>
        <w:rPr>
          <w:rFonts w:eastAsia="Times New Roman" w:cs="Arial"/>
          <w:sz w:val="24"/>
          <w:szCs w:val="24"/>
          <w:lang w:eastAsia="zh-CN"/>
        </w:rPr>
      </w:pPr>
      <w:r w:rsidRPr="005211BE">
        <w:rPr>
          <w:rFonts w:eastAsia="Times New Roman" w:cs="Arial"/>
          <w:sz w:val="24"/>
          <w:szCs w:val="24"/>
          <w:lang w:eastAsia="zh-CN"/>
        </w:rPr>
        <w:t>Nel corso dei lavori, si è discusso anche dell’importante indotto generato dalla presenza mediatica del Locarno Film Festival. Nonostante il contesto attuale segni una crisi strutturale del settore dei media, in particolare in ambito culturale, il Festival continua ad attrarre circa 700 giornalisti accreditati, che nel corso dell’evento producono e pubblicano tra 15’000 e 30’000 contenuti, distribuiti su vari canali e piattaforme.</w:t>
      </w:r>
    </w:p>
    <w:p w:rsidR="0084196E" w:rsidRPr="008B42B5" w:rsidRDefault="0084196E" w:rsidP="0084196E">
      <w:pPr>
        <w:rPr>
          <w:rFonts w:eastAsia="Times New Roman" w:cs="Arial"/>
          <w:b/>
          <w:bCs/>
          <w:sz w:val="24"/>
          <w:szCs w:val="24"/>
          <w:lang w:eastAsia="zh-CN"/>
        </w:rPr>
      </w:pPr>
    </w:p>
    <w:p w:rsidR="005211BE" w:rsidRDefault="005211BE" w:rsidP="0084196E">
      <w:pPr>
        <w:rPr>
          <w:rFonts w:eastAsia="Times New Roman" w:cs="Arial"/>
          <w:sz w:val="24"/>
          <w:szCs w:val="24"/>
          <w:lang w:eastAsia="zh-CN"/>
        </w:rPr>
      </w:pPr>
      <w:r w:rsidRPr="005211BE">
        <w:rPr>
          <w:rFonts w:eastAsia="Times New Roman" w:cs="Arial"/>
          <w:sz w:val="24"/>
          <w:szCs w:val="24"/>
          <w:lang w:eastAsia="zh-CN"/>
        </w:rPr>
        <w:t>Anche adottando una stima prudenziale, il valore economico complessivo generato dalla copertura mediatica può essere quantificato attorno ai 5 milioni di franchi. Si tratta di una componente non trascurabile dell’impatto del Festival, la cui valutazione sistematica meriterebbe di essere approfondita e standardizzata, anche in ottica comparativa con altri eventi di rilevanza internazionale.</w:t>
      </w:r>
    </w:p>
    <w:p w:rsidR="0084196E" w:rsidRPr="005211BE" w:rsidRDefault="0084196E" w:rsidP="0084196E">
      <w:pPr>
        <w:rPr>
          <w:rFonts w:eastAsia="Times New Roman" w:cs="Arial"/>
          <w:sz w:val="24"/>
          <w:szCs w:val="24"/>
          <w:lang w:eastAsia="zh-CN"/>
        </w:rPr>
      </w:pPr>
    </w:p>
    <w:p w:rsidR="005211BE" w:rsidRPr="005211BE" w:rsidRDefault="005211BE" w:rsidP="0084196E">
      <w:pPr>
        <w:rPr>
          <w:rFonts w:eastAsia="Times New Roman" w:cs="Arial"/>
          <w:sz w:val="24"/>
          <w:szCs w:val="24"/>
          <w:lang w:eastAsia="zh-CN"/>
        </w:rPr>
      </w:pPr>
      <w:r w:rsidRPr="005211BE">
        <w:rPr>
          <w:rFonts w:eastAsia="Times New Roman" w:cs="Arial"/>
          <w:sz w:val="24"/>
          <w:szCs w:val="24"/>
          <w:lang w:eastAsia="zh-CN"/>
        </w:rPr>
        <w:t>Oggi, il Locarno Film Festival rappresenta il più grande evento culturale della Svizzera, pur mantenendo un posizionamento di nicchia sul piano globale. La vicinanza temporale con il Festival di Venezia – che inizia poche settimane dopo – pone la questione delle date come elemento strategico cruciale.</w:t>
      </w:r>
    </w:p>
    <w:p w:rsidR="005211BE" w:rsidRDefault="005211BE" w:rsidP="0084196E">
      <w:pPr>
        <w:rPr>
          <w:rFonts w:eastAsia="Times New Roman" w:cs="Arial"/>
          <w:sz w:val="24"/>
          <w:szCs w:val="24"/>
          <w:lang w:eastAsia="zh-CN"/>
        </w:rPr>
      </w:pPr>
      <w:r w:rsidRPr="005211BE">
        <w:rPr>
          <w:rFonts w:eastAsia="Times New Roman" w:cs="Arial"/>
          <w:sz w:val="24"/>
          <w:szCs w:val="24"/>
          <w:lang w:eastAsia="zh-CN"/>
        </w:rPr>
        <w:lastRenderedPageBreak/>
        <w:t>Una delle scommesse future del Festival riguarda proprio il rafforzamento della sua visibilità internazionale: ottenere una maggiore presenza di stampa statunitense e attrarre compratori e distributori internazionali. In quest’ottica, Locarno potrebbe ambire a diventare il punto di partenza simbolico della stagione degli Oscar, ad esempio programmando in Piazza Grande la proiezione di due o tre film in anteprima destinati al circuito dei premi. Tale strategia non comporterebbe uno snaturamento dell’identità del Festival, bensì ne valorizzerebbe ulteriormente la visibilità e il prestigio internazionale attraverso una leva già consolidata: l’attenzione dei media.</w:t>
      </w:r>
    </w:p>
    <w:p w:rsidR="0084196E" w:rsidRPr="005211BE" w:rsidRDefault="0084196E" w:rsidP="0084196E">
      <w:pPr>
        <w:rPr>
          <w:rFonts w:eastAsia="Times New Roman" w:cs="Arial"/>
          <w:sz w:val="24"/>
          <w:szCs w:val="24"/>
          <w:lang w:eastAsia="zh-CN"/>
        </w:rPr>
      </w:pPr>
    </w:p>
    <w:p w:rsidR="005211BE" w:rsidRDefault="005211BE" w:rsidP="0084196E">
      <w:pPr>
        <w:rPr>
          <w:rFonts w:eastAsia="Times New Roman" w:cs="Arial"/>
          <w:sz w:val="24"/>
          <w:szCs w:val="24"/>
          <w:lang w:eastAsia="zh-CN"/>
        </w:rPr>
      </w:pPr>
      <w:r w:rsidRPr="005211BE">
        <w:rPr>
          <w:rFonts w:eastAsia="Times New Roman" w:cs="Arial"/>
          <w:sz w:val="24"/>
          <w:szCs w:val="24"/>
          <w:lang w:eastAsia="zh-CN"/>
        </w:rPr>
        <w:t>Oltre agli aspetti economici, il Festival esercita un impatto sociale, culturale e reputazionale di primaria importanza. È un punto di riferimento per la promozione della cultura cinematografica, l’educazione delle nuove generazioni, il sostegno all’industria creativa e l’attrattività del territorio ticinese nel contesto internazionale.</w:t>
      </w:r>
    </w:p>
    <w:p w:rsidR="0084196E" w:rsidRPr="005211BE" w:rsidRDefault="0084196E" w:rsidP="0084196E">
      <w:pPr>
        <w:rPr>
          <w:rFonts w:eastAsia="Times New Roman" w:cs="Arial"/>
          <w:sz w:val="24"/>
          <w:szCs w:val="24"/>
          <w:lang w:eastAsia="zh-CN"/>
        </w:rPr>
      </w:pPr>
    </w:p>
    <w:p w:rsidR="005211BE" w:rsidRDefault="005211BE" w:rsidP="0084196E">
      <w:pPr>
        <w:rPr>
          <w:rFonts w:eastAsia="Times New Roman" w:cs="Arial"/>
          <w:sz w:val="24"/>
          <w:szCs w:val="24"/>
          <w:lang w:eastAsia="zh-CN"/>
        </w:rPr>
      </w:pPr>
      <w:r w:rsidRPr="005211BE">
        <w:rPr>
          <w:rFonts w:eastAsia="Times New Roman" w:cs="Arial"/>
          <w:sz w:val="24"/>
          <w:szCs w:val="24"/>
          <w:lang w:eastAsia="zh-CN"/>
        </w:rPr>
        <w:t>Come sottolineato dal Vicepresidente del Festival Luigi Pedrazzini, il margine di crescita in Svizzera è ormai limitato. In un contesto finanziario complesso, è difficile ipotizzare un aumento dei contributi pubblici, mentre è fondamentale consolidare quelli esistenti. La vera opportunità di sviluppo risiede oggi sul piano internazionale, dove il Locarno Film Festival gode di un crescente riconoscimento e ha ancora importanti potenzialità da esplorare.</w:t>
      </w:r>
    </w:p>
    <w:p w:rsidR="0084196E" w:rsidRPr="005211BE" w:rsidRDefault="0084196E" w:rsidP="0084196E">
      <w:pPr>
        <w:rPr>
          <w:rFonts w:eastAsia="Times New Roman" w:cs="Arial"/>
          <w:sz w:val="24"/>
          <w:szCs w:val="24"/>
          <w:lang w:eastAsia="zh-CN"/>
        </w:rPr>
      </w:pPr>
    </w:p>
    <w:p w:rsidR="005211BE" w:rsidRPr="005211BE" w:rsidRDefault="005211BE" w:rsidP="0084196E">
      <w:pPr>
        <w:rPr>
          <w:rFonts w:eastAsia="Times New Roman" w:cs="Arial"/>
          <w:sz w:val="24"/>
          <w:szCs w:val="24"/>
          <w:lang w:eastAsia="zh-CN"/>
        </w:rPr>
      </w:pPr>
      <w:r w:rsidRPr="005211BE">
        <w:rPr>
          <w:rFonts w:eastAsia="Times New Roman" w:cs="Arial"/>
          <w:sz w:val="24"/>
          <w:szCs w:val="24"/>
          <w:lang w:eastAsia="zh-CN"/>
        </w:rPr>
        <w:t>La Commissione apprezza l’obiettivo del Festival di rafforzare le misure di conformità alla LCPubb nell’ottica di favorire una maggiore trasparenza e di assicurare il pieno rispetto della normativa, così da garantire una maggiore concorrenza nell’assegnazione delle commesse; ancora recentemente si sono in effetti registrati dei sorpassi delle soglie previste dalla LCPubb, ciò di cui è stato dato atto in modo trasparente nell’analisi dei conti.</w:t>
      </w:r>
    </w:p>
    <w:p w:rsidR="0084196E" w:rsidRDefault="0084196E" w:rsidP="0084196E">
      <w:pPr>
        <w:spacing w:after="120"/>
        <w:rPr>
          <w:rFonts w:eastAsia="Times New Roman" w:cs="Arial"/>
          <w:b/>
          <w:bCs/>
          <w:sz w:val="24"/>
          <w:szCs w:val="24"/>
          <w:lang w:eastAsia="zh-CN"/>
        </w:rPr>
      </w:pPr>
    </w:p>
    <w:p w:rsidR="005211BE" w:rsidRPr="005211BE" w:rsidRDefault="005211BE" w:rsidP="0084196E">
      <w:pPr>
        <w:spacing w:after="120"/>
        <w:rPr>
          <w:rFonts w:eastAsia="Times New Roman" w:cs="Arial"/>
          <w:b/>
          <w:bCs/>
          <w:sz w:val="24"/>
          <w:szCs w:val="24"/>
          <w:lang w:eastAsia="zh-CN"/>
        </w:rPr>
      </w:pPr>
      <w:r w:rsidRPr="005211BE">
        <w:rPr>
          <w:rFonts w:eastAsia="Times New Roman" w:cs="Arial"/>
          <w:b/>
          <w:bCs/>
          <w:sz w:val="24"/>
          <w:szCs w:val="24"/>
          <w:lang w:eastAsia="zh-CN"/>
        </w:rPr>
        <w:t>Proposta di modifica del decreto legislativo annesso al messaggio:</w:t>
      </w:r>
    </w:p>
    <w:p w:rsidR="005211BE" w:rsidRPr="005211BE" w:rsidRDefault="005211BE" w:rsidP="005211BE">
      <w:pPr>
        <w:rPr>
          <w:rFonts w:eastAsia="Times New Roman" w:cs="Arial"/>
          <w:color w:val="222222"/>
          <w:sz w:val="24"/>
          <w:szCs w:val="24"/>
          <w:lang w:eastAsia="zh-CN"/>
        </w:rPr>
      </w:pPr>
      <w:r w:rsidRPr="005211BE">
        <w:rPr>
          <w:rFonts w:eastAsia="Times New Roman" w:cs="Arial"/>
          <w:color w:val="222222"/>
          <w:sz w:val="24"/>
          <w:szCs w:val="24"/>
          <w:lang w:eastAsia="zh-CN"/>
        </w:rPr>
        <w:t>Rispetto al credito 2021–2025, in cui gli articoli 2 e 3 specificavano chiaramente la ripartizione tra la gestione corrente del DECS e il Fondo Swisslos, la nuova formulazione dell’articolo 3, contenuta nel decreto legislativo allegato al messaggio in oggetto, risulta più generica e non indica alcuna suddivisione.</w:t>
      </w:r>
    </w:p>
    <w:p w:rsidR="005211BE" w:rsidRPr="005211BE" w:rsidRDefault="005211BE" w:rsidP="005211BE">
      <w:pPr>
        <w:rPr>
          <w:rFonts w:eastAsia="Times New Roman" w:cs="Arial"/>
          <w:color w:val="222222"/>
          <w:sz w:val="24"/>
          <w:szCs w:val="24"/>
          <w:lang w:eastAsia="zh-CN"/>
        </w:rPr>
      </w:pPr>
    </w:p>
    <w:p w:rsidR="005211BE" w:rsidRPr="005211BE" w:rsidRDefault="005211BE" w:rsidP="005211BE">
      <w:pPr>
        <w:rPr>
          <w:rFonts w:eastAsia="Times New Roman" w:cs="Arial"/>
          <w:color w:val="222222"/>
          <w:sz w:val="24"/>
          <w:szCs w:val="24"/>
          <w:lang w:eastAsia="zh-CN"/>
        </w:rPr>
      </w:pPr>
      <w:r w:rsidRPr="005211BE">
        <w:rPr>
          <w:rFonts w:eastAsia="Times New Roman" w:cs="Arial"/>
          <w:color w:val="222222"/>
          <w:sz w:val="24"/>
          <w:szCs w:val="24"/>
          <w:lang w:eastAsia="zh-CN"/>
        </w:rPr>
        <w:t>Considerato che per alcuni Commissari la chiarezza su tale ripartizione costituisce una condizione imprescindibile per la concessione dei contributi alle iniziative culturali in generale, la Commissione ha ritenuto opportuno richiedere chiarimenti al Consiglio di Stato, anche tramite una lettera formale, e ha interpellato direttamente la Direttrice del DECS, Marina Carobbio.</w:t>
      </w:r>
    </w:p>
    <w:p w:rsidR="005211BE" w:rsidRPr="005211BE" w:rsidRDefault="005211BE" w:rsidP="005211BE">
      <w:pPr>
        <w:rPr>
          <w:rFonts w:eastAsia="Times New Roman" w:cs="Arial"/>
          <w:color w:val="222222"/>
          <w:sz w:val="24"/>
          <w:szCs w:val="24"/>
          <w:lang w:eastAsia="zh-CN"/>
        </w:rPr>
      </w:pPr>
    </w:p>
    <w:p w:rsidR="005211BE" w:rsidRPr="005211BE" w:rsidRDefault="005211BE" w:rsidP="005211BE">
      <w:pPr>
        <w:rPr>
          <w:rFonts w:eastAsia="Times New Roman" w:cs="Arial"/>
          <w:color w:val="222222"/>
          <w:sz w:val="24"/>
          <w:szCs w:val="24"/>
          <w:lang w:eastAsia="zh-CN"/>
        </w:rPr>
      </w:pPr>
      <w:r w:rsidRPr="005211BE">
        <w:rPr>
          <w:rFonts w:eastAsia="Times New Roman" w:cs="Arial"/>
          <w:color w:val="222222"/>
          <w:sz w:val="24"/>
          <w:szCs w:val="24"/>
          <w:lang w:eastAsia="zh-CN"/>
        </w:rPr>
        <w:t>Sulla base delle risposte ricevute, la Commissione ha deciso di proporre una modifica al decreto legislativo, presentando un nuovo articolo 3:</w:t>
      </w:r>
    </w:p>
    <w:p w:rsidR="005211BE" w:rsidRPr="005211BE" w:rsidRDefault="005211BE" w:rsidP="005211BE">
      <w:pPr>
        <w:rPr>
          <w:rFonts w:eastAsia="Times New Roman" w:cs="Arial"/>
          <w:color w:val="222222"/>
          <w:sz w:val="24"/>
          <w:szCs w:val="24"/>
          <w:lang w:eastAsia="zh-CN"/>
        </w:rPr>
      </w:pPr>
    </w:p>
    <w:p w:rsidR="005211BE" w:rsidRPr="0084196E" w:rsidRDefault="005211BE" w:rsidP="005211BE">
      <w:pPr>
        <w:jc w:val="left"/>
        <w:rPr>
          <w:rFonts w:eastAsia="Times New Roman" w:cs="Arial"/>
          <w:b/>
          <w:color w:val="222222"/>
          <w:sz w:val="24"/>
          <w:szCs w:val="24"/>
          <w:lang w:eastAsia="zh-CN"/>
        </w:rPr>
      </w:pPr>
      <w:r w:rsidRPr="0084196E">
        <w:rPr>
          <w:rFonts w:eastAsia="Times New Roman" w:cs="Arial"/>
          <w:b/>
          <w:color w:val="222222"/>
          <w:sz w:val="24"/>
          <w:szCs w:val="24"/>
          <w:lang w:eastAsia="zh-CN"/>
        </w:rPr>
        <w:t>Art. 3</w:t>
      </w:r>
    </w:p>
    <w:p w:rsidR="005211BE" w:rsidRPr="005211BE" w:rsidRDefault="005211BE" w:rsidP="005211BE">
      <w:pPr>
        <w:jc w:val="left"/>
        <w:rPr>
          <w:rFonts w:eastAsia="Aptos" w:cs="Arial"/>
          <w:i/>
          <w:color w:val="222222"/>
          <w:sz w:val="24"/>
        </w:rPr>
      </w:pPr>
      <w:r w:rsidRPr="005211BE">
        <w:rPr>
          <w:rFonts w:eastAsia="Times New Roman" w:cs="Arial"/>
          <w:i/>
          <w:color w:val="222222"/>
          <w:sz w:val="24"/>
          <w:szCs w:val="24"/>
          <w:lang w:eastAsia="zh-CN"/>
        </w:rPr>
        <w:t>“La spesa annuale è di regola a carico del Fondo Swisslos</w:t>
      </w:r>
      <w:r w:rsidRPr="005211BE">
        <w:rPr>
          <w:rFonts w:eastAsia="Times New Roman" w:cs="Arial"/>
          <w:color w:val="222222"/>
          <w:sz w:val="24"/>
          <w:szCs w:val="24"/>
          <w:lang w:eastAsia="zh-CN"/>
        </w:rPr>
        <w:t>”</w:t>
      </w:r>
      <w:r w:rsidRPr="005211BE">
        <w:rPr>
          <w:rFonts w:eastAsia="Times New Roman" w:cs="Arial"/>
          <w:i/>
          <w:color w:val="222222"/>
          <w:sz w:val="24"/>
          <w:szCs w:val="24"/>
          <w:lang w:eastAsia="zh-CN"/>
        </w:rPr>
        <w:t>.</w:t>
      </w:r>
    </w:p>
    <w:p w:rsidR="0084196E" w:rsidRDefault="0084196E">
      <w:pPr>
        <w:rPr>
          <w:rFonts w:eastAsia="Times New Roman" w:cs="Arial"/>
          <w:sz w:val="24"/>
          <w:szCs w:val="24"/>
          <w:lang w:eastAsia="zh-CN"/>
        </w:rPr>
      </w:pPr>
      <w:r>
        <w:rPr>
          <w:rFonts w:eastAsia="Times New Roman" w:cs="Arial"/>
          <w:sz w:val="24"/>
          <w:szCs w:val="24"/>
          <w:lang w:eastAsia="zh-CN"/>
        </w:rPr>
        <w:br w:type="page"/>
      </w:r>
    </w:p>
    <w:p w:rsidR="005211BE" w:rsidRPr="0084196E" w:rsidRDefault="005211BE" w:rsidP="0084196E">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84196E">
        <w:rPr>
          <w:rFonts w:eastAsia="Calibri" w:cs="Times New Roman"/>
          <w:caps/>
          <w:sz w:val="24"/>
          <w:szCs w:val="24"/>
          <w:lang w:val="it-IT" w:eastAsia="it-IT"/>
        </w:rPr>
        <w:lastRenderedPageBreak/>
        <w:t xml:space="preserve">Conclusioni </w:t>
      </w:r>
    </w:p>
    <w:p w:rsidR="005211BE" w:rsidRDefault="005211BE" w:rsidP="0084196E">
      <w:pPr>
        <w:rPr>
          <w:rFonts w:eastAsia="Times New Roman" w:cs="Arial"/>
          <w:sz w:val="24"/>
          <w:szCs w:val="24"/>
          <w:lang w:eastAsia="zh-CN"/>
        </w:rPr>
      </w:pPr>
      <w:r w:rsidRPr="005211BE">
        <w:rPr>
          <w:rFonts w:eastAsia="Times New Roman" w:cs="Arial"/>
          <w:sz w:val="24"/>
          <w:szCs w:val="24"/>
          <w:lang w:eastAsia="zh-CN"/>
        </w:rPr>
        <w:t>Alla luce delle considerazioni espresse e del ruolo centrale che il Locarno Film Festival riveste quale principale evento di richiamo nazionale e internazionale per il nostro Cantone – sia sotto il profilo culturale sia per quanto riguarda l’attrattività turistica e l’indotto economico generato – la Commissione ritiene fondamentale confermare il sostegno finanziario alla manifestazione per il prossimo quinquennio 2026–2030.</w:t>
      </w:r>
    </w:p>
    <w:p w:rsidR="0084196E" w:rsidRPr="005211BE" w:rsidRDefault="0084196E" w:rsidP="0084196E">
      <w:pPr>
        <w:rPr>
          <w:rFonts w:eastAsia="Times New Roman" w:cs="Arial"/>
          <w:sz w:val="24"/>
          <w:szCs w:val="24"/>
          <w:lang w:eastAsia="zh-CN"/>
        </w:rPr>
      </w:pPr>
    </w:p>
    <w:p w:rsidR="005211BE" w:rsidRPr="005211BE" w:rsidRDefault="005211BE" w:rsidP="0084196E">
      <w:pPr>
        <w:rPr>
          <w:rFonts w:eastAsia="Times New Roman" w:cs="Arial"/>
          <w:sz w:val="24"/>
          <w:szCs w:val="24"/>
          <w:lang w:eastAsia="zh-CN"/>
        </w:rPr>
      </w:pPr>
      <w:r w:rsidRPr="005211BE">
        <w:rPr>
          <w:rFonts w:eastAsia="Times New Roman" w:cs="Arial"/>
          <w:sz w:val="24"/>
          <w:szCs w:val="24"/>
          <w:lang w:eastAsia="zh-CN"/>
        </w:rPr>
        <w:t xml:space="preserve">Convinta che una realtà culturale di tale rilevanza meriti il sostegno dell’ente pubblico, anche in virtù degli sforzi compiuti negli ultimi anni per ottimizzare l’impiego delle risorse in modo etico, trasparente e responsabile, la Commissione invita il plenum del </w:t>
      </w:r>
      <w:r w:rsidR="0084196E">
        <w:rPr>
          <w:rFonts w:eastAsia="Times New Roman" w:cs="Arial"/>
          <w:sz w:val="24"/>
          <w:szCs w:val="24"/>
          <w:lang w:eastAsia="zh-CN"/>
        </w:rPr>
        <w:t>Gran Consiglio ad approvare il m</w:t>
      </w:r>
      <w:r w:rsidRPr="005211BE">
        <w:rPr>
          <w:rFonts w:eastAsia="Times New Roman" w:cs="Arial"/>
          <w:sz w:val="24"/>
          <w:szCs w:val="24"/>
          <w:lang w:eastAsia="zh-CN"/>
        </w:rPr>
        <w:t>essaggio governativo e i relativi c</w:t>
      </w:r>
      <w:r w:rsidR="0084196E">
        <w:rPr>
          <w:rFonts w:eastAsia="Times New Roman" w:cs="Arial"/>
          <w:sz w:val="24"/>
          <w:szCs w:val="24"/>
          <w:lang w:eastAsia="zh-CN"/>
        </w:rPr>
        <w:t>rediti ricorrenti previsti nel d</w:t>
      </w:r>
      <w:r w:rsidRPr="005211BE">
        <w:rPr>
          <w:rFonts w:eastAsia="Times New Roman" w:cs="Arial"/>
          <w:sz w:val="24"/>
          <w:szCs w:val="24"/>
          <w:lang w:eastAsia="zh-CN"/>
        </w:rPr>
        <w:t>ecreto legislativo allegato al presente rapporto.</w:t>
      </w:r>
    </w:p>
    <w:p w:rsidR="0084196E" w:rsidRDefault="0084196E" w:rsidP="0084196E">
      <w:pPr>
        <w:rPr>
          <w:rFonts w:eastAsia="Times New Roman" w:cs="Arial"/>
          <w:sz w:val="24"/>
          <w:szCs w:val="24"/>
          <w:lang w:eastAsia="zh-CN"/>
        </w:rPr>
      </w:pPr>
    </w:p>
    <w:p w:rsidR="0084196E" w:rsidRDefault="005211BE" w:rsidP="0084196E">
      <w:pPr>
        <w:spacing w:after="120"/>
        <w:rPr>
          <w:rFonts w:eastAsia="Times New Roman" w:cs="Arial"/>
          <w:sz w:val="24"/>
          <w:szCs w:val="24"/>
          <w:lang w:eastAsia="zh-CN"/>
        </w:rPr>
      </w:pPr>
      <w:r w:rsidRPr="005211BE">
        <w:rPr>
          <w:rFonts w:eastAsia="Times New Roman" w:cs="Arial"/>
          <w:sz w:val="24"/>
          <w:szCs w:val="24"/>
          <w:lang w:eastAsia="zh-CN"/>
        </w:rPr>
        <w:t>Per la commissione gestione e finanze</w:t>
      </w:r>
      <w:r w:rsidR="0084196E">
        <w:rPr>
          <w:rFonts w:eastAsia="Times New Roman" w:cs="Arial"/>
          <w:sz w:val="24"/>
          <w:szCs w:val="24"/>
          <w:lang w:eastAsia="zh-CN"/>
        </w:rPr>
        <w:t>:</w:t>
      </w:r>
    </w:p>
    <w:p w:rsidR="005211BE" w:rsidRPr="005211BE" w:rsidRDefault="0084196E" w:rsidP="0084196E">
      <w:pPr>
        <w:rPr>
          <w:rFonts w:eastAsia="Times New Roman" w:cs="Arial"/>
          <w:sz w:val="24"/>
          <w:szCs w:val="24"/>
          <w:lang w:eastAsia="zh-CN"/>
        </w:rPr>
      </w:pPr>
      <w:r>
        <w:rPr>
          <w:rFonts w:eastAsia="Times New Roman" w:cs="Arial"/>
          <w:sz w:val="24"/>
          <w:szCs w:val="24"/>
          <w:lang w:eastAsia="zh-CN"/>
        </w:rPr>
        <w:t>Alessandra Gianella e</w:t>
      </w:r>
      <w:r w:rsidR="005211BE" w:rsidRPr="005211BE">
        <w:rPr>
          <w:rFonts w:eastAsia="Times New Roman" w:cs="Arial"/>
          <w:sz w:val="24"/>
          <w:szCs w:val="24"/>
          <w:lang w:eastAsia="zh-CN"/>
        </w:rPr>
        <w:t xml:space="preserve"> Fabrizio Sirica, relatori</w:t>
      </w:r>
    </w:p>
    <w:p w:rsidR="0084196E" w:rsidRDefault="0084196E" w:rsidP="0084196E">
      <w:pPr>
        <w:rPr>
          <w:rFonts w:eastAsia="Times New Roman" w:cs="Arial"/>
          <w:sz w:val="24"/>
          <w:szCs w:val="24"/>
          <w:lang w:eastAsia="zh-CN"/>
        </w:rPr>
      </w:pPr>
      <w:r>
        <w:rPr>
          <w:rFonts w:eastAsia="Times New Roman" w:cs="Arial"/>
          <w:sz w:val="24"/>
          <w:szCs w:val="24"/>
          <w:lang w:eastAsia="zh-CN"/>
        </w:rPr>
        <w:t xml:space="preserve">Agustoni - </w:t>
      </w:r>
      <w:r w:rsidR="005211BE" w:rsidRPr="005211BE">
        <w:rPr>
          <w:rFonts w:eastAsia="Times New Roman" w:cs="Arial"/>
          <w:sz w:val="24"/>
          <w:szCs w:val="24"/>
          <w:lang w:eastAsia="zh-CN"/>
        </w:rPr>
        <w:t>Bigna</w:t>
      </w:r>
      <w:r>
        <w:rPr>
          <w:rFonts w:eastAsia="Times New Roman" w:cs="Arial"/>
          <w:sz w:val="24"/>
          <w:szCs w:val="24"/>
          <w:lang w:eastAsia="zh-CN"/>
        </w:rPr>
        <w:t xml:space="preserve">sca - Bourgoin - </w:t>
      </w:r>
    </w:p>
    <w:p w:rsidR="0084196E" w:rsidRDefault="0084196E" w:rsidP="0084196E">
      <w:pPr>
        <w:rPr>
          <w:rFonts w:eastAsia="Times New Roman" w:cs="Arial"/>
          <w:sz w:val="24"/>
          <w:szCs w:val="24"/>
          <w:lang w:eastAsia="zh-CN"/>
        </w:rPr>
      </w:pPr>
      <w:r>
        <w:rPr>
          <w:rFonts w:eastAsia="Times New Roman" w:cs="Arial"/>
          <w:sz w:val="24"/>
          <w:szCs w:val="24"/>
          <w:lang w:eastAsia="zh-CN"/>
        </w:rPr>
        <w:t xml:space="preserve">Caroni - Dadò - Durisch - Ferrara - </w:t>
      </w:r>
    </w:p>
    <w:p w:rsidR="00DC7867" w:rsidRDefault="0084196E" w:rsidP="0084196E">
      <w:pPr>
        <w:rPr>
          <w:rFonts w:eastAsia="Times New Roman" w:cs="Arial"/>
          <w:sz w:val="24"/>
          <w:szCs w:val="24"/>
          <w:lang w:eastAsia="zh-CN"/>
        </w:rPr>
      </w:pPr>
      <w:r>
        <w:rPr>
          <w:rFonts w:eastAsia="Times New Roman" w:cs="Arial"/>
          <w:sz w:val="24"/>
          <w:szCs w:val="24"/>
          <w:lang w:eastAsia="zh-CN"/>
        </w:rPr>
        <w:t xml:space="preserve">Gendotti - </w:t>
      </w:r>
      <w:r w:rsidR="00DC7867">
        <w:rPr>
          <w:rFonts w:eastAsia="Times New Roman" w:cs="Arial"/>
          <w:sz w:val="24"/>
          <w:szCs w:val="24"/>
          <w:lang w:eastAsia="zh-CN"/>
        </w:rPr>
        <w:t xml:space="preserve">Guerra - </w:t>
      </w:r>
      <w:r>
        <w:rPr>
          <w:rFonts w:eastAsia="Times New Roman" w:cs="Arial"/>
          <w:sz w:val="24"/>
          <w:szCs w:val="24"/>
          <w:lang w:eastAsia="zh-CN"/>
        </w:rPr>
        <w:t xml:space="preserve">Piccaluga - </w:t>
      </w:r>
    </w:p>
    <w:p w:rsidR="005211BE" w:rsidRPr="005211BE" w:rsidRDefault="0084196E" w:rsidP="0084196E">
      <w:pPr>
        <w:rPr>
          <w:rFonts w:eastAsia="Times New Roman" w:cs="Arial"/>
          <w:sz w:val="24"/>
          <w:szCs w:val="24"/>
          <w:lang w:eastAsia="zh-CN"/>
        </w:rPr>
      </w:pPr>
      <w:r>
        <w:rPr>
          <w:rFonts w:eastAsia="Times New Roman" w:cs="Arial"/>
          <w:sz w:val="24"/>
          <w:szCs w:val="24"/>
          <w:lang w:eastAsia="zh-CN"/>
        </w:rPr>
        <w:t xml:space="preserve">Quadranti - Renzetti - Soldati - </w:t>
      </w:r>
      <w:r w:rsidR="005211BE" w:rsidRPr="005211BE">
        <w:rPr>
          <w:rFonts w:eastAsia="Times New Roman" w:cs="Arial"/>
          <w:sz w:val="24"/>
          <w:szCs w:val="24"/>
          <w:lang w:eastAsia="zh-CN"/>
        </w:rPr>
        <w:t>Speziali</w:t>
      </w:r>
    </w:p>
    <w:p w:rsidR="005211BE" w:rsidRPr="005211BE" w:rsidRDefault="005211BE" w:rsidP="005211BE">
      <w:pPr>
        <w:spacing w:before="100" w:beforeAutospacing="1" w:after="100" w:afterAutospacing="1"/>
        <w:rPr>
          <w:rFonts w:eastAsia="Times New Roman" w:cs="Arial"/>
          <w:sz w:val="24"/>
          <w:szCs w:val="24"/>
          <w:lang w:eastAsia="zh-CN"/>
        </w:rPr>
      </w:pPr>
    </w:p>
    <w:p w:rsidR="005211BE" w:rsidRPr="005211BE" w:rsidRDefault="005211BE" w:rsidP="005211BE">
      <w:pPr>
        <w:spacing w:after="160" w:line="278" w:lineRule="auto"/>
        <w:jc w:val="left"/>
        <w:rPr>
          <w:rFonts w:ascii="Calibri" w:eastAsia="Times New Roman" w:hAnsi="Calibri" w:cs="Calibri"/>
          <w:sz w:val="24"/>
          <w:szCs w:val="24"/>
          <w:lang w:eastAsia="zh-CN"/>
        </w:rPr>
      </w:pPr>
      <w:r w:rsidRPr="005211BE">
        <w:rPr>
          <w:rFonts w:ascii="Calibri" w:eastAsia="Aptos" w:hAnsi="Calibri" w:cs="Calibri"/>
          <w:sz w:val="24"/>
        </w:rPr>
        <w:br w:type="page"/>
      </w:r>
    </w:p>
    <w:p w:rsidR="005211BE" w:rsidRPr="005211BE" w:rsidRDefault="005211BE" w:rsidP="005211BE">
      <w:pPr>
        <w:tabs>
          <w:tab w:val="left" w:pos="10080"/>
        </w:tabs>
        <w:contextualSpacing/>
        <w:rPr>
          <w:rFonts w:eastAsia="Times New Roman" w:cs="Arial"/>
          <w:sz w:val="24"/>
          <w:szCs w:val="24"/>
          <w:lang w:eastAsia="it-CH"/>
        </w:rPr>
      </w:pPr>
      <w:r w:rsidRPr="005211BE">
        <w:rPr>
          <w:rFonts w:eastAsia="Aptos" w:cs="Arial"/>
          <w:sz w:val="24"/>
          <w:szCs w:val="24"/>
        </w:rPr>
        <w:lastRenderedPageBreak/>
        <w:t>Disegno di</w:t>
      </w:r>
    </w:p>
    <w:p w:rsidR="005211BE" w:rsidRPr="005211BE" w:rsidRDefault="005211BE" w:rsidP="0084196E">
      <w:pPr>
        <w:tabs>
          <w:tab w:val="left" w:pos="10080"/>
        </w:tabs>
        <w:contextualSpacing/>
        <w:rPr>
          <w:rFonts w:eastAsia="Aptos" w:cs="Arial"/>
          <w:sz w:val="24"/>
          <w:szCs w:val="20"/>
        </w:rPr>
      </w:pPr>
    </w:p>
    <w:p w:rsidR="005211BE" w:rsidRPr="005211BE" w:rsidRDefault="005211BE" w:rsidP="005211BE">
      <w:pPr>
        <w:rPr>
          <w:rFonts w:eastAsia="Aptos" w:cs="Arial"/>
          <w:b/>
          <w:sz w:val="24"/>
          <w:szCs w:val="24"/>
        </w:rPr>
      </w:pPr>
      <w:r w:rsidRPr="005211BE">
        <w:rPr>
          <w:rFonts w:eastAsia="Aptos" w:cs="Arial"/>
          <w:b/>
          <w:sz w:val="24"/>
          <w:szCs w:val="24"/>
        </w:rPr>
        <w:t xml:space="preserve">Decreto legislativo </w:t>
      </w:r>
    </w:p>
    <w:p w:rsidR="005211BE" w:rsidRPr="005211BE" w:rsidRDefault="005211BE" w:rsidP="005211BE">
      <w:pPr>
        <w:rPr>
          <w:rFonts w:eastAsia="Aptos" w:cs="Arial"/>
          <w:b/>
          <w:sz w:val="24"/>
          <w:szCs w:val="24"/>
        </w:rPr>
      </w:pPr>
      <w:r w:rsidRPr="005211BE">
        <w:rPr>
          <w:rFonts w:eastAsia="Aptos" w:cs="Arial"/>
          <w:b/>
          <w:sz w:val="24"/>
          <w:szCs w:val="24"/>
        </w:rPr>
        <w:t>concernente la concessione di contributi finanziari ricorrenti al Locarno Film Festival per il quinquennio 2026-2030 per complessivi 17'000'000.- di franchi</w:t>
      </w:r>
    </w:p>
    <w:p w:rsidR="005211BE" w:rsidRPr="005211BE" w:rsidRDefault="00997C8F" w:rsidP="005211BE">
      <w:pPr>
        <w:rPr>
          <w:rFonts w:eastAsia="Aptos" w:cs="Arial"/>
          <w:sz w:val="24"/>
          <w:szCs w:val="24"/>
        </w:rPr>
      </w:pPr>
      <w:r>
        <w:rPr>
          <w:rFonts w:eastAsia="Aptos" w:cs="Arial"/>
          <w:sz w:val="24"/>
          <w:szCs w:val="24"/>
        </w:rPr>
        <w:t>del…</w:t>
      </w:r>
    </w:p>
    <w:p w:rsidR="005211BE" w:rsidRPr="005211BE" w:rsidRDefault="005211BE" w:rsidP="005211BE">
      <w:pPr>
        <w:rPr>
          <w:rFonts w:eastAsia="Aptos" w:cs="Arial"/>
          <w:sz w:val="24"/>
          <w:szCs w:val="24"/>
        </w:rPr>
      </w:pPr>
    </w:p>
    <w:p w:rsidR="005211BE" w:rsidRPr="005211BE" w:rsidRDefault="005211BE" w:rsidP="005211BE">
      <w:pPr>
        <w:rPr>
          <w:rFonts w:eastAsia="Aptos" w:cs="Arial"/>
          <w:sz w:val="24"/>
          <w:szCs w:val="24"/>
        </w:rPr>
      </w:pPr>
      <w:r w:rsidRPr="005211BE">
        <w:rPr>
          <w:rFonts w:eastAsia="Aptos" w:cs="Arial"/>
          <w:sz w:val="24"/>
          <w:szCs w:val="24"/>
        </w:rPr>
        <w:t>IL GRAN CONSIGLIO</w:t>
      </w:r>
    </w:p>
    <w:p w:rsidR="005211BE" w:rsidRPr="005211BE" w:rsidRDefault="005211BE" w:rsidP="005211BE">
      <w:pPr>
        <w:rPr>
          <w:rFonts w:eastAsia="Aptos" w:cs="Arial"/>
          <w:sz w:val="24"/>
          <w:szCs w:val="24"/>
        </w:rPr>
      </w:pPr>
      <w:r w:rsidRPr="005211BE">
        <w:rPr>
          <w:rFonts w:eastAsia="Aptos" w:cs="Arial"/>
          <w:sz w:val="24"/>
          <w:szCs w:val="24"/>
        </w:rPr>
        <w:t>DELLA REPUBBLICA E CANTONE TICINO</w:t>
      </w:r>
    </w:p>
    <w:p w:rsidR="005211BE" w:rsidRPr="005211BE" w:rsidRDefault="005211BE" w:rsidP="005211BE">
      <w:pPr>
        <w:rPr>
          <w:rFonts w:eastAsia="Aptos" w:cs="Arial"/>
          <w:sz w:val="24"/>
          <w:szCs w:val="24"/>
        </w:rPr>
      </w:pPr>
    </w:p>
    <w:p w:rsidR="005211BE" w:rsidRPr="005211BE" w:rsidRDefault="005211BE" w:rsidP="005211BE">
      <w:pPr>
        <w:rPr>
          <w:rFonts w:eastAsia="Aptos" w:cs="Arial"/>
          <w:sz w:val="24"/>
          <w:szCs w:val="24"/>
        </w:rPr>
      </w:pPr>
      <w:r w:rsidRPr="005211BE">
        <w:rPr>
          <w:rFonts w:eastAsia="Aptos" w:cs="Arial"/>
          <w:sz w:val="24"/>
          <w:szCs w:val="24"/>
        </w:rPr>
        <w:t>visto il messaggio del Consiglio di Stato n. 8545 del 19 febbraio 2025,</w:t>
      </w:r>
    </w:p>
    <w:p w:rsidR="005211BE" w:rsidRPr="005211BE" w:rsidRDefault="005211BE" w:rsidP="005211BE">
      <w:pPr>
        <w:rPr>
          <w:rFonts w:eastAsia="Aptos" w:cs="Arial"/>
          <w:sz w:val="24"/>
          <w:szCs w:val="24"/>
        </w:rPr>
      </w:pPr>
      <w:r w:rsidRPr="005211BE">
        <w:rPr>
          <w:rFonts w:eastAsia="Aptos" w:cs="Arial"/>
          <w:sz w:val="24"/>
          <w:szCs w:val="24"/>
        </w:rPr>
        <w:t>visto il rapporto n. 8545</w:t>
      </w:r>
      <w:r w:rsidR="00E30F40">
        <w:rPr>
          <w:rFonts w:eastAsia="Aptos" w:cs="Arial"/>
          <w:sz w:val="24"/>
          <w:szCs w:val="24"/>
        </w:rPr>
        <w:t>R</w:t>
      </w:r>
      <w:r w:rsidRPr="005211BE">
        <w:rPr>
          <w:rFonts w:eastAsia="Aptos" w:cs="Arial"/>
          <w:sz w:val="24"/>
          <w:szCs w:val="24"/>
        </w:rPr>
        <w:t xml:space="preserve"> della Commissione gestione e finanze del 27 maggio 2025,</w:t>
      </w:r>
    </w:p>
    <w:p w:rsidR="005211BE" w:rsidRPr="005211BE" w:rsidRDefault="005211BE" w:rsidP="005211BE">
      <w:pPr>
        <w:rPr>
          <w:rFonts w:eastAsia="Aptos" w:cs="Arial"/>
          <w:sz w:val="24"/>
          <w:szCs w:val="24"/>
        </w:rPr>
      </w:pPr>
    </w:p>
    <w:p w:rsidR="005211BE" w:rsidRPr="005211BE" w:rsidRDefault="005211BE" w:rsidP="005211BE">
      <w:pPr>
        <w:rPr>
          <w:rFonts w:eastAsia="Aptos" w:cs="Arial"/>
          <w:sz w:val="24"/>
          <w:szCs w:val="24"/>
        </w:rPr>
      </w:pPr>
      <w:r w:rsidRPr="005211BE">
        <w:rPr>
          <w:rFonts w:eastAsia="Aptos" w:cs="Arial"/>
          <w:sz w:val="24"/>
          <w:szCs w:val="24"/>
        </w:rPr>
        <w:t>decreta:</w:t>
      </w:r>
    </w:p>
    <w:p w:rsidR="005211BE" w:rsidRPr="005211BE" w:rsidRDefault="005211BE" w:rsidP="005211BE">
      <w:pPr>
        <w:rPr>
          <w:rFonts w:eastAsia="Aptos" w:cs="Arial"/>
          <w:sz w:val="24"/>
          <w:szCs w:val="24"/>
        </w:rPr>
      </w:pPr>
    </w:p>
    <w:p w:rsidR="005211BE" w:rsidRPr="005211BE" w:rsidRDefault="005211BE" w:rsidP="005211BE">
      <w:pPr>
        <w:tabs>
          <w:tab w:val="left" w:pos="426"/>
        </w:tabs>
        <w:rPr>
          <w:rFonts w:eastAsia="Aptos" w:cs="Arial"/>
          <w:b/>
          <w:bCs/>
          <w:sz w:val="24"/>
          <w:szCs w:val="24"/>
        </w:rPr>
      </w:pPr>
      <w:r w:rsidRPr="005211BE">
        <w:rPr>
          <w:rFonts w:eastAsia="Aptos" w:cs="Arial"/>
          <w:b/>
          <w:bCs/>
          <w:sz w:val="24"/>
          <w:szCs w:val="24"/>
        </w:rPr>
        <w:t>Art. 1</w:t>
      </w:r>
    </w:p>
    <w:p w:rsidR="005211BE" w:rsidRPr="005211BE" w:rsidRDefault="005211BE" w:rsidP="005211BE">
      <w:pPr>
        <w:rPr>
          <w:rFonts w:eastAsia="Aptos" w:cs="Arial"/>
          <w:color w:val="000000"/>
          <w:sz w:val="24"/>
          <w:szCs w:val="24"/>
        </w:rPr>
      </w:pPr>
      <w:r w:rsidRPr="005211BE">
        <w:rPr>
          <w:rFonts w:eastAsia="Aptos" w:cs="Arial"/>
          <w:color w:val="000000"/>
          <w:sz w:val="24"/>
          <w:szCs w:val="24"/>
        </w:rPr>
        <w:t xml:space="preserve">Al Locarno Film Festival </w:t>
      </w:r>
      <w:r w:rsidRPr="005211BE">
        <w:rPr>
          <w:rFonts w:eastAsia="Aptos" w:cs="Arial"/>
          <w:sz w:val="24"/>
          <w:szCs w:val="24"/>
        </w:rPr>
        <w:t xml:space="preserve">è concesso un contributo annuale di 3'400'000 franchi </w:t>
      </w:r>
      <w:r w:rsidRPr="005211BE">
        <w:rPr>
          <w:rFonts w:eastAsia="Aptos" w:cs="Arial"/>
          <w:color w:val="000000"/>
          <w:sz w:val="24"/>
          <w:szCs w:val="24"/>
        </w:rPr>
        <w:t xml:space="preserve">per il periodo 2026–2030, per un totale complessivo di </w:t>
      </w:r>
      <w:r w:rsidRPr="005211BE">
        <w:rPr>
          <w:rFonts w:eastAsia="Aptos" w:cs="Arial"/>
          <w:sz w:val="24"/>
          <w:szCs w:val="24"/>
        </w:rPr>
        <w:t>17'000'000</w:t>
      </w:r>
      <w:r w:rsidRPr="005211BE">
        <w:rPr>
          <w:rFonts w:eastAsia="Aptos" w:cs="Arial"/>
          <w:b/>
          <w:sz w:val="24"/>
          <w:szCs w:val="24"/>
        </w:rPr>
        <w:t xml:space="preserve"> </w:t>
      </w:r>
      <w:r w:rsidRPr="005211BE">
        <w:rPr>
          <w:rFonts w:eastAsia="Aptos" w:cs="Arial"/>
          <w:sz w:val="24"/>
          <w:szCs w:val="24"/>
        </w:rPr>
        <w:t>di franchi</w:t>
      </w:r>
      <w:r w:rsidRPr="005211BE">
        <w:rPr>
          <w:rFonts w:eastAsia="Aptos" w:cs="Arial"/>
          <w:color w:val="000000"/>
          <w:sz w:val="24"/>
          <w:szCs w:val="24"/>
        </w:rPr>
        <w:t>.</w:t>
      </w:r>
    </w:p>
    <w:p w:rsidR="005211BE" w:rsidRPr="005211BE" w:rsidRDefault="005211BE" w:rsidP="005211BE">
      <w:pPr>
        <w:rPr>
          <w:rFonts w:eastAsia="Aptos" w:cs="Arial"/>
          <w:color w:val="000000"/>
          <w:sz w:val="24"/>
          <w:szCs w:val="24"/>
        </w:rPr>
      </w:pPr>
    </w:p>
    <w:p w:rsidR="005211BE" w:rsidRPr="005211BE" w:rsidRDefault="005211BE" w:rsidP="005211BE">
      <w:pPr>
        <w:rPr>
          <w:rFonts w:eastAsia="Aptos" w:cs="Arial"/>
          <w:b/>
          <w:color w:val="000000"/>
          <w:sz w:val="24"/>
          <w:szCs w:val="24"/>
        </w:rPr>
      </w:pPr>
      <w:r w:rsidRPr="005211BE">
        <w:rPr>
          <w:rFonts w:eastAsia="Aptos" w:cs="Arial"/>
          <w:b/>
          <w:color w:val="000000"/>
          <w:sz w:val="24"/>
          <w:szCs w:val="24"/>
        </w:rPr>
        <w:t>Art. 2</w:t>
      </w:r>
    </w:p>
    <w:p w:rsidR="005211BE" w:rsidRPr="005211BE" w:rsidRDefault="005211BE" w:rsidP="005211BE">
      <w:pPr>
        <w:rPr>
          <w:rFonts w:eastAsia="Aptos" w:cs="Arial"/>
          <w:color w:val="000000"/>
          <w:sz w:val="24"/>
          <w:szCs w:val="24"/>
        </w:rPr>
      </w:pPr>
      <w:r w:rsidRPr="005211BE">
        <w:rPr>
          <w:rFonts w:eastAsia="Aptos" w:cs="Arial"/>
          <w:color w:val="000000"/>
          <w:sz w:val="24"/>
          <w:szCs w:val="24"/>
        </w:rPr>
        <w:t>Un’apposita Convezione esplicita le modalità di erogazione dei contributi e le prestazioni richieste.</w:t>
      </w:r>
    </w:p>
    <w:p w:rsidR="005211BE" w:rsidRPr="005211BE" w:rsidRDefault="005211BE" w:rsidP="005211BE">
      <w:pPr>
        <w:rPr>
          <w:rFonts w:eastAsia="Aptos" w:cs="Arial"/>
          <w:bCs/>
          <w:sz w:val="24"/>
          <w:szCs w:val="24"/>
        </w:rPr>
      </w:pPr>
    </w:p>
    <w:p w:rsidR="005211BE" w:rsidRPr="005211BE" w:rsidRDefault="005211BE" w:rsidP="005211BE">
      <w:pPr>
        <w:rPr>
          <w:rFonts w:eastAsia="Aptos" w:cs="Arial"/>
          <w:b/>
          <w:bCs/>
          <w:sz w:val="24"/>
          <w:szCs w:val="24"/>
        </w:rPr>
      </w:pPr>
      <w:r w:rsidRPr="005211BE">
        <w:rPr>
          <w:rFonts w:eastAsia="Aptos" w:cs="Arial"/>
          <w:b/>
          <w:bCs/>
          <w:sz w:val="24"/>
          <w:szCs w:val="24"/>
        </w:rPr>
        <w:t>Art. 3</w:t>
      </w:r>
    </w:p>
    <w:p w:rsidR="005211BE" w:rsidRPr="005211BE" w:rsidRDefault="005211BE" w:rsidP="005211BE">
      <w:pPr>
        <w:rPr>
          <w:rFonts w:eastAsia="Aptos" w:cs="Arial"/>
          <w:sz w:val="24"/>
          <w:szCs w:val="24"/>
          <w:vertAlign w:val="superscript"/>
        </w:rPr>
      </w:pPr>
      <w:r w:rsidRPr="005211BE">
        <w:rPr>
          <w:rFonts w:eastAsia="Aptos" w:cs="Arial"/>
          <w:sz w:val="24"/>
          <w:szCs w:val="24"/>
        </w:rPr>
        <w:t xml:space="preserve">La spesa annuale è di regola a carico del Fondo Swisslos. </w:t>
      </w:r>
    </w:p>
    <w:p w:rsidR="005211BE" w:rsidRPr="005211BE" w:rsidRDefault="005211BE" w:rsidP="005211BE">
      <w:pPr>
        <w:rPr>
          <w:rFonts w:eastAsia="Aptos" w:cs="Arial"/>
          <w:bCs/>
          <w:szCs w:val="24"/>
        </w:rPr>
      </w:pPr>
    </w:p>
    <w:p w:rsidR="005211BE" w:rsidRPr="005211BE" w:rsidRDefault="005211BE" w:rsidP="005211BE">
      <w:pPr>
        <w:rPr>
          <w:rFonts w:eastAsia="Aptos" w:cs="Arial"/>
          <w:b/>
          <w:sz w:val="24"/>
          <w:szCs w:val="24"/>
        </w:rPr>
      </w:pPr>
      <w:r w:rsidRPr="005211BE">
        <w:rPr>
          <w:rFonts w:eastAsia="Aptos" w:cs="Arial"/>
          <w:b/>
          <w:sz w:val="24"/>
          <w:szCs w:val="24"/>
        </w:rPr>
        <w:t xml:space="preserve">Art. 4 </w:t>
      </w:r>
    </w:p>
    <w:p w:rsidR="005211BE" w:rsidRPr="005211BE" w:rsidRDefault="005211BE" w:rsidP="005211BE">
      <w:pPr>
        <w:rPr>
          <w:rFonts w:eastAsia="Aptos" w:cs="Arial"/>
          <w:sz w:val="24"/>
          <w:szCs w:val="24"/>
        </w:rPr>
      </w:pPr>
      <w:r w:rsidRPr="005211BE">
        <w:rPr>
          <w:rFonts w:eastAsia="Aptos" w:cs="Arial"/>
          <w:sz w:val="24"/>
          <w:szCs w:val="24"/>
          <w:vertAlign w:val="superscript"/>
        </w:rPr>
        <w:t>1</w:t>
      </w:r>
      <w:r w:rsidRPr="005211BE">
        <w:rPr>
          <w:rFonts w:eastAsia="Aptos" w:cs="Arial"/>
          <w:sz w:val="24"/>
          <w:szCs w:val="24"/>
        </w:rPr>
        <w:t xml:space="preserve">Il presente decreto legislativo sottostà a referendum facoltativo. </w:t>
      </w:r>
    </w:p>
    <w:p w:rsidR="005211BE" w:rsidRPr="005211BE" w:rsidRDefault="005211BE" w:rsidP="005211BE">
      <w:pPr>
        <w:rPr>
          <w:rFonts w:eastAsia="Aptos" w:cs="Arial"/>
          <w:sz w:val="24"/>
          <w:szCs w:val="24"/>
        </w:rPr>
      </w:pPr>
      <w:r w:rsidRPr="005211BE">
        <w:rPr>
          <w:rFonts w:eastAsia="Aptos" w:cs="Arial"/>
          <w:sz w:val="24"/>
          <w:szCs w:val="24"/>
          <w:vertAlign w:val="superscript"/>
        </w:rPr>
        <w:t>2</w:t>
      </w:r>
      <w:r w:rsidRPr="005211BE">
        <w:rPr>
          <w:rFonts w:eastAsia="Aptos" w:cs="Arial"/>
          <w:sz w:val="24"/>
          <w:szCs w:val="24"/>
        </w:rPr>
        <w:t>Esso entra in vigore immediatamente.</w:t>
      </w:r>
    </w:p>
    <w:p w:rsidR="008F52AF" w:rsidRPr="005211BE" w:rsidRDefault="008F52AF" w:rsidP="00D33940">
      <w:pPr>
        <w:pStyle w:val="StandardRisoluzionedelConsigliodiStato"/>
        <w:ind w:right="-1"/>
      </w:pPr>
    </w:p>
    <w:p w:rsidR="00D649A8" w:rsidRPr="005211BE" w:rsidRDefault="00D649A8" w:rsidP="00D33940">
      <w:pPr>
        <w:pStyle w:val="StandardRisoluzionedelConsigliodiStato"/>
        <w:ind w:right="-1"/>
      </w:pPr>
    </w:p>
    <w:p w:rsidR="00D649A8" w:rsidRPr="005211BE" w:rsidRDefault="00D649A8" w:rsidP="00D33940">
      <w:pPr>
        <w:pStyle w:val="StandardRisoluzionedelConsigliodiStato"/>
        <w:ind w:right="-1"/>
      </w:pPr>
    </w:p>
    <w:sectPr w:rsidR="00D649A8" w:rsidRPr="005211BE" w:rsidSect="007F41C0">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C0" w:rsidRDefault="007F41C0" w:rsidP="00F657BF">
      <w:r>
        <w:separator/>
      </w:r>
    </w:p>
  </w:endnote>
  <w:endnote w:type="continuationSeparator" w:id="0">
    <w:p w:rsidR="007F41C0" w:rsidRDefault="007F41C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IDFont+F2">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20002A87" w:usb1="00000000" w:usb2="00000000"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7F41C0" w:rsidRPr="003D1008" w:rsidTr="007F41C0">
      <w:trPr>
        <w:trHeight w:hRule="exact" w:val="737"/>
      </w:trPr>
      <w:tc>
        <w:tcPr>
          <w:tcW w:w="4695" w:type="dxa"/>
        </w:tcPr>
        <w:p w:rsidR="007F41C0" w:rsidRPr="003D1008" w:rsidRDefault="007F41C0" w:rsidP="007F41C0">
          <w:pPr>
            <w:tabs>
              <w:tab w:val="center" w:pos="2382"/>
            </w:tabs>
          </w:pPr>
        </w:p>
      </w:tc>
      <w:tc>
        <w:tcPr>
          <w:tcW w:w="721" w:type="dxa"/>
        </w:tcPr>
        <w:p w:rsidR="007F41C0" w:rsidRPr="003D1008" w:rsidRDefault="007F41C0" w:rsidP="007F41C0">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7F41C0" w:rsidRPr="003D1008" w:rsidRDefault="007F41C0" w:rsidP="007F41C0">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7F41C0" w:rsidRPr="003D1008" w:rsidRDefault="007F41C0" w:rsidP="007F41C0"/>
      </w:tc>
    </w:tr>
  </w:tbl>
  <w:p w:rsidR="007F41C0" w:rsidRDefault="007F41C0" w:rsidP="007F41C0">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C0" w:rsidRDefault="007F41C0">
    <w:pPr>
      <w:pStyle w:val="Pidipagina"/>
      <w:jc w:val="center"/>
    </w:pPr>
  </w:p>
  <w:p w:rsidR="007F41C0" w:rsidRPr="008C6C46" w:rsidRDefault="007F41C0" w:rsidP="007F41C0">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C0" w:rsidRDefault="007F41C0" w:rsidP="00F657BF">
      <w:r>
        <w:separator/>
      </w:r>
    </w:p>
  </w:footnote>
  <w:footnote w:type="continuationSeparator" w:id="0">
    <w:p w:rsidR="007F41C0" w:rsidRDefault="007F41C0" w:rsidP="00F657BF">
      <w:r>
        <w:continuationSeparator/>
      </w:r>
    </w:p>
  </w:footnote>
  <w:footnote w:id="1">
    <w:p w:rsidR="007F41C0" w:rsidRPr="00EA7AD6" w:rsidRDefault="007F41C0" w:rsidP="00F42D0A">
      <w:pPr>
        <w:pStyle w:val="Testonotaapidipagina"/>
        <w:spacing w:after="0"/>
        <w:rPr>
          <w:lang w:val="it-CH"/>
        </w:rPr>
      </w:pPr>
      <w:r w:rsidRPr="005F4ECD">
        <w:rPr>
          <w:rStyle w:val="Rimandonotaapidipagina"/>
          <w:sz w:val="18"/>
          <w:szCs w:val="18"/>
        </w:rPr>
        <w:footnoteRef/>
      </w:r>
      <w:r w:rsidRPr="005F4ECD">
        <w:rPr>
          <w:sz w:val="18"/>
          <w:szCs w:val="18"/>
          <w:lang w:val="it-CH"/>
        </w:rPr>
        <w:t xml:space="preserve"> </w:t>
      </w:r>
      <w:r w:rsidRPr="005F4ECD">
        <w:rPr>
          <w:rFonts w:ascii="Arial" w:hAnsi="Arial" w:cs="Arial"/>
          <w:sz w:val="18"/>
          <w:szCs w:val="18"/>
          <w:lang w:val="it-CH"/>
        </w:rPr>
        <w:t>Medici D. et al</w:t>
      </w:r>
      <w:r w:rsidRPr="005F4ECD">
        <w:rPr>
          <w:rFonts w:ascii="Arial" w:hAnsi="Arial" w:cs="Arial"/>
          <w:i/>
          <w:sz w:val="18"/>
          <w:szCs w:val="18"/>
          <w:lang w:val="it-CH"/>
        </w:rPr>
        <w:t>., Impatti economici e potenziali strategici del Festival internazionale del film di Locarno</w:t>
      </w:r>
      <w:r w:rsidRPr="005F4ECD">
        <w:rPr>
          <w:rFonts w:ascii="Arial" w:hAnsi="Arial" w:cs="Arial"/>
          <w:sz w:val="18"/>
          <w:szCs w:val="18"/>
          <w:lang w:val="it-CH"/>
        </w:rPr>
        <w:t>, Lugano: Università della Svizzera italiana, 2005.</w:t>
      </w:r>
    </w:p>
  </w:footnote>
  <w:footnote w:id="2">
    <w:p w:rsidR="007F41C0" w:rsidRPr="00EA7AD6" w:rsidRDefault="007F41C0" w:rsidP="00F42D0A">
      <w:pPr>
        <w:pStyle w:val="Testonotaapidipagina"/>
        <w:spacing w:after="0"/>
        <w:rPr>
          <w:lang w:val="it-CH"/>
        </w:rPr>
      </w:pPr>
      <w:r w:rsidRPr="005F4ECD">
        <w:rPr>
          <w:rStyle w:val="Rimandonotaapidipagina"/>
          <w:sz w:val="18"/>
          <w:szCs w:val="18"/>
        </w:rPr>
        <w:footnoteRef/>
      </w:r>
      <w:r w:rsidRPr="005F4ECD">
        <w:rPr>
          <w:sz w:val="18"/>
          <w:szCs w:val="18"/>
          <w:lang w:val="en-US"/>
        </w:rPr>
        <w:t xml:space="preserve"> Felten &amp; Cie, </w:t>
      </w:r>
      <w:r w:rsidRPr="005F4ECD">
        <w:rPr>
          <w:rFonts w:cs="Arial"/>
          <w:i/>
          <w:color w:val="181717"/>
          <w:sz w:val="18"/>
          <w:szCs w:val="18"/>
          <w:lang w:val="en-US"/>
        </w:rPr>
        <w:t xml:space="preserve">Facts &amp; Figures 2022: </w:t>
      </w:r>
      <w:r w:rsidRPr="005F4ECD">
        <w:rPr>
          <w:rFonts w:cs="Arial"/>
          <w:i/>
          <w:color w:val="000000"/>
          <w:sz w:val="18"/>
          <w:szCs w:val="18"/>
          <w:lang w:val="en-US"/>
        </w:rPr>
        <w:t>Profile, media usage and product affinities of</w:t>
      </w:r>
      <w:r w:rsidRPr="005F4ECD">
        <w:rPr>
          <w:rFonts w:cs="Arial"/>
          <w:i/>
          <w:color w:val="181717"/>
          <w:sz w:val="18"/>
          <w:szCs w:val="18"/>
          <w:lang w:val="en-US"/>
        </w:rPr>
        <w:t xml:space="preserve"> </w:t>
      </w:r>
      <w:r w:rsidRPr="005F4ECD">
        <w:rPr>
          <w:rFonts w:cs="Arial"/>
          <w:i/>
          <w:color w:val="000000"/>
          <w:sz w:val="18"/>
          <w:szCs w:val="18"/>
          <w:lang w:val="en-US"/>
        </w:rPr>
        <w:t xml:space="preserve">those interested in and those visiting the Locarno Film </w:t>
      </w:r>
      <w:r w:rsidRPr="005F4ECD">
        <w:rPr>
          <w:rFonts w:cs="Arial"/>
          <w:color w:val="000000"/>
          <w:sz w:val="18"/>
          <w:szCs w:val="18"/>
          <w:lang w:val="en-US"/>
        </w:rPr>
        <w:t>Festival, Pfäffikon, 2022.</w:t>
      </w:r>
    </w:p>
  </w:footnote>
  <w:footnote w:id="3">
    <w:p w:rsidR="007F41C0" w:rsidRPr="00EA7AD6" w:rsidRDefault="007F41C0" w:rsidP="00F42D0A">
      <w:pPr>
        <w:pStyle w:val="Testonotaapidipagina"/>
        <w:spacing w:after="0"/>
        <w:rPr>
          <w:lang w:val="it-CH"/>
        </w:rPr>
      </w:pPr>
    </w:p>
  </w:footnote>
  <w:footnote w:id="4">
    <w:p w:rsidR="007F41C0" w:rsidRPr="00EA7AD6" w:rsidRDefault="007F41C0" w:rsidP="00F42D0A">
      <w:pPr>
        <w:pStyle w:val="Testonotaapidipagina"/>
        <w:spacing w:after="0"/>
        <w:rPr>
          <w:lang w:val="it-CH"/>
        </w:rPr>
      </w:pPr>
      <w:r w:rsidRPr="005F4ECD">
        <w:rPr>
          <w:rStyle w:val="Rimandonotaapidipagina"/>
          <w:sz w:val="18"/>
          <w:szCs w:val="18"/>
        </w:rPr>
        <w:footnoteRef/>
      </w:r>
      <w:r w:rsidRPr="005F4ECD">
        <w:rPr>
          <w:sz w:val="18"/>
          <w:szCs w:val="18"/>
          <w:lang w:val="it-CH"/>
        </w:rPr>
        <w:t xml:space="preserve"> </w:t>
      </w:r>
      <w:r w:rsidRPr="005F4ECD">
        <w:rPr>
          <w:rFonts w:ascii="Arial" w:hAnsi="Arial" w:cs="Arial"/>
          <w:sz w:val="18"/>
          <w:szCs w:val="18"/>
          <w:lang w:val="it-CH"/>
        </w:rPr>
        <w:t xml:space="preserve">BAK Economics, </w:t>
      </w:r>
      <w:r w:rsidRPr="005F4ECD">
        <w:rPr>
          <w:rFonts w:ascii="Arial" w:hAnsi="Arial" w:cs="Arial"/>
          <w:i/>
          <w:sz w:val="18"/>
          <w:szCs w:val="18"/>
          <w:lang w:val="it-CH"/>
        </w:rPr>
        <w:t>L’impatto economico della cultura nel Canton Ticino. Studio commissionato dalla Repubblica e Cantone Ticino</w:t>
      </w:r>
      <w:r w:rsidRPr="005F4ECD">
        <w:rPr>
          <w:rFonts w:ascii="Arial" w:hAnsi="Arial" w:cs="Arial"/>
          <w:sz w:val="18"/>
          <w:szCs w:val="18"/>
          <w:lang w:val="it-CH"/>
        </w:rPr>
        <w:t>, Lugano, 2020.</w:t>
      </w:r>
    </w:p>
  </w:footnote>
  <w:footnote w:id="5">
    <w:p w:rsidR="007F41C0" w:rsidRPr="00EA7AD6" w:rsidRDefault="007F41C0" w:rsidP="005211BE">
      <w:pPr>
        <w:pStyle w:val="Testonotaapidipagina"/>
        <w:rPr>
          <w:lang w:val="it-CH"/>
        </w:rPr>
      </w:pPr>
      <w:r>
        <w:rPr>
          <w:rStyle w:val="Rimandonotaapidipagina"/>
        </w:rPr>
        <w:footnoteRef/>
      </w:r>
      <w:r w:rsidRPr="00EA7AD6">
        <w:rPr>
          <w:lang w:val="it-CH"/>
        </w:rPr>
        <w:t xml:space="preserve"> </w:t>
      </w:r>
      <w:r w:rsidRPr="005F4ECD">
        <w:rPr>
          <w:rStyle w:val="Rimandonotaapidipagina"/>
          <w:sz w:val="18"/>
          <w:szCs w:val="18"/>
        </w:rPr>
        <w:footnoteRef/>
      </w:r>
      <w:r w:rsidRPr="005F4ECD">
        <w:rPr>
          <w:sz w:val="18"/>
          <w:szCs w:val="18"/>
          <w:lang w:val="it-CH"/>
        </w:rPr>
        <w:t xml:space="preserve"> </w:t>
      </w:r>
      <w:r w:rsidRPr="005F4ECD">
        <w:rPr>
          <w:rFonts w:ascii="Arial" w:hAnsi="Arial" w:cs="Arial"/>
          <w:sz w:val="18"/>
          <w:szCs w:val="18"/>
          <w:lang w:val="it-CH"/>
        </w:rPr>
        <w:t xml:space="preserve">AA.VV., </w:t>
      </w:r>
      <w:r w:rsidRPr="005F4ECD">
        <w:rPr>
          <w:rFonts w:ascii="Arial" w:hAnsi="Arial" w:cs="Arial"/>
          <w:i/>
          <w:sz w:val="18"/>
          <w:szCs w:val="18"/>
          <w:lang w:val="it-CH"/>
        </w:rPr>
        <w:t>Audience Survey. Unraveling the Locarno Film Festival Audience through Public Survey Insights</w:t>
      </w:r>
      <w:r w:rsidRPr="005F4ECD">
        <w:rPr>
          <w:rFonts w:ascii="Arial" w:hAnsi="Arial" w:cs="Arial"/>
          <w:sz w:val="18"/>
          <w:szCs w:val="18"/>
          <w:lang w:val="it-CH"/>
        </w:rPr>
        <w:t>, Locarno, 2023.trov</w:t>
      </w:r>
    </w:p>
  </w:footnote>
  <w:footnote w:id="6">
    <w:p w:rsidR="007F41C0" w:rsidRPr="005F4ECD" w:rsidRDefault="007F41C0" w:rsidP="005211BE">
      <w:pPr>
        <w:pStyle w:val="Testonotaapidipagina"/>
        <w:rPr>
          <w:sz w:val="18"/>
          <w:szCs w:val="18"/>
          <w:lang w:val="it-IT"/>
        </w:rPr>
      </w:pPr>
      <w:r w:rsidRPr="005F4ECD">
        <w:rPr>
          <w:rStyle w:val="Rimandonotaapidipagina"/>
          <w:sz w:val="18"/>
          <w:szCs w:val="18"/>
          <w:lang w:val="it-IT"/>
        </w:rPr>
        <w:footnoteRef/>
      </w:r>
      <w:r w:rsidRPr="005F4ECD">
        <w:rPr>
          <w:sz w:val="18"/>
          <w:szCs w:val="18"/>
          <w:lang w:val="it-IT"/>
        </w:rPr>
        <w:t xml:space="preserve"> </w:t>
      </w:r>
      <w:r w:rsidRPr="005211BE">
        <w:rPr>
          <w:rFonts w:eastAsia="Aptos" w:cs="Arial"/>
          <w:bCs/>
          <w:color w:val="000000"/>
          <w:sz w:val="18"/>
          <w:szCs w:val="18"/>
          <w:lang w:val="it-IT"/>
        </w:rPr>
        <w:t>Un valore negativo indica un utile di esercizio. Un valore valore positivo indica un utilizzo delle riserve finanziarie a disposizione.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7F41C0" w:rsidRPr="002747E7" w:rsidTr="007F41C0">
      <w:trPr>
        <w:trHeight w:val="562"/>
      </w:trPr>
      <w:tc>
        <w:tcPr>
          <w:tcW w:w="8383" w:type="dxa"/>
          <w:tcBorders>
            <w:left w:val="single" w:sz="4" w:space="0" w:color="auto"/>
            <w:bottom w:val="single" w:sz="4" w:space="0" w:color="auto"/>
          </w:tcBorders>
          <w:tcMar>
            <w:left w:w="142" w:type="dxa"/>
          </w:tcMar>
          <w:vAlign w:val="bottom"/>
        </w:tcPr>
        <w:p w:rsidR="007F41C0" w:rsidRDefault="00A037AA" w:rsidP="007F41C0">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B0343E09-4127-4394-A1E3-4F784A459627}"/>
              <w:text w:multiLine="1"/>
            </w:sdtPr>
            <w:sdtEndPr/>
            <w:sdtContent>
              <w:r w:rsidR="007F41C0">
                <w:rPr>
                  <w:rFonts w:ascii="Gill Alt One MT Light" w:hAnsi="Gill Alt One MT Light"/>
                  <w:sz w:val="16"/>
                  <w:szCs w:val="16"/>
                </w:rPr>
                <w:t>Repubblica e Cantone Ticino</w:t>
              </w:r>
            </w:sdtContent>
          </w:sdt>
        </w:p>
        <w:p w:rsidR="007F41C0" w:rsidRPr="00E8185F" w:rsidRDefault="00A037AA" w:rsidP="007F41C0">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B0343E09-4127-4394-A1E3-4F784A459627}"/>
              <w:text w:multiLine="1"/>
            </w:sdtPr>
            <w:sdtEndPr/>
            <w:sdtContent>
              <w:r w:rsidR="007F41C0">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7F41C0" w:rsidRPr="004204CB" w:rsidRDefault="007F41C0" w:rsidP="007F41C0">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037AA">
            <w:rPr>
              <w:noProof/>
              <w:sz w:val="24"/>
            </w:rPr>
            <w:t>14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037AA">
            <w:rPr>
              <w:noProof/>
              <w:sz w:val="24"/>
            </w:rPr>
            <w:t>14</w:t>
          </w:r>
          <w:r w:rsidRPr="004204CB">
            <w:rPr>
              <w:noProof/>
              <w:sz w:val="24"/>
            </w:rPr>
            <w:fldChar w:fldCharType="end"/>
          </w:r>
        </w:p>
      </w:tc>
    </w:tr>
    <w:tr w:rsidR="007F41C0" w:rsidRPr="009E444B" w:rsidTr="007F41C0">
      <w:trPr>
        <w:trHeight w:val="334"/>
      </w:trPr>
      <w:sdt>
        <w:sdtPr>
          <w:rPr>
            <w:rFonts w:ascii="Gill Sans Display MT Pro BdCn" w:hAnsi="Gill Sans Display MT Pro BdCn"/>
            <w:sz w:val="18"/>
            <w:szCs w:val="18"/>
          </w:rPr>
          <w:alias w:val="CustomElements.Fields.Titolo2"/>
          <w:id w:val="48588533"/>
          <w:dataBinding w:xpath="//Text[@id='CustomElements.Fields.Titolo2']" w:storeItemID="{B0343E09-4127-4394-A1E3-4F784A459627}"/>
          <w:text w:multiLine="1"/>
        </w:sdtPr>
        <w:sdtEndPr/>
        <w:sdtContent>
          <w:tc>
            <w:tcPr>
              <w:tcW w:w="8383" w:type="dxa"/>
              <w:tcBorders>
                <w:left w:val="single" w:sz="4" w:space="0" w:color="auto"/>
              </w:tcBorders>
              <w:tcMar>
                <w:top w:w="0" w:type="dxa"/>
                <w:left w:w="142" w:type="dxa"/>
              </w:tcMar>
            </w:tcPr>
            <w:p w:rsidR="007F41C0" w:rsidRPr="005211BE" w:rsidRDefault="007F41C0" w:rsidP="007F41C0">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8545 R del 27 maggio 2025</w:t>
              </w:r>
            </w:p>
          </w:tc>
        </w:sdtContent>
      </w:sdt>
      <w:tc>
        <w:tcPr>
          <w:tcW w:w="1710" w:type="dxa"/>
          <w:tcBorders>
            <w:top w:val="single" w:sz="4" w:space="0" w:color="auto"/>
          </w:tcBorders>
        </w:tcPr>
        <w:p w:rsidR="007F41C0" w:rsidRPr="005211BE" w:rsidRDefault="007F41C0" w:rsidP="007F41C0">
          <w:pPr>
            <w:pStyle w:val="InvisibleLine"/>
            <w:rPr>
              <w:lang w:val="it-CH"/>
            </w:rPr>
          </w:pPr>
        </w:p>
      </w:tc>
    </w:tr>
  </w:tbl>
  <w:p w:rsidR="007F41C0" w:rsidRPr="00980362" w:rsidRDefault="007F41C0" w:rsidP="007F41C0">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0343E09-4127-4394-A1E3-4F784A459627}"/>
                            <w:text w:multiLine="1"/>
                          </w:sdtPr>
                          <w:sdtEndPr/>
                          <w:sdtContent>
                            <w:p w:rsidR="007F41C0" w:rsidRPr="00411371" w:rsidRDefault="007F41C0" w:rsidP="007F41C0">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9C41A01-3F45-4FAB-97B8-B28035E06327}"/>
                      <w:text w:multiLine="1"/>
                    </w:sdtPr>
                    <w:sdtContent>
                      <w:p w:rsidR="007F41C0" w:rsidRPr="00411371" w:rsidRDefault="007F41C0" w:rsidP="007F41C0">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7F41C0" w:rsidRPr="0004624C" w:rsidTr="007F41C0">
      <w:trPr>
        <w:trHeight w:hRule="exact" w:val="584"/>
      </w:trPr>
      <w:tc>
        <w:tcPr>
          <w:tcW w:w="2440" w:type="pct"/>
          <w:gridSpan w:val="3"/>
          <w:tcBorders>
            <w:top w:val="nil"/>
            <w:left w:val="nil"/>
            <w:bottom w:val="single" w:sz="4" w:space="0" w:color="auto"/>
          </w:tcBorders>
        </w:tcPr>
        <w:p w:rsidR="007F41C0" w:rsidRDefault="007F41C0" w:rsidP="007F41C0">
          <w:pPr>
            <w:pStyle w:val="InvisibleLine"/>
            <w:spacing w:line="240" w:lineRule="auto"/>
            <w:ind w:left="15"/>
            <w:rPr>
              <w:rFonts w:ascii="Gill Alt One MT Light" w:hAnsi="Gill Alt One MT Light"/>
              <w:sz w:val="16"/>
              <w:lang w:val="it-CH"/>
            </w:rPr>
          </w:pPr>
        </w:p>
        <w:p w:rsidR="007F41C0" w:rsidRDefault="007F41C0" w:rsidP="007F41C0">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7F41C0" w:rsidRPr="008966E7" w:rsidRDefault="007F41C0" w:rsidP="007F41C0">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7F41C0" w:rsidRPr="003108C0" w:rsidRDefault="007F41C0" w:rsidP="007F41C0">
          <w:pPr>
            <w:pStyle w:val="Level"/>
            <w:ind w:left="150"/>
            <w:rPr>
              <w:sz w:val="16"/>
            </w:rPr>
          </w:pPr>
        </w:p>
      </w:tc>
      <w:tc>
        <w:tcPr>
          <w:tcW w:w="209" w:type="pct"/>
          <w:tcBorders>
            <w:top w:val="nil"/>
            <w:bottom w:val="single" w:sz="4" w:space="0" w:color="auto"/>
          </w:tcBorders>
        </w:tcPr>
        <w:p w:rsidR="007F41C0" w:rsidRDefault="007F41C0" w:rsidP="007F41C0">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0549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7F41C0" w:rsidRPr="005211BE" w:rsidRDefault="007F41C0" w:rsidP="007F41C0">
          <w:pPr>
            <w:pStyle w:val="HeaderDecisione"/>
            <w:spacing w:after="60"/>
            <w:ind w:left="150"/>
            <w:jc w:val="right"/>
            <w:rPr>
              <w:rFonts w:ascii="Aptos" w:hAnsi="Aptos" w:cs="Aptos"/>
              <w:sz w:val="24"/>
            </w:rPr>
          </w:pPr>
          <w:r w:rsidRPr="005211BE">
            <w:rPr>
              <w:rFonts w:ascii="Aptos" w:hAnsi="Aptos" w:cs="Aptos"/>
              <w:sz w:val="24"/>
            </w:rPr>
            <w:fldChar w:fldCharType="begin"/>
          </w:r>
          <w:r w:rsidRPr="005211BE">
            <w:rPr>
              <w:rFonts w:ascii="Aptos" w:hAnsi="Aptos" w:cs="Aptos"/>
              <w:sz w:val="24"/>
            </w:rPr>
            <w:instrText xml:space="preserve"> PAGE   \* MERGEFORMAT </w:instrText>
          </w:r>
          <w:r w:rsidRPr="005211BE">
            <w:rPr>
              <w:rFonts w:ascii="Aptos" w:hAnsi="Aptos" w:cs="Aptos"/>
              <w:sz w:val="24"/>
            </w:rPr>
            <w:fldChar w:fldCharType="separate"/>
          </w:r>
          <w:r w:rsidR="00A037AA">
            <w:rPr>
              <w:rFonts w:ascii="Aptos" w:hAnsi="Aptos" w:cs="Aptos"/>
              <w:noProof/>
              <w:sz w:val="24"/>
            </w:rPr>
            <w:t>1</w:t>
          </w:r>
          <w:r w:rsidRPr="005211BE">
            <w:rPr>
              <w:rFonts w:ascii="Aptos" w:hAnsi="Aptos" w:cs="Aptos"/>
              <w:sz w:val="24"/>
            </w:rPr>
            <w:fldChar w:fldCharType="end"/>
          </w:r>
          <w:r w:rsidRPr="005211BE">
            <w:rPr>
              <w:rFonts w:ascii="Aptos" w:hAnsi="Aptos" w:cs="Aptos"/>
              <w:sz w:val="24"/>
            </w:rPr>
            <w:t xml:space="preserve"> di </w:t>
          </w:r>
          <w:r w:rsidRPr="005211BE">
            <w:rPr>
              <w:rFonts w:ascii="Aptos" w:hAnsi="Aptos" w:cs="Aptos"/>
              <w:sz w:val="24"/>
            </w:rPr>
            <w:fldChar w:fldCharType="begin"/>
          </w:r>
          <w:r w:rsidRPr="005211BE">
            <w:rPr>
              <w:rFonts w:ascii="Aptos" w:hAnsi="Aptos" w:cs="Aptos"/>
              <w:sz w:val="24"/>
            </w:rPr>
            <w:instrText xml:space="preserve"> NUMPAGES   \* MERGEFORMAT </w:instrText>
          </w:r>
          <w:r w:rsidRPr="005211BE">
            <w:rPr>
              <w:rFonts w:ascii="Aptos" w:hAnsi="Aptos" w:cs="Aptos"/>
              <w:sz w:val="24"/>
            </w:rPr>
            <w:fldChar w:fldCharType="separate"/>
          </w:r>
          <w:r w:rsidR="00A037AA">
            <w:rPr>
              <w:rFonts w:ascii="Aptos" w:hAnsi="Aptos" w:cs="Aptos"/>
              <w:noProof/>
              <w:sz w:val="24"/>
            </w:rPr>
            <w:t>14</w:t>
          </w:r>
          <w:r w:rsidRPr="005211BE">
            <w:rPr>
              <w:rFonts w:ascii="Aptos" w:hAnsi="Aptos" w:cs="Aptos"/>
              <w:noProof/>
              <w:sz w:val="24"/>
            </w:rPr>
            <w:fldChar w:fldCharType="end"/>
          </w:r>
        </w:p>
      </w:tc>
    </w:tr>
    <w:tr w:rsidR="007F41C0" w:rsidRPr="0004624C" w:rsidTr="007F41C0">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0343E09-4127-4394-A1E3-4F784A459627}"/>
          <w:text w:multiLine="1"/>
        </w:sdtPr>
        <w:sdtEndPr/>
        <w:sdtContent>
          <w:tc>
            <w:tcPr>
              <w:tcW w:w="5000" w:type="pct"/>
              <w:gridSpan w:val="6"/>
              <w:tcBorders>
                <w:left w:val="nil"/>
                <w:right w:val="nil"/>
              </w:tcBorders>
              <w:noWrap/>
              <w:tcMar>
                <w:top w:w="0" w:type="dxa"/>
              </w:tcMar>
              <w:vAlign w:val="bottom"/>
            </w:tcPr>
            <w:p w:rsidR="007F41C0" w:rsidRPr="008C03B5" w:rsidRDefault="007F41C0" w:rsidP="007F41C0">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7F41C0" w:rsidRPr="0004624C" w:rsidTr="007F41C0">
      <w:trPr>
        <w:trHeight w:hRule="exact" w:val="306"/>
      </w:trPr>
      <w:tc>
        <w:tcPr>
          <w:tcW w:w="670" w:type="pct"/>
          <w:tcBorders>
            <w:left w:val="nil"/>
            <w:bottom w:val="nil"/>
          </w:tcBorders>
          <w:noWrap/>
          <w:tcMar>
            <w:top w:w="57" w:type="dxa"/>
            <w:left w:w="142" w:type="dxa"/>
          </w:tcMar>
        </w:tcPr>
        <w:p w:rsidR="007F41C0" w:rsidRPr="00C7320A" w:rsidRDefault="007F41C0" w:rsidP="007F41C0">
          <w:pPr>
            <w:pStyle w:val="Level"/>
            <w:spacing w:before="60"/>
            <w:rPr>
              <w:rFonts w:ascii="Gill Alt One MT Light" w:hAnsi="Gill Alt One MT Light"/>
              <w:sz w:val="16"/>
            </w:rPr>
          </w:pPr>
          <w:r w:rsidRPr="00C7320A">
            <w:rPr>
              <w:rFonts w:ascii="Gill Alt One MT Light" w:hAnsi="Gill Alt One MT Light"/>
              <w:sz w:val="16"/>
            </w:rPr>
            <w:t>numero</w:t>
          </w:r>
        </w:p>
        <w:p w:rsidR="007F41C0" w:rsidRPr="00C7320A" w:rsidRDefault="007F41C0" w:rsidP="007F41C0">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7F41C0" w:rsidRPr="00C7320A" w:rsidRDefault="007F41C0" w:rsidP="007F41C0">
          <w:pPr>
            <w:pStyle w:val="Level"/>
            <w:spacing w:before="60"/>
            <w:rPr>
              <w:rFonts w:ascii="Gill Alt One MT Light" w:hAnsi="Gill Alt One MT Light"/>
              <w:sz w:val="16"/>
            </w:rPr>
          </w:pPr>
          <w:r w:rsidRPr="00C7320A">
            <w:rPr>
              <w:rFonts w:ascii="Gill Alt One MT Light" w:hAnsi="Gill Alt One MT Light"/>
              <w:sz w:val="16"/>
            </w:rPr>
            <w:t>data</w:t>
          </w:r>
        </w:p>
        <w:p w:rsidR="007F41C0" w:rsidRPr="00C7320A" w:rsidRDefault="007F41C0" w:rsidP="007F41C0">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7F41C0" w:rsidRPr="00C7320A" w:rsidRDefault="007F41C0" w:rsidP="007F41C0">
          <w:pPr>
            <w:pStyle w:val="Level"/>
            <w:spacing w:before="60"/>
            <w:rPr>
              <w:rFonts w:ascii="Gill Alt One MT Light" w:hAnsi="Gill Alt One MT Light"/>
              <w:sz w:val="16"/>
            </w:rPr>
          </w:pPr>
          <w:r>
            <w:rPr>
              <w:rFonts w:ascii="Gill Alt One MT Light" w:hAnsi="Gill Alt One MT Light"/>
              <w:sz w:val="16"/>
            </w:rPr>
            <w:t>competenza</w:t>
          </w:r>
        </w:p>
        <w:p w:rsidR="007F41C0" w:rsidRPr="008C03B5" w:rsidRDefault="007F41C0" w:rsidP="007F41C0">
          <w:pPr>
            <w:pStyle w:val="Level"/>
            <w:spacing w:before="60" w:line="240" w:lineRule="auto"/>
            <w:rPr>
              <w:rFonts w:ascii="Gill Alt One MT Light" w:hAnsi="Gill Alt One MT Light"/>
              <w:sz w:val="16"/>
            </w:rPr>
          </w:pPr>
        </w:p>
      </w:tc>
    </w:tr>
    <w:tr w:rsidR="007F41C0" w:rsidRPr="0004624C" w:rsidTr="007F41C0">
      <w:trPr>
        <w:trHeight w:hRule="exact" w:val="699"/>
      </w:trPr>
      <w:tc>
        <w:tcPr>
          <w:tcW w:w="670" w:type="pct"/>
          <w:tcBorders>
            <w:top w:val="nil"/>
            <w:left w:val="nil"/>
            <w:bottom w:val="single" w:sz="4" w:space="0" w:color="auto"/>
            <w:right w:val="nil"/>
          </w:tcBorders>
          <w:noWrap/>
          <w:tcMar>
            <w:top w:w="0" w:type="dxa"/>
          </w:tcMar>
        </w:tcPr>
        <w:p w:rsidR="007F41C0" w:rsidRPr="005211BE" w:rsidRDefault="00A037AA" w:rsidP="007F41C0">
          <w:pPr>
            <w:pStyle w:val="InvisibleLine"/>
            <w:spacing w:line="280" w:lineRule="exact"/>
            <w:rPr>
              <w:rFonts w:cs="Aptos"/>
              <w:b/>
              <w:sz w:val="24"/>
              <w:szCs w:val="24"/>
            </w:rPr>
          </w:pPr>
          <w:sdt>
            <w:sdtPr>
              <w:rPr>
                <w:rFonts w:cs="Aptos"/>
                <w:b/>
                <w:sz w:val="24"/>
                <w:szCs w:val="24"/>
              </w:rPr>
              <w:alias w:val="DocParam.Number"/>
              <w:id w:val="614175640"/>
              <w:dataBinding w:xpath="//Text[@id='DocParam.Number']" w:storeItemID="{B0343E09-4127-4394-A1E3-4F784A459627}"/>
              <w:text w:multiLine="1"/>
            </w:sdtPr>
            <w:sdtEndPr>
              <w:rPr>
                <w:rFonts w:cstheme="minorBidi"/>
              </w:rPr>
            </w:sdtEndPr>
            <w:sdtContent>
              <w:r w:rsidR="007F41C0" w:rsidRPr="005211BE">
                <w:rPr>
                  <w:b/>
                  <w:sz w:val="24"/>
                  <w:szCs w:val="24"/>
                </w:rPr>
                <w:t>8545 R</w:t>
              </w:r>
            </w:sdtContent>
          </w:sdt>
        </w:p>
      </w:tc>
      <w:sdt>
        <w:sdtPr>
          <w:rPr>
            <w:sz w:val="24"/>
          </w:rPr>
          <w:alias w:val="DocParam.Date"/>
          <w:id w:val="-464426178"/>
          <w:dataBinding w:xpath="//DateTime[@id='DocParam.Date']" w:storeItemID="{B0343E09-4127-4394-A1E3-4F784A459627}"/>
          <w:date w:fullDate="2025-05-2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7F41C0" w:rsidRPr="002A0371" w:rsidRDefault="007F41C0" w:rsidP="007F41C0">
              <w:pPr>
                <w:pStyle w:val="Data"/>
              </w:pPr>
              <w:r>
                <w:rPr>
                  <w:sz w:val="24"/>
                </w:rPr>
                <w:t>27 maggio 2025</w:t>
              </w:r>
            </w:p>
          </w:tc>
        </w:sdtContent>
      </w:sdt>
      <w:tc>
        <w:tcPr>
          <w:tcW w:w="3218" w:type="pct"/>
          <w:gridSpan w:val="4"/>
          <w:tcBorders>
            <w:top w:val="nil"/>
            <w:left w:val="nil"/>
            <w:bottom w:val="nil"/>
            <w:right w:val="nil"/>
          </w:tcBorders>
        </w:tcPr>
        <w:p w:rsidR="007F41C0" w:rsidRPr="005211BE" w:rsidRDefault="00A037AA" w:rsidP="007F41C0">
          <w:pPr>
            <w:pStyle w:val="Data"/>
            <w:rPr>
              <w:rFonts w:ascii="Aptos" w:hAnsi="Aptos" w:cs="Aptos"/>
              <w:sz w:val="23"/>
              <w:szCs w:val="23"/>
            </w:rPr>
          </w:pPr>
          <w:sdt>
            <w:sdtPr>
              <w:rPr>
                <w:smallCaps/>
                <w:sz w:val="23"/>
                <w:szCs w:val="23"/>
              </w:rPr>
              <w:alias w:val="CustomElements.Fields.Dipartimenti"/>
              <w:id w:val="-1138097914"/>
              <w:dataBinding w:xpath="//Text[@id='CustomElements.Fields.Dipartimenti']" w:storeItemID="{B0343E09-4127-4394-A1E3-4F784A459627}"/>
              <w:text w:multiLine="1"/>
            </w:sdtPr>
            <w:sdtEndPr/>
            <w:sdtContent>
              <w:r w:rsidR="007F41C0">
                <w:rPr>
                  <w:smallCaps/>
                  <w:sz w:val="23"/>
                  <w:szCs w:val="23"/>
                </w:rPr>
                <w:t>Dipartimento dell’educazione, della cultura e dello sport</w:t>
              </w:r>
            </w:sdtContent>
          </w:sdt>
        </w:p>
      </w:tc>
    </w:tr>
    <w:tr w:rsidR="007F41C0" w:rsidRPr="00C63927" w:rsidTr="007F41C0">
      <w:trPr>
        <w:trHeight w:hRule="exact" w:val="198"/>
      </w:trPr>
      <w:tc>
        <w:tcPr>
          <w:tcW w:w="5000" w:type="pct"/>
          <w:gridSpan w:val="6"/>
          <w:tcBorders>
            <w:left w:val="nil"/>
            <w:bottom w:val="nil"/>
            <w:right w:val="nil"/>
          </w:tcBorders>
          <w:noWrap/>
          <w:tcMar>
            <w:top w:w="57" w:type="dxa"/>
            <w:left w:w="85" w:type="dxa"/>
            <w:bottom w:w="170" w:type="dxa"/>
          </w:tcMar>
        </w:tcPr>
        <w:p w:rsidR="007F41C0" w:rsidRPr="00C7320A" w:rsidRDefault="007F41C0" w:rsidP="007F41C0">
          <w:pPr>
            <w:pStyle w:val="Level"/>
            <w:ind w:left="150"/>
            <w:rPr>
              <w:rFonts w:ascii="Gill Alt One MT Light" w:hAnsi="Gill Alt One MT Light"/>
              <w:sz w:val="16"/>
              <w:szCs w:val="16"/>
            </w:rPr>
          </w:pPr>
        </w:p>
      </w:tc>
    </w:tr>
  </w:tbl>
  <w:p w:rsidR="007F41C0" w:rsidRPr="00DA2879" w:rsidRDefault="007F41C0" w:rsidP="007F41C0">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5729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0343E09-4127-4394-A1E3-4F784A459627}"/>
                            <w:text w:multiLine="1"/>
                          </w:sdtPr>
                          <w:sdtEndPr/>
                          <w:sdtContent>
                            <w:p w:rsidR="007F41C0" w:rsidRPr="00411371" w:rsidRDefault="007F41C0" w:rsidP="007F41C0">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9C41A01-3F45-4FAB-97B8-B28035E06327}"/>
                      <w:text w:multiLine="1"/>
                    </w:sdtPr>
                    <w:sdtContent>
                      <w:p w:rsidR="007F41C0" w:rsidRPr="00411371" w:rsidRDefault="007F41C0" w:rsidP="007F41C0">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46FA3"/>
    <w:multiLevelType w:val="multilevel"/>
    <w:tmpl w:val="E8302252"/>
    <w:lvl w:ilvl="0">
      <w:numFmt w:val="bullet"/>
      <w:lvlText w:val="-"/>
      <w:lvlJc w:val="left"/>
      <w:pPr>
        <w:ind w:left="1440" w:hanging="360"/>
      </w:pPr>
      <w:rPr>
        <w:rFonts w:ascii="CIDFont+F2" w:eastAsia="Times New Roman" w:hAnsi="CIDFont+F2" w:cs="Times New Roman"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295B2C"/>
    <w:multiLevelType w:val="hybridMultilevel"/>
    <w:tmpl w:val="CAC2008E"/>
    <w:lvl w:ilvl="0" w:tplc="7534B3BC">
      <w:numFmt w:val="bullet"/>
      <w:lvlText w:val="-"/>
      <w:lvlJc w:val="left"/>
      <w:pPr>
        <w:ind w:left="720" w:hanging="360"/>
      </w:pPr>
      <w:rPr>
        <w:rFonts w:ascii="CIDFont+F2" w:eastAsia="Times New Roman" w:hAnsi="CIDFont+F2" w:cs="Times New Roman"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9B051D5"/>
    <w:multiLevelType w:val="hybridMultilevel"/>
    <w:tmpl w:val="C2469814"/>
    <w:lvl w:ilvl="0" w:tplc="FFFFFFFF">
      <w:numFmt w:val="bullet"/>
      <w:lvlText w:val="-"/>
      <w:lvlJc w:val="left"/>
      <w:pPr>
        <w:ind w:left="720" w:hanging="360"/>
      </w:pPr>
      <w:rPr>
        <w:rFonts w:ascii="CIDFont+F2" w:eastAsia="Times New Roman" w:hAnsi="CIDFont+F2" w:cs="Times New Roman" w:hint="default"/>
        <w:sz w:val="22"/>
      </w:rPr>
    </w:lvl>
    <w:lvl w:ilvl="1" w:tplc="7534B3BC">
      <w:numFmt w:val="bullet"/>
      <w:lvlText w:val="-"/>
      <w:lvlJc w:val="left"/>
      <w:pPr>
        <w:ind w:left="1440" w:hanging="360"/>
      </w:pPr>
      <w:rPr>
        <w:rFonts w:ascii="CIDFont+F2" w:eastAsia="Times New Roman" w:hAnsi="CIDFont+F2" w:cs="Times New Roman"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4D7A9A"/>
    <w:multiLevelType w:val="multilevel"/>
    <w:tmpl w:val="F4526E22"/>
    <w:lvl w:ilvl="0">
      <w:numFmt w:val="bullet"/>
      <w:lvlText w:val="-"/>
      <w:lvlJc w:val="left"/>
      <w:pPr>
        <w:ind w:left="720" w:hanging="360"/>
      </w:pPr>
      <w:rPr>
        <w:rFonts w:ascii="CIDFont+F2" w:eastAsia="Times New Roman" w:hAnsi="CIDFont+F2" w:cs="Times New Roman"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3AD24E7F"/>
    <w:multiLevelType w:val="hybridMultilevel"/>
    <w:tmpl w:val="2AA8D5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9D524CC"/>
    <w:multiLevelType w:val="multilevel"/>
    <w:tmpl w:val="953CA1B2"/>
    <w:numStyleLink w:val="HeadingList"/>
  </w:abstractNum>
  <w:abstractNum w:abstractNumId="22" w15:restartNumberingAfterBreak="0">
    <w:nsid w:val="55D81743"/>
    <w:multiLevelType w:val="hybridMultilevel"/>
    <w:tmpl w:val="B51A22B8"/>
    <w:lvl w:ilvl="0" w:tplc="5B28839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99605D1"/>
    <w:multiLevelType w:val="hybridMultilevel"/>
    <w:tmpl w:val="AA7600A6"/>
    <w:lvl w:ilvl="0" w:tplc="FFFFFFFF">
      <w:numFmt w:val="bullet"/>
      <w:lvlText w:val="-"/>
      <w:lvlJc w:val="left"/>
      <w:pPr>
        <w:ind w:left="720" w:hanging="360"/>
      </w:pPr>
      <w:rPr>
        <w:rFonts w:ascii="CIDFont+F2" w:eastAsia="Times New Roman" w:hAnsi="CIDFont+F2" w:cs="Times New Roman" w:hint="default"/>
        <w:sz w:val="22"/>
      </w:rPr>
    </w:lvl>
    <w:lvl w:ilvl="1" w:tplc="7534B3BC">
      <w:numFmt w:val="bullet"/>
      <w:lvlText w:val="-"/>
      <w:lvlJc w:val="left"/>
      <w:pPr>
        <w:ind w:left="720" w:hanging="360"/>
      </w:pPr>
      <w:rPr>
        <w:rFonts w:ascii="CIDFont+F2" w:eastAsia="Times New Roman" w:hAnsi="CIDFont+F2" w:cs="Times New Roman"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227828"/>
    <w:multiLevelType w:val="multilevel"/>
    <w:tmpl w:val="0F8CA926"/>
    <w:lvl w:ilvl="0">
      <w:numFmt w:val="bullet"/>
      <w:lvlText w:val="-"/>
      <w:lvlJc w:val="left"/>
      <w:pPr>
        <w:ind w:left="720" w:hanging="360"/>
      </w:pPr>
      <w:rPr>
        <w:rFonts w:ascii="CIDFont+F2" w:eastAsia="Times New Roman" w:hAnsi="CIDFont+F2" w:cs="Times New Roman"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9F5EBB"/>
    <w:multiLevelType w:val="hybridMultilevel"/>
    <w:tmpl w:val="86D4F7AE"/>
    <w:lvl w:ilvl="0" w:tplc="FFFFFFFF">
      <w:numFmt w:val="bullet"/>
      <w:lvlText w:val="-"/>
      <w:lvlJc w:val="left"/>
      <w:pPr>
        <w:ind w:left="720" w:hanging="360"/>
      </w:pPr>
      <w:rPr>
        <w:rFonts w:ascii="CIDFont+F2" w:eastAsia="Times New Roman" w:hAnsi="CIDFont+F2" w:cs="Times New Roman" w:hint="default"/>
        <w:sz w:val="22"/>
      </w:rPr>
    </w:lvl>
    <w:lvl w:ilvl="1" w:tplc="7534B3BC">
      <w:numFmt w:val="bullet"/>
      <w:lvlText w:val="-"/>
      <w:lvlJc w:val="left"/>
      <w:pPr>
        <w:ind w:left="720" w:hanging="360"/>
      </w:pPr>
      <w:rPr>
        <w:rFonts w:ascii="CIDFont+F2" w:eastAsia="Times New Roman" w:hAnsi="CIDFont+F2" w:cs="Times New Roman" w:hint="default"/>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lvlOverride w:ilvl="0">
      <w:lvl w:ilvl="0">
        <w:start w:val="1"/>
        <w:numFmt w:val="decimal"/>
        <w:lvlText w:val="%1"/>
        <w:lvlJc w:val="left"/>
        <w:pPr>
          <w:ind w:left="363" w:hanging="363"/>
        </w:pPr>
        <w:rPr>
          <w:rFonts w:ascii="Arial" w:hAnsi="Arial" w:cs="Arial" w:hint="default"/>
        </w:rPr>
      </w:lvl>
    </w:lvlOverride>
  </w:num>
  <w:num w:numId="3">
    <w:abstractNumId w:val="14"/>
  </w:num>
  <w:num w:numId="4">
    <w:abstractNumId w:val="20"/>
  </w:num>
  <w:num w:numId="5">
    <w:abstractNumId w:val="18"/>
  </w:num>
  <w:num w:numId="6">
    <w:abstractNumId w:val="16"/>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2"/>
  </w:num>
  <w:num w:numId="19">
    <w:abstractNumId w:val="11"/>
  </w:num>
  <w:num w:numId="20">
    <w:abstractNumId w:val="13"/>
  </w:num>
  <w:num w:numId="21">
    <w:abstractNumId w:val="24"/>
  </w:num>
  <w:num w:numId="22">
    <w:abstractNumId w:val="12"/>
  </w:num>
  <w:num w:numId="23">
    <w:abstractNumId w:val="19"/>
  </w:num>
  <w:num w:numId="24">
    <w:abstractNumId w:val="10"/>
  </w:num>
  <w:num w:numId="25">
    <w:abstractNumId w:val="25"/>
  </w:num>
  <w:num w:numId="2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BE"/>
    <w:rsid w:val="00014023"/>
    <w:rsid w:val="001C29AB"/>
    <w:rsid w:val="00214357"/>
    <w:rsid w:val="00220CE9"/>
    <w:rsid w:val="002A7A24"/>
    <w:rsid w:val="002B5D9F"/>
    <w:rsid w:val="003920F5"/>
    <w:rsid w:val="003B756D"/>
    <w:rsid w:val="00403ADB"/>
    <w:rsid w:val="004B6421"/>
    <w:rsid w:val="004F6433"/>
    <w:rsid w:val="005211BE"/>
    <w:rsid w:val="00572FD3"/>
    <w:rsid w:val="007540C4"/>
    <w:rsid w:val="007D4551"/>
    <w:rsid w:val="007F41C0"/>
    <w:rsid w:val="0084196E"/>
    <w:rsid w:val="008720C4"/>
    <w:rsid w:val="008B42B5"/>
    <w:rsid w:val="008D62F8"/>
    <w:rsid w:val="008F52AF"/>
    <w:rsid w:val="00997C8F"/>
    <w:rsid w:val="009C2303"/>
    <w:rsid w:val="009C5E5A"/>
    <w:rsid w:val="00A037AA"/>
    <w:rsid w:val="00AD6FE0"/>
    <w:rsid w:val="00AF0268"/>
    <w:rsid w:val="00B16C6B"/>
    <w:rsid w:val="00BF0A1F"/>
    <w:rsid w:val="00CD0A7F"/>
    <w:rsid w:val="00D33940"/>
    <w:rsid w:val="00D600FD"/>
    <w:rsid w:val="00D649A8"/>
    <w:rsid w:val="00DC7867"/>
    <w:rsid w:val="00E30F40"/>
    <w:rsid w:val="00EB088A"/>
    <w:rsid w:val="00F35D4D"/>
    <w:rsid w:val="00F42D0A"/>
    <w:rsid w:val="00F657BF"/>
    <w:rsid w:val="00F858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CD335"/>
  <w15:docId w15:val="{03D38AC4-DB73-4F3C-8153-33DB4B08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997C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7C8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9679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6daad85a-b0fc-4cbd-b396-ba3d6e9a2cd4.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1905495573</Id>
      <Width>0</Width>
      <Height>0</Height>
      <XPath>//Image[@id='Profile.Org.WappenSW']</XPath>
      <ImageHash>02f1c0cdac6aeac316213b2e7cb733a0</ImageHash>
    </ImageSizeDefinition>
    <ImageSizeDefinition>
      <Id>1557296754</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0 c 4 3 4 0 6 8 - b a 7 c - 4 e 4 9 - b 3 1 1 - a 2 a b 0 7 d 8 6 3 c 1 "   t I d = " a 3 6 2 a 5 d 4 - 9 5 8 9 - 4 1 b f - a 4 e 6 - 4 f 8 7 c 4 e 4 1 2 3 9 "   i n t e r n a l T I d = " 9 0 6 4 c c 7 f - 3 1 6 d - 4 6 b 1 - a 4 a c - 7 4 8 6 0 c 3 f 8 a 5 b "   m t I d = " 2 7 5 a f 3 2 e - b c 4 0 - 4 5 c 2 - 8 5 b 7 - a f b 1 c 0 3 8 2 6 5 3 "   r e v i s i o n = " 0 "   c r e a t e d m a j o r v e r s i o n = " 0 "   c r e a t e d m i n o r v e r s i o n = " 0 "   c r e a t e d = " 2 0 2 5 - 0 5 - 2 7 T 1 5 : 0 8 : 1 6 . 3 6 9 6 3 9 7 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 2 0 2 5 - 0 5 - 2 7 T 0 0 : 0 0 : 0 0 Z < / D a t e T i m e >  
                 < T e x t   i d = " D o c P a r a m . N u m b e r " > < ! [ C D A T A [ 8 5 4 5 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5 4 5   R   d e l   2 7   m a g g i o   2 0 2 5 ] ] > < / 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5 4 5   R   d e l   2 7   m a g g 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3B1FC681-3956-4BE8-88F2-D3622A58F6FF}">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B0343E09-4127-4394-A1E3-4F784A45962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6daad85a-b0fc-4cbd-b396-ba3d6e9a2cd4.dotx</Template>
  <TotalTime>28</TotalTime>
  <Pages>14</Pages>
  <Words>5762</Words>
  <Characters>28813</Characters>
  <Application>Microsoft Office Word</Application>
  <DocSecurity>0</DocSecurity>
  <Lines>14406</Lines>
  <Paragraphs>5762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30</cp:revision>
  <cp:lastPrinted>2025-05-27T15:35:00Z</cp:lastPrinted>
  <dcterms:created xsi:type="dcterms:W3CDTF">2025-05-27T15:08:00Z</dcterms:created>
  <dcterms:modified xsi:type="dcterms:W3CDTF">2025-05-28T05:12:00Z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