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5923CC" w:rsidRDefault="005923CC" w:rsidP="00D33940">
      <w:pPr>
        <w:pStyle w:val="StandardRisoluzionedelConsigliodiStato"/>
        <w:ind w:right="-1"/>
        <w:rPr>
          <w:b/>
          <w:sz w:val="28"/>
          <w:szCs w:val="28"/>
        </w:rPr>
      </w:pPr>
      <w:r w:rsidRPr="005923CC">
        <w:rPr>
          <w:b/>
          <w:sz w:val="28"/>
          <w:szCs w:val="28"/>
        </w:rPr>
        <w:t>della Commissione gestione e finanze</w:t>
      </w:r>
    </w:p>
    <w:p w:rsidR="005923CC" w:rsidRDefault="005923CC" w:rsidP="00D33940">
      <w:pPr>
        <w:pStyle w:val="StandardRisoluzionedelConsigliodiStato"/>
        <w:ind w:right="-1"/>
        <w:rPr>
          <w:b/>
          <w:sz w:val="28"/>
          <w:szCs w:val="28"/>
        </w:rPr>
      </w:pPr>
      <w:r w:rsidRPr="005923CC">
        <w:rPr>
          <w:b/>
          <w:sz w:val="28"/>
          <w:szCs w:val="28"/>
        </w:rPr>
        <w:t>sul messaggio 12 febbraio 2025 concernente l’approvazione del rinnovo della Convenzione concernente la gestione della Fortezza di Bellinzona e lo stanziamento di un sussidio annuale di 540'000 franchi per il periodo 2025–2029 a parziale copertura delle spese sostenute dalla Città di Bellinzona</w:t>
      </w:r>
    </w:p>
    <w:p w:rsidR="005923CC" w:rsidRPr="005923CC" w:rsidRDefault="005923CC" w:rsidP="00D33940">
      <w:pPr>
        <w:pStyle w:val="StandardRisoluzionedelConsigliodiStato"/>
        <w:ind w:right="-1"/>
        <w:rPr>
          <w:b/>
          <w:szCs w:val="24"/>
        </w:rPr>
      </w:pPr>
    </w:p>
    <w:p w:rsidR="005923CC" w:rsidRDefault="005923CC" w:rsidP="00D33940">
      <w:pPr>
        <w:pStyle w:val="StandardRisoluzionedelConsigliodiStato"/>
        <w:ind w:right="-1"/>
        <w:rPr>
          <w:b/>
          <w:szCs w:val="24"/>
        </w:rPr>
      </w:pPr>
    </w:p>
    <w:p w:rsidR="005923CC" w:rsidRDefault="005923CC" w:rsidP="00D33940">
      <w:pPr>
        <w:pStyle w:val="StandardRisoluzionedelConsigliodiStato"/>
        <w:ind w:right="-1"/>
        <w:rPr>
          <w:b/>
          <w:szCs w:val="24"/>
        </w:rPr>
      </w:pPr>
    </w:p>
    <w:p w:rsidR="00250A9B" w:rsidRPr="005923CC" w:rsidRDefault="00250A9B" w:rsidP="00D33940">
      <w:pPr>
        <w:pStyle w:val="StandardRisoluzionedelConsigliodiStato"/>
        <w:ind w:right="-1"/>
        <w:rPr>
          <w:b/>
          <w:szCs w:val="24"/>
        </w:rPr>
      </w:pPr>
    </w:p>
    <w:p w:rsidR="005923CC" w:rsidRPr="005923CC" w:rsidRDefault="005923CC" w:rsidP="005923CC">
      <w:pPr>
        <w:pStyle w:val="Titolo1"/>
        <w:tabs>
          <w:tab w:val="left" w:pos="567"/>
        </w:tabs>
        <w:spacing w:before="0"/>
        <w:ind w:left="567" w:hanging="567"/>
        <w:jc w:val="both"/>
        <w:rPr>
          <w:rFonts w:eastAsia="Calibri" w:cs="Times New Roman"/>
          <w:caps/>
          <w:sz w:val="24"/>
          <w:szCs w:val="24"/>
          <w:lang w:val="it-IT" w:eastAsia="it-IT"/>
        </w:rPr>
      </w:pPr>
      <w:r w:rsidRPr="005923CC">
        <w:rPr>
          <w:rFonts w:eastAsia="Calibri" w:cs="Times New Roman"/>
          <w:caps/>
          <w:sz w:val="24"/>
          <w:szCs w:val="24"/>
          <w:lang w:val="it-IT" w:eastAsia="it-IT"/>
        </w:rPr>
        <w:t>Premessa</w:t>
      </w:r>
    </w:p>
    <w:p w:rsidR="005923CC" w:rsidRDefault="005923CC" w:rsidP="005923CC">
      <w:pPr>
        <w:rPr>
          <w:rFonts w:cstheme="minorHAnsi"/>
          <w:sz w:val="24"/>
          <w:szCs w:val="24"/>
        </w:rPr>
      </w:pPr>
      <w:r w:rsidRPr="006151ED">
        <w:rPr>
          <w:rFonts w:asciiTheme="minorHAnsi" w:hAnsiTheme="minorHAnsi" w:cstheme="minorHAnsi"/>
          <w:sz w:val="24"/>
          <w:szCs w:val="24"/>
        </w:rPr>
        <w:t xml:space="preserve">Sono trascorsi già oltre 30 anni dall’importante ristrutturazione che ha permesso il rilancio del prezioso insediamento e </w:t>
      </w:r>
      <w:r>
        <w:rPr>
          <w:rFonts w:asciiTheme="minorHAnsi" w:hAnsiTheme="minorHAnsi" w:cstheme="minorHAnsi"/>
          <w:sz w:val="24"/>
          <w:szCs w:val="24"/>
        </w:rPr>
        <w:t xml:space="preserve">oltre </w:t>
      </w:r>
      <w:r w:rsidRPr="006151ED">
        <w:rPr>
          <w:rFonts w:asciiTheme="minorHAnsi" w:hAnsiTheme="minorHAnsi" w:cstheme="minorHAnsi"/>
          <w:sz w:val="24"/>
          <w:szCs w:val="24"/>
        </w:rPr>
        <w:t xml:space="preserve">20 dal riconoscimento della Fortezza di Bellinzona quale patrimonio mondiale dell’umanità. </w:t>
      </w:r>
      <w:r w:rsidRPr="006151ED">
        <w:rPr>
          <w:rFonts w:asciiTheme="minorHAnsi" w:hAnsiTheme="minorHAnsi" w:cstheme="minorHAnsi"/>
          <w:sz w:val="24"/>
        </w:rPr>
        <w:t xml:space="preserve">Si rinvia alla lettura del Rapporto </w:t>
      </w:r>
      <w:sdt>
        <w:sdtPr>
          <w:rPr>
            <w:rFonts w:cstheme="minorHAnsi"/>
            <w:sz w:val="24"/>
            <w:szCs w:val="24"/>
          </w:rPr>
          <w:alias w:val="DocParam.Number"/>
          <w:id w:val="-212967298"/>
          <w:dataBinding w:xpath="//Text[@id='DocParam.Number']" w:storeItemID="{6E0B4C5B-C83F-42B4-90C6-098F741BAE4D}"/>
          <w:text w:multiLine="1"/>
        </w:sdtPr>
        <w:sdtContent>
          <w:r>
            <w:rPr>
              <w:rFonts w:cstheme="minorHAnsi"/>
              <w:sz w:val="24"/>
              <w:szCs w:val="24"/>
            </w:rPr>
            <w:t>8539 R</w:t>
          </w:r>
        </w:sdtContent>
      </w:sdt>
      <w:r w:rsidRPr="006151ED">
        <w:rPr>
          <w:rFonts w:cstheme="minorHAnsi"/>
          <w:sz w:val="24"/>
          <w:szCs w:val="24"/>
        </w:rPr>
        <w:t xml:space="preserve"> </w:t>
      </w:r>
      <w:r>
        <w:rPr>
          <w:rFonts w:cstheme="minorHAnsi"/>
          <w:sz w:val="24"/>
          <w:szCs w:val="24"/>
        </w:rPr>
        <w:t xml:space="preserve">che prevedeva il sussidio del precedente periodo, </w:t>
      </w:r>
      <w:r w:rsidRPr="006151ED">
        <w:rPr>
          <w:rFonts w:cstheme="minorHAnsi"/>
          <w:sz w:val="24"/>
          <w:szCs w:val="24"/>
        </w:rPr>
        <w:t>per gli interessanti cenni storici alla Fortezza e alla Convenzione patrimonio UNESCO</w:t>
      </w:r>
      <w:r>
        <w:rPr>
          <w:rFonts w:cstheme="minorHAnsi"/>
          <w:sz w:val="24"/>
          <w:szCs w:val="24"/>
        </w:rPr>
        <w:t>,</w:t>
      </w:r>
      <w:r w:rsidRPr="006151ED">
        <w:rPr>
          <w:rFonts w:cstheme="minorHAnsi"/>
          <w:sz w:val="24"/>
          <w:szCs w:val="24"/>
        </w:rPr>
        <w:t xml:space="preserve"> che qui non approfondiremo</w:t>
      </w:r>
      <w:r>
        <w:rPr>
          <w:rFonts w:cstheme="minorHAnsi"/>
          <w:sz w:val="24"/>
          <w:szCs w:val="24"/>
        </w:rPr>
        <w:t>, e che ha messo in luce la necessità di dotarsi di una convenzione chiara fra le parti che oggi rinoviamo.</w:t>
      </w:r>
    </w:p>
    <w:p w:rsidR="005923CC" w:rsidRDefault="005923CC" w:rsidP="005923CC">
      <w:pPr>
        <w:rPr>
          <w:rFonts w:cstheme="minorHAnsi"/>
          <w:sz w:val="24"/>
          <w:szCs w:val="24"/>
        </w:rPr>
      </w:pPr>
    </w:p>
    <w:p w:rsidR="005923CC" w:rsidRPr="00166B10" w:rsidRDefault="005923CC" w:rsidP="005923CC">
      <w:pPr>
        <w:rPr>
          <w:rFonts w:asciiTheme="minorHAnsi" w:hAnsiTheme="minorHAnsi" w:cstheme="minorHAnsi"/>
          <w:sz w:val="24"/>
        </w:rPr>
      </w:pPr>
      <w:r>
        <w:rPr>
          <w:rFonts w:asciiTheme="minorHAnsi" w:hAnsiTheme="minorHAnsi" w:cstheme="minorHAnsi"/>
          <w:sz w:val="24"/>
        </w:rPr>
        <w:t>I</w:t>
      </w:r>
      <w:r w:rsidRPr="00166B10">
        <w:rPr>
          <w:rFonts w:asciiTheme="minorHAnsi" w:hAnsiTheme="minorHAnsi" w:cstheme="minorHAnsi"/>
          <w:sz w:val="24"/>
        </w:rPr>
        <w:t xml:space="preserve">l presente </w:t>
      </w:r>
      <w:r>
        <w:rPr>
          <w:rFonts w:asciiTheme="minorHAnsi" w:hAnsiTheme="minorHAnsi" w:cstheme="minorHAnsi"/>
          <w:sz w:val="24"/>
        </w:rPr>
        <w:t>Rapporto</w:t>
      </w:r>
      <w:r w:rsidRPr="00166B10">
        <w:rPr>
          <w:rFonts w:asciiTheme="minorHAnsi" w:hAnsiTheme="minorHAnsi" w:cstheme="minorHAnsi"/>
          <w:sz w:val="24"/>
        </w:rPr>
        <w:t xml:space="preserve"> </w:t>
      </w:r>
      <w:r>
        <w:rPr>
          <w:rFonts w:asciiTheme="minorHAnsi" w:hAnsiTheme="minorHAnsi" w:cstheme="minorHAnsi"/>
          <w:sz w:val="24"/>
        </w:rPr>
        <w:t xml:space="preserve">sostiene il Messaggio governativo nella richiesta di </w:t>
      </w:r>
      <w:r w:rsidRPr="00166B10">
        <w:rPr>
          <w:rFonts w:asciiTheme="minorHAnsi" w:hAnsiTheme="minorHAnsi" w:cstheme="minorHAnsi"/>
          <w:sz w:val="24"/>
        </w:rPr>
        <w:t xml:space="preserve">approvazione </w:t>
      </w:r>
      <w:r>
        <w:rPr>
          <w:rFonts w:asciiTheme="minorHAnsi" w:hAnsiTheme="minorHAnsi" w:cstheme="minorHAnsi"/>
          <w:sz w:val="24"/>
        </w:rPr>
        <w:t>del</w:t>
      </w:r>
      <w:r w:rsidRPr="00166B10">
        <w:rPr>
          <w:rFonts w:asciiTheme="minorHAnsi" w:hAnsiTheme="minorHAnsi" w:cstheme="minorHAnsi"/>
          <w:sz w:val="24"/>
        </w:rPr>
        <w:t>la Convenzione concernente la gestione della Fortezza di Bellinzona e la proposta di rinnovare il sussidio annuale di 540'000 franchi per il periodo 2025–2029 a parziale copertura delle spese sostenute dalla Città di Bellinzona necessario per assicurare continuità alla gestione.</w:t>
      </w:r>
    </w:p>
    <w:p w:rsidR="005923CC" w:rsidRDefault="005923CC" w:rsidP="005923CC">
      <w:pPr>
        <w:spacing w:line="320" w:lineRule="exact"/>
        <w:rPr>
          <w:rFonts w:asciiTheme="minorHAnsi" w:hAnsiTheme="minorHAnsi" w:cstheme="minorHAnsi"/>
          <w:sz w:val="24"/>
        </w:rPr>
      </w:pPr>
    </w:p>
    <w:p w:rsidR="005923CC" w:rsidRPr="00166B10" w:rsidRDefault="005923CC" w:rsidP="005923CC">
      <w:pPr>
        <w:spacing w:line="320" w:lineRule="exact"/>
        <w:rPr>
          <w:rFonts w:asciiTheme="minorHAnsi" w:hAnsiTheme="minorHAnsi" w:cstheme="minorHAnsi"/>
          <w:sz w:val="24"/>
        </w:rPr>
      </w:pPr>
    </w:p>
    <w:p w:rsidR="005923CC" w:rsidRPr="005923CC" w:rsidRDefault="005923CC" w:rsidP="005923CC">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5923CC">
        <w:rPr>
          <w:rFonts w:eastAsia="Calibri" w:cs="Times New Roman"/>
          <w:caps/>
          <w:sz w:val="24"/>
          <w:szCs w:val="24"/>
          <w:lang w:val="it-IT" w:eastAsia="it-IT"/>
        </w:rPr>
        <w:t>INTRODUZIONE</w:t>
      </w:r>
    </w:p>
    <w:p w:rsidR="005923CC" w:rsidRPr="005923CC" w:rsidRDefault="005923CC" w:rsidP="005923CC">
      <w:pPr>
        <w:pStyle w:val="Titolo2"/>
        <w:numPr>
          <w:ilvl w:val="1"/>
          <w:numId w:val="18"/>
        </w:numPr>
        <w:tabs>
          <w:tab w:val="left" w:pos="567"/>
        </w:tabs>
        <w:spacing w:before="0" w:after="120"/>
        <w:ind w:left="0" w:firstLine="0"/>
        <w:jc w:val="both"/>
        <w:rPr>
          <w:rFonts w:asciiTheme="minorHAnsi" w:hAnsiTheme="minorHAnsi" w:cstheme="minorHAnsi"/>
          <w:sz w:val="24"/>
        </w:rPr>
      </w:pPr>
    </w:p>
    <w:p w:rsidR="005923CC" w:rsidRPr="005923CC" w:rsidRDefault="005923CC" w:rsidP="005923CC">
      <w:pPr>
        <w:pStyle w:val="Titolo2"/>
        <w:numPr>
          <w:ilvl w:val="0"/>
          <w:numId w:val="0"/>
        </w:numPr>
        <w:tabs>
          <w:tab w:val="left" w:pos="567"/>
        </w:tabs>
        <w:spacing w:before="0" w:after="120"/>
        <w:jc w:val="both"/>
        <w:rPr>
          <w:rFonts w:asciiTheme="minorHAnsi" w:hAnsiTheme="minorHAnsi" w:cstheme="minorHAnsi"/>
          <w:b w:val="0"/>
          <w:sz w:val="24"/>
        </w:rPr>
      </w:pPr>
      <w:r w:rsidRPr="005923CC">
        <w:rPr>
          <w:rFonts w:asciiTheme="minorHAnsi" w:hAnsiTheme="minorHAnsi" w:cstheme="minorHAnsi"/>
          <w:b w:val="0"/>
          <w:sz w:val="24"/>
        </w:rPr>
        <w:t>Nel 2017, su iniziativa della Città, è stato avviato un progetto di valorizzazione dei Castelli inteso ad individuare il loro potenziale economico che si articolava in tre tappe:</w:t>
      </w:r>
    </w:p>
    <w:p w:rsidR="005923CC" w:rsidRPr="00166B10" w:rsidRDefault="005923CC" w:rsidP="00250A9B">
      <w:pPr>
        <w:tabs>
          <w:tab w:val="left" w:pos="284"/>
        </w:tabs>
        <w:suppressAutoHyphens/>
        <w:spacing w:before="120"/>
        <w:rPr>
          <w:rFonts w:asciiTheme="minorHAnsi" w:hAnsiTheme="minorHAnsi" w:cstheme="minorHAnsi"/>
          <w:sz w:val="24"/>
        </w:rPr>
      </w:pPr>
      <w:r w:rsidRPr="00166B10">
        <w:rPr>
          <w:rFonts w:asciiTheme="minorHAnsi" w:hAnsiTheme="minorHAnsi" w:cstheme="minorHAnsi"/>
          <w:sz w:val="24"/>
        </w:rPr>
        <w:t>-</w:t>
      </w:r>
      <w:r w:rsidRPr="00166B10">
        <w:rPr>
          <w:rFonts w:asciiTheme="minorHAnsi" w:hAnsiTheme="minorHAnsi" w:cstheme="minorHAnsi"/>
          <w:sz w:val="24"/>
        </w:rPr>
        <w:tab/>
        <w:t>uno studio di fattibilità, volto ad identificare gli obiettivi e le vie per raggiungerli;</w:t>
      </w:r>
    </w:p>
    <w:p w:rsidR="005923CC" w:rsidRPr="00166B10" w:rsidRDefault="005923CC" w:rsidP="00250A9B">
      <w:pPr>
        <w:tabs>
          <w:tab w:val="left" w:pos="284"/>
        </w:tabs>
        <w:suppressAutoHyphens/>
        <w:spacing w:before="120"/>
        <w:rPr>
          <w:rFonts w:asciiTheme="minorHAnsi" w:hAnsiTheme="minorHAnsi" w:cstheme="minorHAnsi"/>
          <w:sz w:val="24"/>
        </w:rPr>
      </w:pPr>
      <w:r w:rsidRPr="00166B10">
        <w:rPr>
          <w:rFonts w:asciiTheme="minorHAnsi" w:hAnsiTheme="minorHAnsi" w:cstheme="minorHAnsi"/>
          <w:sz w:val="24"/>
        </w:rPr>
        <w:t>-</w:t>
      </w:r>
      <w:r w:rsidRPr="00166B10">
        <w:rPr>
          <w:rFonts w:asciiTheme="minorHAnsi" w:hAnsiTheme="minorHAnsi" w:cstheme="minorHAnsi"/>
          <w:sz w:val="24"/>
        </w:rPr>
        <w:tab/>
        <w:t>una fase di progettazione, necessaria per allestire i progetti di dettaglio e il budget;</w:t>
      </w:r>
    </w:p>
    <w:p w:rsidR="005923CC" w:rsidRPr="00166B10" w:rsidRDefault="005923CC" w:rsidP="00250A9B">
      <w:pPr>
        <w:tabs>
          <w:tab w:val="left" w:pos="284"/>
        </w:tabs>
        <w:suppressAutoHyphens/>
        <w:spacing w:before="120"/>
        <w:rPr>
          <w:rFonts w:asciiTheme="minorHAnsi" w:hAnsiTheme="minorHAnsi" w:cstheme="minorHAnsi"/>
          <w:sz w:val="24"/>
        </w:rPr>
      </w:pPr>
      <w:r w:rsidRPr="00166B10">
        <w:rPr>
          <w:rFonts w:asciiTheme="minorHAnsi" w:hAnsiTheme="minorHAnsi" w:cstheme="minorHAnsi"/>
          <w:sz w:val="24"/>
        </w:rPr>
        <w:t>-</w:t>
      </w:r>
      <w:r w:rsidRPr="00166B10">
        <w:rPr>
          <w:rFonts w:asciiTheme="minorHAnsi" w:hAnsiTheme="minorHAnsi" w:cstheme="minorHAnsi"/>
          <w:sz w:val="24"/>
        </w:rPr>
        <w:tab/>
        <w:t>la fase di realizzazione, per concretizzare il progetto.</w:t>
      </w:r>
    </w:p>
    <w:p w:rsidR="005923CC" w:rsidRPr="00166B10" w:rsidRDefault="005923CC" w:rsidP="005923CC">
      <w:pPr>
        <w:tabs>
          <w:tab w:val="left" w:pos="284"/>
        </w:tabs>
        <w:rPr>
          <w:rFonts w:asciiTheme="minorHAnsi" w:hAnsiTheme="minorHAnsi" w:cstheme="minorHAnsi"/>
          <w:sz w:val="24"/>
        </w:rPr>
      </w:pPr>
    </w:p>
    <w:p w:rsidR="005923CC" w:rsidRPr="00166B10" w:rsidRDefault="005923CC" w:rsidP="005923CC">
      <w:pPr>
        <w:tabs>
          <w:tab w:val="left" w:pos="284"/>
        </w:tabs>
        <w:suppressAutoHyphens/>
        <w:ind w:right="28"/>
        <w:rPr>
          <w:rFonts w:asciiTheme="minorHAnsi" w:hAnsiTheme="minorHAnsi" w:cstheme="minorHAnsi"/>
          <w:sz w:val="24"/>
        </w:rPr>
      </w:pPr>
      <w:r w:rsidRPr="00166B10">
        <w:rPr>
          <w:rFonts w:asciiTheme="minorHAnsi" w:hAnsiTheme="minorHAnsi" w:cstheme="minorHAnsi"/>
          <w:sz w:val="24"/>
        </w:rPr>
        <w:t xml:space="preserve">La fase di progettazione, condotta dalla Città di Bellinzona, si è conclusa nel 2023. Dai lavori di progettazione sono scaturiti gli interventi che la Città intende effettuare e un business plan. </w:t>
      </w:r>
    </w:p>
    <w:p w:rsidR="005923CC" w:rsidRDefault="005923CC" w:rsidP="005923CC">
      <w:pPr>
        <w:tabs>
          <w:tab w:val="left" w:pos="284"/>
        </w:tabs>
        <w:suppressAutoHyphens/>
        <w:ind w:right="29"/>
        <w:rPr>
          <w:rFonts w:asciiTheme="minorHAnsi" w:hAnsiTheme="minorHAnsi" w:cstheme="minorHAnsi"/>
          <w:sz w:val="24"/>
        </w:rPr>
      </w:pPr>
    </w:p>
    <w:p w:rsidR="00250A9B" w:rsidRDefault="00250A9B" w:rsidP="005923CC">
      <w:pPr>
        <w:tabs>
          <w:tab w:val="left" w:pos="284"/>
        </w:tabs>
        <w:suppressAutoHyphens/>
        <w:ind w:right="29"/>
        <w:rPr>
          <w:rFonts w:asciiTheme="minorHAnsi" w:hAnsiTheme="minorHAnsi" w:cstheme="minorHAnsi"/>
          <w:sz w:val="24"/>
        </w:rPr>
      </w:pPr>
    </w:p>
    <w:p w:rsidR="00250A9B" w:rsidRPr="00166B10" w:rsidRDefault="00250A9B" w:rsidP="005923CC">
      <w:pPr>
        <w:tabs>
          <w:tab w:val="left" w:pos="284"/>
        </w:tabs>
        <w:suppressAutoHyphens/>
        <w:ind w:right="29"/>
        <w:rPr>
          <w:rFonts w:asciiTheme="minorHAnsi" w:hAnsiTheme="minorHAnsi" w:cstheme="minorHAnsi"/>
          <w:sz w:val="24"/>
        </w:rPr>
      </w:pPr>
    </w:p>
    <w:p w:rsidR="005923CC" w:rsidRPr="00166B10" w:rsidRDefault="005923CC" w:rsidP="005923CC">
      <w:pPr>
        <w:tabs>
          <w:tab w:val="left" w:pos="284"/>
        </w:tabs>
        <w:suppressAutoHyphens/>
        <w:ind w:right="29"/>
        <w:rPr>
          <w:rFonts w:asciiTheme="minorHAnsi" w:hAnsiTheme="minorHAnsi" w:cstheme="minorHAnsi"/>
          <w:sz w:val="24"/>
        </w:rPr>
      </w:pPr>
      <w:r w:rsidRPr="00166B10">
        <w:rPr>
          <w:rFonts w:asciiTheme="minorHAnsi" w:hAnsiTheme="minorHAnsi" w:cstheme="minorHAnsi"/>
          <w:sz w:val="24"/>
        </w:rPr>
        <w:lastRenderedPageBreak/>
        <w:t>In relazione ai sussidi ricorrenti e, in particolare, a quello cantonale di 540'000 franchi all’anno oggetto del presente Messaggio, il business plan elaborato dalla Città ne prevede la continuità integrale, almeno nei quattro anni dopo l’implementazione dei primi investimenti, a meno che la soglia dei 100'000 visitatori sia raggiunta anticipatamente per rapporto a questa scadenza.</w:t>
      </w:r>
    </w:p>
    <w:p w:rsidR="005923CC" w:rsidRPr="00166B10" w:rsidRDefault="005923CC" w:rsidP="005923CC">
      <w:pPr>
        <w:suppressAutoHyphens/>
        <w:ind w:right="28"/>
        <w:rPr>
          <w:rFonts w:asciiTheme="minorHAnsi" w:hAnsiTheme="minorHAnsi" w:cstheme="minorHAnsi"/>
          <w:sz w:val="24"/>
        </w:rPr>
      </w:pPr>
    </w:p>
    <w:p w:rsidR="005923CC" w:rsidRDefault="005923CC" w:rsidP="005923CC">
      <w:pPr>
        <w:pStyle w:val="Titolo2"/>
        <w:numPr>
          <w:ilvl w:val="1"/>
          <w:numId w:val="18"/>
        </w:numPr>
        <w:tabs>
          <w:tab w:val="left" w:pos="567"/>
        </w:tabs>
        <w:spacing w:before="0" w:after="120"/>
        <w:ind w:left="0" w:firstLine="0"/>
        <w:jc w:val="both"/>
        <w:rPr>
          <w:rFonts w:asciiTheme="minorHAnsi" w:hAnsiTheme="minorHAnsi" w:cstheme="minorHAnsi"/>
          <w:sz w:val="24"/>
        </w:rPr>
      </w:pPr>
    </w:p>
    <w:p w:rsidR="005923CC" w:rsidRPr="005923CC" w:rsidRDefault="005923CC" w:rsidP="005923CC">
      <w:pPr>
        <w:pStyle w:val="Titolo2"/>
        <w:numPr>
          <w:ilvl w:val="0"/>
          <w:numId w:val="0"/>
        </w:numPr>
        <w:tabs>
          <w:tab w:val="left" w:pos="567"/>
        </w:tabs>
        <w:spacing w:before="0" w:after="120"/>
        <w:jc w:val="both"/>
        <w:rPr>
          <w:rFonts w:asciiTheme="minorHAnsi" w:hAnsiTheme="minorHAnsi" w:cstheme="minorHAnsi"/>
          <w:b w:val="0"/>
          <w:sz w:val="24"/>
        </w:rPr>
      </w:pPr>
      <w:r w:rsidRPr="005923CC">
        <w:rPr>
          <w:rFonts w:asciiTheme="minorHAnsi" w:hAnsiTheme="minorHAnsi" w:cstheme="minorHAnsi"/>
          <w:b w:val="0"/>
          <w:sz w:val="24"/>
        </w:rPr>
        <w:t>Da ciò scaturisce l’esigenza di rinnovare, per i prossimi cinque anni, questo contributo cantonale ricorrente a fondo perso per la gestione delle attività culturali promosse dalla Città nel complesso Fortezza, bene UNESCO di proprietà cantonale.</w:t>
      </w:r>
    </w:p>
    <w:p w:rsidR="005923CC" w:rsidRDefault="005923CC" w:rsidP="005923CC">
      <w:pPr>
        <w:rPr>
          <w:rFonts w:asciiTheme="minorHAnsi" w:hAnsiTheme="minorHAnsi" w:cstheme="minorHAnsi"/>
          <w:sz w:val="24"/>
        </w:rPr>
      </w:pPr>
    </w:p>
    <w:p w:rsidR="005923CC" w:rsidRPr="00166B10" w:rsidRDefault="005923CC" w:rsidP="005923CC">
      <w:pPr>
        <w:rPr>
          <w:rFonts w:asciiTheme="minorHAnsi" w:hAnsiTheme="minorHAnsi" w:cstheme="minorHAnsi"/>
          <w:sz w:val="24"/>
        </w:rPr>
      </w:pPr>
    </w:p>
    <w:p w:rsidR="005923CC" w:rsidRPr="001707D8" w:rsidRDefault="005923CC" w:rsidP="001707D8">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1707D8">
        <w:rPr>
          <w:rFonts w:eastAsia="Calibri" w:cs="Times New Roman"/>
          <w:caps/>
          <w:sz w:val="24"/>
          <w:szCs w:val="24"/>
          <w:lang w:val="it-IT" w:eastAsia="it-IT"/>
        </w:rPr>
        <w:t>LA NUOVA CONVENZIONE DI GESTIONE</w:t>
      </w:r>
    </w:p>
    <w:p w:rsidR="005923CC" w:rsidRPr="00166B10" w:rsidRDefault="005923CC" w:rsidP="00250A9B">
      <w:pPr>
        <w:spacing w:after="120"/>
        <w:rPr>
          <w:rFonts w:asciiTheme="minorHAnsi" w:hAnsiTheme="minorHAnsi" w:cstheme="minorHAnsi"/>
          <w:sz w:val="24"/>
        </w:rPr>
      </w:pPr>
      <w:r w:rsidRPr="00166B10">
        <w:rPr>
          <w:rFonts w:asciiTheme="minorHAnsi" w:hAnsiTheme="minorHAnsi" w:cstheme="minorHAnsi"/>
          <w:sz w:val="24"/>
        </w:rPr>
        <w:t>La convezione in vigore dal 2020 al 2024 ha consentito di garantire la manutenzione (derivante dalle attività promosse dalla Città) del complesso e la promozione culturale in situazione di sostanziale equilibrio finanziario grazie al sussidio cantonale di gestione e a quelli versati a sostegno di manifestazioni ed eventi. Non vi sono quindi motivi per mutare l’assetto convenzionale di base che ha dato buona prova e risultati in equilibrio.</w:t>
      </w:r>
    </w:p>
    <w:p w:rsidR="005923CC" w:rsidRPr="00166B10" w:rsidRDefault="005923CC" w:rsidP="005923CC">
      <w:pPr>
        <w:rPr>
          <w:rFonts w:asciiTheme="minorHAnsi" w:hAnsiTheme="minorHAnsi" w:cstheme="minorHAnsi"/>
          <w:sz w:val="24"/>
        </w:rPr>
      </w:pPr>
    </w:p>
    <w:p w:rsidR="001707D8" w:rsidRDefault="001707D8" w:rsidP="001707D8">
      <w:pPr>
        <w:pStyle w:val="Titolo2"/>
        <w:numPr>
          <w:ilvl w:val="1"/>
          <w:numId w:val="19"/>
        </w:numPr>
        <w:tabs>
          <w:tab w:val="left" w:pos="567"/>
        </w:tabs>
        <w:spacing w:before="0" w:after="120"/>
        <w:ind w:left="0" w:firstLine="0"/>
        <w:jc w:val="both"/>
        <w:rPr>
          <w:rFonts w:asciiTheme="minorHAnsi" w:hAnsiTheme="minorHAnsi" w:cstheme="minorHAnsi"/>
          <w:sz w:val="24"/>
        </w:rPr>
      </w:pPr>
    </w:p>
    <w:p w:rsidR="005923CC" w:rsidRPr="001707D8" w:rsidRDefault="005923CC" w:rsidP="001707D8">
      <w:pPr>
        <w:pStyle w:val="Titolo2"/>
        <w:numPr>
          <w:ilvl w:val="0"/>
          <w:numId w:val="0"/>
        </w:numPr>
        <w:tabs>
          <w:tab w:val="left" w:pos="567"/>
        </w:tabs>
        <w:spacing w:before="0" w:after="120"/>
        <w:jc w:val="both"/>
        <w:rPr>
          <w:rFonts w:asciiTheme="minorHAnsi" w:hAnsiTheme="minorHAnsi" w:cstheme="minorHAnsi"/>
          <w:b w:val="0"/>
          <w:sz w:val="24"/>
        </w:rPr>
      </w:pPr>
      <w:r w:rsidRPr="001707D8">
        <w:rPr>
          <w:rFonts w:asciiTheme="minorHAnsi" w:hAnsiTheme="minorHAnsi" w:cstheme="minorHAnsi"/>
          <w:b w:val="0"/>
          <w:sz w:val="24"/>
        </w:rPr>
        <w:t>La nuova convenzione riprende quindi sostanzialmente i principi cardine di quella attualmente in vigore, ovvero da una parte la delega di gestione e responsabilità alla Città, quale concessionaria, e dall’altra la vigilanza dello Stato sugli aspetti culturali della Fortezza e sulla sua gestione amministrativa e finanziaria da parte della Città atta a confermare il corretto utilizzo del sussidio ricorrente concesso.</w:t>
      </w:r>
    </w:p>
    <w:p w:rsidR="005923CC" w:rsidRPr="00166B10" w:rsidRDefault="005923CC" w:rsidP="005923CC">
      <w:pPr>
        <w:suppressAutoHyphens/>
        <w:ind w:right="28"/>
        <w:rPr>
          <w:rFonts w:asciiTheme="minorHAnsi" w:hAnsiTheme="minorHAnsi" w:cstheme="minorHAnsi"/>
          <w:sz w:val="24"/>
        </w:rPr>
      </w:pPr>
    </w:p>
    <w:p w:rsidR="001707D8" w:rsidRDefault="001707D8" w:rsidP="001707D8">
      <w:pPr>
        <w:pStyle w:val="Titolo2"/>
        <w:numPr>
          <w:ilvl w:val="1"/>
          <w:numId w:val="19"/>
        </w:numPr>
        <w:tabs>
          <w:tab w:val="left" w:pos="567"/>
        </w:tabs>
        <w:spacing w:before="0" w:after="120"/>
        <w:ind w:left="0" w:firstLine="0"/>
        <w:jc w:val="both"/>
        <w:rPr>
          <w:rFonts w:asciiTheme="minorHAnsi" w:hAnsiTheme="minorHAnsi" w:cstheme="minorHAnsi"/>
          <w:sz w:val="24"/>
        </w:rPr>
      </w:pPr>
    </w:p>
    <w:p w:rsidR="001707D8" w:rsidRDefault="005923CC" w:rsidP="001707D8">
      <w:pPr>
        <w:pStyle w:val="Paragrafoelenco"/>
        <w:suppressAutoHyphens/>
        <w:ind w:left="0" w:right="28"/>
        <w:rPr>
          <w:rFonts w:asciiTheme="minorHAnsi" w:hAnsiTheme="minorHAnsi" w:cstheme="minorHAnsi"/>
          <w:b/>
          <w:sz w:val="24"/>
        </w:rPr>
      </w:pPr>
      <w:r w:rsidRPr="001707D8">
        <w:rPr>
          <w:rFonts w:asciiTheme="minorHAnsi" w:hAnsiTheme="minorHAnsi" w:cstheme="minorHAnsi"/>
          <w:sz w:val="24"/>
        </w:rPr>
        <w:t>Per la gestione rimangono i compiti di valorizzazione, promozione e tutela e la competenza della Città a rilasciare autorizzazioni d’uso a terzi, segnatamente per eventi e manifestazioni, in modo coordinato con le necessità d’uso proprio dello Stato e nel rispetto della valenza culturale della Fortezza</w:t>
      </w:r>
      <w:r w:rsidRPr="001707D8">
        <w:rPr>
          <w:rFonts w:asciiTheme="minorHAnsi" w:hAnsiTheme="minorHAnsi" w:cstheme="minorHAnsi"/>
          <w:b/>
          <w:sz w:val="24"/>
        </w:rPr>
        <w:t>.</w:t>
      </w:r>
    </w:p>
    <w:p w:rsidR="001707D8" w:rsidRDefault="001707D8" w:rsidP="001707D8">
      <w:pPr>
        <w:pStyle w:val="Paragrafoelenco"/>
        <w:suppressAutoHyphens/>
        <w:ind w:left="0" w:right="28"/>
        <w:rPr>
          <w:rFonts w:asciiTheme="minorHAnsi" w:hAnsiTheme="minorHAnsi" w:cstheme="minorHAnsi"/>
          <w:b/>
          <w:sz w:val="24"/>
        </w:rPr>
      </w:pPr>
    </w:p>
    <w:p w:rsidR="005923CC" w:rsidRDefault="005923CC" w:rsidP="001707D8">
      <w:pPr>
        <w:pStyle w:val="Paragrafoelenco"/>
        <w:suppressAutoHyphens/>
        <w:ind w:left="0" w:right="28"/>
        <w:rPr>
          <w:rFonts w:asciiTheme="minorHAnsi" w:hAnsiTheme="minorHAnsi" w:cstheme="minorHAnsi"/>
          <w:sz w:val="24"/>
        </w:rPr>
      </w:pPr>
      <w:r w:rsidRPr="00166B10">
        <w:rPr>
          <w:rFonts w:asciiTheme="minorHAnsi" w:hAnsiTheme="minorHAnsi" w:cstheme="minorHAnsi"/>
          <w:sz w:val="24"/>
        </w:rPr>
        <w:t>Allo scopo di migliorare l’applicazione di questi principi, si è inoltre convenuto, in base all’esperienza sin qui maturata, di definire ulteriormente, entro il 2025, delle modalità semplificate di coordinamento fra i servizi comunali e cantonali preposti (cfr. nuova convezione, cifra 2.3).</w:t>
      </w:r>
    </w:p>
    <w:p w:rsidR="001707D8" w:rsidRPr="00166B10" w:rsidRDefault="001707D8" w:rsidP="001707D8">
      <w:pPr>
        <w:pStyle w:val="Paragrafoelenco"/>
        <w:suppressAutoHyphens/>
        <w:ind w:left="0" w:right="28"/>
        <w:rPr>
          <w:rFonts w:asciiTheme="minorHAnsi" w:hAnsiTheme="minorHAnsi" w:cstheme="minorHAnsi"/>
          <w:sz w:val="24"/>
        </w:rPr>
      </w:pPr>
    </w:p>
    <w:p w:rsidR="001707D8" w:rsidRDefault="001707D8" w:rsidP="001707D8">
      <w:pPr>
        <w:pStyle w:val="Titolo2"/>
        <w:numPr>
          <w:ilvl w:val="1"/>
          <w:numId w:val="19"/>
        </w:numPr>
        <w:tabs>
          <w:tab w:val="left" w:pos="567"/>
        </w:tabs>
        <w:spacing w:before="0" w:after="120"/>
        <w:ind w:left="0" w:firstLine="0"/>
        <w:jc w:val="both"/>
        <w:rPr>
          <w:rFonts w:asciiTheme="minorHAnsi" w:hAnsiTheme="minorHAnsi" w:cstheme="minorHAnsi"/>
          <w:sz w:val="24"/>
        </w:rPr>
      </w:pPr>
    </w:p>
    <w:p w:rsidR="005923CC" w:rsidRPr="001707D8" w:rsidRDefault="005923CC" w:rsidP="001707D8">
      <w:pPr>
        <w:pStyle w:val="Titolo2"/>
        <w:numPr>
          <w:ilvl w:val="0"/>
          <w:numId w:val="0"/>
        </w:numPr>
        <w:tabs>
          <w:tab w:val="left" w:pos="567"/>
        </w:tabs>
        <w:spacing w:before="0" w:after="120"/>
        <w:jc w:val="both"/>
        <w:rPr>
          <w:rFonts w:asciiTheme="minorHAnsi" w:hAnsiTheme="minorHAnsi" w:cstheme="minorHAnsi"/>
          <w:b w:val="0"/>
          <w:sz w:val="24"/>
        </w:rPr>
      </w:pPr>
      <w:r w:rsidRPr="001707D8">
        <w:rPr>
          <w:rFonts w:asciiTheme="minorHAnsi" w:hAnsiTheme="minorHAnsi" w:cstheme="minorHAnsi"/>
          <w:b w:val="0"/>
          <w:sz w:val="24"/>
        </w:rPr>
        <w:t>La durata quinquennale resta legata a quella del credito di gestione, che si chiede in questa sede, e servirà pure per approfondire ed adottare le importanti decisioni derivanti dalle proposte della progettazione definitiva.</w:t>
      </w:r>
    </w:p>
    <w:p w:rsidR="005923CC" w:rsidRPr="00166B10" w:rsidRDefault="005923CC" w:rsidP="005923CC">
      <w:pPr>
        <w:rPr>
          <w:rFonts w:asciiTheme="minorHAnsi" w:hAnsiTheme="minorHAnsi" w:cstheme="minorHAnsi"/>
          <w:sz w:val="24"/>
          <w:u w:val="single"/>
        </w:rPr>
      </w:pPr>
    </w:p>
    <w:p w:rsidR="005923CC" w:rsidRPr="00250A9B" w:rsidRDefault="005923CC" w:rsidP="00250A9B">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250A9B">
        <w:rPr>
          <w:rFonts w:eastAsia="Calibri" w:cs="Times New Roman"/>
          <w:caps/>
          <w:sz w:val="24"/>
          <w:szCs w:val="24"/>
          <w:lang w:val="it-IT" w:eastAsia="it-IT"/>
        </w:rPr>
        <w:lastRenderedPageBreak/>
        <w:t>CONSEGUENZE DI NATURA FINANZIARIA E RELAZIONE CON LE LINEE DIRETTIVE ED IL PIANO FINANZIARIO</w:t>
      </w:r>
    </w:p>
    <w:p w:rsidR="005923CC" w:rsidRPr="00166B10" w:rsidRDefault="005923CC" w:rsidP="005923CC">
      <w:pPr>
        <w:rPr>
          <w:rFonts w:asciiTheme="minorHAnsi" w:hAnsiTheme="minorHAnsi" w:cstheme="minorHAnsi"/>
          <w:sz w:val="24"/>
        </w:rPr>
      </w:pPr>
      <w:r w:rsidRPr="00166B10">
        <w:rPr>
          <w:rFonts w:asciiTheme="minorHAnsi" w:hAnsiTheme="minorHAnsi" w:cstheme="minorHAnsi"/>
          <w:sz w:val="24"/>
        </w:rPr>
        <w:t>Trattandosi di un credito di gestione corrente, il sussidio cantonale per la gestione dei Castelli sarà iscritto al CRB 417 “Fondo Swisslos” conto 36350084 “Contributi gestione Castelli”. Nei prossimi anni il Consiglio di Stato effettuerà una riflessione sull’utilizzo dei conti Swisslos. Qualora ci dovesse essere un cambiamento di conto lo stesso sarà regolato con la presentazione del preventivo.</w:t>
      </w:r>
    </w:p>
    <w:p w:rsidR="005923CC" w:rsidRPr="00166B10" w:rsidRDefault="005923CC" w:rsidP="005923CC">
      <w:pPr>
        <w:rPr>
          <w:rFonts w:asciiTheme="minorHAnsi" w:hAnsiTheme="minorHAnsi" w:cstheme="minorHAnsi"/>
          <w:sz w:val="24"/>
        </w:rPr>
      </w:pPr>
    </w:p>
    <w:p w:rsidR="005923CC" w:rsidRPr="00166B10" w:rsidRDefault="005923CC" w:rsidP="005923CC">
      <w:pPr>
        <w:rPr>
          <w:rFonts w:asciiTheme="minorHAnsi" w:hAnsiTheme="minorHAnsi" w:cstheme="minorHAnsi"/>
          <w:sz w:val="24"/>
        </w:rPr>
      </w:pPr>
      <w:r w:rsidRPr="00166B10">
        <w:rPr>
          <w:rFonts w:asciiTheme="minorHAnsi" w:hAnsiTheme="minorHAnsi" w:cstheme="minorHAnsi"/>
          <w:sz w:val="24"/>
        </w:rPr>
        <w:t>Non è previsto alcun adeguamento dell’importo concordato.</w:t>
      </w:r>
    </w:p>
    <w:p w:rsidR="005923CC" w:rsidRPr="00166B10" w:rsidRDefault="005923CC" w:rsidP="005923CC">
      <w:pPr>
        <w:rPr>
          <w:rFonts w:asciiTheme="minorHAnsi" w:hAnsiTheme="minorHAnsi" w:cstheme="minorHAnsi"/>
          <w:sz w:val="24"/>
        </w:rPr>
      </w:pPr>
    </w:p>
    <w:p w:rsidR="005923CC" w:rsidRDefault="005923CC" w:rsidP="005923CC">
      <w:pPr>
        <w:rPr>
          <w:rFonts w:asciiTheme="minorHAnsi" w:hAnsiTheme="minorHAnsi" w:cstheme="minorHAnsi"/>
          <w:sz w:val="24"/>
        </w:rPr>
      </w:pPr>
      <w:r w:rsidRPr="00166B10">
        <w:rPr>
          <w:rFonts w:asciiTheme="minorHAnsi" w:hAnsiTheme="minorHAnsi" w:cstheme="minorHAnsi"/>
          <w:sz w:val="24"/>
        </w:rPr>
        <w:t>Non è previsto neppure un aumento dell’effettivo di personale.</w:t>
      </w:r>
    </w:p>
    <w:p w:rsidR="005923CC" w:rsidRPr="00166B10" w:rsidRDefault="005923CC" w:rsidP="005923CC">
      <w:pPr>
        <w:rPr>
          <w:rFonts w:asciiTheme="minorHAnsi" w:hAnsiTheme="minorHAnsi" w:cstheme="minorHAnsi"/>
          <w:sz w:val="24"/>
        </w:rPr>
      </w:pPr>
    </w:p>
    <w:p w:rsidR="005923CC" w:rsidRPr="00166B10" w:rsidRDefault="005923CC" w:rsidP="005923CC">
      <w:pPr>
        <w:rPr>
          <w:rFonts w:asciiTheme="minorHAnsi" w:hAnsiTheme="minorHAnsi" w:cstheme="minorHAnsi"/>
          <w:sz w:val="24"/>
        </w:rPr>
      </w:pPr>
    </w:p>
    <w:p w:rsidR="005923CC" w:rsidRPr="00250A9B" w:rsidRDefault="005923CC" w:rsidP="00250A9B">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250A9B">
        <w:rPr>
          <w:rFonts w:eastAsia="Calibri" w:cs="Times New Roman"/>
          <w:caps/>
          <w:sz w:val="24"/>
          <w:szCs w:val="24"/>
          <w:lang w:val="it-IT" w:eastAsia="it-IT"/>
        </w:rPr>
        <w:t>CONCLUSIONI</w:t>
      </w:r>
    </w:p>
    <w:p w:rsidR="005923CC" w:rsidRDefault="005923CC" w:rsidP="005923CC">
      <w:pPr>
        <w:rPr>
          <w:rFonts w:asciiTheme="minorHAnsi" w:hAnsiTheme="minorHAnsi" w:cstheme="minorHAnsi"/>
          <w:sz w:val="24"/>
        </w:rPr>
      </w:pPr>
      <w:r w:rsidRPr="00166B10">
        <w:rPr>
          <w:rFonts w:asciiTheme="minorHAnsi" w:hAnsiTheme="minorHAnsi" w:cstheme="minorHAnsi"/>
          <w:sz w:val="24"/>
        </w:rPr>
        <w:t xml:space="preserve">Per questi motivi </w:t>
      </w:r>
      <w:r>
        <w:rPr>
          <w:rFonts w:asciiTheme="minorHAnsi" w:hAnsiTheme="minorHAnsi" w:cstheme="minorHAnsi"/>
          <w:sz w:val="24"/>
        </w:rPr>
        <w:t>la Commissione</w:t>
      </w:r>
      <w:r w:rsidRPr="00166B10">
        <w:rPr>
          <w:rFonts w:asciiTheme="minorHAnsi" w:hAnsiTheme="minorHAnsi" w:cstheme="minorHAnsi"/>
          <w:sz w:val="24"/>
        </w:rPr>
        <w:t xml:space="preserve"> chiede di confermare, per un ulteriore periodo di cinque anni, il sussidio ricorrente annuo di 540'000 franchi a parziale copertura delle spese sostenute dalla Città di Bellinzona per la gestione delle attività svolte nella Fortezza di Bellinzona, alle condizioni pattuite nella </w:t>
      </w:r>
      <w:r>
        <w:rPr>
          <w:rFonts w:asciiTheme="minorHAnsi" w:hAnsiTheme="minorHAnsi" w:cstheme="minorHAnsi"/>
          <w:sz w:val="24"/>
        </w:rPr>
        <w:t>C</w:t>
      </w:r>
      <w:r w:rsidRPr="00166B10">
        <w:rPr>
          <w:rFonts w:asciiTheme="minorHAnsi" w:hAnsiTheme="minorHAnsi" w:cstheme="minorHAnsi"/>
          <w:sz w:val="24"/>
        </w:rPr>
        <w:t>onvenzione</w:t>
      </w:r>
      <w:r>
        <w:rPr>
          <w:rFonts w:asciiTheme="minorHAnsi" w:hAnsiTheme="minorHAnsi" w:cstheme="minorHAnsi"/>
          <w:sz w:val="24"/>
        </w:rPr>
        <w:t xml:space="preserve"> </w:t>
      </w:r>
      <w:r w:rsidRPr="000049D4">
        <w:rPr>
          <w:rFonts w:asciiTheme="minorHAnsi" w:hAnsiTheme="minorHAnsi" w:cstheme="minorHAnsi"/>
          <w:sz w:val="24"/>
        </w:rPr>
        <w:t>concernente la gestione della Fortezza di Bellinzona</w:t>
      </w:r>
      <w:r>
        <w:rPr>
          <w:rFonts w:asciiTheme="minorHAnsi" w:hAnsiTheme="minorHAnsi" w:cstheme="minorHAnsi"/>
          <w:sz w:val="24"/>
        </w:rPr>
        <w:t xml:space="preserve">. </w:t>
      </w:r>
    </w:p>
    <w:p w:rsidR="005923CC" w:rsidRDefault="005923CC" w:rsidP="005923CC">
      <w:pPr>
        <w:rPr>
          <w:rFonts w:asciiTheme="minorHAnsi" w:hAnsiTheme="minorHAnsi" w:cstheme="minorHAnsi"/>
          <w:sz w:val="24"/>
        </w:rPr>
      </w:pPr>
    </w:p>
    <w:p w:rsidR="005923CC" w:rsidRPr="00166B10" w:rsidRDefault="00250A9B" w:rsidP="005923CC">
      <w:pPr>
        <w:rPr>
          <w:rFonts w:asciiTheme="minorHAnsi" w:hAnsiTheme="minorHAnsi" w:cstheme="minorHAnsi"/>
          <w:sz w:val="24"/>
        </w:rPr>
      </w:pPr>
      <w:r>
        <w:rPr>
          <w:rFonts w:asciiTheme="minorHAnsi" w:hAnsiTheme="minorHAnsi" w:cstheme="minorHAnsi"/>
          <w:sz w:val="24"/>
        </w:rPr>
        <w:t>L</w:t>
      </w:r>
      <w:r w:rsidR="005923CC">
        <w:rPr>
          <w:rFonts w:asciiTheme="minorHAnsi" w:hAnsiTheme="minorHAnsi" w:cstheme="minorHAnsi"/>
          <w:sz w:val="24"/>
        </w:rPr>
        <w:t xml:space="preserve">a Commissione invita il Gran Consiglio ad approvare il </w:t>
      </w:r>
      <w:r>
        <w:rPr>
          <w:rFonts w:asciiTheme="minorHAnsi" w:hAnsiTheme="minorHAnsi" w:cstheme="minorHAnsi"/>
          <w:sz w:val="24"/>
        </w:rPr>
        <w:t>d</w:t>
      </w:r>
      <w:r w:rsidR="005923CC">
        <w:rPr>
          <w:rFonts w:asciiTheme="minorHAnsi" w:hAnsiTheme="minorHAnsi" w:cstheme="minorHAnsi"/>
          <w:sz w:val="24"/>
        </w:rPr>
        <w:t xml:space="preserve">ecreto legislativo e il rinnovo della Convenzione allegati al messaggio. </w:t>
      </w:r>
    </w:p>
    <w:p w:rsidR="005923CC" w:rsidRPr="00166B10" w:rsidRDefault="005923CC" w:rsidP="005923CC">
      <w:pPr>
        <w:rPr>
          <w:rFonts w:asciiTheme="minorHAnsi" w:hAnsiTheme="minorHAnsi" w:cstheme="minorHAnsi"/>
          <w:sz w:val="24"/>
        </w:rPr>
      </w:pPr>
    </w:p>
    <w:p w:rsidR="005923CC" w:rsidRPr="00166B10" w:rsidRDefault="005923CC" w:rsidP="005923CC">
      <w:pPr>
        <w:rPr>
          <w:rFonts w:asciiTheme="minorHAnsi" w:hAnsiTheme="minorHAnsi" w:cstheme="minorHAnsi"/>
          <w:sz w:val="24"/>
        </w:rPr>
      </w:pPr>
    </w:p>
    <w:p w:rsidR="005923CC" w:rsidRPr="00166B10" w:rsidRDefault="005923CC" w:rsidP="00250A9B">
      <w:pPr>
        <w:spacing w:after="120"/>
        <w:rPr>
          <w:rFonts w:asciiTheme="minorHAnsi" w:hAnsiTheme="minorHAnsi" w:cstheme="minorHAnsi"/>
          <w:sz w:val="24"/>
        </w:rPr>
      </w:pPr>
      <w:r w:rsidRPr="00166B10">
        <w:rPr>
          <w:rFonts w:asciiTheme="minorHAnsi" w:hAnsiTheme="minorHAnsi" w:cstheme="minorHAnsi"/>
          <w:sz w:val="24"/>
        </w:rPr>
        <w:t xml:space="preserve">Per </w:t>
      </w:r>
      <w:r>
        <w:rPr>
          <w:rFonts w:asciiTheme="minorHAnsi" w:hAnsiTheme="minorHAnsi" w:cstheme="minorHAnsi"/>
          <w:sz w:val="24"/>
        </w:rPr>
        <w:t>la Commissione gestione e finanze</w:t>
      </w:r>
      <w:r w:rsidR="00250A9B">
        <w:rPr>
          <w:rFonts w:asciiTheme="minorHAnsi" w:hAnsiTheme="minorHAnsi" w:cstheme="minorHAnsi"/>
          <w:sz w:val="24"/>
        </w:rPr>
        <w:t>:</w:t>
      </w:r>
    </w:p>
    <w:p w:rsidR="005923CC" w:rsidRPr="00166B10" w:rsidRDefault="005923CC" w:rsidP="00250A9B">
      <w:pPr>
        <w:rPr>
          <w:rFonts w:asciiTheme="minorHAnsi" w:hAnsiTheme="minorHAnsi" w:cstheme="minorHAnsi"/>
          <w:sz w:val="24"/>
        </w:rPr>
      </w:pPr>
      <w:r>
        <w:rPr>
          <w:rFonts w:asciiTheme="minorHAnsi" w:hAnsiTheme="minorHAnsi" w:cstheme="minorHAnsi"/>
          <w:sz w:val="24"/>
        </w:rPr>
        <w:t>Samantha Bourgoin</w:t>
      </w:r>
      <w:r w:rsidR="00250A9B">
        <w:rPr>
          <w:rFonts w:asciiTheme="minorHAnsi" w:hAnsiTheme="minorHAnsi" w:cstheme="minorHAnsi"/>
          <w:sz w:val="24"/>
        </w:rPr>
        <w:t>, r</w:t>
      </w:r>
      <w:r w:rsidR="00250A9B">
        <w:rPr>
          <w:rFonts w:asciiTheme="minorHAnsi" w:hAnsiTheme="minorHAnsi" w:cstheme="minorHAnsi"/>
          <w:sz w:val="24"/>
        </w:rPr>
        <w:t>elatrice</w:t>
      </w:r>
    </w:p>
    <w:p w:rsidR="00F23D8A" w:rsidRDefault="00F23D8A" w:rsidP="005923CC">
      <w:pPr>
        <w:rPr>
          <w:rFonts w:asciiTheme="minorHAnsi" w:hAnsiTheme="minorHAnsi" w:cstheme="minorHAnsi"/>
          <w:sz w:val="24"/>
          <w:szCs w:val="24"/>
        </w:rPr>
      </w:pPr>
      <w:r>
        <w:rPr>
          <w:rFonts w:asciiTheme="minorHAnsi" w:hAnsiTheme="minorHAnsi" w:cstheme="minorHAnsi"/>
          <w:sz w:val="24"/>
          <w:szCs w:val="24"/>
        </w:rPr>
        <w:t xml:space="preserve">Agustoni - Bignasca (con riserva) - Caroni - Dadò - </w:t>
      </w:r>
    </w:p>
    <w:p w:rsidR="00F23D8A" w:rsidRDefault="00F23D8A" w:rsidP="005923CC">
      <w:pPr>
        <w:rPr>
          <w:rFonts w:asciiTheme="minorHAnsi" w:hAnsiTheme="minorHAnsi" w:cstheme="minorHAnsi"/>
          <w:sz w:val="24"/>
          <w:szCs w:val="24"/>
        </w:rPr>
      </w:pPr>
      <w:r>
        <w:rPr>
          <w:rFonts w:asciiTheme="minorHAnsi" w:hAnsiTheme="minorHAnsi" w:cstheme="minorHAnsi"/>
          <w:sz w:val="24"/>
          <w:szCs w:val="24"/>
        </w:rPr>
        <w:t xml:space="preserve">Durisch - Ferrara - Galeazzi (con riserva) - Gendotti - </w:t>
      </w:r>
    </w:p>
    <w:p w:rsidR="00F23D8A" w:rsidRDefault="00F23D8A" w:rsidP="005923CC">
      <w:pPr>
        <w:rPr>
          <w:rFonts w:asciiTheme="minorHAnsi" w:hAnsiTheme="minorHAnsi" w:cstheme="minorHAnsi"/>
          <w:sz w:val="24"/>
          <w:szCs w:val="24"/>
        </w:rPr>
      </w:pPr>
      <w:r>
        <w:rPr>
          <w:rFonts w:asciiTheme="minorHAnsi" w:hAnsiTheme="minorHAnsi" w:cstheme="minorHAnsi"/>
          <w:sz w:val="24"/>
          <w:szCs w:val="24"/>
        </w:rPr>
        <w:t xml:space="preserve">Gianella Alessandra - </w:t>
      </w:r>
      <w:r w:rsidR="005923CC">
        <w:rPr>
          <w:rFonts w:asciiTheme="minorHAnsi" w:hAnsiTheme="minorHAnsi" w:cstheme="minorHAnsi"/>
          <w:sz w:val="24"/>
          <w:szCs w:val="24"/>
        </w:rPr>
        <w:t>Piccaluga</w:t>
      </w:r>
      <w:r>
        <w:rPr>
          <w:rFonts w:asciiTheme="minorHAnsi" w:hAnsiTheme="minorHAnsi" w:cstheme="minorHAnsi"/>
          <w:sz w:val="24"/>
          <w:szCs w:val="24"/>
        </w:rPr>
        <w:t xml:space="preserve"> (con riserva) -</w:t>
      </w:r>
    </w:p>
    <w:p w:rsidR="005923CC" w:rsidRDefault="00F23D8A" w:rsidP="005923CC">
      <w:pPr>
        <w:rPr>
          <w:rFonts w:asciiTheme="minorHAnsi" w:hAnsiTheme="minorHAnsi" w:cstheme="minorHAnsi"/>
          <w:sz w:val="24"/>
          <w:szCs w:val="24"/>
        </w:rPr>
      </w:pPr>
      <w:r>
        <w:rPr>
          <w:rFonts w:asciiTheme="minorHAnsi" w:hAnsiTheme="minorHAnsi" w:cstheme="minorHAnsi"/>
          <w:sz w:val="24"/>
          <w:szCs w:val="24"/>
        </w:rPr>
        <w:t xml:space="preserve">Renzetti - Sirica - Soldati (con riserva) - </w:t>
      </w:r>
      <w:r w:rsidR="005923CC">
        <w:rPr>
          <w:rFonts w:asciiTheme="minorHAnsi" w:hAnsiTheme="minorHAnsi" w:cstheme="minorHAnsi"/>
          <w:sz w:val="24"/>
          <w:szCs w:val="24"/>
        </w:rPr>
        <w:t>Speziali</w:t>
      </w: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F23D8A" w:rsidRDefault="00F23D8A" w:rsidP="005923CC">
      <w:pPr>
        <w:rPr>
          <w:rFonts w:asciiTheme="minorHAnsi" w:hAnsiTheme="minorHAnsi" w:cstheme="minorHAnsi"/>
          <w:sz w:val="24"/>
          <w:szCs w:val="24"/>
        </w:rPr>
      </w:pPr>
    </w:p>
    <w:p w:rsidR="005923CC" w:rsidRDefault="005923CC" w:rsidP="005923CC">
      <w:pPr>
        <w:rPr>
          <w:rFonts w:asciiTheme="minorHAnsi" w:hAnsiTheme="minorHAnsi" w:cstheme="minorHAnsi"/>
          <w:sz w:val="24"/>
          <w:szCs w:val="24"/>
        </w:rPr>
      </w:pPr>
    </w:p>
    <w:p w:rsidR="00F23D8A" w:rsidRDefault="00F23D8A" w:rsidP="00D33940">
      <w:pPr>
        <w:pStyle w:val="StandardRisoluzionedelConsigliodiStato"/>
        <w:ind w:right="-1"/>
        <w:rPr>
          <w:b/>
          <w:szCs w:val="24"/>
        </w:rPr>
      </w:pPr>
    </w:p>
    <w:p w:rsidR="00F23D8A" w:rsidRDefault="00F23D8A" w:rsidP="00D33940">
      <w:pPr>
        <w:pStyle w:val="StandardRisoluzionedelConsigliodiStato"/>
        <w:ind w:right="-1"/>
        <w:rPr>
          <w:b/>
          <w:szCs w:val="24"/>
        </w:rPr>
      </w:pPr>
    </w:p>
    <w:p w:rsidR="00F23D8A" w:rsidRDefault="00F23D8A" w:rsidP="00F23D8A">
      <w:pPr>
        <w:pStyle w:val="StandardRisoluzionedelConsigliodiStato"/>
        <w:spacing w:after="120"/>
        <w:rPr>
          <w:szCs w:val="24"/>
          <w:u w:val="single"/>
        </w:rPr>
      </w:pPr>
    </w:p>
    <w:p w:rsidR="005923CC" w:rsidRPr="00F23D8A" w:rsidRDefault="00F23D8A" w:rsidP="00F23D8A">
      <w:pPr>
        <w:pStyle w:val="StandardRisoluzionedelConsigliodiStato"/>
        <w:spacing w:after="120"/>
        <w:rPr>
          <w:szCs w:val="24"/>
        </w:rPr>
      </w:pPr>
      <w:r w:rsidRPr="00F23D8A">
        <w:rPr>
          <w:szCs w:val="24"/>
          <w:u w:val="single"/>
        </w:rPr>
        <w:t>Allegato</w:t>
      </w:r>
      <w:r w:rsidRPr="00F23D8A">
        <w:rPr>
          <w:szCs w:val="24"/>
        </w:rPr>
        <w:t xml:space="preserve"> (consultabile sul sito www.ti.ch/gc):</w:t>
      </w:r>
    </w:p>
    <w:p w:rsidR="00F23D8A" w:rsidRPr="00F23D8A" w:rsidRDefault="00F23D8A" w:rsidP="00D33940">
      <w:pPr>
        <w:pStyle w:val="StandardRisoluzionedelConsigliodiStato"/>
        <w:ind w:right="-1"/>
        <w:rPr>
          <w:szCs w:val="24"/>
        </w:rPr>
      </w:pPr>
      <w:r>
        <w:rPr>
          <w:szCs w:val="24"/>
        </w:rPr>
        <w:t>- Planimetria (i</w:t>
      </w:r>
      <w:r w:rsidRPr="00F23D8A">
        <w:rPr>
          <w:szCs w:val="24"/>
        </w:rPr>
        <w:t>nserto A citato nella convenzione</w:t>
      </w:r>
      <w:r>
        <w:rPr>
          <w:szCs w:val="24"/>
        </w:rPr>
        <w:t xml:space="preserve"> allegata al messaggio</w:t>
      </w:r>
      <w:r w:rsidRPr="00F23D8A">
        <w:rPr>
          <w:szCs w:val="24"/>
        </w:rPr>
        <w:t>)</w:t>
      </w:r>
    </w:p>
    <w:p w:rsidR="005923CC" w:rsidRPr="005923CC" w:rsidRDefault="005923CC" w:rsidP="00D33940">
      <w:pPr>
        <w:pStyle w:val="StandardRisoluzionedelConsigliodiStato"/>
        <w:ind w:right="-1"/>
        <w:rPr>
          <w:b/>
          <w:sz w:val="28"/>
          <w:szCs w:val="28"/>
        </w:rPr>
      </w:pPr>
    </w:p>
    <w:p w:rsidR="005923CC" w:rsidRPr="005923CC" w:rsidRDefault="005923CC" w:rsidP="00D33940">
      <w:pPr>
        <w:pStyle w:val="StandardRisoluzionedelConsigliodiStato"/>
        <w:ind w:right="-1"/>
        <w:rPr>
          <w:b/>
          <w:sz w:val="28"/>
          <w:szCs w:val="28"/>
        </w:rPr>
      </w:pPr>
      <w:bookmarkStart w:id="0" w:name="_GoBack"/>
      <w:bookmarkEnd w:id="0"/>
    </w:p>
    <w:sectPr w:rsidR="005923CC" w:rsidRPr="005923CC"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CC" w:rsidRDefault="005923CC" w:rsidP="00F657BF">
      <w:r>
        <w:separator/>
      </w:r>
    </w:p>
  </w:endnote>
  <w:endnote w:type="continuationSeparator" w:id="0">
    <w:p w:rsidR="005923CC" w:rsidRDefault="005923C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altName w:val="Gill Sans M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800AD6" w:rsidP="00912E34">
          <w:pPr>
            <w:tabs>
              <w:tab w:val="center" w:pos="2382"/>
            </w:tabs>
          </w:pPr>
        </w:p>
      </w:tc>
      <w:tc>
        <w:tcPr>
          <w:tcW w:w="721" w:type="dxa"/>
        </w:tcPr>
        <w:p w:rsidR="00912E34" w:rsidRPr="003D1008" w:rsidRDefault="00800AD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00AD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800AD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800AD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CC" w:rsidRDefault="005923CC" w:rsidP="00F657BF">
      <w:r>
        <w:separator/>
      </w:r>
    </w:p>
  </w:footnote>
  <w:footnote w:type="continuationSeparator" w:id="0">
    <w:p w:rsidR="005923CC" w:rsidRDefault="005923C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800AD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6E0B4C5B-C83F-42B4-90C6-098F741BAE4D}"/>
              <w:text w:multiLine="1"/>
            </w:sdtPr>
            <w:sdtEndPr/>
            <w:sdtContent>
              <w:r>
                <w:rPr>
                  <w:rFonts w:ascii="Gill Alt One MT Light" w:hAnsi="Gill Alt One MT Light"/>
                  <w:sz w:val="16"/>
                  <w:szCs w:val="16"/>
                </w:rPr>
                <w:t>Repubblica e Cantone Ticino</w:t>
              </w:r>
            </w:sdtContent>
          </w:sdt>
        </w:p>
        <w:p w:rsidR="005012EC" w:rsidRPr="00E8185F" w:rsidRDefault="00800AD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6E0B4C5B-C83F-42B4-90C6-098F741BAE4D}"/>
              <w:text w:multiLine="1"/>
            </w:sdtPr>
            <w:sdtEndPr/>
            <w:sdtContent>
              <w:r w:rsidR="004D43A3">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800AD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6E0B4C5B-C83F-42B4-90C6-098F741BAE4D}"/>
          <w:text w:multiLine="1"/>
        </w:sdtPr>
        <w:sdtEndPr/>
        <w:sdtContent>
          <w:tc>
            <w:tcPr>
              <w:tcW w:w="8383" w:type="dxa"/>
              <w:tcBorders>
                <w:left w:val="single" w:sz="4" w:space="0" w:color="auto"/>
              </w:tcBorders>
              <w:tcMar>
                <w:top w:w="0" w:type="dxa"/>
                <w:left w:w="142" w:type="dxa"/>
              </w:tcMar>
            </w:tcPr>
            <w:p w:rsidR="005012EC" w:rsidRPr="005923CC" w:rsidRDefault="004D43A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8539 R del 13 maggio 2025</w:t>
              </w:r>
            </w:p>
          </w:tc>
        </w:sdtContent>
      </w:sdt>
      <w:tc>
        <w:tcPr>
          <w:tcW w:w="1710" w:type="dxa"/>
          <w:tcBorders>
            <w:top w:val="single" w:sz="4" w:space="0" w:color="auto"/>
          </w:tcBorders>
        </w:tcPr>
        <w:p w:rsidR="005012EC" w:rsidRPr="005923CC" w:rsidRDefault="00800AD6" w:rsidP="00662409">
          <w:pPr>
            <w:pStyle w:val="InvisibleLine"/>
            <w:rPr>
              <w:lang w:val="it-CH"/>
            </w:rPr>
          </w:pPr>
        </w:p>
      </w:tc>
    </w:tr>
  </w:tbl>
  <w:p w:rsidR="00F657BF" w:rsidRPr="00980362" w:rsidRDefault="00800AD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E0B4C5B-C83F-42B4-90C6-098F741BAE4D}"/>
                            <w:text w:multiLine="1"/>
                          </w:sdtPr>
                          <w:sdtEndPr/>
                          <w:sdtContent>
                            <w:p w:rsidR="008065E8" w:rsidRPr="00411371" w:rsidRDefault="00800AD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E0B4C5B-C83F-42B4-90C6-098F741BAE4D}"/>
                      <w:text w:multiLine="1"/>
                    </w:sdtPr>
                    <w:sdtEndPr/>
                    <w:sdtContent>
                      <w:p w:rsidR="008065E8" w:rsidRPr="00411371" w:rsidRDefault="00800AD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800AD6" w:rsidP="00932E26">
          <w:pPr>
            <w:pStyle w:val="InvisibleLine"/>
            <w:spacing w:line="240" w:lineRule="auto"/>
            <w:ind w:left="15"/>
            <w:rPr>
              <w:rFonts w:ascii="Gill Alt One MT Light" w:hAnsi="Gill Alt One MT Light"/>
              <w:sz w:val="16"/>
              <w:lang w:val="it-CH"/>
            </w:rPr>
          </w:pPr>
        </w:p>
        <w:p w:rsidR="00CD5F73" w:rsidRDefault="00800AD6"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800AD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800AD6" w:rsidP="00D07D6E">
          <w:pPr>
            <w:pStyle w:val="Level"/>
            <w:ind w:left="150"/>
            <w:rPr>
              <w:sz w:val="16"/>
            </w:rPr>
          </w:pPr>
        </w:p>
      </w:tc>
      <w:tc>
        <w:tcPr>
          <w:tcW w:w="209" w:type="pct"/>
          <w:tcBorders>
            <w:top w:val="nil"/>
            <w:bottom w:val="single" w:sz="4" w:space="0" w:color="auto"/>
          </w:tcBorders>
        </w:tcPr>
        <w:p w:rsidR="00662409" w:rsidRDefault="00800AD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75518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00AD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E0B4C5B-C83F-42B4-90C6-098F741BAE4D}"/>
          <w:text w:multiLine="1"/>
        </w:sdtPr>
        <w:sdtEndPr/>
        <w:sdtContent>
          <w:tc>
            <w:tcPr>
              <w:tcW w:w="5000" w:type="pct"/>
              <w:gridSpan w:val="6"/>
              <w:tcBorders>
                <w:left w:val="nil"/>
                <w:right w:val="nil"/>
              </w:tcBorders>
              <w:noWrap/>
              <w:tcMar>
                <w:top w:w="0" w:type="dxa"/>
              </w:tcMar>
              <w:vAlign w:val="bottom"/>
            </w:tcPr>
            <w:p w:rsidR="00662409" w:rsidRPr="008C03B5" w:rsidRDefault="004D43A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00AD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800AD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00AD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800AD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00AD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800AD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800AD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6E0B4C5B-C83F-42B4-90C6-098F741BAE4D}"/>
              <w:text w:multiLine="1"/>
            </w:sdtPr>
            <w:sdtEndPr/>
            <w:sdtContent>
              <w:r w:rsidR="004D43A3">
                <w:rPr>
                  <w:rFonts w:cstheme="minorHAnsi"/>
                  <w:b/>
                  <w:sz w:val="24"/>
                  <w:szCs w:val="24"/>
                </w:rPr>
                <w:t>8539 R</w:t>
              </w:r>
            </w:sdtContent>
          </w:sdt>
        </w:p>
      </w:tc>
      <w:sdt>
        <w:sdtPr>
          <w:rPr>
            <w:sz w:val="24"/>
          </w:rPr>
          <w:alias w:val="DocParam.Date"/>
          <w:id w:val="-464426178"/>
          <w:dataBinding w:xpath="//DateTime[@id='DocParam.Date']" w:storeItemID="{6E0B4C5B-C83F-42B4-90C6-098F741BAE4D}"/>
          <w:date w:fullDate="2025-05-13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D43A3" w:rsidP="00A532F6">
              <w:pPr>
                <w:pStyle w:val="Data"/>
              </w:pPr>
              <w:r>
                <w:rPr>
                  <w:sz w:val="24"/>
                </w:rPr>
                <w:t>13 maggio 2025</w:t>
              </w:r>
            </w:p>
          </w:tc>
        </w:sdtContent>
      </w:sdt>
      <w:tc>
        <w:tcPr>
          <w:tcW w:w="3218" w:type="pct"/>
          <w:gridSpan w:val="4"/>
          <w:tcBorders>
            <w:top w:val="nil"/>
            <w:left w:val="nil"/>
            <w:bottom w:val="nil"/>
            <w:right w:val="nil"/>
          </w:tcBorders>
        </w:tcPr>
        <w:p w:rsidR="008C03B5" w:rsidRPr="00BE22A2" w:rsidRDefault="00800AD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6E0B4C5B-C83F-42B4-90C6-098F741BAE4D}"/>
              <w:text w:multiLine="1"/>
            </w:sdtPr>
            <w:sdtEndPr/>
            <w:sdtContent>
              <w:r w:rsidR="004D43A3">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800AD6" w:rsidP="00D07D6E">
          <w:pPr>
            <w:pStyle w:val="Level"/>
            <w:ind w:left="150"/>
            <w:rPr>
              <w:rFonts w:ascii="Gill Alt One MT Light" w:hAnsi="Gill Alt One MT Light"/>
              <w:sz w:val="16"/>
              <w:szCs w:val="16"/>
            </w:rPr>
          </w:pPr>
        </w:p>
      </w:tc>
    </w:tr>
  </w:tbl>
  <w:p w:rsidR="00F657BF" w:rsidRPr="00DA2879" w:rsidRDefault="00800AD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608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E0B4C5B-C83F-42B4-90C6-098F741BAE4D}"/>
                            <w:text w:multiLine="1"/>
                          </w:sdtPr>
                          <w:sdtEndPr/>
                          <w:sdtContent>
                            <w:p w:rsidR="00E93620" w:rsidRPr="00411371" w:rsidRDefault="00800AD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E0B4C5B-C83F-42B4-90C6-098F741BAE4D}"/>
                      <w:text w:multiLine="1"/>
                    </w:sdtPr>
                    <w:sdtEndPr/>
                    <w:sdtContent>
                      <w:p w:rsidR="00E93620" w:rsidRPr="00411371" w:rsidRDefault="00800AD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5778B2"/>
    <w:multiLevelType w:val="multilevel"/>
    <w:tmpl w:val="A498F8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3157FC"/>
    <w:multiLevelType w:val="hybridMultilevel"/>
    <w:tmpl w:val="5BB829D2"/>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586D1740"/>
    <w:multiLevelType w:val="multilevel"/>
    <w:tmpl w:val="BE66FF2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7"/>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9"/>
  </w:num>
  <w:num w:numId="2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CC"/>
    <w:rsid w:val="00072884"/>
    <w:rsid w:val="001707D8"/>
    <w:rsid w:val="001960A2"/>
    <w:rsid w:val="002169FD"/>
    <w:rsid w:val="00250A9B"/>
    <w:rsid w:val="002B5D9F"/>
    <w:rsid w:val="00380673"/>
    <w:rsid w:val="003B756D"/>
    <w:rsid w:val="00403ADB"/>
    <w:rsid w:val="004D43A3"/>
    <w:rsid w:val="00572FD3"/>
    <w:rsid w:val="005923CC"/>
    <w:rsid w:val="00800AD6"/>
    <w:rsid w:val="008720C4"/>
    <w:rsid w:val="008F52AF"/>
    <w:rsid w:val="009004D9"/>
    <w:rsid w:val="009C5E5A"/>
    <w:rsid w:val="009F6875"/>
    <w:rsid w:val="00AF0268"/>
    <w:rsid w:val="00BF0A1F"/>
    <w:rsid w:val="00D33940"/>
    <w:rsid w:val="00D600FD"/>
    <w:rsid w:val="00D649A8"/>
    <w:rsid w:val="00D719B1"/>
    <w:rsid w:val="00E114BA"/>
    <w:rsid w:val="00EB088A"/>
    <w:rsid w:val="00F23D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408E"/>
  <w15:docId w15:val="{6C188BA8-4337-4BD0-BB68-2E768ACA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0728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88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1ba0922c-82b2-4343-a83b-9f2e0b66af6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755186854</Id>
      <Width>0</Width>
      <Height>0</Height>
      <XPath>//Image[@id='Profile.Org.WappenSW']</XPath>
      <ImageHash>02f1c0cdac6aeac316213b2e7cb733a0</ImageHash>
    </ImageSizeDefinition>
    <ImageSizeDefinition>
      <Id>66087819</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e 3 e 7 3 7 b e - 1 4 3 3 - 4 6 6 b - 8 9 d 8 - e 6 1 b f 8 e 7 8 7 8 f "   t I d = " a 3 6 2 a 5 d 4 - 9 5 8 9 - 4 1 b f - a 4 e 6 - 4 f 8 7 c 4 e 4 1 2 3 9 "   i n t e r n a l T I d = " 9 0 6 4 c c 7 f - 3 1 6 d - 4 6 b 1 - a 4 a c - 7 4 8 6 0 c 3 f 8 a 5 b "   m t I d = " 2 7 5 a f 3 2 e - b c 4 0 - 4 5 c 2 - 8 5 b 7 - a f b 1 c 0 3 8 2 6 5 3 "   r e v i s i o n = " 0 "   c r e a t e d m a j o r v e r s i o n = " 0 "   c r e a t e d m i n o r v e r s i o n = " 0 "   c r e a t e d = " 2 0 2 5 - 0 5 - 1 4 T 1 4 : 0 7 : 0 7 . 7 3 5 3 7 3 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 2 0 2 5 - 0 5 - 1 3 T 0 0 : 0 0 : 0 0 Z < / D a t e T i m e >  
                 < T e x t   i d = " D o c P a r a m . N u m b e r " > < ! [ C D A T A [ 8 5 3 9 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5 3 9   R   d e l   1 3   m a g g i o   2 0 2 5 ] ] > < / 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5 3 9   R   d e l   1 3 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C0A408AA-BC0F-487C-A055-AED780AD2061}">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6E0B4C5B-C83F-42B4-90C6-098F741BAE4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1ba0922c-82b2-4343-a83b-9f2e0b66af6c.dotx</Template>
  <TotalTime>23</TotalTime>
  <Pages>3</Pages>
  <Words>866</Words>
  <Characters>4941</Characters>
  <Application>Microsoft Office Word</Application>
  <DocSecurity>0</DocSecurity>
  <Lines>41</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12</cp:revision>
  <cp:lastPrinted>2025-05-14T14:29:00Z</cp:lastPrinted>
  <dcterms:created xsi:type="dcterms:W3CDTF">2025-05-14T14:07:00Z</dcterms:created>
  <dcterms:modified xsi:type="dcterms:W3CDTF">2025-05-14T14:31:00Z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