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468" w:rsidRPr="00F57468" w:rsidRDefault="00F57468" w:rsidP="00F57468">
      <w:pPr>
        <w:suppressAutoHyphens/>
        <w:jc w:val="left"/>
        <w:rPr>
          <w:rFonts w:eastAsia="Calibri" w:cs="Arial"/>
          <w:b/>
          <w:color w:val="000000"/>
          <w:kern w:val="2"/>
          <w:sz w:val="28"/>
          <w:szCs w:val="28"/>
          <w14:ligatures w14:val="standardContextual"/>
        </w:rPr>
      </w:pPr>
      <w:bookmarkStart w:id="0" w:name="_GoBack"/>
      <w:bookmarkEnd w:id="0"/>
      <w:r w:rsidRPr="00F57468">
        <w:rPr>
          <w:rFonts w:eastAsia="Calibri" w:cs="Arial"/>
          <w:b/>
          <w:color w:val="000000"/>
          <w:kern w:val="2"/>
          <w:sz w:val="28"/>
          <w:szCs w:val="28"/>
          <w14:ligatures w14:val="standardContextual"/>
        </w:rPr>
        <w:t xml:space="preserve">della Commissione gestione e finanze </w:t>
      </w:r>
    </w:p>
    <w:p w:rsidR="00F57468" w:rsidRDefault="00F57468" w:rsidP="00F57468">
      <w:pPr>
        <w:suppressAutoHyphens/>
        <w:spacing w:after="120"/>
        <w:rPr>
          <w:rFonts w:eastAsia="Calibri" w:cs="Arial"/>
          <w:b/>
          <w:color w:val="000000"/>
          <w:kern w:val="2"/>
          <w:sz w:val="28"/>
          <w:szCs w:val="28"/>
          <w14:ligatures w14:val="standardContextual"/>
        </w:rPr>
      </w:pPr>
      <w:r>
        <w:rPr>
          <w:rFonts w:eastAsia="Calibri" w:cs="Arial"/>
          <w:b/>
          <w:color w:val="000000"/>
          <w:kern w:val="2"/>
          <w:sz w:val="28"/>
          <w:szCs w:val="28"/>
          <w14:ligatures w14:val="standardContextual"/>
        </w:rPr>
        <w:t>sull’</w:t>
      </w:r>
      <w:r w:rsidRPr="00F57468">
        <w:rPr>
          <w:rFonts w:eastAsia="Calibri" w:cs="Arial"/>
          <w:b/>
          <w:color w:val="000000"/>
          <w:kern w:val="2"/>
          <w:sz w:val="28"/>
          <w:szCs w:val="28"/>
          <w14:ligatures w14:val="standardContextual"/>
        </w:rPr>
        <w:t xml:space="preserve">iniziativa popolare legislativa del 29 agosto 2022 presentata nella forma elaborata da Andrea Censi e cofirmatari “Basta spennare il cittadino, cassa malati deducibile integralmente!” </w:t>
      </w:r>
    </w:p>
    <w:p w:rsidR="00F57468" w:rsidRPr="00F57468" w:rsidRDefault="00F57468" w:rsidP="00F57468">
      <w:pPr>
        <w:suppressAutoHyphens/>
        <w:rPr>
          <w:rFonts w:eastAsia="Calibri" w:cs="Arial"/>
          <w:kern w:val="2"/>
          <w:sz w:val="26"/>
          <w:szCs w:val="26"/>
          <w14:ligatures w14:val="standardContextual"/>
        </w:rPr>
      </w:pPr>
      <w:r w:rsidRPr="00F57468">
        <w:rPr>
          <w:rFonts w:eastAsia="Calibri" w:cs="Arial"/>
          <w:b/>
          <w:color w:val="000000"/>
          <w:kern w:val="2"/>
          <w:sz w:val="26"/>
          <w:szCs w:val="26"/>
          <w14:ligatures w14:val="standardContextual"/>
        </w:rPr>
        <w:t>(v. messaggio 14 maggio 2025 n. 8573)</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p>
    <w:p w:rsidR="001A09F4" w:rsidRPr="001A09F4" w:rsidRDefault="001A09F4" w:rsidP="001A09F4">
      <w:pPr>
        <w:suppressAutoHyphens/>
        <w:jc w:val="left"/>
        <w:rPr>
          <w:rFonts w:eastAsia="Calibri" w:cs="Arial"/>
          <w:kern w:val="2"/>
          <w:sz w:val="24"/>
          <w:szCs w:val="24"/>
          <w14:ligatures w14:val="standardContextual"/>
        </w:rPr>
      </w:pPr>
    </w:p>
    <w:p w:rsidR="001A09F4" w:rsidRPr="001A09F4" w:rsidRDefault="001A09F4" w:rsidP="001A09F4">
      <w:pPr>
        <w:pStyle w:val="Titolo1"/>
        <w:numPr>
          <w:ilvl w:val="0"/>
          <w:numId w:val="20"/>
        </w:numPr>
        <w:tabs>
          <w:tab w:val="left" w:pos="567"/>
        </w:tabs>
        <w:spacing w:before="0"/>
        <w:ind w:left="567" w:hanging="567"/>
        <w:jc w:val="both"/>
        <w:rPr>
          <w:rFonts w:eastAsia="Calibri" w:cs="Times New Roman"/>
          <w:caps/>
          <w:sz w:val="24"/>
          <w:szCs w:val="24"/>
          <w:lang w:val="it-IT" w:eastAsia="it-IT"/>
        </w:rPr>
      </w:pPr>
      <w:r w:rsidRPr="001A09F4">
        <w:rPr>
          <w:rFonts w:eastAsia="Calibri" w:cs="Times New Roman"/>
          <w:caps/>
          <w:sz w:val="24"/>
          <w:szCs w:val="24"/>
          <w:lang w:val="it-IT" w:eastAsia="it-IT"/>
        </w:rPr>
        <w:t>PREMESSA</w:t>
      </w:r>
    </w:p>
    <w:p w:rsidR="001A09F4" w:rsidRPr="001A09F4" w:rsidRDefault="001A09F4" w:rsidP="001A09F4">
      <w:pPr>
        <w:suppressAutoHyphens/>
        <w:contextualSpacing/>
        <w:outlineLvl w:val="0"/>
        <w:rPr>
          <w:rFonts w:eastAsia="Calibri" w:cs="Arial"/>
          <w:bCs/>
          <w:kern w:val="2"/>
          <w:sz w:val="24"/>
          <w:szCs w:val="24"/>
          <w14:ligatures w14:val="standardContextual"/>
        </w:rPr>
      </w:pPr>
      <w:r w:rsidRPr="001A09F4">
        <w:rPr>
          <w:rFonts w:eastAsia="Calibri" w:cs="Arial"/>
          <w:bCs/>
          <w:kern w:val="2"/>
          <w:sz w:val="24"/>
          <w:szCs w:val="24"/>
          <w14:ligatures w14:val="standardContextual"/>
        </w:rPr>
        <w:t>Il presente rapporto intende proporre un controprogetto all’iniziativa popolare in oggetto alternativo a quello proposto dal Rapporto di maggioranza di questa Commissione.</w:t>
      </w:r>
    </w:p>
    <w:p w:rsidR="001A09F4" w:rsidRPr="001A09F4" w:rsidRDefault="001A09F4" w:rsidP="001A09F4">
      <w:pPr>
        <w:suppressAutoHyphens/>
        <w:contextualSpacing/>
        <w:outlineLvl w:val="0"/>
        <w:rPr>
          <w:rFonts w:eastAsia="Calibri" w:cs="Arial"/>
          <w:bCs/>
          <w:kern w:val="2"/>
          <w:sz w:val="24"/>
          <w:szCs w:val="24"/>
          <w14:ligatures w14:val="standardContextual"/>
        </w:rPr>
      </w:pPr>
    </w:p>
    <w:p w:rsidR="001A09F4" w:rsidRPr="001A09F4" w:rsidRDefault="001A09F4" w:rsidP="001A09F4">
      <w:pPr>
        <w:suppressAutoHyphens/>
        <w:contextualSpacing/>
        <w:outlineLvl w:val="0"/>
        <w:rPr>
          <w:rFonts w:eastAsia="Calibri" w:cs="Arial"/>
          <w:bCs/>
          <w:kern w:val="2"/>
          <w:sz w:val="24"/>
          <w:szCs w:val="24"/>
          <w14:ligatures w14:val="standardContextual"/>
        </w:rPr>
      </w:pPr>
    </w:p>
    <w:p w:rsidR="001A09F4" w:rsidRPr="001A09F4" w:rsidRDefault="001A09F4" w:rsidP="001A09F4">
      <w:pPr>
        <w:pStyle w:val="Titolo1"/>
        <w:numPr>
          <w:ilvl w:val="0"/>
          <w:numId w:val="20"/>
        </w:numPr>
        <w:tabs>
          <w:tab w:val="left" w:pos="567"/>
        </w:tabs>
        <w:spacing w:before="0"/>
        <w:ind w:left="567" w:hanging="567"/>
        <w:jc w:val="both"/>
        <w:rPr>
          <w:rFonts w:eastAsia="Calibri" w:cs="Times New Roman"/>
          <w:caps/>
          <w:sz w:val="24"/>
          <w:szCs w:val="24"/>
          <w:lang w:val="it-IT" w:eastAsia="it-IT"/>
        </w:rPr>
      </w:pPr>
      <w:r w:rsidRPr="001A09F4">
        <w:rPr>
          <w:rFonts w:eastAsia="Calibri" w:cs="Times New Roman"/>
          <w:caps/>
          <w:sz w:val="24"/>
          <w:szCs w:val="24"/>
          <w:lang w:val="it-IT" w:eastAsia="it-IT"/>
        </w:rPr>
        <w:t>L'INIZIATIVA POPOLARE LEGISLATIVA ELABORATA</w:t>
      </w:r>
    </w:p>
    <w:p w:rsidR="001A09F4" w:rsidRPr="001A09F4" w:rsidRDefault="001A09F4" w:rsidP="001A09F4">
      <w:pPr>
        <w:pStyle w:val="Titolo2"/>
        <w:numPr>
          <w:ilvl w:val="0"/>
          <w:numId w:val="0"/>
        </w:numPr>
        <w:tabs>
          <w:tab w:val="left" w:pos="567"/>
        </w:tabs>
        <w:spacing w:before="0" w:after="120"/>
        <w:jc w:val="both"/>
        <w:rPr>
          <w:rFonts w:eastAsia="Calibri" w:cs="Times New Roman"/>
          <w:sz w:val="24"/>
          <w:lang w:val="it-IT" w:eastAsia="it-IT"/>
        </w:rPr>
      </w:pPr>
      <w:r w:rsidRPr="001A09F4">
        <w:rPr>
          <w:rFonts w:eastAsia="Calibri" w:cs="Times New Roman"/>
          <w:sz w:val="24"/>
          <w:lang w:val="it-IT" w:eastAsia="it-IT"/>
        </w:rPr>
        <w:t>2.1</w:t>
      </w:r>
      <w:r w:rsidRPr="001A09F4">
        <w:rPr>
          <w:rFonts w:eastAsia="Calibri" w:cs="Times New Roman"/>
          <w:sz w:val="24"/>
          <w:lang w:val="it-IT" w:eastAsia="it-IT"/>
        </w:rPr>
        <w:tab/>
        <w:t>La domanda di iniziativa popolare legislativa elaborata</w:t>
      </w:r>
    </w:p>
    <w:p w:rsidR="001A09F4" w:rsidRPr="001A09F4" w:rsidRDefault="001A09F4" w:rsidP="001A09F4">
      <w:pPr>
        <w:suppressAutoHyphens/>
        <w:rPr>
          <w:rFonts w:eastAsia="Times New Roman" w:cs="Arial"/>
          <w:sz w:val="24"/>
          <w:szCs w:val="24"/>
          <w:lang w:eastAsia="it-IT"/>
        </w:rPr>
      </w:pPr>
      <w:r w:rsidRPr="001A09F4">
        <w:rPr>
          <w:rFonts w:eastAsia="Times New Roman" w:cs="Arial"/>
          <w:sz w:val="24"/>
          <w:szCs w:val="24"/>
          <w:lang w:eastAsia="it-IT"/>
        </w:rPr>
        <w:t>La domanda di iniziativa popolare legislativa elaborata "Basta spennare il cittadino, cassa malati deducibile integralmente!” (IP150) è stata depositata dai promotori (Andrea Censi primo promotore) il 29 agosto 2022.</w:t>
      </w:r>
    </w:p>
    <w:p w:rsidR="001A09F4" w:rsidRDefault="001A09F4" w:rsidP="001A09F4">
      <w:pPr>
        <w:suppressAutoHyphens/>
        <w:rPr>
          <w:rFonts w:eastAsia="Times New Roman" w:cs="Arial"/>
          <w:sz w:val="24"/>
          <w:szCs w:val="24"/>
          <w:lang w:eastAsia="it-IT"/>
        </w:rPr>
      </w:pPr>
    </w:p>
    <w:p w:rsidR="001A09F4" w:rsidRPr="001A09F4" w:rsidRDefault="001A09F4" w:rsidP="001A09F4">
      <w:pPr>
        <w:suppressAutoHyphens/>
        <w:rPr>
          <w:rFonts w:eastAsia="Times New Roman" w:cs="Arial"/>
          <w:sz w:val="24"/>
          <w:szCs w:val="24"/>
          <w:lang w:eastAsia="it-IT"/>
        </w:rPr>
      </w:pPr>
    </w:p>
    <w:p w:rsidR="001A09F4" w:rsidRPr="001A09F4" w:rsidRDefault="001A09F4" w:rsidP="001A09F4">
      <w:pPr>
        <w:pStyle w:val="Titolo2"/>
        <w:numPr>
          <w:ilvl w:val="0"/>
          <w:numId w:val="0"/>
        </w:numPr>
        <w:tabs>
          <w:tab w:val="left" w:pos="567"/>
        </w:tabs>
        <w:spacing w:before="0" w:after="120"/>
        <w:jc w:val="both"/>
        <w:rPr>
          <w:rFonts w:eastAsia="Calibri" w:cs="Times New Roman"/>
          <w:sz w:val="24"/>
          <w:lang w:val="it-IT" w:eastAsia="it-IT"/>
        </w:rPr>
      </w:pPr>
      <w:bookmarkStart w:id="1" w:name="_Toc473552397"/>
      <w:r>
        <w:rPr>
          <w:rFonts w:eastAsia="Calibri" w:cs="Times New Roman"/>
          <w:sz w:val="24"/>
          <w:lang w:val="it-IT" w:eastAsia="it-IT"/>
        </w:rPr>
        <w:t>2.2</w:t>
      </w:r>
      <w:r>
        <w:rPr>
          <w:rFonts w:eastAsia="Calibri" w:cs="Times New Roman"/>
          <w:sz w:val="24"/>
          <w:lang w:val="it-IT" w:eastAsia="it-IT"/>
        </w:rPr>
        <w:tab/>
      </w:r>
      <w:r w:rsidRPr="001A09F4">
        <w:rPr>
          <w:rFonts w:eastAsia="Calibri" w:cs="Times New Roman"/>
          <w:sz w:val="24"/>
          <w:lang w:val="it-IT" w:eastAsia="it-IT"/>
        </w:rPr>
        <w:t>Il testo dell'iniziativa popolare</w:t>
      </w:r>
      <w:bookmarkEnd w:id="1"/>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Il testo propone la modifica dell’art. 32 della Legge tributaria del 21 giugno 1994 (di seguito LT, RL 640.100), è il seguente:</w:t>
      </w:r>
    </w:p>
    <w:p w:rsidR="001A09F4" w:rsidRPr="001A09F4" w:rsidRDefault="001A09F4" w:rsidP="001A09F4">
      <w:pPr>
        <w:suppressAutoHyphens/>
        <w:rPr>
          <w:rFonts w:eastAsia="Calibri" w:cs="Arial"/>
          <w:kern w:val="2"/>
          <w:sz w:val="16"/>
          <w:szCs w:val="16"/>
          <w14:ligatures w14:val="standardContextual"/>
        </w:rPr>
      </w:pPr>
    </w:p>
    <w:tbl>
      <w:tblPr>
        <w:tblW w:w="9622" w:type="dxa"/>
        <w:tblLayout w:type="fixed"/>
        <w:tblLook w:val="04A0" w:firstRow="1" w:lastRow="0" w:firstColumn="1" w:lastColumn="0" w:noHBand="0" w:noVBand="1"/>
      </w:tblPr>
      <w:tblGrid>
        <w:gridCol w:w="4812"/>
        <w:gridCol w:w="4810"/>
      </w:tblGrid>
      <w:tr w:rsidR="001A09F4" w:rsidRPr="001A09F4" w:rsidTr="00FE3A91">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1A09F4" w:rsidRPr="001A09F4" w:rsidRDefault="001A09F4" w:rsidP="001A09F4">
            <w:pPr>
              <w:suppressAutoHyphens/>
              <w:rPr>
                <w:rFonts w:eastAsia="Calibri" w:cs="Arial"/>
                <w:b/>
                <w:kern w:val="2"/>
                <w:sz w:val="24"/>
                <w:szCs w:val="24"/>
                <w14:ligatures w14:val="standardContextual"/>
              </w:rPr>
            </w:pPr>
            <w:r w:rsidRPr="001A09F4">
              <w:rPr>
                <w:rFonts w:eastAsia="Calibri" w:cs="Arial"/>
                <w:b/>
                <w:kern w:val="2"/>
                <w:sz w:val="24"/>
                <w:szCs w:val="24"/>
                <w14:ligatures w14:val="standardContextual"/>
              </w:rPr>
              <w:t xml:space="preserve">Testo in vigore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1A09F4" w:rsidRPr="001A09F4" w:rsidRDefault="001A09F4" w:rsidP="001A09F4">
            <w:pPr>
              <w:suppressAutoHyphens/>
              <w:rPr>
                <w:rFonts w:eastAsia="Calibri" w:cs="Arial"/>
                <w:b/>
                <w:kern w:val="2"/>
                <w:sz w:val="24"/>
                <w:szCs w:val="24"/>
                <w14:ligatures w14:val="standardContextual"/>
              </w:rPr>
            </w:pPr>
            <w:r w:rsidRPr="001A09F4">
              <w:rPr>
                <w:rFonts w:eastAsia="Calibri" w:cs="Arial"/>
                <w:b/>
                <w:kern w:val="2"/>
                <w:sz w:val="24"/>
                <w:szCs w:val="24"/>
                <w14:ligatures w14:val="standardContextual"/>
              </w:rPr>
              <w:t>Testo dell’iniziativa</w:t>
            </w:r>
          </w:p>
        </w:tc>
      </w:tr>
      <w:tr w:rsidR="001A09F4" w:rsidRPr="001A09F4" w:rsidTr="00FE3A91">
        <w:trPr>
          <w:trHeight w:val="836"/>
        </w:trPr>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Art. 32 cpv. 1 lett. g) LT</w:t>
            </w:r>
          </w:p>
          <w:p w:rsidR="001A09F4" w:rsidRPr="001A09F4" w:rsidRDefault="001A09F4" w:rsidP="001A09F4">
            <w:pPr>
              <w:suppressAutoHyphens/>
              <w:rPr>
                <w:rFonts w:eastAsia="Calibri" w:cs="Arial"/>
                <w:kern w:val="2"/>
                <w:sz w:val="24"/>
                <w:szCs w:val="24"/>
                <w14:ligatures w14:val="standardContextual"/>
              </w:rPr>
            </w:pP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Sono dedotti dai proventi:</w:t>
            </w: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w:t>
            </w: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 xml:space="preserve">g) i versamenti, premi e contributi per assicurazioni sulla vita, contro le malattie e, in quanto non compresi sotto la lettera f), contro gli infortuni, nonché gli interessi dei capitali a risparmio del contribuente e delle persone al cui sostentamento egli provvede, fino a concorrenza di una somma globale di </w:t>
            </w:r>
            <w:r w:rsidRPr="001A09F4">
              <w:rPr>
                <w:rFonts w:eastAsia="Calibri" w:cs="Arial"/>
                <w:b/>
                <w:kern w:val="2"/>
                <w:sz w:val="24"/>
                <w:szCs w:val="24"/>
                <w14:ligatures w14:val="standardContextual"/>
              </w:rPr>
              <w:t>10’900.– franchi</w:t>
            </w:r>
            <w:r w:rsidRPr="001A09F4">
              <w:rPr>
                <w:rFonts w:eastAsia="Calibri" w:cs="Arial"/>
                <w:kern w:val="2"/>
                <w:sz w:val="24"/>
                <w:szCs w:val="24"/>
                <w14:ligatures w14:val="standardContextual"/>
              </w:rPr>
              <w:t xml:space="preserve"> per i coniugi che vivono in comunione domestica e di </w:t>
            </w:r>
            <w:r w:rsidRPr="001A09F4">
              <w:rPr>
                <w:rFonts w:eastAsia="Calibri" w:cs="Arial"/>
                <w:b/>
                <w:kern w:val="2"/>
                <w:sz w:val="24"/>
                <w:szCs w:val="24"/>
                <w14:ligatures w14:val="standardContextual"/>
              </w:rPr>
              <w:t>5’500.– franchi</w:t>
            </w:r>
            <w:r w:rsidRPr="001A09F4">
              <w:rPr>
                <w:rFonts w:eastAsia="Calibri" w:cs="Arial"/>
                <w:kern w:val="2"/>
                <w:sz w:val="24"/>
                <w:szCs w:val="24"/>
                <w14:ligatures w14:val="standardContextual"/>
              </w:rPr>
              <w:t xml:space="preserve"> per gli altri contribuenti; per i contribuenti che non versano contributi alle istituzioni di previdenza professionale e a </w:t>
            </w:r>
            <w:r w:rsidRPr="001A09F4">
              <w:rPr>
                <w:rFonts w:eastAsia="Calibri" w:cs="Arial"/>
                <w:kern w:val="2"/>
                <w:sz w:val="24"/>
                <w:szCs w:val="24"/>
                <w14:ligatures w14:val="standardContextual"/>
              </w:rPr>
              <w:lastRenderedPageBreak/>
              <w:t>forme riconosciute della previdenza individuale vincolata queste somme sono aumentate di 4’500.– franchi per i coniugi che vivono in comunione domestica e di 2’300.– franchi per gli altri contribuenti</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lastRenderedPageBreak/>
              <w:t>Art. 32 cpv.1 lett. g) LT</w:t>
            </w:r>
          </w:p>
          <w:p w:rsidR="001A09F4" w:rsidRPr="001A09F4" w:rsidRDefault="001A09F4" w:rsidP="001A09F4">
            <w:pPr>
              <w:suppressAutoHyphens/>
              <w:rPr>
                <w:rFonts w:eastAsia="Calibri" w:cs="Arial"/>
                <w:kern w:val="2"/>
                <w:sz w:val="24"/>
                <w:szCs w:val="24"/>
                <w14:ligatures w14:val="standardContextual"/>
              </w:rPr>
            </w:pP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Sono dedotti dai proventi:</w:t>
            </w: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w:t>
            </w: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 xml:space="preserve">g) i versamenti, premi e contributi per assicurazioni sulla vita, contro le malattie e, in quanto non compresi sotto la lettera f), contro gli infortuni, nonché gli interessi dei capitali a risparmio del contribuente e delle persone al cui sostentamento egli provvede, fino a concorrenza di una somma globale di </w:t>
            </w:r>
            <w:r w:rsidRPr="001A09F4">
              <w:rPr>
                <w:rFonts w:eastAsia="Calibri" w:cs="Arial"/>
                <w:b/>
                <w:kern w:val="2"/>
                <w:sz w:val="24"/>
                <w:szCs w:val="24"/>
                <w14:ligatures w14:val="standardContextual"/>
              </w:rPr>
              <w:t>18’000.– franchi</w:t>
            </w:r>
            <w:r w:rsidRPr="001A09F4">
              <w:rPr>
                <w:rFonts w:eastAsia="Calibri" w:cs="Arial"/>
                <w:kern w:val="2"/>
                <w:sz w:val="24"/>
                <w:szCs w:val="24"/>
                <w14:ligatures w14:val="standardContextual"/>
              </w:rPr>
              <w:t xml:space="preserve"> per i coniugi che vivono in comunione domestica e </w:t>
            </w:r>
            <w:r w:rsidRPr="001A09F4">
              <w:rPr>
                <w:rFonts w:eastAsia="Calibri" w:cs="Arial"/>
                <w:b/>
                <w:kern w:val="2"/>
                <w:sz w:val="24"/>
                <w:szCs w:val="24"/>
                <w14:ligatures w14:val="standardContextual"/>
              </w:rPr>
              <w:t>di  9’000.– franchi</w:t>
            </w:r>
            <w:r w:rsidRPr="001A09F4">
              <w:rPr>
                <w:rFonts w:eastAsia="Calibri" w:cs="Arial"/>
                <w:kern w:val="2"/>
                <w:sz w:val="24"/>
                <w:szCs w:val="24"/>
                <w14:ligatures w14:val="standardContextual"/>
              </w:rPr>
              <w:t xml:space="preserve"> per gli altri contribuenti; per i contribuenti che non versano contributi alle istituzioni di previdenza professionale e a </w:t>
            </w:r>
            <w:r w:rsidRPr="001A09F4">
              <w:rPr>
                <w:rFonts w:eastAsia="Calibri" w:cs="Arial"/>
                <w:kern w:val="2"/>
                <w:sz w:val="24"/>
                <w:szCs w:val="24"/>
                <w14:ligatures w14:val="standardContextual"/>
              </w:rPr>
              <w:lastRenderedPageBreak/>
              <w:t>forme riconosciute della previdenza individuale vincolata queste somme sono aumentate di 4’300.– franchi per i coniugi che vivono in comunione domestica e di 2’200.– franchi per gli altri contribuenti.</w:t>
            </w:r>
          </w:p>
        </w:tc>
      </w:tr>
    </w:tbl>
    <w:p w:rsidR="001A09F4" w:rsidRDefault="001A09F4" w:rsidP="001A09F4">
      <w:pPr>
        <w:suppressAutoHyphens/>
        <w:rPr>
          <w:rFonts w:eastAsia="Calibri" w:cs="Arial"/>
          <w:kern w:val="2"/>
          <w:sz w:val="24"/>
          <w:szCs w:val="24"/>
          <w14:ligatures w14:val="standardContextual"/>
        </w:rPr>
      </w:pPr>
    </w:p>
    <w:p w:rsidR="001A09F4" w:rsidRPr="001A09F4" w:rsidRDefault="001A09F4" w:rsidP="001A09F4">
      <w:pPr>
        <w:suppressAutoHyphens/>
        <w:rPr>
          <w:rFonts w:eastAsia="Calibri" w:cs="Arial"/>
          <w:kern w:val="2"/>
          <w:sz w:val="24"/>
          <w:szCs w:val="24"/>
          <w14:ligatures w14:val="standardContextual"/>
        </w:rPr>
      </w:pPr>
    </w:p>
    <w:p w:rsidR="001A09F4" w:rsidRPr="001A09F4" w:rsidRDefault="001A09F4" w:rsidP="001A09F4">
      <w:pPr>
        <w:pStyle w:val="Titolo2"/>
        <w:numPr>
          <w:ilvl w:val="0"/>
          <w:numId w:val="0"/>
        </w:numPr>
        <w:tabs>
          <w:tab w:val="left" w:pos="567"/>
        </w:tabs>
        <w:spacing w:before="0" w:after="120"/>
        <w:jc w:val="both"/>
        <w:rPr>
          <w:rFonts w:eastAsia="Calibri" w:cs="Times New Roman"/>
          <w:sz w:val="24"/>
          <w:lang w:val="it-IT" w:eastAsia="it-IT"/>
        </w:rPr>
      </w:pPr>
      <w:r>
        <w:rPr>
          <w:rFonts w:eastAsia="Calibri" w:cs="Times New Roman"/>
          <w:sz w:val="24"/>
          <w:lang w:val="it-IT" w:eastAsia="it-IT"/>
        </w:rPr>
        <w:t>2.3</w:t>
      </w:r>
      <w:r>
        <w:rPr>
          <w:rFonts w:eastAsia="Calibri" w:cs="Times New Roman"/>
          <w:sz w:val="24"/>
          <w:lang w:val="it-IT" w:eastAsia="it-IT"/>
        </w:rPr>
        <w:tab/>
      </w:r>
      <w:r w:rsidRPr="001A09F4">
        <w:rPr>
          <w:rFonts w:eastAsia="Calibri" w:cs="Times New Roman"/>
          <w:sz w:val="24"/>
          <w:lang w:val="it-IT" w:eastAsia="it-IT"/>
        </w:rPr>
        <w:t>Riuscita e ricevibilità dell'iniziativa popolare</w:t>
      </w:r>
    </w:p>
    <w:p w:rsidR="001A09F4" w:rsidRPr="001A09F4" w:rsidRDefault="001A09F4" w:rsidP="001A09F4">
      <w:pPr>
        <w:suppressAutoHyphens/>
        <w:rPr>
          <w:rFonts w:eastAsia="Times New Roman" w:cs="Arial"/>
          <w:sz w:val="24"/>
          <w:szCs w:val="24"/>
          <w:lang w:eastAsia="it-IT"/>
        </w:rPr>
      </w:pPr>
      <w:r w:rsidRPr="001A09F4">
        <w:rPr>
          <w:rFonts w:eastAsia="Times New Roman" w:cs="Arial"/>
          <w:sz w:val="24"/>
          <w:szCs w:val="24"/>
          <w:lang w:eastAsia="it-IT"/>
        </w:rPr>
        <w:t xml:space="preserve">In data 9 gennaio 2023 (FU del 6/2023 del 10 gennaio 2023) la Cancelleria dello Stato ha accertato che le firme valide raccolte a sostegno della domanda di iniziativa popolare legislativa elaborata ammontavano a 11'597. L'iniziativa è stata pertanto dichiarata riuscita e dipoi ritenuta ricevibile con la decisione del Gran Consiglio del 14 marzo 2023. </w:t>
      </w:r>
    </w:p>
    <w:p w:rsidR="001A09F4" w:rsidRPr="001A09F4" w:rsidRDefault="001A09F4" w:rsidP="001A09F4">
      <w:pPr>
        <w:suppressAutoHyphens/>
        <w:rPr>
          <w:rFonts w:eastAsia="Calibri" w:cs="Arial"/>
          <w:kern w:val="2"/>
          <w:sz w:val="24"/>
          <w:szCs w:val="24"/>
          <w14:ligatures w14:val="standardContextual"/>
        </w:rPr>
      </w:pPr>
    </w:p>
    <w:p w:rsidR="001A09F4" w:rsidRPr="001A09F4" w:rsidRDefault="001A09F4" w:rsidP="001A09F4">
      <w:pPr>
        <w:suppressAutoHyphens/>
        <w:rPr>
          <w:rFonts w:eastAsia="Calibri" w:cs="Arial"/>
          <w:kern w:val="2"/>
          <w:sz w:val="24"/>
          <w:szCs w:val="24"/>
          <w14:ligatures w14:val="standardContextual"/>
        </w:rPr>
      </w:pPr>
    </w:p>
    <w:p w:rsidR="001A09F4" w:rsidRPr="001A09F4" w:rsidRDefault="001A09F4" w:rsidP="001A09F4">
      <w:pPr>
        <w:pStyle w:val="Titolo1"/>
        <w:numPr>
          <w:ilvl w:val="0"/>
          <w:numId w:val="20"/>
        </w:numPr>
        <w:tabs>
          <w:tab w:val="left" w:pos="567"/>
        </w:tabs>
        <w:spacing w:before="0"/>
        <w:ind w:left="567" w:hanging="567"/>
        <w:jc w:val="both"/>
        <w:rPr>
          <w:rFonts w:eastAsia="Calibri" w:cs="Times New Roman"/>
          <w:caps/>
          <w:sz w:val="24"/>
          <w:szCs w:val="24"/>
          <w:lang w:val="it-IT" w:eastAsia="it-IT"/>
        </w:rPr>
      </w:pPr>
      <w:r w:rsidRPr="001A09F4">
        <w:rPr>
          <w:rFonts w:eastAsia="Calibri" w:cs="Times New Roman"/>
          <w:caps/>
          <w:sz w:val="24"/>
          <w:szCs w:val="24"/>
          <w:lang w:val="it-IT" w:eastAsia="it-IT"/>
        </w:rPr>
        <w:t>IL MESSAGGIO DEL CONSIGLIO DI STATO</w:t>
      </w:r>
    </w:p>
    <w:p w:rsidR="001A09F4" w:rsidRPr="001A09F4" w:rsidRDefault="001A09F4" w:rsidP="001A09F4">
      <w:pPr>
        <w:suppressAutoHyphens/>
        <w:outlineLvl w:val="2"/>
        <w:rPr>
          <w:rFonts w:eastAsia="Times New Roman" w:cs="Arial"/>
          <w:sz w:val="24"/>
          <w:szCs w:val="24"/>
          <w:lang w:eastAsia="it-IT"/>
        </w:rPr>
      </w:pPr>
      <w:r>
        <w:rPr>
          <w:rFonts w:eastAsia="Times New Roman" w:cs="Arial"/>
          <w:sz w:val="24"/>
          <w:szCs w:val="24"/>
          <w:lang w:eastAsia="it-IT"/>
        </w:rPr>
        <w:t>Con il m</w:t>
      </w:r>
      <w:r w:rsidRPr="001A09F4">
        <w:rPr>
          <w:rFonts w:eastAsia="Times New Roman" w:cs="Arial"/>
          <w:sz w:val="24"/>
          <w:szCs w:val="24"/>
          <w:lang w:eastAsia="it-IT"/>
        </w:rPr>
        <w:t xml:space="preserve">essaggio del 14 maggio 2025 il Consiglio di Stato ha raccomandato al Gran Consiglio di </w:t>
      </w:r>
      <w:r w:rsidRPr="001A09F4">
        <w:rPr>
          <w:rFonts w:eastAsia="Times New Roman" w:cs="Arial"/>
          <w:i/>
          <w:iCs/>
          <w:sz w:val="24"/>
          <w:szCs w:val="24"/>
          <w:lang w:eastAsia="it-IT"/>
        </w:rPr>
        <w:t>“non dare seguito all’iniziativa”</w:t>
      </w:r>
      <w:r w:rsidRPr="001A09F4">
        <w:rPr>
          <w:rFonts w:eastAsia="Times New Roman" w:cs="Arial"/>
          <w:sz w:val="24"/>
          <w:szCs w:val="24"/>
          <w:lang w:eastAsia="it-IT"/>
        </w:rPr>
        <w:t xml:space="preserve">, in particolare perché il Governo </w:t>
      </w:r>
      <w:r w:rsidRPr="001A09F4">
        <w:rPr>
          <w:rFonts w:eastAsia="Times New Roman" w:cs="Arial"/>
          <w:i/>
          <w:iCs/>
          <w:sz w:val="24"/>
          <w:szCs w:val="24"/>
          <w:lang w:eastAsia="it-IT"/>
        </w:rPr>
        <w:t>“ritiene che l’impatto finanziario dell’iniziativa (pari a circa il 6% del gettito dell’imposta sul reddito) attualmente non sia sostenibile per gli enti pubblici (Cantone e Comuni) e che l’aumento della deduzione fiscale potrebbe indurre gli assicurati a rinunciare a scegliere dei modelli assicurativi dal costo contenuto (es: modello medico di famiglia, franchigia elevata, ecc..). Inoltre, il Ticino è già il Cantone con le deduzioni più elevate a livello svizzero e nel 2023 è stata introdotta anche la deduzione aggiuntiva di 1'200 franchi per ogni figlio a carico. A trarre maggior beneficio dalla nuova deduzione sarebbero in particolare i contribuenti con redditi alti e a beneficiare dell’aumento degli importi deducibili sarebbero anche i contribuenti assoggettati alla fonte”</w:t>
      </w:r>
      <w:r w:rsidRPr="001A09F4">
        <w:rPr>
          <w:rFonts w:eastAsia="Times New Roman" w:cs="Arial"/>
          <w:sz w:val="24"/>
          <w:szCs w:val="24"/>
          <w:lang w:eastAsia="it-IT"/>
        </w:rPr>
        <w:t>.</w:t>
      </w:r>
    </w:p>
    <w:p w:rsidR="001A09F4" w:rsidRPr="001A09F4" w:rsidRDefault="001A09F4" w:rsidP="001A09F4">
      <w:pPr>
        <w:suppressAutoHyphens/>
        <w:outlineLvl w:val="2"/>
        <w:rPr>
          <w:rFonts w:eastAsia="Times New Roman" w:cs="Arial"/>
          <w:sz w:val="24"/>
          <w:szCs w:val="24"/>
          <w:lang w:eastAsia="it-IT"/>
        </w:rPr>
      </w:pPr>
    </w:p>
    <w:p w:rsidR="001A09F4" w:rsidRPr="001A09F4" w:rsidRDefault="001A09F4" w:rsidP="001A09F4">
      <w:pPr>
        <w:suppressAutoHyphens/>
        <w:outlineLvl w:val="2"/>
        <w:rPr>
          <w:rFonts w:eastAsia="Times New Roman" w:cs="Arial"/>
          <w:sz w:val="24"/>
          <w:szCs w:val="24"/>
          <w:lang w:eastAsia="it-IT"/>
        </w:rPr>
      </w:pPr>
      <w:r w:rsidRPr="001A09F4">
        <w:rPr>
          <w:rFonts w:eastAsia="Times New Roman" w:cs="Arial"/>
          <w:sz w:val="24"/>
          <w:szCs w:val="24"/>
          <w:lang w:eastAsia="it-IT"/>
        </w:rPr>
        <w:t>Il Consiglio di Stato, nel precitato messaggio, ha inoltre evidenziato che, “</w:t>
      </w:r>
      <w:r w:rsidRPr="001A09F4">
        <w:rPr>
          <w:rFonts w:eastAsia="Times New Roman" w:cs="Arial"/>
          <w:i/>
          <w:iCs/>
          <w:sz w:val="24"/>
          <w:szCs w:val="24"/>
          <w:lang w:eastAsia="it-IT"/>
        </w:rPr>
        <w:t>in parallelo, desta preoccupazione l'impatto finanziario della riforma federale EFAS, inizialmente stimato dalla Confederazione a 15 milioni di franchi per l'anno 2028, ma che potrebbe in realtà aggirarsi sui 115 milioni di franchi e, a tendere, essere compreso tra i 190 e i 240 milioni di franchi nel 2032, senza la garanzia di un corrispondente alleggerimento dei premi. Questo rappresenta un ulteriore elemento di incertezza aggravato da possibili trasferimenti di oneri dalla Confederazione ai Cantoni (stimati per il nostro Cantone in 40 milioni di franchi annui) e da un contesto economico internazionale instabile che potrebbe avere un'incidenza negativa sui gettiti fiscali. In base agli attuali dati finanziari l’impatto della presente iniziativa, senza un’adeguata copertura finanziaria, comporterebbe un mancato rispetto dell’articolo costituzionale del freno al disavanzo”</w:t>
      </w:r>
      <w:r w:rsidRPr="001A09F4">
        <w:rPr>
          <w:rFonts w:eastAsia="Times New Roman" w:cs="Arial"/>
          <w:sz w:val="24"/>
          <w:szCs w:val="24"/>
          <w:lang w:eastAsia="it-IT"/>
        </w:rPr>
        <w:t>.</w:t>
      </w:r>
    </w:p>
    <w:p w:rsidR="001A09F4" w:rsidRPr="001A09F4" w:rsidRDefault="001A09F4" w:rsidP="001A09F4">
      <w:pPr>
        <w:suppressAutoHyphens/>
        <w:outlineLvl w:val="2"/>
        <w:rPr>
          <w:rFonts w:eastAsia="Times New Roman" w:cs="Arial"/>
          <w:sz w:val="24"/>
          <w:szCs w:val="24"/>
          <w:lang w:eastAsia="it-IT"/>
        </w:rPr>
      </w:pPr>
    </w:p>
    <w:p w:rsidR="001A09F4" w:rsidRPr="001A09F4" w:rsidRDefault="001A09F4" w:rsidP="001A09F4">
      <w:pPr>
        <w:suppressAutoHyphens/>
        <w:outlineLvl w:val="2"/>
        <w:rPr>
          <w:rFonts w:eastAsia="Times New Roman" w:cs="Arial"/>
          <w:sz w:val="24"/>
          <w:szCs w:val="24"/>
          <w:lang w:eastAsia="it-IT"/>
        </w:rPr>
      </w:pPr>
    </w:p>
    <w:p w:rsidR="001A09F4" w:rsidRPr="001A09F4" w:rsidRDefault="001A09F4" w:rsidP="001A09F4">
      <w:pPr>
        <w:suppressAutoHyphens/>
        <w:ind w:left="360"/>
        <w:outlineLvl w:val="2"/>
        <w:rPr>
          <w:rFonts w:eastAsia="Times New Roman" w:cs="Arial"/>
          <w:b/>
          <w:bCs/>
          <w:sz w:val="24"/>
          <w:szCs w:val="24"/>
          <w:lang w:eastAsia="it-IT"/>
        </w:rPr>
      </w:pPr>
    </w:p>
    <w:p w:rsidR="001A09F4" w:rsidRPr="001A09F4" w:rsidRDefault="001A09F4" w:rsidP="001A09F4">
      <w:pPr>
        <w:pStyle w:val="Titolo1"/>
        <w:numPr>
          <w:ilvl w:val="0"/>
          <w:numId w:val="20"/>
        </w:numPr>
        <w:tabs>
          <w:tab w:val="left" w:pos="567"/>
        </w:tabs>
        <w:spacing w:before="0"/>
        <w:ind w:left="567" w:hanging="567"/>
        <w:jc w:val="both"/>
        <w:rPr>
          <w:rFonts w:eastAsia="Calibri" w:cs="Times New Roman"/>
          <w:caps/>
          <w:sz w:val="24"/>
          <w:szCs w:val="24"/>
          <w:lang w:val="it-IT" w:eastAsia="it-IT"/>
        </w:rPr>
      </w:pPr>
      <w:r w:rsidRPr="001A09F4">
        <w:rPr>
          <w:rFonts w:eastAsia="Calibri" w:cs="Times New Roman"/>
          <w:caps/>
          <w:sz w:val="24"/>
          <w:szCs w:val="24"/>
          <w:lang w:val="it-IT" w:eastAsia="it-IT"/>
        </w:rPr>
        <w:t>IL CONTROPROGETTO DEL RAPPORTO DI MAGGIORANZA</w:t>
      </w:r>
    </w:p>
    <w:p w:rsidR="001A09F4" w:rsidRPr="001A09F4" w:rsidRDefault="001A09F4" w:rsidP="001A09F4">
      <w:pPr>
        <w:suppressAutoHyphens/>
        <w:outlineLvl w:val="2"/>
        <w:rPr>
          <w:rFonts w:eastAsia="Times New Roman" w:cs="Arial"/>
          <w:sz w:val="24"/>
          <w:szCs w:val="24"/>
          <w:lang w:eastAsia="it-IT"/>
        </w:rPr>
      </w:pPr>
      <w:r w:rsidRPr="001A09F4">
        <w:rPr>
          <w:rFonts w:eastAsia="Times New Roman" w:cs="Arial"/>
          <w:sz w:val="24"/>
          <w:szCs w:val="24"/>
          <w:lang w:eastAsia="it-IT"/>
        </w:rPr>
        <w:t>Per quanto riguarda l’art. 32 cpv. 1 lett. g) LT il controprogetto propone di aumentare la deduzione da CHF 10'900.- a CHF 13'000.- per i coniugi che vivono in comunione domestica e da CHF 5'500.- a CHF 6'500.- per le persone sole.</w:t>
      </w:r>
    </w:p>
    <w:p w:rsidR="001A09F4" w:rsidRPr="001A09F4" w:rsidRDefault="001A09F4" w:rsidP="001A09F4">
      <w:pPr>
        <w:suppressAutoHyphens/>
        <w:jc w:val="left"/>
        <w:rPr>
          <w:rFonts w:eastAsia="Times New Roman" w:cs="Arial"/>
          <w:sz w:val="24"/>
          <w:szCs w:val="24"/>
          <w:lang w:eastAsia="it-IT"/>
        </w:rPr>
      </w:pPr>
      <w:r w:rsidRPr="001A09F4">
        <w:rPr>
          <w:rFonts w:eastAsia="Times New Roman" w:cs="Arial"/>
          <w:sz w:val="24"/>
          <w:szCs w:val="24"/>
          <w:lang w:eastAsia="it-IT"/>
        </w:rPr>
        <w:br w:type="page"/>
      </w:r>
    </w:p>
    <w:tbl>
      <w:tblPr>
        <w:tblW w:w="9776" w:type="dxa"/>
        <w:tblLayout w:type="fixed"/>
        <w:tblLook w:val="04A0" w:firstRow="1" w:lastRow="0" w:firstColumn="1" w:lastColumn="0" w:noHBand="0" w:noVBand="1"/>
      </w:tblPr>
      <w:tblGrid>
        <w:gridCol w:w="3539"/>
        <w:gridCol w:w="3260"/>
        <w:gridCol w:w="2977"/>
      </w:tblGrid>
      <w:tr w:rsidR="001A09F4" w:rsidRPr="001A09F4" w:rsidTr="00FE3A91">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1A09F4" w:rsidRPr="001A09F4" w:rsidRDefault="001A09F4" w:rsidP="001A09F4">
            <w:pPr>
              <w:suppressAutoHyphens/>
              <w:rPr>
                <w:rFonts w:eastAsia="Calibri" w:cs="Arial"/>
                <w:b/>
                <w:kern w:val="2"/>
                <w:sz w:val="24"/>
                <w:szCs w:val="24"/>
                <w14:ligatures w14:val="standardContextual"/>
              </w:rPr>
            </w:pPr>
            <w:r w:rsidRPr="001A09F4">
              <w:rPr>
                <w:rFonts w:eastAsia="Calibri" w:cs="Arial"/>
                <w:b/>
                <w:kern w:val="2"/>
                <w:sz w:val="24"/>
                <w:szCs w:val="24"/>
                <w14:ligatures w14:val="standardContextual"/>
              </w:rPr>
              <w:t xml:space="preserve">Testo in vigore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A09F4" w:rsidRPr="001A09F4" w:rsidRDefault="001A09F4" w:rsidP="001A09F4">
            <w:pPr>
              <w:suppressAutoHyphens/>
              <w:rPr>
                <w:rFonts w:eastAsia="Calibri" w:cs="Arial"/>
                <w:b/>
                <w:kern w:val="2"/>
                <w:sz w:val="24"/>
                <w:szCs w:val="24"/>
                <w14:ligatures w14:val="standardContextual"/>
              </w:rPr>
            </w:pPr>
            <w:r w:rsidRPr="001A09F4">
              <w:rPr>
                <w:rFonts w:eastAsia="Calibri" w:cs="Arial"/>
                <w:b/>
                <w:kern w:val="2"/>
                <w:sz w:val="24"/>
                <w:szCs w:val="24"/>
                <w14:ligatures w14:val="standardContextual"/>
              </w:rPr>
              <w:t>Testo dell’iniziativa</w:t>
            </w:r>
          </w:p>
        </w:tc>
        <w:tc>
          <w:tcPr>
            <w:tcW w:w="2977" w:type="dxa"/>
            <w:tcBorders>
              <w:top w:val="single" w:sz="4" w:space="0" w:color="000000"/>
              <w:left w:val="single" w:sz="4" w:space="0" w:color="000000"/>
              <w:bottom w:val="single" w:sz="4" w:space="0" w:color="000000"/>
              <w:right w:val="single" w:sz="4" w:space="0" w:color="000000"/>
            </w:tcBorders>
          </w:tcPr>
          <w:p w:rsidR="001A09F4" w:rsidRPr="001A09F4" w:rsidRDefault="001A09F4" w:rsidP="001A09F4">
            <w:pPr>
              <w:suppressAutoHyphens/>
              <w:ind w:right="1027"/>
              <w:rPr>
                <w:rFonts w:eastAsia="Calibri" w:cs="Arial"/>
                <w:b/>
                <w:kern w:val="2"/>
                <w:sz w:val="24"/>
                <w:szCs w:val="24"/>
                <w14:ligatures w14:val="standardContextual"/>
              </w:rPr>
            </w:pPr>
            <w:r w:rsidRPr="001A09F4">
              <w:rPr>
                <w:rFonts w:eastAsia="Calibri" w:cs="Arial"/>
                <w:b/>
                <w:kern w:val="2"/>
                <w:sz w:val="24"/>
                <w:szCs w:val="24"/>
                <w14:ligatures w14:val="standardContextual"/>
              </w:rPr>
              <w:t>Testo del controprogetto</w:t>
            </w:r>
          </w:p>
        </w:tc>
      </w:tr>
      <w:tr w:rsidR="001A09F4" w:rsidRPr="001A09F4" w:rsidTr="00FE3A91">
        <w:trPr>
          <w:trHeight w:val="836"/>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1A09F4" w:rsidRPr="001A09F4" w:rsidRDefault="001A09F4" w:rsidP="001A09F4">
            <w:pPr>
              <w:suppressAutoHyphens/>
              <w:rPr>
                <w:rFonts w:eastAsia="Calibri" w:cs="Arial"/>
                <w:kern w:val="2"/>
                <w:sz w:val="24"/>
                <w:szCs w:val="24"/>
                <w:lang w:val="en-US"/>
                <w14:ligatures w14:val="standardContextual"/>
              </w:rPr>
            </w:pPr>
            <w:r w:rsidRPr="001A09F4">
              <w:rPr>
                <w:rFonts w:eastAsia="Calibri" w:cs="Arial"/>
                <w:kern w:val="2"/>
                <w:sz w:val="24"/>
                <w:szCs w:val="24"/>
                <w:lang w:val="en-US"/>
                <w14:ligatures w14:val="standardContextual"/>
              </w:rPr>
              <w:t>Art. 32 cpv. 1 lett. g) LT</w:t>
            </w:r>
          </w:p>
          <w:p w:rsidR="001A09F4" w:rsidRPr="001A09F4" w:rsidRDefault="001A09F4" w:rsidP="001A09F4">
            <w:pPr>
              <w:suppressAutoHyphens/>
              <w:rPr>
                <w:rFonts w:eastAsia="Calibri" w:cs="Arial"/>
                <w:kern w:val="2"/>
                <w:sz w:val="24"/>
                <w:szCs w:val="24"/>
                <w:lang w:val="en-US"/>
                <w14:ligatures w14:val="standardContextual"/>
              </w:rPr>
            </w:pP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Sono dedotti dai proventi:</w:t>
            </w: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w:t>
            </w: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 xml:space="preserve">g) i versamenti, premi e contributi per assicurazioni sulla vita, contro le malattie e, in quanto non compresi sotto la lettera f), contro gli infortuni, nonché gli interessi dei capitali a risparmio del contribuente e delle persone al cui sostentamento egli provvede, fino a concorrenza di una somma globale di </w:t>
            </w:r>
            <w:r w:rsidRPr="001A09F4">
              <w:rPr>
                <w:rFonts w:eastAsia="Calibri" w:cs="Arial"/>
                <w:b/>
                <w:kern w:val="2"/>
                <w:sz w:val="24"/>
                <w:szCs w:val="24"/>
                <w14:ligatures w14:val="standardContextual"/>
              </w:rPr>
              <w:t>10’900.– franchi</w:t>
            </w:r>
            <w:r w:rsidRPr="001A09F4">
              <w:rPr>
                <w:rFonts w:eastAsia="Calibri" w:cs="Arial"/>
                <w:kern w:val="2"/>
                <w:sz w:val="24"/>
                <w:szCs w:val="24"/>
                <w14:ligatures w14:val="standardContextual"/>
              </w:rPr>
              <w:t xml:space="preserve"> per i coniugi che vivono in comunione domestica e di </w:t>
            </w:r>
            <w:r w:rsidRPr="001A09F4">
              <w:rPr>
                <w:rFonts w:eastAsia="Calibri" w:cs="Arial"/>
                <w:b/>
                <w:kern w:val="2"/>
                <w:sz w:val="24"/>
                <w:szCs w:val="24"/>
                <w14:ligatures w14:val="standardContextual"/>
              </w:rPr>
              <w:t>5’500.– franchi</w:t>
            </w:r>
            <w:r w:rsidRPr="001A09F4">
              <w:rPr>
                <w:rFonts w:eastAsia="Calibri" w:cs="Arial"/>
                <w:kern w:val="2"/>
                <w:sz w:val="24"/>
                <w:szCs w:val="24"/>
                <w14:ligatures w14:val="standardContextual"/>
              </w:rPr>
              <w:t xml:space="preserve"> per gli altri contribuenti; per i contribuenti che non versano contributi alle istituzioni di previdenza professionale e a forme riconosciute della previdenza individuale vincolata queste somme sono aumentate di 4’500.– franchi per i coniugi che vivono in comunione domestica e di 2’300.– franchi per gli altri contribuenti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Art. 32 cpv.1 lett. g) LT</w:t>
            </w:r>
          </w:p>
          <w:p w:rsidR="001A09F4" w:rsidRPr="001A09F4" w:rsidRDefault="001A09F4" w:rsidP="001A09F4">
            <w:pPr>
              <w:suppressAutoHyphens/>
              <w:rPr>
                <w:rFonts w:eastAsia="Calibri" w:cs="Arial"/>
                <w:kern w:val="2"/>
                <w:sz w:val="24"/>
                <w:szCs w:val="24"/>
                <w14:ligatures w14:val="standardContextual"/>
              </w:rPr>
            </w:pP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Sono dedotti dai proventi:</w:t>
            </w: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w:t>
            </w: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 xml:space="preserve">g) i versamenti, premi e contributi per assicurazioni sulla vita, contro le malattie e, in quanto non compresi sotto la lettera f), contro gli infortuni, nonché gli interessi dei capitali a risparmio del contribuente e delle persone al cui sostentamento egli provvede, fino a concorrenza di una somma globale di </w:t>
            </w:r>
            <w:r w:rsidRPr="001A09F4">
              <w:rPr>
                <w:rFonts w:eastAsia="Calibri" w:cs="Arial"/>
                <w:b/>
                <w:kern w:val="2"/>
                <w:sz w:val="24"/>
                <w:szCs w:val="24"/>
                <w14:ligatures w14:val="standardContextual"/>
              </w:rPr>
              <w:t>18’000.– franchi</w:t>
            </w:r>
            <w:r w:rsidRPr="001A09F4">
              <w:rPr>
                <w:rFonts w:eastAsia="Calibri" w:cs="Arial"/>
                <w:kern w:val="2"/>
                <w:sz w:val="24"/>
                <w:szCs w:val="24"/>
                <w14:ligatures w14:val="standardContextual"/>
              </w:rPr>
              <w:t xml:space="preserve"> per i coniugi che vivono in comunione domestica e </w:t>
            </w:r>
            <w:r w:rsidRPr="001A09F4">
              <w:rPr>
                <w:rFonts w:eastAsia="Calibri" w:cs="Arial"/>
                <w:b/>
                <w:kern w:val="2"/>
                <w:sz w:val="24"/>
                <w:szCs w:val="24"/>
                <w14:ligatures w14:val="standardContextual"/>
              </w:rPr>
              <w:t>di  9’000.– franchi</w:t>
            </w:r>
            <w:r w:rsidRPr="001A09F4">
              <w:rPr>
                <w:rFonts w:eastAsia="Calibri" w:cs="Arial"/>
                <w:kern w:val="2"/>
                <w:sz w:val="24"/>
                <w:szCs w:val="24"/>
                <w14:ligatures w14:val="standardContextual"/>
              </w:rPr>
              <w:t xml:space="preserve"> per gli altri contribuenti; per i contribuenti che non versano contributi alle istituzioni di previdenza professionale e a forme riconosciute della previdenza individuale vincolata queste somme sono aumentate di 4’300.– franchi per i coniugi che vivono in comunione domestica e di 2’200.– franchi per gli altri contribuenti.</w:t>
            </w:r>
          </w:p>
        </w:tc>
        <w:tc>
          <w:tcPr>
            <w:tcW w:w="2977" w:type="dxa"/>
            <w:tcBorders>
              <w:top w:val="single" w:sz="4" w:space="0" w:color="000000"/>
              <w:left w:val="single" w:sz="4" w:space="0" w:color="000000"/>
              <w:bottom w:val="single" w:sz="4" w:space="0" w:color="000000"/>
              <w:right w:val="single" w:sz="4" w:space="0" w:color="000000"/>
            </w:tcBorders>
          </w:tcPr>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Art. 32 cpv.1 lett. g) LT</w:t>
            </w:r>
          </w:p>
          <w:p w:rsidR="001A09F4" w:rsidRPr="001A09F4" w:rsidRDefault="001A09F4" w:rsidP="001A09F4">
            <w:pPr>
              <w:suppressAutoHyphens/>
              <w:rPr>
                <w:rFonts w:eastAsia="Calibri" w:cs="Arial"/>
                <w:kern w:val="2"/>
                <w:sz w:val="24"/>
                <w:szCs w:val="24"/>
                <w14:ligatures w14:val="standardContextual"/>
              </w:rPr>
            </w:pP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Sono dedotti dai proventi:</w:t>
            </w: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w:t>
            </w:r>
          </w:p>
          <w:p w:rsidR="001A09F4" w:rsidRPr="001A09F4" w:rsidRDefault="001A09F4" w:rsidP="001A09F4">
            <w:pPr>
              <w:suppressAutoHyphens/>
              <w:ind w:right="37"/>
              <w:rPr>
                <w:rFonts w:eastAsia="Calibri" w:cs="Arial"/>
                <w:kern w:val="2"/>
                <w:sz w:val="24"/>
                <w:szCs w:val="24"/>
                <w14:ligatures w14:val="standardContextual"/>
              </w:rPr>
            </w:pPr>
            <w:r w:rsidRPr="001A09F4">
              <w:rPr>
                <w:rFonts w:eastAsia="Calibri" w:cs="Arial"/>
                <w:kern w:val="2"/>
                <w:sz w:val="24"/>
                <w:szCs w:val="24"/>
                <w14:ligatures w14:val="standardContextual"/>
              </w:rPr>
              <w:t xml:space="preserve">g) i versamenti, premi e contributi per assicurazioni sulla vita, contro le malattie e, in quanto non compresi sotto la lettera f), contro gli infortuni, nonché gli interessi dei capitali a risparmio del contribuente e delle persone al cui sostentamento egli provvede, fino a concorrenza di una somma globale di </w:t>
            </w:r>
            <w:r w:rsidRPr="001A09F4">
              <w:rPr>
                <w:rFonts w:eastAsia="Calibri" w:cs="Arial"/>
                <w:b/>
                <w:kern w:val="2"/>
                <w:sz w:val="24"/>
                <w:szCs w:val="24"/>
                <w14:ligatures w14:val="standardContextual"/>
              </w:rPr>
              <w:t>13’000.– franchi</w:t>
            </w:r>
            <w:r w:rsidRPr="001A09F4">
              <w:rPr>
                <w:rFonts w:eastAsia="Calibri" w:cs="Arial"/>
                <w:kern w:val="2"/>
                <w:sz w:val="24"/>
                <w:szCs w:val="24"/>
                <w14:ligatures w14:val="standardContextual"/>
              </w:rPr>
              <w:t xml:space="preserve"> per i coniugi che vivono in comunione domestica e </w:t>
            </w:r>
            <w:r w:rsidRPr="001A09F4">
              <w:rPr>
                <w:rFonts w:eastAsia="Calibri" w:cs="Arial"/>
                <w:b/>
                <w:kern w:val="2"/>
                <w:sz w:val="24"/>
                <w:szCs w:val="24"/>
                <w14:ligatures w14:val="standardContextual"/>
              </w:rPr>
              <w:t>di 6’500.– franchi</w:t>
            </w:r>
            <w:r w:rsidRPr="001A09F4">
              <w:rPr>
                <w:rFonts w:eastAsia="Calibri" w:cs="Arial"/>
                <w:kern w:val="2"/>
                <w:sz w:val="24"/>
                <w:szCs w:val="24"/>
                <w14:ligatures w14:val="standardContextual"/>
              </w:rPr>
              <w:t xml:space="preserve"> per gli altri contribuenti; per i contribuenti che non versano contributi alle istituzioni di previdenza professionale e a forme riconosciute della previdenza individuale vincolata queste somme sono aumentate di 4’300.– franchi per i coniugi che vivono in comunione domestica e di 2’200.– franchi per gli altri contribuenti.</w:t>
            </w:r>
          </w:p>
        </w:tc>
      </w:tr>
    </w:tbl>
    <w:p w:rsidR="001A09F4" w:rsidRPr="001A09F4" w:rsidRDefault="001A09F4" w:rsidP="001A09F4">
      <w:pPr>
        <w:suppressAutoHyphens/>
        <w:outlineLvl w:val="2"/>
        <w:rPr>
          <w:rFonts w:eastAsia="Times New Roman" w:cs="Arial"/>
          <w:sz w:val="24"/>
          <w:szCs w:val="24"/>
          <w:lang w:eastAsia="it-IT"/>
        </w:rPr>
      </w:pPr>
    </w:p>
    <w:p w:rsidR="001A09F4" w:rsidRPr="001A09F4" w:rsidRDefault="001A09F4" w:rsidP="001A09F4">
      <w:pPr>
        <w:suppressAutoHyphens/>
        <w:outlineLvl w:val="2"/>
        <w:rPr>
          <w:rFonts w:eastAsia="Times New Roman" w:cs="Arial"/>
          <w:sz w:val="24"/>
          <w:szCs w:val="24"/>
          <w:lang w:eastAsia="it-IT"/>
        </w:rPr>
      </w:pPr>
      <w:r w:rsidRPr="001A09F4">
        <w:rPr>
          <w:rFonts w:eastAsia="Times New Roman" w:cs="Arial"/>
          <w:sz w:val="24"/>
          <w:szCs w:val="24"/>
          <w:lang w:eastAsia="it-IT"/>
        </w:rPr>
        <w:t>In aggiunta alla modifica proposta dell’art. 32 cpv. 1 lett. g) LT, il controprogetto propone ulteriori tre modifiche legislative, in particolare:</w:t>
      </w:r>
    </w:p>
    <w:p w:rsidR="001A09F4" w:rsidRPr="001A09F4" w:rsidRDefault="001A09F4" w:rsidP="001A09F4">
      <w:pPr>
        <w:suppressAutoHyphens/>
        <w:outlineLvl w:val="2"/>
        <w:rPr>
          <w:rFonts w:eastAsia="Times New Roman" w:cs="Arial"/>
          <w:sz w:val="24"/>
          <w:szCs w:val="24"/>
          <w:lang w:eastAsia="it-IT"/>
        </w:rPr>
      </w:pPr>
    </w:p>
    <w:p w:rsidR="001A09F4" w:rsidRPr="001A09F4" w:rsidRDefault="001A09F4" w:rsidP="001A09F4">
      <w:pPr>
        <w:numPr>
          <w:ilvl w:val="0"/>
          <w:numId w:val="26"/>
        </w:numPr>
        <w:suppressAutoHyphens/>
        <w:ind w:left="426" w:hanging="426"/>
        <w:outlineLvl w:val="2"/>
        <w:rPr>
          <w:rFonts w:eastAsia="Times New Roman" w:cs="Arial"/>
          <w:sz w:val="24"/>
          <w:szCs w:val="24"/>
          <w:lang w:eastAsia="it-IT"/>
        </w:rPr>
      </w:pPr>
      <w:r w:rsidRPr="001A09F4">
        <w:rPr>
          <w:rFonts w:eastAsia="Times New Roman" w:cs="Arial"/>
          <w:sz w:val="24"/>
          <w:szCs w:val="24"/>
          <w:lang w:eastAsia="it-IT"/>
        </w:rPr>
        <w:t>La modifica dell’attuale art. 32 cpv. 1bis LT, introducendo – come richiesto dal Gruppo del Centro – una deduzione specifica di CHF 3'000.- per ogni figlio di età compresa tra 18 e 25 anni o persona bisognosa al cui sostentamento il contribuente provvede.</w:t>
      </w:r>
    </w:p>
    <w:p w:rsidR="001A09F4" w:rsidRPr="001A09F4" w:rsidRDefault="001A09F4" w:rsidP="001A09F4">
      <w:pPr>
        <w:suppressAutoHyphens/>
        <w:ind w:left="426" w:hanging="426"/>
        <w:rPr>
          <w:rFonts w:eastAsia="Times New Roman" w:cs="Arial"/>
          <w:sz w:val="24"/>
          <w:szCs w:val="24"/>
          <w:lang w:eastAsia="it-IT"/>
        </w:rPr>
      </w:pPr>
      <w:r w:rsidRPr="001A09F4">
        <w:rPr>
          <w:rFonts w:eastAsia="Calibri" w:cs="Arial"/>
          <w:kern w:val="2"/>
          <w:sz w:val="24"/>
          <w:szCs w:val="24"/>
          <w14:ligatures w14:val="standardContextual"/>
        </w:rPr>
        <w:br w:type="page"/>
      </w:r>
    </w:p>
    <w:tbl>
      <w:tblPr>
        <w:tblW w:w="9622" w:type="dxa"/>
        <w:tblLayout w:type="fixed"/>
        <w:tblLook w:val="04A0" w:firstRow="1" w:lastRow="0" w:firstColumn="1" w:lastColumn="0" w:noHBand="0" w:noVBand="1"/>
      </w:tblPr>
      <w:tblGrid>
        <w:gridCol w:w="4812"/>
        <w:gridCol w:w="4810"/>
      </w:tblGrid>
      <w:tr w:rsidR="001A09F4" w:rsidRPr="001A09F4" w:rsidTr="00FE3A91">
        <w:tc>
          <w:tcPr>
            <w:tcW w:w="4812" w:type="dxa"/>
            <w:tcBorders>
              <w:top w:val="single" w:sz="4" w:space="0" w:color="000000"/>
              <w:left w:val="single" w:sz="4" w:space="0" w:color="000000"/>
              <w:bottom w:val="single" w:sz="4" w:space="0" w:color="000000"/>
              <w:right w:val="single" w:sz="4" w:space="0" w:color="000000"/>
            </w:tcBorders>
            <w:shd w:val="clear" w:color="auto" w:fill="auto"/>
          </w:tcPr>
          <w:p w:rsidR="001A09F4" w:rsidRPr="001A09F4" w:rsidRDefault="001A09F4" w:rsidP="001A09F4">
            <w:pPr>
              <w:suppressAutoHyphens/>
              <w:rPr>
                <w:rFonts w:eastAsia="Calibri" w:cs="Arial"/>
                <w:b/>
                <w:kern w:val="2"/>
                <w:sz w:val="24"/>
                <w:szCs w:val="24"/>
                <w14:ligatures w14:val="standardContextual"/>
              </w:rPr>
            </w:pPr>
            <w:r w:rsidRPr="001A09F4">
              <w:rPr>
                <w:rFonts w:eastAsia="Calibri" w:cs="Arial"/>
                <w:b/>
                <w:kern w:val="2"/>
                <w:sz w:val="24"/>
                <w:szCs w:val="24"/>
                <w14:ligatures w14:val="standardContextual"/>
              </w:rPr>
              <w:t xml:space="preserve">Testo in vigore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1A09F4" w:rsidRPr="001A09F4" w:rsidRDefault="001A09F4" w:rsidP="001A09F4">
            <w:pPr>
              <w:suppressAutoHyphens/>
              <w:rPr>
                <w:rFonts w:eastAsia="Calibri" w:cs="Arial"/>
                <w:b/>
                <w:kern w:val="2"/>
                <w:sz w:val="24"/>
                <w:szCs w:val="24"/>
                <w14:ligatures w14:val="standardContextual"/>
              </w:rPr>
            </w:pPr>
            <w:r w:rsidRPr="001A09F4">
              <w:rPr>
                <w:rFonts w:eastAsia="Calibri" w:cs="Arial"/>
                <w:b/>
                <w:kern w:val="2"/>
                <w:sz w:val="24"/>
                <w:szCs w:val="24"/>
                <w14:ligatures w14:val="standardContextual"/>
              </w:rPr>
              <w:t>Testo dell’iniziativa</w:t>
            </w:r>
          </w:p>
        </w:tc>
      </w:tr>
      <w:tr w:rsidR="001A09F4" w:rsidRPr="001A09F4" w:rsidTr="00FE3A91">
        <w:trPr>
          <w:trHeight w:val="836"/>
        </w:trPr>
        <w:tc>
          <w:tcPr>
            <w:tcW w:w="4812" w:type="dxa"/>
            <w:tcBorders>
              <w:top w:val="single" w:sz="4" w:space="0" w:color="000000"/>
              <w:left w:val="single" w:sz="4" w:space="0" w:color="000000"/>
              <w:bottom w:val="single" w:sz="4" w:space="0" w:color="000000"/>
              <w:right w:val="single" w:sz="4" w:space="0" w:color="000000"/>
            </w:tcBorders>
            <w:shd w:val="clear" w:color="auto" w:fill="auto"/>
          </w:tcPr>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Art. 32 cpv. 1bis LT</w:t>
            </w:r>
          </w:p>
          <w:p w:rsidR="001A09F4" w:rsidRPr="001A09F4" w:rsidRDefault="001A09F4" w:rsidP="001A09F4">
            <w:pPr>
              <w:suppressAutoHyphens/>
              <w:rPr>
                <w:rFonts w:eastAsia="Calibri" w:cs="Arial"/>
                <w:kern w:val="2"/>
                <w:sz w:val="24"/>
                <w:szCs w:val="24"/>
                <w14:ligatures w14:val="standardContextual"/>
              </w:rPr>
            </w:pP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Le deduzioni di cui al capoverso 1 lettera g) sono aumentate di 1’200 franchi per ogni figlio o persona bisognosa per cui il contribuente può far valere la deduzione prevista dall’articolo 34 capoverso 1 lettera a) o b).</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1A09F4" w:rsidRPr="001A09F4" w:rsidRDefault="001A09F4" w:rsidP="001A09F4">
            <w:pPr>
              <w:suppressAutoHyphens/>
              <w:rPr>
                <w:rFonts w:eastAsia="Calibri" w:cs="Arial"/>
                <w:b/>
                <w:bCs/>
                <w:kern w:val="2"/>
                <w:sz w:val="24"/>
                <w:szCs w:val="24"/>
                <w14:ligatures w14:val="standardContextual"/>
              </w:rPr>
            </w:pPr>
            <w:r w:rsidRPr="001A09F4">
              <w:rPr>
                <w:rFonts w:eastAsia="Calibri" w:cs="Arial"/>
                <w:b/>
                <w:bCs/>
                <w:kern w:val="2"/>
                <w:sz w:val="24"/>
                <w:szCs w:val="24"/>
                <w14:ligatures w14:val="standardContextual"/>
              </w:rPr>
              <w:t>Art. 32 cpv.1bis LT</w:t>
            </w:r>
          </w:p>
          <w:p w:rsidR="001A09F4" w:rsidRPr="001A09F4" w:rsidRDefault="001A09F4" w:rsidP="001A09F4">
            <w:pPr>
              <w:suppressAutoHyphens/>
              <w:rPr>
                <w:rFonts w:eastAsia="Calibri" w:cs="Arial"/>
                <w:b/>
                <w:bCs/>
                <w:kern w:val="2"/>
                <w:sz w:val="24"/>
                <w:szCs w:val="24"/>
                <w14:ligatures w14:val="standardContextual"/>
              </w:rPr>
            </w:pP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vertAlign w:val="superscript"/>
                <w14:ligatures w14:val="standardContextual"/>
              </w:rPr>
              <w:t>1bis</w:t>
            </w:r>
            <w:r w:rsidRPr="001A09F4">
              <w:rPr>
                <w:rFonts w:eastAsia="Calibri" w:cs="Arial"/>
                <w:kern w:val="2"/>
                <w:sz w:val="24"/>
                <w:szCs w:val="24"/>
                <w14:ligatures w14:val="standardContextual"/>
              </w:rPr>
              <w:t>Le deduzioni di cui al capoverso 1 lettera g) sono aumentate di:</w:t>
            </w:r>
          </w:p>
          <w:p w:rsidR="001A09F4" w:rsidRPr="001A09F4" w:rsidRDefault="001A09F4" w:rsidP="001A09F4">
            <w:pPr>
              <w:numPr>
                <w:ilvl w:val="0"/>
                <w:numId w:val="21"/>
              </w:numPr>
              <w:suppressAutoHyphens/>
              <w:jc w:val="left"/>
              <w:rPr>
                <w:rFonts w:eastAsia="Calibri" w:cs="Arial"/>
                <w:kern w:val="2"/>
                <w:sz w:val="24"/>
                <w:szCs w:val="24"/>
                <w14:ligatures w14:val="standardContextual"/>
              </w:rPr>
            </w:pPr>
            <w:r w:rsidRPr="001A09F4">
              <w:rPr>
                <w:rFonts w:eastAsia="Calibri" w:cs="Arial"/>
                <w:kern w:val="2"/>
                <w:sz w:val="24"/>
                <w:szCs w:val="24"/>
                <w14:ligatures w14:val="standardContextual"/>
              </w:rPr>
              <w:t>1’200 franchi per ogni figlio o persona bisognosa minorenne al cui sostentamento il contribuente provvede;</w:t>
            </w:r>
          </w:p>
          <w:p w:rsidR="001A09F4" w:rsidRPr="001A09F4" w:rsidRDefault="001A09F4" w:rsidP="001A09F4">
            <w:pPr>
              <w:numPr>
                <w:ilvl w:val="0"/>
                <w:numId w:val="21"/>
              </w:numPr>
              <w:suppressAutoHyphens/>
              <w:jc w:val="left"/>
              <w:rPr>
                <w:rFonts w:eastAsia="Calibri" w:cs="Arial"/>
                <w:kern w:val="2"/>
                <w:sz w:val="24"/>
                <w:szCs w:val="24"/>
                <w14:ligatures w14:val="standardContextual"/>
              </w:rPr>
            </w:pPr>
            <w:r w:rsidRPr="001A09F4">
              <w:rPr>
                <w:rFonts w:eastAsia="Calibri" w:cs="Arial"/>
                <w:kern w:val="2"/>
                <w:sz w:val="24"/>
                <w:szCs w:val="24"/>
                <w14:ligatures w14:val="standardContextual"/>
              </w:rPr>
              <w:t xml:space="preserve">3'000 franchi per ogni figlio o persona bisogna di età compresa tra 18 e 25 anni al cui sostentamento il contribuente provvede. </w:t>
            </w:r>
          </w:p>
          <w:p w:rsidR="001A09F4" w:rsidRPr="001A09F4" w:rsidRDefault="001A09F4" w:rsidP="001A09F4">
            <w:pPr>
              <w:suppressAutoHyphens/>
              <w:rPr>
                <w:rFonts w:eastAsia="Calibri" w:cs="Arial"/>
                <w:b/>
                <w:bCs/>
                <w:kern w:val="2"/>
                <w:sz w:val="24"/>
                <w:szCs w:val="24"/>
                <w14:ligatures w14:val="standardContextual"/>
              </w:rPr>
            </w:pPr>
          </w:p>
        </w:tc>
      </w:tr>
    </w:tbl>
    <w:p w:rsidR="001A09F4" w:rsidRPr="001A09F4" w:rsidRDefault="001A09F4" w:rsidP="001A09F4">
      <w:pPr>
        <w:suppressAutoHyphens/>
        <w:ind w:left="720"/>
        <w:outlineLvl w:val="2"/>
        <w:rPr>
          <w:rFonts w:eastAsia="Times New Roman" w:cs="Arial"/>
          <w:sz w:val="24"/>
          <w:szCs w:val="24"/>
          <w:lang w:eastAsia="it-IT"/>
        </w:rPr>
      </w:pPr>
    </w:p>
    <w:p w:rsidR="001A09F4" w:rsidRPr="001A09F4" w:rsidRDefault="001A09F4" w:rsidP="001A09F4">
      <w:pPr>
        <w:numPr>
          <w:ilvl w:val="0"/>
          <w:numId w:val="26"/>
        </w:numPr>
        <w:suppressAutoHyphens/>
        <w:ind w:left="426" w:hanging="426"/>
        <w:jc w:val="left"/>
        <w:outlineLvl w:val="2"/>
        <w:rPr>
          <w:rFonts w:eastAsia="Times New Roman" w:cs="Arial"/>
          <w:sz w:val="24"/>
          <w:szCs w:val="24"/>
          <w:lang w:eastAsia="it-IT"/>
        </w:rPr>
      </w:pPr>
      <w:r w:rsidRPr="001A09F4">
        <w:rPr>
          <w:rFonts w:eastAsia="Times New Roman" w:cs="Arial"/>
          <w:sz w:val="24"/>
          <w:szCs w:val="24"/>
          <w:lang w:eastAsia="it-IT"/>
        </w:rPr>
        <w:t>L’introduzione di un nuovo art. 39a LT dal seguente tenore:</w:t>
      </w:r>
    </w:p>
    <w:p w:rsidR="001A09F4" w:rsidRPr="001A09F4" w:rsidRDefault="001A09F4" w:rsidP="001A09F4">
      <w:pPr>
        <w:suppressAutoHyphens/>
        <w:outlineLvl w:val="2"/>
        <w:rPr>
          <w:rFonts w:eastAsia="Times New Roman" w:cs="Arial"/>
          <w:sz w:val="24"/>
          <w:szCs w:val="24"/>
          <w:lang w:eastAsia="it-IT"/>
        </w:rPr>
      </w:pPr>
    </w:p>
    <w:p w:rsidR="001A09F4" w:rsidRPr="001A09F4" w:rsidRDefault="001A09F4" w:rsidP="001A09F4">
      <w:pPr>
        <w:suppressAutoHyphens/>
        <w:spacing w:after="120"/>
        <w:rPr>
          <w:rFonts w:eastAsia="Calibri" w:cs="Arial"/>
          <w:b/>
          <w:bCs/>
          <w:kern w:val="2"/>
          <w:sz w:val="24"/>
          <w:szCs w:val="24"/>
          <w:lang w:val="it-IT"/>
          <w14:ligatures w14:val="standardContextual"/>
        </w:rPr>
      </w:pPr>
      <w:r w:rsidRPr="001A09F4">
        <w:rPr>
          <w:rFonts w:eastAsia="Calibri" w:cs="Arial"/>
          <w:b/>
          <w:bCs/>
          <w:kern w:val="2"/>
          <w:sz w:val="24"/>
          <w:szCs w:val="24"/>
          <w:lang w:val="it-IT"/>
          <w14:ligatures w14:val="standardContextual"/>
        </w:rPr>
        <w:t xml:space="preserve">Deduzioni per oneri assicurativi </w:t>
      </w:r>
    </w:p>
    <w:p w:rsidR="001A09F4" w:rsidRPr="001A09F4" w:rsidRDefault="001A09F4" w:rsidP="001A09F4">
      <w:pPr>
        <w:suppressAutoHyphens/>
        <w:spacing w:after="120"/>
        <w:rPr>
          <w:rFonts w:eastAsia="Calibri" w:cs="Arial"/>
          <w:b/>
          <w:bCs/>
          <w:kern w:val="2"/>
          <w:sz w:val="24"/>
          <w:szCs w:val="24"/>
          <w:lang w:val="it-IT"/>
          <w14:ligatures w14:val="standardContextual"/>
        </w:rPr>
      </w:pPr>
      <w:r w:rsidRPr="001A09F4">
        <w:rPr>
          <w:rFonts w:eastAsia="Calibri" w:cs="Arial"/>
          <w:b/>
          <w:bCs/>
          <w:kern w:val="2"/>
          <w:sz w:val="24"/>
          <w:szCs w:val="24"/>
          <w:lang w:val="it-IT"/>
          <w14:ligatures w14:val="standardContextual"/>
        </w:rPr>
        <w:t>Art. 39a</w:t>
      </w:r>
    </w:p>
    <w:p w:rsidR="001A09F4" w:rsidRPr="001A09F4" w:rsidRDefault="001A09F4" w:rsidP="001A09F4">
      <w:pPr>
        <w:suppressAutoHyphens/>
        <w:rPr>
          <w:rFonts w:eastAsia="Calibri" w:cs="Arial"/>
          <w:bCs/>
          <w:kern w:val="2"/>
          <w:sz w:val="24"/>
          <w:szCs w:val="24"/>
          <w:lang w:val="it-IT"/>
          <w14:ligatures w14:val="standardContextual"/>
        </w:rPr>
      </w:pPr>
      <w:r w:rsidRPr="001A09F4">
        <w:rPr>
          <w:rFonts w:eastAsia="Calibri" w:cs="Arial"/>
          <w:bCs/>
          <w:kern w:val="2"/>
          <w:sz w:val="24"/>
          <w:szCs w:val="24"/>
          <w:lang w:val="it-IT"/>
          <w14:ligatures w14:val="standardContextual"/>
        </w:rPr>
        <w:t xml:space="preserve">In deroga all’articolo 39, a partire dal periodo fiscale 2027 e fino al raggiungimento di un importo massimo pari a 18'000 franchi per i coniugi che vivono in comunione domestica e a 9'000 franchi per gli altri contribuenti, l’indicizzazione delle deduzioni di cui all’articolo 32 cpv. 1 lettera g) è eseguita in funzione dell’evoluzione annuale dei premi medi di riferimento di cassa malati relativi alla categoria degli adulti. </w:t>
      </w:r>
    </w:p>
    <w:p w:rsidR="001A09F4" w:rsidRPr="001A09F4" w:rsidRDefault="001A09F4" w:rsidP="001A09F4">
      <w:pPr>
        <w:suppressAutoHyphens/>
        <w:rPr>
          <w:rFonts w:eastAsia="Calibri" w:cs="Arial"/>
          <w:bCs/>
          <w:kern w:val="2"/>
          <w:sz w:val="24"/>
          <w:szCs w:val="24"/>
          <w:lang w:val="it-IT"/>
          <w14:ligatures w14:val="standardContextual"/>
        </w:rPr>
      </w:pPr>
    </w:p>
    <w:p w:rsidR="001A09F4" w:rsidRPr="001A09F4" w:rsidRDefault="001A09F4" w:rsidP="001A09F4">
      <w:pPr>
        <w:numPr>
          <w:ilvl w:val="0"/>
          <w:numId w:val="26"/>
        </w:numPr>
        <w:suppressAutoHyphens/>
        <w:ind w:left="426" w:hanging="426"/>
        <w:contextualSpacing/>
        <w:jc w:val="left"/>
        <w:rPr>
          <w:rFonts w:eastAsia="Calibri" w:cs="Arial"/>
          <w:bCs/>
          <w:kern w:val="2"/>
          <w:sz w:val="24"/>
          <w:szCs w:val="24"/>
          <w:lang w:val="it-IT"/>
          <w14:ligatures w14:val="standardContextual"/>
        </w:rPr>
      </w:pPr>
      <w:r w:rsidRPr="001A09F4">
        <w:rPr>
          <w:rFonts w:eastAsia="Calibri" w:cs="Arial"/>
          <w:bCs/>
          <w:kern w:val="2"/>
          <w:sz w:val="24"/>
          <w:szCs w:val="24"/>
          <w:lang w:val="it-IT"/>
          <w14:ligatures w14:val="standardContextual"/>
        </w:rPr>
        <w:t>L’introduzione di un nuovo art. 199 cpv. 1 lett. f LT dal seguente tenore:</w:t>
      </w:r>
    </w:p>
    <w:p w:rsidR="001A09F4" w:rsidRPr="001A09F4" w:rsidRDefault="001A09F4" w:rsidP="001A09F4">
      <w:pPr>
        <w:suppressAutoHyphens/>
        <w:rPr>
          <w:rFonts w:eastAsia="Calibri" w:cs="Arial"/>
          <w:bCs/>
          <w:kern w:val="2"/>
          <w:sz w:val="24"/>
          <w:szCs w:val="24"/>
          <w:lang w:val="it-IT"/>
          <w14:ligatures w14:val="standardContextual"/>
        </w:rPr>
      </w:pPr>
    </w:p>
    <w:p w:rsidR="001A09F4" w:rsidRPr="001A09F4" w:rsidRDefault="001A09F4" w:rsidP="001A09F4">
      <w:pPr>
        <w:suppressAutoHyphens/>
        <w:spacing w:after="120"/>
        <w:rPr>
          <w:rFonts w:eastAsia="Calibri" w:cs="Arial"/>
          <w:b/>
          <w:kern w:val="2"/>
          <w:sz w:val="24"/>
          <w:szCs w:val="24"/>
          <w14:ligatures w14:val="standardContextual"/>
        </w:rPr>
      </w:pPr>
      <w:r w:rsidRPr="001A09F4">
        <w:rPr>
          <w:rFonts w:eastAsia="Calibri" w:cs="Arial"/>
          <w:b/>
          <w:kern w:val="2"/>
          <w:sz w:val="24"/>
          <w:szCs w:val="24"/>
          <w14:ligatures w14:val="standardContextual"/>
        </w:rPr>
        <w:t>Art. 199 cpv.1 lett. f</w:t>
      </w:r>
    </w:p>
    <w:p w:rsidR="001A09F4" w:rsidRPr="001A09F4" w:rsidRDefault="001A09F4" w:rsidP="001A09F4">
      <w:pPr>
        <w:suppressAutoHyphens/>
        <w:rPr>
          <w:rFonts w:eastAsia="Calibri" w:cs="Arial"/>
          <w:bCs/>
          <w:kern w:val="2"/>
          <w:sz w:val="24"/>
          <w:szCs w:val="24"/>
          <w:lang w:val="it-IT"/>
          <w14:ligatures w14:val="standardContextual"/>
        </w:rPr>
      </w:pPr>
      <w:r w:rsidRPr="001A09F4">
        <w:rPr>
          <w:rFonts w:eastAsia="Calibri" w:cs="Arial"/>
          <w:bCs/>
          <w:kern w:val="2"/>
          <w:sz w:val="24"/>
          <w:szCs w:val="24"/>
          <w:vertAlign w:val="superscript"/>
          <w:lang w:val="it-IT"/>
          <w14:ligatures w14:val="standardContextual"/>
        </w:rPr>
        <w:t>1</w:t>
      </w:r>
      <w:r w:rsidRPr="001A09F4">
        <w:rPr>
          <w:rFonts w:eastAsia="Calibri" w:cs="Arial"/>
          <w:bCs/>
          <w:kern w:val="2"/>
          <w:sz w:val="24"/>
          <w:szCs w:val="24"/>
          <w:lang w:val="it-IT"/>
          <w14:ligatures w14:val="standardContextual"/>
        </w:rPr>
        <w:t>Le persone fisiche devono allegare alla dichiarazione d’imposta, in particolare:</w:t>
      </w:r>
    </w:p>
    <w:p w:rsidR="001A09F4" w:rsidRPr="001A09F4" w:rsidRDefault="001A09F4" w:rsidP="001A09F4">
      <w:pPr>
        <w:suppressAutoHyphens/>
        <w:rPr>
          <w:rFonts w:eastAsia="Calibri" w:cs="Arial"/>
          <w:kern w:val="2"/>
          <w:sz w:val="24"/>
          <w:szCs w:val="24"/>
          <w:lang w:val="it-IT"/>
          <w14:ligatures w14:val="standardContextual"/>
        </w:rPr>
      </w:pPr>
      <w:r w:rsidRPr="001A09F4">
        <w:rPr>
          <w:rFonts w:eastAsia="Calibri" w:cs="Arial"/>
          <w:kern w:val="2"/>
          <w:sz w:val="24"/>
          <w:szCs w:val="24"/>
          <w:lang w:val="it-IT"/>
          <w14:ligatures w14:val="standardContextual"/>
        </w:rPr>
        <w:t>(…)</w:t>
      </w:r>
    </w:p>
    <w:p w:rsidR="001A09F4" w:rsidRPr="001A09F4" w:rsidRDefault="001A09F4" w:rsidP="001A09F4">
      <w:pPr>
        <w:suppressAutoHyphens/>
        <w:rPr>
          <w:rFonts w:eastAsia="Calibri" w:cs="Arial"/>
          <w:bCs/>
          <w:kern w:val="2"/>
          <w:sz w:val="24"/>
          <w:szCs w:val="24"/>
          <w:lang w:val="it-IT"/>
          <w14:ligatures w14:val="standardContextual"/>
        </w:rPr>
      </w:pPr>
      <w:r w:rsidRPr="001A09F4">
        <w:rPr>
          <w:rFonts w:eastAsia="Calibri" w:cs="Arial"/>
          <w:bCs/>
          <w:kern w:val="2"/>
          <w:sz w:val="24"/>
          <w:szCs w:val="24"/>
          <w:lang w:val="it-IT"/>
          <w14:ligatures w14:val="standardContextual"/>
        </w:rPr>
        <w:t>f) un’attestazione concernente i premi pagati per le assicurazioni contro le malattie.</w:t>
      </w:r>
    </w:p>
    <w:p w:rsidR="001A09F4" w:rsidRPr="001A09F4" w:rsidRDefault="001A09F4" w:rsidP="001A09F4">
      <w:pPr>
        <w:suppressAutoHyphens/>
        <w:outlineLvl w:val="2"/>
        <w:rPr>
          <w:rFonts w:eastAsia="Times New Roman" w:cs="Arial"/>
          <w:sz w:val="24"/>
          <w:szCs w:val="24"/>
          <w:lang w:val="it-IT" w:eastAsia="it-IT"/>
        </w:rPr>
      </w:pPr>
    </w:p>
    <w:p w:rsidR="001A09F4" w:rsidRPr="001A09F4" w:rsidRDefault="001A09F4" w:rsidP="001A09F4">
      <w:pPr>
        <w:suppressAutoHyphens/>
        <w:outlineLvl w:val="2"/>
        <w:rPr>
          <w:rFonts w:eastAsia="Times New Roman" w:cs="Arial"/>
          <w:sz w:val="24"/>
          <w:szCs w:val="24"/>
          <w:lang w:eastAsia="it-IT"/>
        </w:rPr>
      </w:pPr>
    </w:p>
    <w:p w:rsidR="001A09F4" w:rsidRPr="001A09F4" w:rsidRDefault="001A09F4" w:rsidP="001A09F4">
      <w:pPr>
        <w:pStyle w:val="Titolo1"/>
        <w:numPr>
          <w:ilvl w:val="0"/>
          <w:numId w:val="20"/>
        </w:numPr>
        <w:tabs>
          <w:tab w:val="left" w:pos="567"/>
        </w:tabs>
        <w:spacing w:before="0"/>
        <w:ind w:left="567" w:hanging="567"/>
        <w:jc w:val="both"/>
        <w:rPr>
          <w:rFonts w:eastAsia="Calibri" w:cs="Times New Roman"/>
          <w:caps/>
          <w:sz w:val="24"/>
          <w:szCs w:val="24"/>
          <w:lang w:val="it-IT" w:eastAsia="it-IT"/>
        </w:rPr>
      </w:pPr>
      <w:r w:rsidRPr="001A09F4">
        <w:rPr>
          <w:rFonts w:eastAsia="Calibri" w:cs="Times New Roman"/>
          <w:caps/>
          <w:sz w:val="24"/>
          <w:szCs w:val="24"/>
          <w:lang w:val="it-IT" w:eastAsia="it-IT"/>
        </w:rPr>
        <w:t>IL CONTROPROGETTO DEL PRESENTE RAPPORTO</w:t>
      </w:r>
    </w:p>
    <w:p w:rsidR="001A09F4" w:rsidRPr="001A09F4" w:rsidRDefault="001A09F4" w:rsidP="001A09F4">
      <w:pPr>
        <w:suppressAutoHyphens/>
        <w:outlineLvl w:val="2"/>
        <w:rPr>
          <w:rFonts w:eastAsia="Times New Roman" w:cs="Arial"/>
          <w:sz w:val="24"/>
          <w:szCs w:val="24"/>
          <w:lang w:eastAsia="it-IT"/>
        </w:rPr>
      </w:pPr>
      <w:r w:rsidRPr="001A09F4">
        <w:rPr>
          <w:rFonts w:eastAsia="Times New Roman" w:cs="Arial"/>
          <w:sz w:val="24"/>
          <w:szCs w:val="24"/>
          <w:lang w:eastAsia="it-IT"/>
        </w:rPr>
        <w:t>Il controprogetto del presente rapporto riprende quanto già anticipato nel mese di aprile 2025 durante le discussioni commissionali.</w:t>
      </w:r>
    </w:p>
    <w:p w:rsidR="001A09F4" w:rsidRPr="001A09F4" w:rsidRDefault="001A09F4" w:rsidP="001A09F4">
      <w:pPr>
        <w:suppressAutoHyphens/>
        <w:outlineLvl w:val="2"/>
        <w:rPr>
          <w:rFonts w:eastAsia="Times New Roman" w:cs="Arial"/>
          <w:sz w:val="24"/>
          <w:szCs w:val="24"/>
          <w:lang w:eastAsia="it-IT"/>
        </w:rPr>
      </w:pPr>
    </w:p>
    <w:p w:rsidR="001A09F4" w:rsidRPr="001A09F4" w:rsidRDefault="001A09F4" w:rsidP="001A09F4">
      <w:pPr>
        <w:suppressAutoHyphens/>
        <w:outlineLvl w:val="2"/>
        <w:rPr>
          <w:rFonts w:eastAsia="Times New Roman" w:cs="Arial"/>
          <w:sz w:val="24"/>
          <w:szCs w:val="24"/>
          <w:lang w:eastAsia="it-IT"/>
        </w:rPr>
      </w:pPr>
      <w:r w:rsidRPr="001A09F4">
        <w:rPr>
          <w:rFonts w:eastAsia="Times New Roman" w:cs="Arial"/>
          <w:sz w:val="24"/>
          <w:szCs w:val="24"/>
          <w:lang w:eastAsia="it-IT"/>
        </w:rPr>
        <w:t>In buona sostanza, il presente rapporto propone:</w:t>
      </w:r>
    </w:p>
    <w:p w:rsidR="001A09F4" w:rsidRPr="001A09F4" w:rsidRDefault="001A09F4" w:rsidP="001A09F4">
      <w:pPr>
        <w:suppressAutoHyphens/>
        <w:outlineLvl w:val="2"/>
        <w:rPr>
          <w:rFonts w:eastAsia="Times New Roman" w:cs="Arial"/>
          <w:sz w:val="24"/>
          <w:szCs w:val="24"/>
          <w:lang w:eastAsia="it-IT"/>
        </w:rPr>
      </w:pPr>
    </w:p>
    <w:p w:rsidR="001A09F4" w:rsidRPr="001A09F4" w:rsidRDefault="001A09F4" w:rsidP="001A09F4">
      <w:pPr>
        <w:numPr>
          <w:ilvl w:val="0"/>
          <w:numId w:val="27"/>
        </w:numPr>
        <w:suppressAutoHyphens/>
        <w:ind w:left="426" w:hanging="426"/>
        <w:outlineLvl w:val="2"/>
        <w:rPr>
          <w:rFonts w:eastAsia="Times New Roman" w:cs="Arial"/>
          <w:sz w:val="24"/>
          <w:szCs w:val="24"/>
          <w:lang w:eastAsia="it-IT"/>
        </w:rPr>
      </w:pPr>
      <w:r w:rsidRPr="001A09F4">
        <w:rPr>
          <w:rFonts w:eastAsia="Times New Roman" w:cs="Arial"/>
          <w:sz w:val="24"/>
          <w:szCs w:val="24"/>
          <w:lang w:eastAsia="it-IT"/>
        </w:rPr>
        <w:t>di modificare l’art. 32 cpv. 1 lett. g) LT nel senso di aumentare la deduzione da CHF 10'900.- a CHF 14'000.- per i coniugi che vivono in comunione domestica e da CHF 5'500.- a CHF 7’000.- per le persone sole;</w:t>
      </w:r>
    </w:p>
    <w:p w:rsidR="001A09F4" w:rsidRPr="001A09F4" w:rsidRDefault="001A09F4" w:rsidP="001A09F4">
      <w:pPr>
        <w:suppressAutoHyphens/>
        <w:ind w:left="426" w:hanging="426"/>
        <w:outlineLvl w:val="2"/>
        <w:rPr>
          <w:rFonts w:eastAsia="Times New Roman" w:cs="Arial"/>
          <w:sz w:val="24"/>
          <w:szCs w:val="24"/>
          <w:lang w:eastAsia="it-IT"/>
        </w:rPr>
      </w:pPr>
    </w:p>
    <w:p w:rsidR="001A09F4" w:rsidRPr="001A09F4" w:rsidRDefault="001A09F4" w:rsidP="001A09F4">
      <w:pPr>
        <w:numPr>
          <w:ilvl w:val="0"/>
          <w:numId w:val="27"/>
        </w:numPr>
        <w:suppressAutoHyphens/>
        <w:ind w:left="426" w:hanging="426"/>
        <w:outlineLvl w:val="2"/>
        <w:rPr>
          <w:rFonts w:eastAsia="Times New Roman" w:cs="Arial"/>
          <w:sz w:val="24"/>
          <w:szCs w:val="24"/>
          <w:lang w:eastAsia="it-IT"/>
        </w:rPr>
      </w:pPr>
      <w:r w:rsidRPr="001A09F4">
        <w:rPr>
          <w:rFonts w:eastAsia="Times New Roman" w:cs="Arial"/>
          <w:sz w:val="24"/>
          <w:szCs w:val="24"/>
          <w:lang w:eastAsia="it-IT"/>
        </w:rPr>
        <w:t>di modificare l’art. 32 cpv. 1bis LT, introducendo una deduzione specifica di CHF 3'000.- per ogni figlio di età compresa tra 18 e 25 anni o persona bisognosa al cui sostentamento il contribuente provvede.</w:t>
      </w:r>
    </w:p>
    <w:p w:rsidR="001A09F4" w:rsidRPr="001A09F4" w:rsidRDefault="001A09F4" w:rsidP="001A09F4">
      <w:pPr>
        <w:suppressAutoHyphens/>
        <w:outlineLvl w:val="2"/>
        <w:rPr>
          <w:rFonts w:eastAsia="Times New Roman" w:cs="Arial"/>
          <w:sz w:val="24"/>
          <w:szCs w:val="24"/>
          <w:lang w:eastAsia="it-IT"/>
        </w:rPr>
      </w:pPr>
    </w:p>
    <w:p w:rsidR="001A09F4" w:rsidRPr="001A09F4" w:rsidRDefault="001A09F4" w:rsidP="001A09F4">
      <w:pPr>
        <w:suppressAutoHyphens/>
        <w:outlineLvl w:val="2"/>
        <w:rPr>
          <w:rFonts w:eastAsia="Times New Roman" w:cs="Arial"/>
          <w:sz w:val="24"/>
          <w:szCs w:val="24"/>
          <w:lang w:eastAsia="it-IT"/>
        </w:rPr>
      </w:pPr>
      <w:r w:rsidRPr="001A09F4">
        <w:rPr>
          <w:rFonts w:eastAsia="Times New Roman" w:cs="Arial"/>
          <w:sz w:val="24"/>
          <w:szCs w:val="24"/>
          <w:lang w:eastAsia="it-IT"/>
        </w:rPr>
        <w:t>La minoranza della Commissione che sottoscrive il presente rapporto ritiene che il controprogetto qui proposto abbia essenzialmente i seguenti vantaggi rispetto all’iniziativa e al controprogetto del rapporto di maggioranza:</w:t>
      </w:r>
    </w:p>
    <w:p w:rsidR="001A09F4" w:rsidRPr="001A09F4" w:rsidRDefault="001A09F4" w:rsidP="001A09F4">
      <w:pPr>
        <w:suppressAutoHyphens/>
        <w:outlineLvl w:val="2"/>
        <w:rPr>
          <w:rFonts w:eastAsia="Times New Roman" w:cs="Arial"/>
          <w:sz w:val="24"/>
          <w:szCs w:val="24"/>
          <w:lang w:eastAsia="it-IT"/>
        </w:rPr>
      </w:pPr>
    </w:p>
    <w:p w:rsidR="001A09F4" w:rsidRPr="001A09F4" w:rsidRDefault="001A09F4" w:rsidP="001A09F4">
      <w:pPr>
        <w:numPr>
          <w:ilvl w:val="0"/>
          <w:numId w:val="28"/>
        </w:numPr>
        <w:suppressAutoHyphens/>
        <w:ind w:left="426" w:hanging="426"/>
        <w:outlineLvl w:val="2"/>
        <w:rPr>
          <w:rFonts w:eastAsia="Times New Roman" w:cs="Arial"/>
          <w:sz w:val="24"/>
          <w:szCs w:val="24"/>
          <w:lang w:eastAsia="it-IT"/>
        </w:rPr>
      </w:pPr>
      <w:r w:rsidRPr="001A09F4">
        <w:rPr>
          <w:rFonts w:eastAsia="Times New Roman" w:cs="Arial"/>
          <w:sz w:val="24"/>
          <w:szCs w:val="24"/>
          <w:lang w:eastAsia="it-IT"/>
        </w:rPr>
        <w:t xml:space="preserve">la fissazione dell’importo di CHF 7'000.-, rispettivamente CHF 14'000.-,  </w:t>
      </w:r>
      <w:r w:rsidRPr="001A09F4">
        <w:rPr>
          <w:rFonts w:eastAsia="Times New Roman" w:cs="Arial"/>
          <w:sz w:val="24"/>
          <w:szCs w:val="24"/>
          <w:lang w:val="it-IT" w:eastAsia="it-IT"/>
        </w:rPr>
        <w:t xml:space="preserve">da un profilo concettuale (deducibilità integrale del premio di cassa malati), è più adeguata rispetto all’importo di CHF 9'000.-/CHF 18'000.- (troppo alto) e a quello di CHF 6'500.-/CHF 13'000.- (troppo basso, considerato che il </w:t>
      </w:r>
      <w:r w:rsidRPr="001A09F4">
        <w:rPr>
          <w:rFonts w:eastAsia="Times New Roman" w:cs="Arial"/>
          <w:sz w:val="24"/>
          <w:szCs w:val="24"/>
          <w:lang w:eastAsia="it-IT"/>
        </w:rPr>
        <w:t>premio medio di riferimento</w:t>
      </w:r>
      <w:r w:rsidRPr="001A09F4">
        <w:rPr>
          <w:rFonts w:eastAsia="Times New Roman" w:cs="Arial"/>
          <w:sz w:val="24"/>
          <w:szCs w:val="24"/>
          <w:lang w:val="it-IT" w:eastAsia="it-IT"/>
        </w:rPr>
        <w:t xml:space="preserve"> per l’anno 2025 è di CHF </w:t>
      </w:r>
      <w:r w:rsidRPr="001A09F4">
        <w:rPr>
          <w:rFonts w:eastAsia="Times New Roman" w:cs="Arial"/>
          <w:sz w:val="24"/>
          <w:szCs w:val="24"/>
          <w:lang w:eastAsia="it-IT"/>
        </w:rPr>
        <w:t>7'678 per gli adulti, cfr. Decreto esecutivo concernente le basi di calcolo per l’applicazione delle riduzioni di premio LAMal per l’anno 2025 del 6 novembre 2024, RL 853.320 1</w:t>
      </w:r>
      <w:r w:rsidRPr="001A09F4">
        <w:rPr>
          <w:rFonts w:eastAsia="Times New Roman" w:cs="Arial"/>
          <w:sz w:val="24"/>
          <w:szCs w:val="24"/>
          <w:lang w:val="it-IT" w:eastAsia="it-IT"/>
        </w:rPr>
        <w:t>), ed evita che la deduzione fiscale vada soprattutto a vantaggio di contribuenti benestanti che potrebbero per esempio dedurrebbe cifre importanti a titolo di interessi dei capitali a risparmio, ciò che di principio non accade per i contribuenti del ceto medio</w:t>
      </w:r>
      <w:r w:rsidRPr="001A09F4">
        <w:rPr>
          <w:rFonts w:eastAsia="Times New Roman" w:cs="Arial"/>
          <w:sz w:val="24"/>
          <w:szCs w:val="24"/>
          <w:lang w:eastAsia="it-IT"/>
        </w:rPr>
        <w:t>;</w:t>
      </w:r>
    </w:p>
    <w:p w:rsidR="001A09F4" w:rsidRPr="001A09F4" w:rsidRDefault="001A09F4" w:rsidP="001A09F4">
      <w:pPr>
        <w:suppressAutoHyphens/>
        <w:ind w:left="426" w:hanging="426"/>
        <w:outlineLvl w:val="2"/>
        <w:rPr>
          <w:rFonts w:eastAsia="Times New Roman" w:cs="Arial"/>
          <w:sz w:val="24"/>
          <w:szCs w:val="24"/>
          <w:lang w:eastAsia="it-IT"/>
        </w:rPr>
      </w:pPr>
    </w:p>
    <w:p w:rsidR="001A09F4" w:rsidRPr="001A09F4" w:rsidRDefault="001A09F4" w:rsidP="001A09F4">
      <w:pPr>
        <w:numPr>
          <w:ilvl w:val="0"/>
          <w:numId w:val="28"/>
        </w:numPr>
        <w:suppressAutoHyphens/>
        <w:ind w:left="426" w:hanging="426"/>
        <w:outlineLvl w:val="2"/>
        <w:rPr>
          <w:rFonts w:eastAsia="Times New Roman" w:cs="Arial"/>
          <w:sz w:val="24"/>
          <w:szCs w:val="24"/>
          <w:lang w:eastAsia="it-IT"/>
        </w:rPr>
      </w:pPr>
      <w:r w:rsidRPr="001A09F4">
        <w:rPr>
          <w:rFonts w:eastAsia="Times New Roman" w:cs="Arial"/>
          <w:sz w:val="24"/>
          <w:szCs w:val="24"/>
          <w:lang w:val="it-IT" w:eastAsia="it-IT"/>
        </w:rPr>
        <w:t xml:space="preserve">La deduzione di CHF 7’000.-/CHF 14'000.- è più sostenibile per le finanze cantonali e comunali, dato che l’impatto, tenuto conto della deduzione per figli maggiorenni a carico (non prevista dall’iniziativa) è stato stimato dal Consiglio di Stato in </w:t>
      </w:r>
      <w:r w:rsidRPr="001A09F4">
        <w:rPr>
          <w:rFonts w:eastAsia="Times New Roman" w:cs="Arial"/>
          <w:sz w:val="24"/>
          <w:szCs w:val="24"/>
          <w:u w:val="single"/>
          <w:lang w:val="it-IT" w:eastAsia="it-IT"/>
        </w:rPr>
        <w:t>CHF 28.9 milioni per il Cantone</w:t>
      </w:r>
      <w:r w:rsidRPr="001A09F4">
        <w:rPr>
          <w:rFonts w:eastAsia="Times New Roman" w:cs="Arial"/>
          <w:sz w:val="24"/>
          <w:szCs w:val="24"/>
          <w:lang w:val="it-IT" w:eastAsia="it-IT"/>
        </w:rPr>
        <w:t xml:space="preserve"> e </w:t>
      </w:r>
      <w:r w:rsidRPr="001A09F4">
        <w:rPr>
          <w:rFonts w:eastAsia="Times New Roman" w:cs="Arial"/>
          <w:sz w:val="24"/>
          <w:szCs w:val="24"/>
          <w:u w:val="single"/>
          <w:lang w:val="it-IT" w:eastAsia="it-IT"/>
        </w:rPr>
        <w:t>CHF 23.1 milioni per i Comuni</w:t>
      </w:r>
      <w:r w:rsidRPr="001A09F4">
        <w:rPr>
          <w:rFonts w:eastAsia="Times New Roman" w:cs="Arial"/>
          <w:sz w:val="24"/>
          <w:szCs w:val="24"/>
          <w:lang w:val="it-IT" w:eastAsia="it-IT"/>
        </w:rPr>
        <w:t xml:space="preserve">, per un totale di </w:t>
      </w:r>
      <w:r w:rsidRPr="001A09F4">
        <w:rPr>
          <w:rFonts w:eastAsia="Times New Roman" w:cs="Arial"/>
          <w:b/>
          <w:bCs/>
          <w:sz w:val="24"/>
          <w:szCs w:val="24"/>
          <w:u w:val="single"/>
          <w:lang w:val="it-IT" w:eastAsia="it-IT"/>
        </w:rPr>
        <w:t>CHF 52 milioni</w:t>
      </w:r>
      <w:r w:rsidRPr="001A09F4">
        <w:rPr>
          <w:rFonts w:eastAsia="Times New Roman" w:cs="Arial"/>
          <w:sz w:val="24"/>
          <w:szCs w:val="24"/>
          <w:lang w:val="it-IT" w:eastAsia="it-IT"/>
        </w:rPr>
        <w:t>, a fronte di:</w:t>
      </w:r>
    </w:p>
    <w:p w:rsidR="001A09F4" w:rsidRPr="001A09F4" w:rsidRDefault="001A09F4" w:rsidP="001A09F4">
      <w:pPr>
        <w:suppressAutoHyphens/>
        <w:ind w:left="720"/>
        <w:contextualSpacing/>
        <w:jc w:val="left"/>
        <w:rPr>
          <w:rFonts w:eastAsia="Calibri" w:cs="Arial"/>
          <w:kern w:val="2"/>
          <w:sz w:val="24"/>
          <w:szCs w:val="24"/>
          <w:lang w:val="it-IT"/>
          <w14:ligatures w14:val="standardContextual"/>
        </w:rPr>
      </w:pPr>
    </w:p>
    <w:p w:rsidR="001A09F4" w:rsidRPr="001A09F4" w:rsidRDefault="001A09F4" w:rsidP="001A09F4">
      <w:pPr>
        <w:numPr>
          <w:ilvl w:val="1"/>
          <w:numId w:val="28"/>
        </w:numPr>
        <w:suppressAutoHyphens/>
        <w:ind w:left="709" w:hanging="283"/>
        <w:jc w:val="left"/>
        <w:outlineLvl w:val="2"/>
        <w:rPr>
          <w:rFonts w:eastAsia="Times New Roman" w:cs="Arial"/>
          <w:sz w:val="24"/>
          <w:szCs w:val="24"/>
          <w:lang w:eastAsia="it-IT"/>
        </w:rPr>
      </w:pPr>
      <w:r w:rsidRPr="001A09F4">
        <w:rPr>
          <w:rFonts w:eastAsia="Times New Roman" w:cs="Arial"/>
          <w:sz w:val="24"/>
          <w:szCs w:val="24"/>
          <w:lang w:val="it-IT" w:eastAsia="it-IT"/>
        </w:rPr>
        <w:t xml:space="preserve">un impatto dell’iniziativa di </w:t>
      </w:r>
      <w:r w:rsidRPr="001A09F4">
        <w:rPr>
          <w:rFonts w:eastAsia="Times New Roman" w:cs="Arial"/>
          <w:sz w:val="24"/>
          <w:szCs w:val="24"/>
          <w:u w:val="single"/>
          <w:lang w:val="it-IT" w:eastAsia="it-IT"/>
        </w:rPr>
        <w:t>CHF 55.1 milioni per il Cantone</w:t>
      </w:r>
      <w:r w:rsidRPr="001A09F4">
        <w:rPr>
          <w:rFonts w:eastAsia="Times New Roman" w:cs="Arial"/>
          <w:sz w:val="24"/>
          <w:szCs w:val="24"/>
          <w:lang w:val="it-IT" w:eastAsia="it-IT"/>
        </w:rPr>
        <w:t xml:space="preserve"> e </w:t>
      </w:r>
      <w:r w:rsidRPr="001A09F4">
        <w:rPr>
          <w:rFonts w:eastAsia="Times New Roman" w:cs="Arial"/>
          <w:sz w:val="24"/>
          <w:szCs w:val="24"/>
          <w:u w:val="single"/>
          <w:lang w:val="it-IT" w:eastAsia="it-IT"/>
        </w:rPr>
        <w:t>CHF 44.1 milioni per i Comuni</w:t>
      </w:r>
      <w:r w:rsidRPr="001A09F4">
        <w:rPr>
          <w:rFonts w:eastAsia="Times New Roman" w:cs="Arial"/>
          <w:sz w:val="24"/>
          <w:szCs w:val="24"/>
          <w:lang w:val="it-IT" w:eastAsia="it-IT"/>
        </w:rPr>
        <w:t xml:space="preserve">, per un totale di </w:t>
      </w:r>
      <w:r w:rsidRPr="001A09F4">
        <w:rPr>
          <w:rFonts w:eastAsia="Times New Roman" w:cs="Arial"/>
          <w:b/>
          <w:bCs/>
          <w:sz w:val="24"/>
          <w:szCs w:val="24"/>
          <w:u w:val="single"/>
          <w:lang w:val="it-IT" w:eastAsia="it-IT"/>
        </w:rPr>
        <w:t>CHF 99.2 milioni</w:t>
      </w:r>
      <w:r w:rsidRPr="001A09F4">
        <w:rPr>
          <w:rFonts w:eastAsia="Times New Roman" w:cs="Arial"/>
          <w:sz w:val="24"/>
          <w:szCs w:val="24"/>
          <w:lang w:val="it-IT" w:eastAsia="it-IT"/>
        </w:rPr>
        <w:t>;</w:t>
      </w:r>
    </w:p>
    <w:p w:rsidR="001A09F4" w:rsidRPr="001A09F4" w:rsidRDefault="001A09F4" w:rsidP="001A09F4">
      <w:pPr>
        <w:suppressAutoHyphens/>
        <w:ind w:left="709" w:hanging="283"/>
        <w:outlineLvl w:val="2"/>
        <w:rPr>
          <w:rFonts w:eastAsia="Times New Roman" w:cs="Arial"/>
          <w:sz w:val="24"/>
          <w:szCs w:val="24"/>
          <w:lang w:eastAsia="it-IT"/>
        </w:rPr>
      </w:pPr>
    </w:p>
    <w:p w:rsidR="001A09F4" w:rsidRPr="001A09F4" w:rsidRDefault="001A09F4" w:rsidP="001A09F4">
      <w:pPr>
        <w:numPr>
          <w:ilvl w:val="1"/>
          <w:numId w:val="28"/>
        </w:numPr>
        <w:suppressAutoHyphens/>
        <w:ind w:left="709" w:hanging="283"/>
        <w:jc w:val="left"/>
        <w:outlineLvl w:val="2"/>
        <w:rPr>
          <w:rFonts w:eastAsia="Times New Roman" w:cs="Arial"/>
          <w:sz w:val="24"/>
          <w:szCs w:val="24"/>
          <w:lang w:eastAsia="it-IT"/>
        </w:rPr>
      </w:pPr>
      <w:r w:rsidRPr="001A09F4">
        <w:rPr>
          <w:rFonts w:eastAsia="Times New Roman" w:cs="Arial"/>
          <w:sz w:val="24"/>
          <w:szCs w:val="24"/>
          <w:lang w:val="it-IT" w:eastAsia="it-IT"/>
        </w:rPr>
        <w:t xml:space="preserve">un impatto del controprogetto di maggioranza di </w:t>
      </w:r>
      <w:r w:rsidRPr="001A09F4">
        <w:rPr>
          <w:rFonts w:eastAsia="Times New Roman" w:cs="Arial"/>
          <w:sz w:val="24"/>
          <w:szCs w:val="24"/>
          <w:u w:val="single"/>
          <w:lang w:val="it-IT" w:eastAsia="it-IT"/>
        </w:rPr>
        <w:t>CHF 57.6 milioni per il Cantone</w:t>
      </w:r>
      <w:r w:rsidRPr="001A09F4">
        <w:rPr>
          <w:rFonts w:eastAsia="Times New Roman" w:cs="Arial"/>
          <w:sz w:val="24"/>
          <w:szCs w:val="24"/>
          <w:lang w:val="it-IT" w:eastAsia="it-IT"/>
        </w:rPr>
        <w:t xml:space="preserve"> e </w:t>
      </w:r>
      <w:r w:rsidRPr="001A09F4">
        <w:rPr>
          <w:rFonts w:eastAsia="Times New Roman" w:cs="Arial"/>
          <w:sz w:val="24"/>
          <w:szCs w:val="24"/>
          <w:u w:val="single"/>
          <w:lang w:val="it-IT" w:eastAsia="it-IT"/>
        </w:rPr>
        <w:t>CHF 46.1 milioni per i Comuni</w:t>
      </w:r>
      <w:r w:rsidRPr="001A09F4">
        <w:rPr>
          <w:rFonts w:eastAsia="Times New Roman" w:cs="Arial"/>
          <w:sz w:val="24"/>
          <w:szCs w:val="24"/>
          <w:lang w:val="it-IT" w:eastAsia="it-IT"/>
        </w:rPr>
        <w:t xml:space="preserve">, per un totale, nel 2030, di </w:t>
      </w:r>
      <w:r w:rsidRPr="001A09F4">
        <w:rPr>
          <w:rFonts w:eastAsia="Times New Roman" w:cs="Arial"/>
          <w:b/>
          <w:bCs/>
          <w:sz w:val="24"/>
          <w:szCs w:val="24"/>
          <w:u w:val="single"/>
          <w:lang w:val="it-IT" w:eastAsia="it-IT"/>
        </w:rPr>
        <w:t>CHF 103.7 milioni</w:t>
      </w:r>
      <w:r w:rsidRPr="001A09F4">
        <w:rPr>
          <w:rFonts w:eastAsia="Times New Roman" w:cs="Arial"/>
          <w:sz w:val="24"/>
          <w:szCs w:val="24"/>
          <w:lang w:val="it-IT" w:eastAsia="it-IT"/>
        </w:rPr>
        <w:t>.</w:t>
      </w:r>
    </w:p>
    <w:p w:rsidR="001A09F4" w:rsidRPr="001A09F4" w:rsidRDefault="001A09F4" w:rsidP="001A09F4">
      <w:pPr>
        <w:suppressAutoHyphens/>
        <w:ind w:left="720"/>
        <w:contextualSpacing/>
        <w:jc w:val="left"/>
        <w:rPr>
          <w:rFonts w:eastAsia="Calibri" w:cs="Arial"/>
          <w:kern w:val="2"/>
          <w:sz w:val="24"/>
          <w:szCs w:val="24"/>
          <w14:ligatures w14:val="standardContextual"/>
        </w:rPr>
      </w:pPr>
    </w:p>
    <w:p w:rsidR="001A09F4" w:rsidRDefault="001A09F4" w:rsidP="001A09F4">
      <w:pPr>
        <w:numPr>
          <w:ilvl w:val="0"/>
          <w:numId w:val="28"/>
        </w:numPr>
        <w:suppressAutoHyphens/>
        <w:spacing w:before="100" w:beforeAutospacing="1" w:after="100" w:afterAutospacing="1"/>
        <w:ind w:left="426" w:hanging="426"/>
        <w:contextualSpacing/>
        <w:rPr>
          <w:rFonts w:eastAsia="Calibri" w:cs="Arial"/>
          <w:kern w:val="2"/>
          <w:sz w:val="24"/>
          <w:szCs w:val="24"/>
          <w14:ligatures w14:val="standardContextual"/>
        </w:rPr>
      </w:pPr>
      <w:r w:rsidRPr="001A09F4">
        <w:rPr>
          <w:rFonts w:eastAsia="Calibri" w:cs="Arial"/>
          <w:kern w:val="2"/>
          <w:sz w:val="24"/>
          <w:szCs w:val="24"/>
          <w14:ligatures w14:val="standardContextual"/>
        </w:rPr>
        <w:t>Il controprogetto completa l’iniziativa introducendo una specifica deduzione di CHF 3'000.- per il premio di cassa malati del figlio maggiorenne (fino a 26 anni) del contribuente, (se egli provvede al suo mantenimento), sulla base di quanto previsto dalla legislazione di alcuni Cantoni svizzero-romandi.</w:t>
      </w:r>
    </w:p>
    <w:p w:rsidR="001A09F4" w:rsidRPr="001A09F4" w:rsidRDefault="001A09F4" w:rsidP="001A09F4">
      <w:pPr>
        <w:suppressAutoHyphens/>
        <w:spacing w:before="100" w:beforeAutospacing="1" w:after="100" w:afterAutospacing="1"/>
        <w:ind w:left="720"/>
        <w:contextualSpacing/>
        <w:jc w:val="left"/>
        <w:rPr>
          <w:rFonts w:eastAsia="Calibri" w:cs="Arial"/>
          <w:kern w:val="2"/>
          <w:sz w:val="24"/>
          <w:szCs w:val="24"/>
          <w14:ligatures w14:val="standardContextual"/>
        </w:rPr>
      </w:pPr>
    </w:p>
    <w:p w:rsidR="001A09F4" w:rsidRPr="001A09F4" w:rsidRDefault="001A09F4" w:rsidP="001A09F4">
      <w:pPr>
        <w:suppressAutoHyphens/>
        <w:spacing w:beforeAutospacing="1" w:afterAutospacing="1"/>
        <w:outlineLvl w:val="2"/>
        <w:rPr>
          <w:rFonts w:eastAsia="Times New Roman" w:cs="Arial"/>
          <w:sz w:val="24"/>
          <w:szCs w:val="24"/>
          <w:lang w:val="it-IT" w:eastAsia="it-IT"/>
        </w:rPr>
      </w:pPr>
      <w:r w:rsidRPr="001A09F4">
        <w:rPr>
          <w:rFonts w:eastAsia="Times New Roman" w:cs="Arial"/>
          <w:sz w:val="24"/>
          <w:szCs w:val="24"/>
          <w:lang w:val="it-IT" w:eastAsia="it-IT"/>
        </w:rPr>
        <w:t xml:space="preserve">In conclusione, l’impatto complessivo del Controprogetto è di ca. CHF 28.9 milioni per le casse cantonali e di ca. CHF 23.1 milioni per la casse cantonali, quindi ca. CHF 52 milioni, la metà dell’IP </w:t>
      </w:r>
      <w:r w:rsidRPr="001A09F4">
        <w:rPr>
          <w:rFonts w:eastAsia="Times New Roman" w:cs="Arial"/>
          <w:i/>
          <w:sz w:val="24"/>
          <w:szCs w:val="24"/>
          <w:lang w:val="it-IT" w:eastAsia="it-IT"/>
        </w:rPr>
        <w:t>“Basta spennare il cittadino, cassa malati deducibile integralmente!”</w:t>
      </w:r>
      <w:r w:rsidRPr="001A09F4">
        <w:rPr>
          <w:rFonts w:eastAsia="Times New Roman" w:cs="Arial"/>
          <w:sz w:val="24"/>
          <w:szCs w:val="24"/>
          <w:lang w:val="it-IT" w:eastAsia="it-IT"/>
        </w:rPr>
        <w:t>, garantendo comunque una copertura pressoché integrale del premio di base (ciò che, almeno inizialmente, non avverrebbe con il controprogetto del rapporto di maggioranza) e, anzi, aumentando la possibilità di deduzione per le famiglie del certo medio.</w:t>
      </w:r>
    </w:p>
    <w:p w:rsidR="001A09F4" w:rsidRPr="001A09F4" w:rsidRDefault="001A09F4" w:rsidP="001A09F4">
      <w:pPr>
        <w:suppressAutoHyphens/>
        <w:spacing w:before="100" w:beforeAutospacing="1" w:after="100" w:afterAutospacing="1"/>
        <w:rPr>
          <w:rFonts w:eastAsia="Calibri" w:cs="Arial"/>
          <w:kern w:val="2"/>
          <w:sz w:val="24"/>
          <w:szCs w:val="24"/>
          <w:lang w:val="it-IT"/>
          <w14:ligatures w14:val="standardContextual"/>
        </w:rPr>
      </w:pPr>
      <w:r w:rsidRPr="001A09F4">
        <w:rPr>
          <w:rFonts w:eastAsia="Calibri" w:cs="Arial"/>
          <w:kern w:val="2"/>
          <w:sz w:val="24"/>
          <w:szCs w:val="24"/>
          <w:lang w:val="it-IT"/>
          <w14:ligatures w14:val="standardContextual"/>
        </w:rPr>
        <w:t>Per quanto riguarda la proposta di modificare l’art. 199 cpv.1 lett. f LT, il rapporto di minoranza condivide l’esigenza di verificare che l’effettiva deducibilità delle spese; la minoranza della Commissione ritiene tuttavia che tale verifica possa essere delegata all’autorità fiscale, in modo da ridurre il dispendio burocratico e limitare la verifica a quei casi in cui è verosimile – sulla base degli altri elementi della dichiarazione fiscali – che il contribuente percepisca dei sussidi.</w:t>
      </w:r>
    </w:p>
    <w:p w:rsidR="001A09F4" w:rsidRPr="001A09F4" w:rsidRDefault="001A09F4" w:rsidP="001A09F4">
      <w:pPr>
        <w:suppressAutoHyphens/>
        <w:jc w:val="left"/>
        <w:rPr>
          <w:rFonts w:eastAsia="Times New Roman" w:cs="Arial"/>
          <w:sz w:val="24"/>
          <w:szCs w:val="24"/>
          <w:lang w:eastAsia="it-IT"/>
        </w:rPr>
      </w:pPr>
      <w:r w:rsidRPr="001A09F4">
        <w:rPr>
          <w:rFonts w:eastAsia="Calibri" w:cs="Arial"/>
          <w:kern w:val="2"/>
          <w:sz w:val="24"/>
          <w:szCs w:val="24"/>
          <w14:ligatures w14:val="standardContextual"/>
        </w:rPr>
        <w:br w:type="page"/>
      </w:r>
    </w:p>
    <w:p w:rsidR="001A09F4" w:rsidRPr="001A09F4" w:rsidRDefault="001A09F4" w:rsidP="002B7E21">
      <w:pPr>
        <w:pStyle w:val="Titolo1"/>
        <w:numPr>
          <w:ilvl w:val="0"/>
          <w:numId w:val="20"/>
        </w:numPr>
        <w:tabs>
          <w:tab w:val="left" w:pos="567"/>
        </w:tabs>
        <w:spacing w:before="0"/>
        <w:ind w:left="567" w:hanging="567"/>
        <w:jc w:val="both"/>
        <w:rPr>
          <w:rFonts w:eastAsia="Calibri" w:cs="Times New Roman"/>
          <w:caps/>
          <w:sz w:val="24"/>
          <w:szCs w:val="24"/>
          <w:lang w:val="it-IT" w:eastAsia="it-IT"/>
        </w:rPr>
      </w:pPr>
      <w:r w:rsidRPr="001A09F4">
        <w:rPr>
          <w:rFonts w:eastAsia="Calibri" w:cs="Times New Roman"/>
          <w:caps/>
          <w:sz w:val="24"/>
          <w:szCs w:val="24"/>
          <w:lang w:val="it-IT" w:eastAsia="it-IT"/>
        </w:rPr>
        <w:t>CONSIDERAZIONI DELLA MINORANZA DELLA COMMISSIONE</w:t>
      </w:r>
    </w:p>
    <w:p w:rsidR="001A09F4" w:rsidRPr="001A09F4" w:rsidRDefault="001A09F4" w:rsidP="001A09F4">
      <w:pPr>
        <w:suppressAutoHyphens/>
        <w:rPr>
          <w:rFonts w:eastAsia="Times New Roman" w:cs="Arial"/>
          <w:sz w:val="24"/>
          <w:szCs w:val="24"/>
          <w:lang w:eastAsia="it-IT"/>
        </w:rPr>
      </w:pPr>
      <w:r w:rsidRPr="001A09F4">
        <w:rPr>
          <w:rFonts w:eastAsia="Times New Roman" w:cs="Arial"/>
          <w:sz w:val="24"/>
          <w:szCs w:val="24"/>
          <w:lang w:eastAsia="it-IT"/>
        </w:rPr>
        <w:t>La minoranza della Commissione è consapevole del fatto che i premi di cassa malati incidono in modo sempre più importante sul potere d’acquisto della popolazione ticinese; non è un caso, in proposito, se un numero molto elevato di persone, in Ticino, beneficiano di sussidi di cassa malati.</w:t>
      </w:r>
    </w:p>
    <w:p w:rsidR="001A09F4" w:rsidRPr="001A09F4" w:rsidRDefault="001A09F4" w:rsidP="001A09F4">
      <w:pPr>
        <w:suppressAutoHyphens/>
        <w:rPr>
          <w:rFonts w:eastAsia="Times New Roman" w:cs="Arial"/>
          <w:sz w:val="20"/>
          <w:szCs w:val="20"/>
          <w:lang w:eastAsia="it-IT"/>
        </w:rPr>
      </w:pPr>
    </w:p>
    <w:p w:rsidR="001A09F4" w:rsidRPr="001A09F4" w:rsidRDefault="001A09F4" w:rsidP="001A09F4">
      <w:pPr>
        <w:suppressAutoHyphens/>
        <w:rPr>
          <w:rFonts w:eastAsia="Times New Roman" w:cs="Arial"/>
          <w:sz w:val="24"/>
          <w:szCs w:val="24"/>
          <w:lang w:eastAsia="it-IT"/>
        </w:rPr>
      </w:pPr>
      <w:r w:rsidRPr="001A09F4">
        <w:rPr>
          <w:rFonts w:eastAsia="Times New Roman" w:cs="Arial"/>
          <w:sz w:val="24"/>
          <w:szCs w:val="24"/>
          <w:lang w:eastAsia="it-IT"/>
        </w:rPr>
        <w:t>La piena deducibilità fiscale del premio di cassa malati, a parere della minoranza della Commissione, è conforme al principio della capacità contributiva, nel senso che non appare equo commisurare il prelievo fiscale su degli importi che il contribuente deve destinare per legge al pagamento del premio di cassa malati.</w:t>
      </w:r>
    </w:p>
    <w:p w:rsidR="001A09F4" w:rsidRPr="001A09F4" w:rsidRDefault="001A09F4" w:rsidP="001A09F4">
      <w:pPr>
        <w:suppressAutoHyphens/>
        <w:rPr>
          <w:rFonts w:eastAsia="Times New Roman" w:cs="Arial"/>
          <w:sz w:val="20"/>
          <w:szCs w:val="20"/>
          <w:lang w:eastAsia="it-IT"/>
        </w:rPr>
      </w:pPr>
    </w:p>
    <w:p w:rsidR="001A09F4" w:rsidRPr="001A09F4" w:rsidRDefault="001A09F4" w:rsidP="001A09F4">
      <w:pPr>
        <w:suppressAutoHyphens/>
        <w:rPr>
          <w:rFonts w:eastAsia="Times New Roman" w:cs="Arial"/>
          <w:sz w:val="24"/>
          <w:szCs w:val="24"/>
          <w:lang w:eastAsia="it-IT"/>
        </w:rPr>
      </w:pPr>
      <w:r w:rsidRPr="001A09F4">
        <w:rPr>
          <w:rFonts w:eastAsia="Times New Roman" w:cs="Arial"/>
          <w:sz w:val="24"/>
          <w:szCs w:val="24"/>
          <w:lang w:eastAsia="it-IT"/>
        </w:rPr>
        <w:t xml:space="preserve">In questo senso il controprogetto, proponendo una deduzione di CHF 7'000.-, rispettivamente CHF 14'000.- </w:t>
      </w:r>
    </w:p>
    <w:p w:rsidR="001A09F4" w:rsidRPr="001A09F4" w:rsidRDefault="001A09F4" w:rsidP="001A09F4">
      <w:pPr>
        <w:suppressAutoHyphens/>
        <w:rPr>
          <w:rFonts w:eastAsia="Times New Roman" w:cs="Arial"/>
          <w:sz w:val="20"/>
          <w:szCs w:val="20"/>
          <w:lang w:eastAsia="it-IT"/>
        </w:rPr>
      </w:pPr>
    </w:p>
    <w:p w:rsidR="001A09F4" w:rsidRPr="001A09F4" w:rsidRDefault="001A09F4" w:rsidP="001A09F4">
      <w:pPr>
        <w:suppressAutoHyphens/>
        <w:rPr>
          <w:rFonts w:eastAsia="Times New Roman" w:cs="Arial"/>
          <w:sz w:val="24"/>
          <w:szCs w:val="24"/>
          <w:lang w:eastAsia="it-IT"/>
        </w:rPr>
      </w:pPr>
      <w:r w:rsidRPr="001A09F4">
        <w:rPr>
          <w:rFonts w:eastAsia="Times New Roman" w:cs="Arial"/>
          <w:sz w:val="24"/>
          <w:szCs w:val="24"/>
          <w:lang w:eastAsia="it-IT"/>
        </w:rPr>
        <w:t>Occorre tuttavia sgombrare il campo da false aspettative; l’aumento della deduzione fiscale, nella maggior parte dei casi, avrà effetti solo marginali per il potere d’acquisto della popolazione ticinese.</w:t>
      </w:r>
    </w:p>
    <w:p w:rsidR="001A09F4" w:rsidRPr="001A09F4" w:rsidRDefault="001A09F4" w:rsidP="001A09F4">
      <w:pPr>
        <w:suppressAutoHyphens/>
        <w:rPr>
          <w:rFonts w:eastAsia="Times New Roman" w:cs="Arial"/>
          <w:sz w:val="20"/>
          <w:szCs w:val="20"/>
          <w:lang w:eastAsia="it-IT"/>
        </w:rPr>
      </w:pPr>
    </w:p>
    <w:p w:rsidR="001A09F4" w:rsidRPr="001A09F4" w:rsidRDefault="001A09F4" w:rsidP="001A09F4">
      <w:pPr>
        <w:suppressAutoHyphens/>
        <w:rPr>
          <w:rFonts w:eastAsia="Times New Roman" w:cs="Arial"/>
          <w:sz w:val="24"/>
          <w:szCs w:val="24"/>
          <w:lang w:eastAsia="it-IT"/>
        </w:rPr>
      </w:pPr>
      <w:r w:rsidRPr="001A09F4">
        <w:rPr>
          <w:rFonts w:eastAsia="Times New Roman" w:cs="Arial"/>
          <w:sz w:val="24"/>
          <w:szCs w:val="24"/>
          <w:lang w:eastAsia="it-IT"/>
        </w:rPr>
        <w:t>Le simulazioni proposte dal Consiglio di Stato con la sua lettera del 17 febbraio 2025, che considerano anche l’accesso potenziale ai sussidi di cassa malati, permettono di evidenziare l’impatto relativamente limitato dell’aumento della deduzione fiscale sul potere d’acquisto del ceto medio in caso di adozione dell’iniziativa.</w:t>
      </w:r>
    </w:p>
    <w:p w:rsidR="001A09F4" w:rsidRPr="001A09F4" w:rsidRDefault="001A09F4" w:rsidP="001A09F4">
      <w:pPr>
        <w:suppressAutoHyphens/>
        <w:rPr>
          <w:rFonts w:eastAsia="Times New Roman" w:cs="Arial"/>
          <w:sz w:val="24"/>
          <w:szCs w:val="24"/>
          <w:lang w:eastAsia="it-IT"/>
        </w:rPr>
      </w:pPr>
    </w:p>
    <w:tbl>
      <w:tblPr>
        <w:tblStyle w:val="Grigliatabella"/>
        <w:tblW w:w="0" w:type="auto"/>
        <w:tblLook w:val="04A0" w:firstRow="1" w:lastRow="0" w:firstColumn="1" w:lastColumn="0" w:noHBand="0" w:noVBand="1"/>
      </w:tblPr>
      <w:tblGrid>
        <w:gridCol w:w="2122"/>
        <w:gridCol w:w="1842"/>
        <w:gridCol w:w="1843"/>
        <w:gridCol w:w="1985"/>
        <w:gridCol w:w="1683"/>
      </w:tblGrid>
      <w:tr w:rsidR="001A09F4" w:rsidRPr="001A09F4" w:rsidTr="002B7E21">
        <w:tc>
          <w:tcPr>
            <w:tcW w:w="2122" w:type="dxa"/>
            <w:shd w:val="clear" w:color="auto" w:fill="D0CECE"/>
          </w:tcPr>
          <w:p w:rsidR="001A09F4" w:rsidRPr="001A09F4" w:rsidRDefault="001A09F4" w:rsidP="001A09F4">
            <w:pPr>
              <w:rPr>
                <w:rFonts w:eastAsia="Times New Roman" w:cs="Arial"/>
                <w:b/>
                <w:lang w:eastAsia="it-IT"/>
              </w:rPr>
            </w:pPr>
            <w:r w:rsidRPr="001A09F4">
              <w:rPr>
                <w:rFonts w:eastAsia="Times New Roman" w:cs="Arial"/>
                <w:b/>
                <w:lang w:eastAsia="it-IT"/>
              </w:rPr>
              <w:t>Tipo di economia domestica</w:t>
            </w:r>
          </w:p>
        </w:tc>
        <w:tc>
          <w:tcPr>
            <w:tcW w:w="1842" w:type="dxa"/>
            <w:shd w:val="clear" w:color="auto" w:fill="D0CECE"/>
          </w:tcPr>
          <w:p w:rsidR="001A09F4" w:rsidRPr="001A09F4" w:rsidRDefault="001A09F4" w:rsidP="001A09F4">
            <w:pPr>
              <w:rPr>
                <w:rFonts w:eastAsia="Times New Roman" w:cs="Arial"/>
                <w:b/>
                <w:lang w:eastAsia="it-IT"/>
              </w:rPr>
            </w:pPr>
            <w:r w:rsidRPr="001A09F4">
              <w:rPr>
                <w:rFonts w:eastAsia="Times New Roman" w:cs="Arial"/>
                <w:b/>
                <w:lang w:eastAsia="it-IT"/>
              </w:rPr>
              <w:t>Reddito annuo</w:t>
            </w:r>
          </w:p>
        </w:tc>
        <w:tc>
          <w:tcPr>
            <w:tcW w:w="1843" w:type="dxa"/>
            <w:shd w:val="clear" w:color="auto" w:fill="D0CECE"/>
          </w:tcPr>
          <w:p w:rsidR="001A09F4" w:rsidRPr="001A09F4" w:rsidRDefault="001A09F4" w:rsidP="001A09F4">
            <w:pPr>
              <w:rPr>
                <w:rFonts w:eastAsia="Times New Roman" w:cs="Arial"/>
                <w:b/>
                <w:lang w:eastAsia="it-IT"/>
              </w:rPr>
            </w:pPr>
            <w:r w:rsidRPr="001A09F4">
              <w:rPr>
                <w:rFonts w:eastAsia="Times New Roman" w:cs="Arial"/>
                <w:b/>
                <w:lang w:eastAsia="it-IT"/>
              </w:rPr>
              <w:t>Imposta attuale</w:t>
            </w:r>
          </w:p>
        </w:tc>
        <w:tc>
          <w:tcPr>
            <w:tcW w:w="1985" w:type="dxa"/>
            <w:shd w:val="clear" w:color="auto" w:fill="D0CECE"/>
          </w:tcPr>
          <w:p w:rsidR="001A09F4" w:rsidRPr="001A09F4" w:rsidRDefault="001A09F4" w:rsidP="001A09F4">
            <w:pPr>
              <w:rPr>
                <w:rFonts w:eastAsia="Times New Roman" w:cs="Arial"/>
                <w:b/>
                <w:lang w:eastAsia="it-IT"/>
              </w:rPr>
            </w:pPr>
            <w:r w:rsidRPr="001A09F4">
              <w:rPr>
                <w:rFonts w:eastAsia="Times New Roman" w:cs="Arial"/>
                <w:b/>
                <w:lang w:eastAsia="it-IT"/>
              </w:rPr>
              <w:t>Imposta con iniziativa</w:t>
            </w:r>
          </w:p>
        </w:tc>
        <w:tc>
          <w:tcPr>
            <w:tcW w:w="1683" w:type="dxa"/>
            <w:shd w:val="clear" w:color="auto" w:fill="D0CECE"/>
          </w:tcPr>
          <w:p w:rsidR="001A09F4" w:rsidRPr="001A09F4" w:rsidRDefault="001A09F4" w:rsidP="001A09F4">
            <w:pPr>
              <w:rPr>
                <w:rFonts w:eastAsia="Times New Roman" w:cs="Arial"/>
                <w:b/>
                <w:lang w:eastAsia="it-IT"/>
              </w:rPr>
            </w:pPr>
            <w:r w:rsidRPr="001A09F4">
              <w:rPr>
                <w:rFonts w:eastAsia="Times New Roman" w:cs="Arial"/>
                <w:b/>
                <w:lang w:eastAsia="it-IT"/>
              </w:rPr>
              <w:t>Risparmio fiscale</w:t>
            </w:r>
          </w:p>
        </w:tc>
      </w:tr>
      <w:tr w:rsidR="001A09F4" w:rsidRPr="001A09F4" w:rsidTr="002B7E21">
        <w:tc>
          <w:tcPr>
            <w:tcW w:w="2122" w:type="dxa"/>
          </w:tcPr>
          <w:p w:rsidR="001A09F4" w:rsidRPr="001A09F4" w:rsidRDefault="001A09F4" w:rsidP="001A09F4">
            <w:pPr>
              <w:rPr>
                <w:rFonts w:eastAsia="Times New Roman" w:cs="Arial"/>
                <w:lang w:eastAsia="it-IT"/>
              </w:rPr>
            </w:pPr>
            <w:r w:rsidRPr="001A09F4">
              <w:rPr>
                <w:rFonts w:eastAsia="Times New Roman" w:cs="Arial"/>
                <w:lang w:eastAsia="it-IT"/>
              </w:rPr>
              <w:t>persona sola</w:t>
            </w:r>
          </w:p>
        </w:tc>
        <w:tc>
          <w:tcPr>
            <w:tcW w:w="1842" w:type="dxa"/>
          </w:tcPr>
          <w:p w:rsidR="001A09F4" w:rsidRPr="001A09F4" w:rsidRDefault="001A09F4" w:rsidP="001A09F4">
            <w:pPr>
              <w:rPr>
                <w:rFonts w:eastAsia="Times New Roman" w:cs="Arial"/>
                <w:lang w:eastAsia="it-IT"/>
              </w:rPr>
            </w:pPr>
            <w:r w:rsidRPr="001A09F4">
              <w:rPr>
                <w:rFonts w:eastAsia="Times New Roman" w:cs="Arial"/>
                <w:lang w:eastAsia="it-IT"/>
              </w:rPr>
              <w:t>CHF 50’072</w:t>
            </w:r>
          </w:p>
        </w:tc>
        <w:tc>
          <w:tcPr>
            <w:tcW w:w="1843" w:type="dxa"/>
          </w:tcPr>
          <w:p w:rsidR="001A09F4" w:rsidRPr="001A09F4" w:rsidRDefault="001A09F4" w:rsidP="001A09F4">
            <w:pPr>
              <w:rPr>
                <w:rFonts w:eastAsia="Times New Roman" w:cs="Arial"/>
                <w:lang w:eastAsia="it-IT"/>
              </w:rPr>
            </w:pPr>
            <w:r w:rsidRPr="001A09F4">
              <w:rPr>
                <w:rFonts w:eastAsia="Times New Roman" w:cs="Arial"/>
                <w:lang w:eastAsia="it-IT"/>
              </w:rPr>
              <w:t>CHF 3'563</w:t>
            </w:r>
          </w:p>
        </w:tc>
        <w:tc>
          <w:tcPr>
            <w:tcW w:w="1985" w:type="dxa"/>
          </w:tcPr>
          <w:p w:rsidR="001A09F4" w:rsidRPr="001A09F4" w:rsidRDefault="001A09F4" w:rsidP="001A09F4">
            <w:pPr>
              <w:rPr>
                <w:rFonts w:eastAsia="Times New Roman" w:cs="Arial"/>
                <w:lang w:eastAsia="it-IT"/>
              </w:rPr>
            </w:pPr>
            <w:r w:rsidRPr="001A09F4">
              <w:rPr>
                <w:rFonts w:eastAsia="Times New Roman" w:cs="Arial"/>
                <w:lang w:eastAsia="it-IT"/>
              </w:rPr>
              <w:t>CHF 3'281</w:t>
            </w:r>
          </w:p>
        </w:tc>
        <w:tc>
          <w:tcPr>
            <w:tcW w:w="1683" w:type="dxa"/>
          </w:tcPr>
          <w:p w:rsidR="001A09F4" w:rsidRPr="001A09F4" w:rsidRDefault="001A09F4" w:rsidP="001A09F4">
            <w:pPr>
              <w:rPr>
                <w:rFonts w:eastAsia="Times New Roman" w:cs="Arial"/>
                <w:lang w:eastAsia="it-IT"/>
              </w:rPr>
            </w:pPr>
            <w:r w:rsidRPr="001A09F4">
              <w:rPr>
                <w:rFonts w:eastAsia="Times New Roman" w:cs="Arial"/>
                <w:lang w:eastAsia="it-IT"/>
              </w:rPr>
              <w:t>CHF 282</w:t>
            </w:r>
          </w:p>
        </w:tc>
      </w:tr>
      <w:tr w:rsidR="001A09F4" w:rsidRPr="001A09F4" w:rsidTr="002B7E21">
        <w:tc>
          <w:tcPr>
            <w:tcW w:w="2122" w:type="dxa"/>
          </w:tcPr>
          <w:p w:rsidR="001A09F4" w:rsidRPr="001A09F4" w:rsidRDefault="001A09F4" w:rsidP="001A09F4">
            <w:pPr>
              <w:rPr>
                <w:rFonts w:eastAsia="Times New Roman" w:cs="Arial"/>
                <w:lang w:eastAsia="it-IT"/>
              </w:rPr>
            </w:pPr>
            <w:r w:rsidRPr="001A09F4">
              <w:rPr>
                <w:rFonts w:eastAsia="Times New Roman" w:cs="Arial"/>
                <w:lang w:eastAsia="it-IT"/>
              </w:rPr>
              <w:t>coppia senza figli</w:t>
            </w:r>
          </w:p>
        </w:tc>
        <w:tc>
          <w:tcPr>
            <w:tcW w:w="1842" w:type="dxa"/>
          </w:tcPr>
          <w:p w:rsidR="001A09F4" w:rsidRPr="001A09F4" w:rsidRDefault="001A09F4" w:rsidP="001A09F4">
            <w:pPr>
              <w:rPr>
                <w:rFonts w:eastAsia="Times New Roman" w:cs="Arial"/>
                <w:lang w:eastAsia="it-IT"/>
              </w:rPr>
            </w:pPr>
            <w:r w:rsidRPr="001A09F4">
              <w:rPr>
                <w:rFonts w:eastAsia="Times New Roman" w:cs="Arial"/>
                <w:lang w:eastAsia="it-IT"/>
              </w:rPr>
              <w:t>CHF 54'144</w:t>
            </w:r>
          </w:p>
        </w:tc>
        <w:tc>
          <w:tcPr>
            <w:tcW w:w="1843" w:type="dxa"/>
          </w:tcPr>
          <w:p w:rsidR="001A09F4" w:rsidRPr="001A09F4" w:rsidRDefault="001A09F4" w:rsidP="001A09F4">
            <w:pPr>
              <w:rPr>
                <w:rFonts w:eastAsia="Times New Roman" w:cs="Arial"/>
                <w:lang w:eastAsia="it-IT"/>
              </w:rPr>
            </w:pPr>
            <w:r w:rsidRPr="001A09F4">
              <w:rPr>
                <w:rFonts w:eastAsia="Times New Roman" w:cs="Arial"/>
                <w:lang w:eastAsia="it-IT"/>
              </w:rPr>
              <w:t>CHF 1’448</w:t>
            </w:r>
          </w:p>
        </w:tc>
        <w:tc>
          <w:tcPr>
            <w:tcW w:w="1985" w:type="dxa"/>
          </w:tcPr>
          <w:p w:rsidR="001A09F4" w:rsidRPr="001A09F4" w:rsidRDefault="001A09F4" w:rsidP="001A09F4">
            <w:pPr>
              <w:rPr>
                <w:rFonts w:eastAsia="Times New Roman" w:cs="Arial"/>
                <w:lang w:eastAsia="it-IT"/>
              </w:rPr>
            </w:pPr>
            <w:r w:rsidRPr="001A09F4">
              <w:rPr>
                <w:rFonts w:eastAsia="Times New Roman" w:cs="Arial"/>
                <w:lang w:eastAsia="it-IT"/>
              </w:rPr>
              <w:t>CHF 1’448</w:t>
            </w:r>
          </w:p>
        </w:tc>
        <w:tc>
          <w:tcPr>
            <w:tcW w:w="1683" w:type="dxa"/>
          </w:tcPr>
          <w:p w:rsidR="001A09F4" w:rsidRPr="001A09F4" w:rsidRDefault="001A09F4" w:rsidP="001A09F4">
            <w:pPr>
              <w:rPr>
                <w:rFonts w:eastAsia="Times New Roman" w:cs="Arial"/>
                <w:lang w:eastAsia="it-IT"/>
              </w:rPr>
            </w:pPr>
            <w:r w:rsidRPr="001A09F4">
              <w:rPr>
                <w:rFonts w:eastAsia="Times New Roman" w:cs="Arial"/>
                <w:lang w:eastAsia="it-IT"/>
              </w:rPr>
              <w:t>CHF 0.-</w:t>
            </w:r>
          </w:p>
        </w:tc>
      </w:tr>
      <w:tr w:rsidR="001A09F4" w:rsidRPr="001A09F4" w:rsidTr="002B7E21">
        <w:tc>
          <w:tcPr>
            <w:tcW w:w="2122" w:type="dxa"/>
          </w:tcPr>
          <w:p w:rsidR="001A09F4" w:rsidRPr="001A09F4" w:rsidRDefault="001A09F4" w:rsidP="001A09F4">
            <w:pPr>
              <w:rPr>
                <w:rFonts w:eastAsia="Times New Roman" w:cs="Arial"/>
                <w:lang w:eastAsia="it-IT"/>
              </w:rPr>
            </w:pPr>
            <w:r w:rsidRPr="001A09F4">
              <w:rPr>
                <w:rFonts w:eastAsia="Times New Roman" w:cs="Arial"/>
                <w:lang w:eastAsia="it-IT"/>
              </w:rPr>
              <w:t>coppia senza figli</w:t>
            </w:r>
          </w:p>
        </w:tc>
        <w:tc>
          <w:tcPr>
            <w:tcW w:w="1842" w:type="dxa"/>
          </w:tcPr>
          <w:p w:rsidR="001A09F4" w:rsidRPr="001A09F4" w:rsidRDefault="001A09F4" w:rsidP="001A09F4">
            <w:pPr>
              <w:rPr>
                <w:rFonts w:eastAsia="Times New Roman" w:cs="Arial"/>
                <w:lang w:eastAsia="it-IT"/>
              </w:rPr>
            </w:pPr>
            <w:r w:rsidRPr="001A09F4">
              <w:rPr>
                <w:rFonts w:eastAsia="Times New Roman" w:cs="Arial"/>
                <w:lang w:eastAsia="it-IT"/>
              </w:rPr>
              <w:t>CHF 64'144</w:t>
            </w:r>
          </w:p>
        </w:tc>
        <w:tc>
          <w:tcPr>
            <w:tcW w:w="1843" w:type="dxa"/>
          </w:tcPr>
          <w:p w:rsidR="001A09F4" w:rsidRPr="001A09F4" w:rsidRDefault="001A09F4" w:rsidP="001A09F4">
            <w:pPr>
              <w:rPr>
                <w:rFonts w:eastAsia="Times New Roman" w:cs="Arial"/>
                <w:lang w:eastAsia="it-IT"/>
              </w:rPr>
            </w:pPr>
            <w:r w:rsidRPr="001A09F4">
              <w:rPr>
                <w:rFonts w:eastAsia="Times New Roman" w:cs="Arial"/>
                <w:lang w:eastAsia="it-IT"/>
              </w:rPr>
              <w:t>CHF 2’342</w:t>
            </w:r>
          </w:p>
        </w:tc>
        <w:tc>
          <w:tcPr>
            <w:tcW w:w="1985" w:type="dxa"/>
          </w:tcPr>
          <w:p w:rsidR="001A09F4" w:rsidRPr="001A09F4" w:rsidRDefault="001A09F4" w:rsidP="001A09F4">
            <w:pPr>
              <w:rPr>
                <w:rFonts w:eastAsia="Times New Roman" w:cs="Arial"/>
                <w:lang w:eastAsia="it-IT"/>
              </w:rPr>
            </w:pPr>
            <w:r w:rsidRPr="001A09F4">
              <w:rPr>
                <w:rFonts w:eastAsia="Times New Roman" w:cs="Arial"/>
                <w:lang w:eastAsia="it-IT"/>
              </w:rPr>
              <w:t>CHF 2’187</w:t>
            </w:r>
          </w:p>
        </w:tc>
        <w:tc>
          <w:tcPr>
            <w:tcW w:w="1683" w:type="dxa"/>
          </w:tcPr>
          <w:p w:rsidR="001A09F4" w:rsidRPr="001A09F4" w:rsidRDefault="001A09F4" w:rsidP="001A09F4">
            <w:pPr>
              <w:rPr>
                <w:rFonts w:eastAsia="Times New Roman" w:cs="Arial"/>
                <w:lang w:eastAsia="it-IT"/>
              </w:rPr>
            </w:pPr>
            <w:r w:rsidRPr="001A09F4">
              <w:rPr>
                <w:rFonts w:eastAsia="Times New Roman" w:cs="Arial"/>
                <w:lang w:eastAsia="it-IT"/>
              </w:rPr>
              <w:t>CHF 155</w:t>
            </w:r>
          </w:p>
        </w:tc>
      </w:tr>
      <w:tr w:rsidR="001A09F4" w:rsidRPr="001A09F4" w:rsidTr="002B7E21">
        <w:tc>
          <w:tcPr>
            <w:tcW w:w="2122" w:type="dxa"/>
          </w:tcPr>
          <w:p w:rsidR="001A09F4" w:rsidRPr="001A09F4" w:rsidRDefault="001A09F4" w:rsidP="001A09F4">
            <w:pPr>
              <w:rPr>
                <w:rFonts w:eastAsia="Times New Roman" w:cs="Arial"/>
                <w:lang w:eastAsia="it-IT"/>
              </w:rPr>
            </w:pPr>
            <w:r w:rsidRPr="001A09F4">
              <w:rPr>
                <w:rFonts w:eastAsia="Times New Roman" w:cs="Arial"/>
                <w:lang w:eastAsia="it-IT"/>
              </w:rPr>
              <w:t>persona sola con un figlio</w:t>
            </w:r>
          </w:p>
        </w:tc>
        <w:tc>
          <w:tcPr>
            <w:tcW w:w="1842" w:type="dxa"/>
          </w:tcPr>
          <w:p w:rsidR="001A09F4" w:rsidRPr="001A09F4" w:rsidRDefault="001A09F4" w:rsidP="001A09F4">
            <w:pPr>
              <w:rPr>
                <w:rFonts w:eastAsia="Times New Roman" w:cs="Arial"/>
                <w:lang w:eastAsia="it-IT"/>
              </w:rPr>
            </w:pPr>
            <w:r w:rsidRPr="001A09F4">
              <w:rPr>
                <w:rFonts w:eastAsia="Times New Roman" w:cs="Arial"/>
                <w:lang w:eastAsia="it-IT"/>
              </w:rPr>
              <w:t>CHF 78’702</w:t>
            </w:r>
          </w:p>
        </w:tc>
        <w:tc>
          <w:tcPr>
            <w:tcW w:w="1843" w:type="dxa"/>
          </w:tcPr>
          <w:p w:rsidR="001A09F4" w:rsidRPr="001A09F4" w:rsidRDefault="001A09F4" w:rsidP="001A09F4">
            <w:pPr>
              <w:rPr>
                <w:rFonts w:eastAsia="Times New Roman" w:cs="Arial"/>
                <w:lang w:eastAsia="it-IT"/>
              </w:rPr>
            </w:pPr>
            <w:r w:rsidRPr="001A09F4">
              <w:rPr>
                <w:rFonts w:eastAsia="Times New Roman" w:cs="Arial"/>
                <w:lang w:eastAsia="it-IT"/>
              </w:rPr>
              <w:t>CHF 4’721</w:t>
            </w:r>
          </w:p>
        </w:tc>
        <w:tc>
          <w:tcPr>
            <w:tcW w:w="1985" w:type="dxa"/>
          </w:tcPr>
          <w:p w:rsidR="001A09F4" w:rsidRPr="001A09F4" w:rsidRDefault="001A09F4" w:rsidP="001A09F4">
            <w:pPr>
              <w:rPr>
                <w:rFonts w:eastAsia="Times New Roman" w:cs="Arial"/>
                <w:lang w:eastAsia="it-IT"/>
              </w:rPr>
            </w:pPr>
            <w:r w:rsidRPr="001A09F4">
              <w:rPr>
                <w:rFonts w:eastAsia="Times New Roman" w:cs="Arial"/>
                <w:lang w:eastAsia="it-IT"/>
              </w:rPr>
              <w:t>CHF 4’647</w:t>
            </w:r>
          </w:p>
        </w:tc>
        <w:tc>
          <w:tcPr>
            <w:tcW w:w="1683" w:type="dxa"/>
          </w:tcPr>
          <w:p w:rsidR="001A09F4" w:rsidRPr="001A09F4" w:rsidRDefault="001A09F4" w:rsidP="001A09F4">
            <w:pPr>
              <w:rPr>
                <w:rFonts w:eastAsia="Times New Roman" w:cs="Arial"/>
                <w:lang w:eastAsia="it-IT"/>
              </w:rPr>
            </w:pPr>
            <w:r w:rsidRPr="001A09F4">
              <w:rPr>
                <w:rFonts w:eastAsia="Times New Roman" w:cs="Arial"/>
                <w:lang w:eastAsia="it-IT"/>
              </w:rPr>
              <w:t>CHF 75</w:t>
            </w:r>
          </w:p>
        </w:tc>
      </w:tr>
      <w:tr w:rsidR="001A09F4" w:rsidRPr="001A09F4" w:rsidTr="002B7E21">
        <w:tc>
          <w:tcPr>
            <w:tcW w:w="2122" w:type="dxa"/>
          </w:tcPr>
          <w:p w:rsidR="001A09F4" w:rsidRPr="001A09F4" w:rsidRDefault="001A09F4" w:rsidP="001A09F4">
            <w:pPr>
              <w:rPr>
                <w:rFonts w:eastAsia="Times New Roman" w:cs="Arial"/>
                <w:bCs/>
                <w:lang w:eastAsia="it-IT"/>
              </w:rPr>
            </w:pPr>
            <w:r w:rsidRPr="001A09F4">
              <w:rPr>
                <w:rFonts w:eastAsia="Times New Roman" w:cs="Arial"/>
                <w:bCs/>
                <w:lang w:eastAsia="it-IT"/>
              </w:rPr>
              <w:t>coppia con due figli</w:t>
            </w:r>
          </w:p>
        </w:tc>
        <w:tc>
          <w:tcPr>
            <w:tcW w:w="1842" w:type="dxa"/>
          </w:tcPr>
          <w:p w:rsidR="001A09F4" w:rsidRPr="001A09F4" w:rsidRDefault="001A09F4" w:rsidP="001A09F4">
            <w:pPr>
              <w:rPr>
                <w:rFonts w:eastAsia="Times New Roman" w:cs="Arial"/>
                <w:bCs/>
                <w:lang w:eastAsia="it-IT"/>
              </w:rPr>
            </w:pPr>
            <w:r w:rsidRPr="001A09F4">
              <w:rPr>
                <w:rFonts w:eastAsia="Times New Roman" w:cs="Arial"/>
                <w:bCs/>
                <w:lang w:eastAsia="it-IT"/>
              </w:rPr>
              <w:t>CHF 97’404</w:t>
            </w:r>
          </w:p>
        </w:tc>
        <w:tc>
          <w:tcPr>
            <w:tcW w:w="1843" w:type="dxa"/>
          </w:tcPr>
          <w:p w:rsidR="001A09F4" w:rsidRPr="001A09F4" w:rsidRDefault="001A09F4" w:rsidP="001A09F4">
            <w:pPr>
              <w:rPr>
                <w:rFonts w:eastAsia="Times New Roman" w:cs="Arial"/>
                <w:lang w:eastAsia="it-IT"/>
              </w:rPr>
            </w:pPr>
            <w:r w:rsidRPr="001A09F4">
              <w:rPr>
                <w:rFonts w:eastAsia="Times New Roman" w:cs="Arial"/>
                <w:lang w:eastAsia="it-IT"/>
              </w:rPr>
              <w:t>CHF 3’868</w:t>
            </w:r>
          </w:p>
        </w:tc>
        <w:tc>
          <w:tcPr>
            <w:tcW w:w="1985" w:type="dxa"/>
          </w:tcPr>
          <w:p w:rsidR="001A09F4" w:rsidRPr="001A09F4" w:rsidRDefault="001A09F4" w:rsidP="001A09F4">
            <w:pPr>
              <w:rPr>
                <w:rFonts w:eastAsia="Times New Roman" w:cs="Arial"/>
                <w:lang w:eastAsia="it-IT"/>
              </w:rPr>
            </w:pPr>
            <w:r w:rsidRPr="001A09F4">
              <w:rPr>
                <w:rFonts w:eastAsia="Times New Roman" w:cs="Arial"/>
                <w:lang w:eastAsia="it-IT"/>
              </w:rPr>
              <w:t>CHF 3’868</w:t>
            </w:r>
          </w:p>
        </w:tc>
        <w:tc>
          <w:tcPr>
            <w:tcW w:w="1683" w:type="dxa"/>
          </w:tcPr>
          <w:p w:rsidR="001A09F4" w:rsidRPr="001A09F4" w:rsidRDefault="001A09F4" w:rsidP="001A09F4">
            <w:pPr>
              <w:rPr>
                <w:rFonts w:eastAsia="Times New Roman" w:cs="Arial"/>
                <w:lang w:eastAsia="it-IT"/>
              </w:rPr>
            </w:pPr>
            <w:r w:rsidRPr="001A09F4">
              <w:rPr>
                <w:rFonts w:eastAsia="Times New Roman" w:cs="Arial"/>
                <w:lang w:eastAsia="it-IT"/>
              </w:rPr>
              <w:t>CHF 0.-</w:t>
            </w:r>
          </w:p>
        </w:tc>
      </w:tr>
      <w:tr w:rsidR="001A09F4" w:rsidRPr="001A09F4" w:rsidTr="002B7E21">
        <w:tc>
          <w:tcPr>
            <w:tcW w:w="2122" w:type="dxa"/>
          </w:tcPr>
          <w:p w:rsidR="001A09F4" w:rsidRPr="001A09F4" w:rsidRDefault="001A09F4" w:rsidP="001A09F4">
            <w:pPr>
              <w:rPr>
                <w:rFonts w:eastAsia="Times New Roman" w:cs="Arial"/>
                <w:lang w:eastAsia="it-IT"/>
              </w:rPr>
            </w:pPr>
            <w:r w:rsidRPr="001A09F4">
              <w:rPr>
                <w:rFonts w:eastAsia="Times New Roman" w:cs="Arial"/>
                <w:bCs/>
                <w:lang w:eastAsia="it-IT"/>
              </w:rPr>
              <w:t>coppia con due figli</w:t>
            </w:r>
          </w:p>
        </w:tc>
        <w:tc>
          <w:tcPr>
            <w:tcW w:w="1842" w:type="dxa"/>
          </w:tcPr>
          <w:p w:rsidR="001A09F4" w:rsidRPr="001A09F4" w:rsidRDefault="001A09F4" w:rsidP="001A09F4">
            <w:pPr>
              <w:rPr>
                <w:rFonts w:eastAsia="Times New Roman" w:cs="Arial"/>
                <w:lang w:eastAsia="it-IT"/>
              </w:rPr>
            </w:pPr>
            <w:r w:rsidRPr="001A09F4">
              <w:rPr>
                <w:rFonts w:eastAsia="Times New Roman" w:cs="Arial"/>
                <w:lang w:eastAsia="it-IT"/>
              </w:rPr>
              <w:t>CHF 117’404</w:t>
            </w:r>
          </w:p>
        </w:tc>
        <w:tc>
          <w:tcPr>
            <w:tcW w:w="1843" w:type="dxa"/>
          </w:tcPr>
          <w:p w:rsidR="001A09F4" w:rsidRPr="001A09F4" w:rsidRDefault="001A09F4" w:rsidP="001A09F4">
            <w:pPr>
              <w:rPr>
                <w:rFonts w:eastAsia="Times New Roman" w:cs="Arial"/>
                <w:lang w:eastAsia="it-IT"/>
              </w:rPr>
            </w:pPr>
            <w:r w:rsidRPr="001A09F4">
              <w:rPr>
                <w:rFonts w:eastAsia="Times New Roman" w:cs="Arial"/>
                <w:lang w:eastAsia="it-IT"/>
              </w:rPr>
              <w:t>CHF 7’044</w:t>
            </w:r>
          </w:p>
        </w:tc>
        <w:tc>
          <w:tcPr>
            <w:tcW w:w="1985" w:type="dxa"/>
          </w:tcPr>
          <w:p w:rsidR="001A09F4" w:rsidRPr="001A09F4" w:rsidRDefault="001A09F4" w:rsidP="001A09F4">
            <w:pPr>
              <w:rPr>
                <w:rFonts w:eastAsia="Times New Roman" w:cs="Arial"/>
                <w:lang w:eastAsia="it-IT"/>
              </w:rPr>
            </w:pPr>
            <w:r w:rsidRPr="001A09F4">
              <w:rPr>
                <w:rFonts w:eastAsia="Times New Roman" w:cs="Arial"/>
                <w:lang w:eastAsia="it-IT"/>
              </w:rPr>
              <w:t>CHF 6’753</w:t>
            </w:r>
          </w:p>
        </w:tc>
        <w:tc>
          <w:tcPr>
            <w:tcW w:w="1683" w:type="dxa"/>
          </w:tcPr>
          <w:p w:rsidR="001A09F4" w:rsidRPr="001A09F4" w:rsidRDefault="001A09F4" w:rsidP="001A09F4">
            <w:pPr>
              <w:rPr>
                <w:rFonts w:eastAsia="Times New Roman" w:cs="Arial"/>
                <w:lang w:eastAsia="it-IT"/>
              </w:rPr>
            </w:pPr>
            <w:r w:rsidRPr="001A09F4">
              <w:rPr>
                <w:rFonts w:eastAsia="Times New Roman" w:cs="Arial"/>
                <w:lang w:eastAsia="it-IT"/>
              </w:rPr>
              <w:t>CHF 291</w:t>
            </w:r>
          </w:p>
        </w:tc>
      </w:tr>
      <w:tr w:rsidR="001A09F4" w:rsidRPr="001A09F4" w:rsidTr="002B7E21">
        <w:tc>
          <w:tcPr>
            <w:tcW w:w="2122" w:type="dxa"/>
          </w:tcPr>
          <w:p w:rsidR="001A09F4" w:rsidRPr="001A09F4" w:rsidRDefault="001A09F4" w:rsidP="001A09F4">
            <w:pPr>
              <w:rPr>
                <w:rFonts w:eastAsia="Times New Roman" w:cs="Arial"/>
                <w:bCs/>
                <w:lang w:eastAsia="it-IT"/>
              </w:rPr>
            </w:pPr>
            <w:r w:rsidRPr="001A09F4">
              <w:rPr>
                <w:rFonts w:eastAsia="Times New Roman" w:cs="Arial"/>
                <w:bCs/>
                <w:lang w:eastAsia="it-IT"/>
              </w:rPr>
              <w:t>persona sola</w:t>
            </w:r>
          </w:p>
        </w:tc>
        <w:tc>
          <w:tcPr>
            <w:tcW w:w="1842" w:type="dxa"/>
          </w:tcPr>
          <w:p w:rsidR="001A09F4" w:rsidRPr="001A09F4" w:rsidRDefault="001A09F4" w:rsidP="001A09F4">
            <w:pPr>
              <w:rPr>
                <w:rFonts w:eastAsia="Times New Roman" w:cs="Arial"/>
                <w:lang w:eastAsia="it-IT"/>
              </w:rPr>
            </w:pPr>
            <w:r w:rsidRPr="001A09F4">
              <w:rPr>
                <w:rFonts w:eastAsia="Times New Roman" w:cs="Arial"/>
                <w:lang w:eastAsia="it-IT"/>
              </w:rPr>
              <w:t>CHF 150'000.-</w:t>
            </w:r>
          </w:p>
        </w:tc>
        <w:tc>
          <w:tcPr>
            <w:tcW w:w="1843" w:type="dxa"/>
          </w:tcPr>
          <w:p w:rsidR="001A09F4" w:rsidRPr="001A09F4" w:rsidRDefault="001A09F4" w:rsidP="001A09F4">
            <w:pPr>
              <w:rPr>
                <w:rFonts w:eastAsia="Times New Roman" w:cs="Arial"/>
                <w:lang w:eastAsia="it-IT"/>
              </w:rPr>
            </w:pPr>
            <w:r w:rsidRPr="001A09F4">
              <w:rPr>
                <w:rFonts w:eastAsia="Times New Roman" w:cs="Arial"/>
                <w:lang w:eastAsia="it-IT"/>
              </w:rPr>
              <w:t>CHF 25’228</w:t>
            </w:r>
          </w:p>
        </w:tc>
        <w:tc>
          <w:tcPr>
            <w:tcW w:w="1985" w:type="dxa"/>
          </w:tcPr>
          <w:p w:rsidR="001A09F4" w:rsidRPr="001A09F4" w:rsidRDefault="001A09F4" w:rsidP="001A09F4">
            <w:pPr>
              <w:rPr>
                <w:rFonts w:eastAsia="Times New Roman" w:cs="Arial"/>
                <w:lang w:eastAsia="it-IT"/>
              </w:rPr>
            </w:pPr>
            <w:r w:rsidRPr="001A09F4">
              <w:rPr>
                <w:rFonts w:eastAsia="Times New Roman" w:cs="Arial"/>
                <w:lang w:eastAsia="it-IT"/>
              </w:rPr>
              <w:t>CHF 24’405</w:t>
            </w:r>
          </w:p>
        </w:tc>
        <w:tc>
          <w:tcPr>
            <w:tcW w:w="1683" w:type="dxa"/>
          </w:tcPr>
          <w:p w:rsidR="001A09F4" w:rsidRPr="001A09F4" w:rsidRDefault="001A09F4" w:rsidP="001A09F4">
            <w:pPr>
              <w:rPr>
                <w:rFonts w:eastAsia="Times New Roman" w:cs="Arial"/>
                <w:lang w:eastAsia="it-IT"/>
              </w:rPr>
            </w:pPr>
            <w:r w:rsidRPr="001A09F4">
              <w:rPr>
                <w:rFonts w:eastAsia="Times New Roman" w:cs="Arial"/>
                <w:lang w:eastAsia="it-IT"/>
              </w:rPr>
              <w:t>CHF 824</w:t>
            </w:r>
          </w:p>
        </w:tc>
      </w:tr>
      <w:tr w:rsidR="001A09F4" w:rsidRPr="001A09F4" w:rsidTr="002B7E21">
        <w:trPr>
          <w:trHeight w:val="722"/>
        </w:trPr>
        <w:tc>
          <w:tcPr>
            <w:tcW w:w="2122" w:type="dxa"/>
          </w:tcPr>
          <w:p w:rsidR="001A09F4" w:rsidRPr="001A09F4" w:rsidRDefault="001A09F4" w:rsidP="001A09F4">
            <w:pPr>
              <w:rPr>
                <w:rFonts w:eastAsia="Times New Roman" w:cs="Arial"/>
                <w:bCs/>
                <w:lang w:eastAsia="it-IT"/>
              </w:rPr>
            </w:pPr>
            <w:r w:rsidRPr="001A09F4">
              <w:rPr>
                <w:rFonts w:eastAsia="Times New Roman" w:cs="Arial"/>
                <w:bCs/>
                <w:lang w:eastAsia="it-IT"/>
              </w:rPr>
              <w:t>Coppia con due figli</w:t>
            </w:r>
          </w:p>
        </w:tc>
        <w:tc>
          <w:tcPr>
            <w:tcW w:w="1842" w:type="dxa"/>
          </w:tcPr>
          <w:p w:rsidR="001A09F4" w:rsidRPr="001A09F4" w:rsidRDefault="001A09F4" w:rsidP="001A09F4">
            <w:pPr>
              <w:rPr>
                <w:rFonts w:eastAsia="Times New Roman" w:cs="Arial"/>
                <w:lang w:eastAsia="it-IT"/>
              </w:rPr>
            </w:pPr>
            <w:r w:rsidRPr="001A09F4">
              <w:rPr>
                <w:rFonts w:eastAsia="Times New Roman" w:cs="Arial"/>
                <w:lang w:eastAsia="it-IT"/>
              </w:rPr>
              <w:t>CHF 250'000.-</w:t>
            </w:r>
          </w:p>
        </w:tc>
        <w:tc>
          <w:tcPr>
            <w:tcW w:w="1843" w:type="dxa"/>
          </w:tcPr>
          <w:p w:rsidR="001A09F4" w:rsidRPr="001A09F4" w:rsidRDefault="001A09F4" w:rsidP="001A09F4">
            <w:pPr>
              <w:rPr>
                <w:rFonts w:eastAsia="Times New Roman" w:cs="Arial"/>
                <w:lang w:eastAsia="it-IT"/>
              </w:rPr>
            </w:pPr>
            <w:r w:rsidRPr="001A09F4">
              <w:rPr>
                <w:rFonts w:eastAsia="Times New Roman" w:cs="Arial"/>
                <w:lang w:eastAsia="it-IT"/>
              </w:rPr>
              <w:t>CHF 37’365</w:t>
            </w:r>
          </w:p>
        </w:tc>
        <w:tc>
          <w:tcPr>
            <w:tcW w:w="1985" w:type="dxa"/>
          </w:tcPr>
          <w:p w:rsidR="001A09F4" w:rsidRPr="001A09F4" w:rsidRDefault="001A09F4" w:rsidP="001A09F4">
            <w:pPr>
              <w:rPr>
                <w:rFonts w:eastAsia="Times New Roman" w:cs="Arial"/>
                <w:lang w:eastAsia="it-IT"/>
              </w:rPr>
            </w:pPr>
            <w:r w:rsidRPr="001A09F4">
              <w:rPr>
                <w:rFonts w:eastAsia="Times New Roman" w:cs="Arial"/>
                <w:lang w:eastAsia="it-IT"/>
              </w:rPr>
              <w:t>CHF35’604</w:t>
            </w:r>
          </w:p>
        </w:tc>
        <w:tc>
          <w:tcPr>
            <w:tcW w:w="1683" w:type="dxa"/>
          </w:tcPr>
          <w:p w:rsidR="001A09F4" w:rsidRPr="001A09F4" w:rsidRDefault="001A09F4" w:rsidP="001A09F4">
            <w:pPr>
              <w:rPr>
                <w:rFonts w:eastAsia="Times New Roman" w:cs="Arial"/>
                <w:lang w:eastAsia="it-IT"/>
              </w:rPr>
            </w:pPr>
            <w:r w:rsidRPr="001A09F4">
              <w:rPr>
                <w:rFonts w:eastAsia="Times New Roman" w:cs="Arial"/>
                <w:lang w:eastAsia="it-IT"/>
              </w:rPr>
              <w:t>CHF 1’761</w:t>
            </w:r>
          </w:p>
        </w:tc>
      </w:tr>
    </w:tbl>
    <w:p w:rsidR="001A09F4" w:rsidRPr="001A09F4" w:rsidRDefault="001A09F4" w:rsidP="001A09F4">
      <w:pPr>
        <w:suppressAutoHyphens/>
        <w:ind w:left="567"/>
        <w:outlineLvl w:val="0"/>
        <w:rPr>
          <w:rFonts w:eastAsia="Calibri" w:cs="Arial"/>
          <w:b/>
          <w:kern w:val="2"/>
          <w:sz w:val="20"/>
          <w:szCs w:val="20"/>
          <w14:ligatures w14:val="standardContextual"/>
        </w:rPr>
      </w:pPr>
    </w:p>
    <w:p w:rsidR="001A09F4" w:rsidRPr="001A09F4" w:rsidRDefault="001A09F4" w:rsidP="001A09F4">
      <w:pPr>
        <w:suppressAutoHyphens/>
        <w:outlineLvl w:val="0"/>
        <w:rPr>
          <w:rFonts w:eastAsia="Calibri" w:cs="Arial"/>
          <w:bCs/>
          <w:kern w:val="2"/>
          <w:sz w:val="24"/>
          <w:szCs w:val="24"/>
          <w14:ligatures w14:val="standardContextual"/>
        </w:rPr>
      </w:pPr>
      <w:r w:rsidRPr="001A09F4">
        <w:rPr>
          <w:rFonts w:eastAsia="Calibri" w:cs="Arial"/>
          <w:bCs/>
          <w:kern w:val="2"/>
          <w:sz w:val="24"/>
          <w:szCs w:val="24"/>
          <w14:ligatures w14:val="standardContextual"/>
        </w:rPr>
        <w:t>Con scritto del 22 gennaio 2025 il Consiglio di Stato ha pure fornito il potenziale impatto fiscale di alcune varianti di valore massimo deducibile, tra le quali il controprogetto oggetto del presente rapporto (cfr. la tabella a pagina seguente).</w:t>
      </w:r>
    </w:p>
    <w:p w:rsidR="001A09F4" w:rsidRPr="001A09F4" w:rsidRDefault="001A09F4" w:rsidP="001A09F4">
      <w:pPr>
        <w:suppressAutoHyphens/>
        <w:outlineLvl w:val="0"/>
        <w:rPr>
          <w:rFonts w:eastAsia="Calibri" w:cs="Arial"/>
          <w:bCs/>
          <w:kern w:val="2"/>
          <w:sz w:val="20"/>
          <w:szCs w:val="20"/>
          <w14:ligatures w14:val="standardContextual"/>
        </w:rPr>
      </w:pPr>
    </w:p>
    <w:p w:rsidR="001A09F4" w:rsidRPr="001A09F4" w:rsidRDefault="001A09F4" w:rsidP="001A09F4">
      <w:pPr>
        <w:suppressAutoHyphens/>
        <w:outlineLvl w:val="0"/>
        <w:rPr>
          <w:rFonts w:eastAsia="Calibri" w:cs="Arial"/>
          <w:bCs/>
          <w:kern w:val="2"/>
          <w:sz w:val="24"/>
          <w:szCs w:val="24"/>
          <w14:ligatures w14:val="standardContextual"/>
        </w:rPr>
      </w:pPr>
      <w:r w:rsidRPr="001A09F4">
        <w:rPr>
          <w:rFonts w:eastAsia="Calibri" w:cs="Arial"/>
          <w:bCs/>
          <w:kern w:val="2"/>
          <w:sz w:val="24"/>
          <w:szCs w:val="24"/>
          <w14:ligatures w14:val="standardContextual"/>
        </w:rPr>
        <w:t>Come si può verificare dalla tabella, al netto di eventuali sussidi di cassa malati (che riguardano soprattutto i redditi bassi e medio-bassi), il beneficio in termini fiscali è nell’ordine di alcune centinaia di franchi; si tratta di un importo certo non risolutivo, ma che, in un periodo di incertezza e continua inflazione, può essere di parziale sollievo soprattutto alla parte di ceto medio che non beneficia di sussidi.</w:t>
      </w:r>
    </w:p>
    <w:p w:rsidR="001A09F4" w:rsidRPr="001A09F4" w:rsidRDefault="001A09F4" w:rsidP="001A09F4">
      <w:pPr>
        <w:suppressAutoHyphens/>
        <w:outlineLvl w:val="0"/>
        <w:rPr>
          <w:rFonts w:eastAsia="Calibri" w:cs="Arial"/>
          <w:bCs/>
          <w:kern w:val="2"/>
          <w:sz w:val="24"/>
          <w:szCs w:val="24"/>
          <w14:ligatures w14:val="standardContextual"/>
        </w:rPr>
      </w:pPr>
    </w:p>
    <w:p w:rsidR="001A09F4" w:rsidRPr="001A09F4" w:rsidRDefault="001A09F4" w:rsidP="001A09F4">
      <w:pPr>
        <w:suppressAutoHyphens/>
        <w:jc w:val="left"/>
        <w:rPr>
          <w:rFonts w:eastAsia="Calibri" w:cs="Arial"/>
          <w:bCs/>
          <w:kern w:val="2"/>
          <w:sz w:val="24"/>
          <w:szCs w:val="24"/>
          <w14:ligatures w14:val="standardContextual"/>
        </w:rPr>
      </w:pPr>
      <w:r w:rsidRPr="001A09F4">
        <w:rPr>
          <w:rFonts w:eastAsia="Calibri" w:cs="Arial"/>
          <w:bCs/>
          <w:noProof/>
          <w:kern w:val="2"/>
          <w:sz w:val="24"/>
          <w:szCs w:val="24"/>
          <w:lang w:eastAsia="it-CH"/>
          <w14:ligatures w14:val="standardContextual"/>
        </w:rPr>
        <w:drawing>
          <wp:anchor distT="0" distB="0" distL="114300" distR="114300" simplePos="0" relativeHeight="251659264" behindDoc="0" locked="0" layoutInCell="1" allowOverlap="1" wp14:anchorId="0EB0F96D" wp14:editId="365D8857">
            <wp:simplePos x="0" y="0"/>
            <wp:positionH relativeFrom="margin">
              <wp:posOffset>-1986915</wp:posOffset>
            </wp:positionH>
            <wp:positionV relativeFrom="paragraph">
              <wp:posOffset>2251710</wp:posOffset>
            </wp:positionV>
            <wp:extent cx="8229600" cy="4340860"/>
            <wp:effectExtent l="1270" t="0" r="1270" b="1270"/>
            <wp:wrapThrough wrapText="bothSides">
              <wp:wrapPolygon edited="0">
                <wp:start x="3" y="21606"/>
                <wp:lineTo x="21553" y="21606"/>
                <wp:lineTo x="21553" y="88"/>
                <wp:lineTo x="3" y="88"/>
                <wp:lineTo x="3" y="21606"/>
              </wp:wrapPolygon>
            </wp:wrapThrough>
            <wp:docPr id="182913455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8229600" cy="4340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09F4">
        <w:rPr>
          <w:rFonts w:eastAsia="Calibri" w:cs="Arial"/>
          <w:bCs/>
          <w:kern w:val="2"/>
          <w:sz w:val="24"/>
          <w:szCs w:val="24"/>
          <w14:ligatures w14:val="standardContextual"/>
        </w:rPr>
        <w:br w:type="page"/>
      </w:r>
    </w:p>
    <w:p w:rsidR="001A09F4" w:rsidRPr="001A09F4" w:rsidRDefault="001A09F4" w:rsidP="001A09F4">
      <w:pPr>
        <w:suppressAutoHyphens/>
        <w:outlineLvl w:val="0"/>
        <w:rPr>
          <w:rFonts w:eastAsia="Calibri" w:cs="Arial"/>
          <w:bCs/>
          <w:kern w:val="2"/>
          <w:sz w:val="24"/>
          <w:szCs w:val="24"/>
          <w14:ligatures w14:val="standardContextual"/>
        </w:rPr>
      </w:pPr>
      <w:r w:rsidRPr="001A09F4">
        <w:rPr>
          <w:rFonts w:eastAsia="Calibri" w:cs="Arial"/>
          <w:bCs/>
          <w:kern w:val="2"/>
          <w:sz w:val="24"/>
          <w:szCs w:val="24"/>
          <w14:ligatures w14:val="standardContextual"/>
        </w:rPr>
        <w:t>In definitiva, il controprogetto del rapporto di minoranza aderisce al principio secondo cui il premio di cassa malati deve poter essere dedotto integralmente.</w:t>
      </w:r>
    </w:p>
    <w:p w:rsidR="001A09F4" w:rsidRPr="001A09F4" w:rsidRDefault="001A09F4" w:rsidP="001A09F4">
      <w:pPr>
        <w:suppressAutoHyphens/>
        <w:outlineLvl w:val="0"/>
        <w:rPr>
          <w:rFonts w:eastAsia="Calibri" w:cs="Arial"/>
          <w:bCs/>
          <w:kern w:val="2"/>
          <w:sz w:val="24"/>
          <w:szCs w:val="24"/>
          <w14:ligatures w14:val="standardContextual"/>
        </w:rPr>
      </w:pPr>
    </w:p>
    <w:p w:rsidR="001A09F4" w:rsidRPr="001A09F4" w:rsidRDefault="001A09F4" w:rsidP="001A09F4">
      <w:pPr>
        <w:suppressAutoHyphens/>
        <w:outlineLvl w:val="0"/>
        <w:rPr>
          <w:rFonts w:eastAsia="Calibri" w:cs="Arial"/>
          <w:bCs/>
          <w:kern w:val="2"/>
          <w:sz w:val="24"/>
          <w:szCs w:val="24"/>
          <w14:ligatures w14:val="standardContextual"/>
        </w:rPr>
      </w:pPr>
      <w:r w:rsidRPr="001A09F4">
        <w:rPr>
          <w:rFonts w:eastAsia="Calibri" w:cs="Arial"/>
          <w:bCs/>
          <w:kern w:val="2"/>
          <w:sz w:val="24"/>
          <w:szCs w:val="24"/>
          <w14:ligatures w14:val="standardContextual"/>
        </w:rPr>
        <w:t xml:space="preserve">Il controprogetto del rapporto di minoranza, nello stabilire l’importo della deduzione (come richiesto dall’art. 9 cpv. 2 lett. g LADI), tiene conto dei seguenti elementi: </w:t>
      </w:r>
    </w:p>
    <w:p w:rsidR="001A09F4" w:rsidRPr="001A09F4" w:rsidRDefault="001A09F4" w:rsidP="00860BA5">
      <w:pPr>
        <w:numPr>
          <w:ilvl w:val="0"/>
          <w:numId w:val="29"/>
        </w:numPr>
        <w:suppressAutoHyphens/>
        <w:spacing w:before="80"/>
        <w:ind w:left="284" w:hanging="284"/>
        <w:jc w:val="left"/>
        <w:outlineLvl w:val="0"/>
        <w:rPr>
          <w:rFonts w:eastAsia="Calibri" w:cs="Arial"/>
          <w:bCs/>
          <w:kern w:val="2"/>
          <w:sz w:val="24"/>
          <w:szCs w:val="24"/>
          <w14:ligatures w14:val="standardContextual"/>
        </w:rPr>
      </w:pPr>
      <w:r w:rsidRPr="001A09F4">
        <w:rPr>
          <w:rFonts w:eastAsia="Calibri" w:cs="Arial"/>
          <w:bCs/>
          <w:kern w:val="2"/>
          <w:sz w:val="24"/>
          <w:szCs w:val="24"/>
          <w14:ligatures w14:val="standardContextual"/>
        </w:rPr>
        <w:t>l’importo del premio medio di riferimento;</w:t>
      </w:r>
    </w:p>
    <w:p w:rsidR="001A09F4" w:rsidRPr="001A09F4" w:rsidRDefault="001A09F4" w:rsidP="00860BA5">
      <w:pPr>
        <w:numPr>
          <w:ilvl w:val="0"/>
          <w:numId w:val="29"/>
        </w:numPr>
        <w:suppressAutoHyphens/>
        <w:spacing w:before="80"/>
        <w:ind w:left="284" w:hanging="284"/>
        <w:jc w:val="left"/>
        <w:outlineLvl w:val="0"/>
        <w:rPr>
          <w:rFonts w:eastAsia="Calibri" w:cs="Arial"/>
          <w:bCs/>
          <w:kern w:val="2"/>
          <w:sz w:val="24"/>
          <w:szCs w:val="24"/>
          <w14:ligatures w14:val="standardContextual"/>
        </w:rPr>
      </w:pPr>
      <w:r w:rsidRPr="001A09F4">
        <w:rPr>
          <w:rFonts w:eastAsia="Calibri" w:cs="Arial"/>
          <w:bCs/>
          <w:kern w:val="2"/>
          <w:sz w:val="24"/>
          <w:szCs w:val="24"/>
          <w14:ligatures w14:val="standardContextual"/>
        </w:rPr>
        <w:t xml:space="preserve"> l’importo effettivo dei premi di cassa malati reperibili sul mercato (anche a dipendenza della franchigia);</w:t>
      </w:r>
    </w:p>
    <w:p w:rsidR="001A09F4" w:rsidRPr="001A09F4" w:rsidRDefault="001A09F4" w:rsidP="00860BA5">
      <w:pPr>
        <w:numPr>
          <w:ilvl w:val="0"/>
          <w:numId w:val="29"/>
        </w:numPr>
        <w:suppressAutoHyphens/>
        <w:spacing w:before="80"/>
        <w:ind w:left="284" w:hanging="284"/>
        <w:jc w:val="left"/>
        <w:outlineLvl w:val="0"/>
        <w:rPr>
          <w:rFonts w:eastAsia="Calibri" w:cs="Arial"/>
          <w:bCs/>
          <w:kern w:val="2"/>
          <w:sz w:val="24"/>
          <w:szCs w:val="24"/>
          <w14:ligatures w14:val="standardContextual"/>
        </w:rPr>
      </w:pPr>
      <w:r w:rsidRPr="001A09F4">
        <w:rPr>
          <w:rFonts w:eastAsia="Calibri" w:cs="Arial"/>
          <w:bCs/>
          <w:kern w:val="2"/>
          <w:sz w:val="24"/>
          <w:szCs w:val="24"/>
          <w14:ligatures w14:val="standardContextual"/>
        </w:rPr>
        <w:t>la possibilità di accedere ai sussidi di cassa malati;</w:t>
      </w:r>
    </w:p>
    <w:p w:rsidR="001A09F4" w:rsidRPr="001A09F4" w:rsidRDefault="001A09F4" w:rsidP="00860BA5">
      <w:pPr>
        <w:numPr>
          <w:ilvl w:val="0"/>
          <w:numId w:val="29"/>
        </w:numPr>
        <w:suppressAutoHyphens/>
        <w:spacing w:before="80"/>
        <w:ind w:left="284" w:hanging="284"/>
        <w:jc w:val="left"/>
        <w:outlineLvl w:val="0"/>
        <w:rPr>
          <w:rFonts w:eastAsia="Calibri" w:cs="Arial"/>
          <w:bCs/>
          <w:kern w:val="2"/>
          <w:sz w:val="24"/>
          <w:szCs w:val="24"/>
          <w14:ligatures w14:val="standardContextual"/>
        </w:rPr>
      </w:pPr>
      <w:r w:rsidRPr="001A09F4">
        <w:rPr>
          <w:rFonts w:eastAsia="Calibri" w:cs="Arial"/>
          <w:bCs/>
          <w:kern w:val="2"/>
          <w:sz w:val="24"/>
          <w:szCs w:val="24"/>
          <w14:ligatures w14:val="standardContextual"/>
        </w:rPr>
        <w:t>la situazione finanziaria del Cantone;</w:t>
      </w:r>
    </w:p>
    <w:p w:rsidR="001A09F4" w:rsidRPr="001A09F4" w:rsidRDefault="001A09F4" w:rsidP="00860BA5">
      <w:pPr>
        <w:numPr>
          <w:ilvl w:val="0"/>
          <w:numId w:val="29"/>
        </w:numPr>
        <w:suppressAutoHyphens/>
        <w:spacing w:before="80"/>
        <w:ind w:left="284" w:hanging="284"/>
        <w:jc w:val="left"/>
        <w:outlineLvl w:val="0"/>
        <w:rPr>
          <w:rFonts w:eastAsia="Calibri" w:cs="Arial"/>
          <w:bCs/>
          <w:kern w:val="2"/>
          <w:sz w:val="24"/>
          <w:szCs w:val="24"/>
          <w14:ligatures w14:val="standardContextual"/>
        </w:rPr>
      </w:pPr>
      <w:r w:rsidRPr="001A09F4">
        <w:rPr>
          <w:rFonts w:eastAsia="Calibri" w:cs="Arial"/>
          <w:bCs/>
          <w:kern w:val="2"/>
          <w:sz w:val="24"/>
          <w:szCs w:val="24"/>
          <w14:ligatures w14:val="standardContextual"/>
        </w:rPr>
        <w:t>le ripercussioni finanziarie sui Comuni.</w:t>
      </w:r>
    </w:p>
    <w:p w:rsidR="001A09F4" w:rsidRPr="001A09F4" w:rsidRDefault="001A09F4" w:rsidP="001A09F4">
      <w:pPr>
        <w:suppressAutoHyphens/>
        <w:outlineLvl w:val="0"/>
        <w:rPr>
          <w:rFonts w:eastAsia="Calibri" w:cs="Arial"/>
          <w:b/>
          <w:kern w:val="2"/>
          <w:sz w:val="24"/>
          <w:szCs w:val="24"/>
          <w14:ligatures w14:val="standardContextual"/>
        </w:rPr>
      </w:pPr>
    </w:p>
    <w:p w:rsidR="001A09F4" w:rsidRPr="001A09F4" w:rsidRDefault="001A09F4" w:rsidP="001A09F4">
      <w:pPr>
        <w:suppressAutoHyphens/>
        <w:outlineLvl w:val="0"/>
        <w:rPr>
          <w:rFonts w:eastAsia="Calibri" w:cs="Arial"/>
          <w:bCs/>
          <w:kern w:val="2"/>
          <w:sz w:val="24"/>
          <w:szCs w:val="24"/>
          <w14:ligatures w14:val="standardContextual"/>
        </w:rPr>
      </w:pPr>
      <w:r w:rsidRPr="001A09F4">
        <w:rPr>
          <w:rFonts w:eastAsia="Calibri" w:cs="Arial"/>
          <w:bCs/>
          <w:kern w:val="2"/>
          <w:sz w:val="24"/>
          <w:szCs w:val="24"/>
          <w14:ligatures w14:val="standardContextual"/>
        </w:rPr>
        <w:t>Un aumento, immediato o progressivo, dell’importo della deduzione porterebbe solo un beneficio relativo al ceto medio, pesando tuttavia in modo importante sulle finanze del Cantone e dei Comuni.</w:t>
      </w:r>
    </w:p>
    <w:p w:rsidR="001A09F4" w:rsidRPr="001A09F4" w:rsidRDefault="001A09F4" w:rsidP="001A09F4">
      <w:pPr>
        <w:suppressAutoHyphens/>
        <w:outlineLvl w:val="0"/>
        <w:rPr>
          <w:rFonts w:eastAsia="Calibri" w:cs="Arial"/>
          <w:b/>
          <w:kern w:val="2"/>
          <w:sz w:val="24"/>
          <w:szCs w:val="24"/>
          <w14:ligatures w14:val="standardContextual"/>
        </w:rPr>
      </w:pPr>
    </w:p>
    <w:p w:rsidR="001A09F4" w:rsidRPr="001A09F4" w:rsidRDefault="001A09F4" w:rsidP="001A09F4">
      <w:pPr>
        <w:suppressAutoHyphens/>
        <w:outlineLvl w:val="0"/>
        <w:rPr>
          <w:rFonts w:eastAsia="Calibri" w:cs="Arial"/>
          <w:bCs/>
          <w:kern w:val="2"/>
          <w:sz w:val="24"/>
          <w:szCs w:val="24"/>
          <w14:ligatures w14:val="standardContextual"/>
        </w:rPr>
      </w:pPr>
      <w:r w:rsidRPr="001A09F4">
        <w:rPr>
          <w:rFonts w:eastAsia="Calibri" w:cs="Arial"/>
          <w:bCs/>
          <w:kern w:val="2"/>
          <w:sz w:val="24"/>
          <w:szCs w:val="24"/>
          <w14:ligatures w14:val="standardContextual"/>
        </w:rPr>
        <w:t>A fronte di una situazione finanziariamente delicata come quella che è stata ripetutamente segnalata con preoccupazione dal Consiglio di Stato, la minoranza della Commissione ritiene che non sia responsabile proporre l’approvazione di una modifica tributaria che, nell’immediato o nel breve periodo, comporterebbe per il Cantone minori entrate fiscali annue comprese tra 55 e 57.6 milioni di franchi, tanto meno se si considera che maggioranza della Commissione sembra voler compensare parte delle minori entrate fiscali con una riduzione dei sussidi di cassa malati (proposta peraltro sostenuta ancora recentemente, nonostante gli introiti della BNS avessero reso non strettamente necessaria la misura).</w:t>
      </w:r>
    </w:p>
    <w:p w:rsidR="001A09F4" w:rsidRPr="001A09F4" w:rsidRDefault="001A09F4" w:rsidP="001A09F4">
      <w:pPr>
        <w:suppressAutoHyphens/>
        <w:outlineLvl w:val="0"/>
        <w:rPr>
          <w:rFonts w:eastAsia="Calibri" w:cs="Arial"/>
          <w:bCs/>
          <w:kern w:val="2"/>
          <w:sz w:val="24"/>
          <w:szCs w:val="24"/>
          <w14:ligatures w14:val="standardContextual"/>
        </w:rPr>
      </w:pPr>
    </w:p>
    <w:p w:rsidR="001A09F4" w:rsidRPr="001A09F4" w:rsidRDefault="001A09F4" w:rsidP="001A09F4">
      <w:pPr>
        <w:suppressAutoHyphens/>
        <w:outlineLvl w:val="0"/>
        <w:rPr>
          <w:rFonts w:eastAsia="Calibri" w:cs="Arial"/>
          <w:bCs/>
          <w:kern w:val="2"/>
          <w:sz w:val="24"/>
          <w:szCs w:val="24"/>
          <w14:ligatures w14:val="standardContextual"/>
        </w:rPr>
      </w:pPr>
      <w:r w:rsidRPr="001A09F4">
        <w:rPr>
          <w:rFonts w:eastAsia="Calibri" w:cs="Arial"/>
          <w:bCs/>
          <w:kern w:val="2"/>
          <w:sz w:val="24"/>
          <w:szCs w:val="24"/>
          <w14:ligatures w14:val="standardContextual"/>
        </w:rPr>
        <w:t>Un simile modo di procedere equivarrebbe a un taglio della pressione fiscale a beneficio dei redditi medio-alti e alti compensato con una riduzione degli aiuti ai redditi medio-bassi e medi; a mente della minoranza della Commissione questo approccio non è proponibile, già solo per ragioni di equità, tanto meno in un periodo in cui la frattura sociale rischia di allargarsi e acuire il malessere che tocca le fasce più fragili della popolazione.</w:t>
      </w:r>
    </w:p>
    <w:p w:rsidR="001A09F4" w:rsidRPr="001A09F4" w:rsidRDefault="001A09F4" w:rsidP="001A09F4">
      <w:pPr>
        <w:suppressAutoHyphens/>
        <w:outlineLvl w:val="0"/>
        <w:rPr>
          <w:rFonts w:eastAsia="Calibri" w:cs="Arial"/>
          <w:b/>
          <w:kern w:val="2"/>
          <w:sz w:val="24"/>
          <w:szCs w:val="24"/>
          <w14:ligatures w14:val="standardContextual"/>
        </w:rPr>
      </w:pPr>
    </w:p>
    <w:p w:rsidR="001A09F4" w:rsidRPr="001A09F4" w:rsidRDefault="001A09F4" w:rsidP="001A09F4">
      <w:pPr>
        <w:suppressAutoHyphens/>
        <w:outlineLvl w:val="0"/>
        <w:rPr>
          <w:rFonts w:eastAsia="Calibri" w:cs="Arial"/>
          <w:bCs/>
          <w:kern w:val="2"/>
          <w:sz w:val="24"/>
          <w:szCs w:val="24"/>
          <w14:ligatures w14:val="standardContextual"/>
        </w:rPr>
      </w:pPr>
      <w:r w:rsidRPr="001A09F4">
        <w:rPr>
          <w:rFonts w:eastAsia="Calibri" w:cs="Arial"/>
          <w:bCs/>
          <w:kern w:val="2"/>
          <w:sz w:val="24"/>
          <w:szCs w:val="24"/>
          <w14:ligatures w14:val="standardContextual"/>
        </w:rPr>
        <w:t>La minoranza della Commissione ritiene inoltre che, con l’adozione del presente rapporto, alla popolazione potranno essere sottoposte in votazione due reali alternative.</w:t>
      </w:r>
    </w:p>
    <w:p w:rsidR="001A09F4" w:rsidRPr="001A09F4" w:rsidRDefault="001A09F4" w:rsidP="001A09F4">
      <w:pPr>
        <w:suppressAutoHyphens/>
        <w:outlineLvl w:val="0"/>
        <w:rPr>
          <w:rFonts w:eastAsia="Calibri" w:cs="Arial"/>
          <w:b/>
          <w:kern w:val="2"/>
          <w:sz w:val="24"/>
          <w:szCs w:val="24"/>
          <w14:ligatures w14:val="standardContextual"/>
        </w:rPr>
      </w:pPr>
    </w:p>
    <w:p w:rsidR="001A09F4" w:rsidRPr="001A09F4" w:rsidRDefault="001A09F4" w:rsidP="001A09F4">
      <w:pPr>
        <w:suppressAutoHyphens/>
        <w:outlineLvl w:val="0"/>
        <w:rPr>
          <w:rFonts w:eastAsia="Calibri" w:cs="Arial"/>
          <w:b/>
          <w:kern w:val="2"/>
          <w:sz w:val="24"/>
          <w:szCs w:val="24"/>
          <w14:ligatures w14:val="standardContextual"/>
        </w:rPr>
      </w:pPr>
    </w:p>
    <w:p w:rsidR="001A09F4" w:rsidRPr="001A09F4" w:rsidRDefault="001A09F4" w:rsidP="00860BA5">
      <w:pPr>
        <w:pStyle w:val="Titolo1"/>
        <w:numPr>
          <w:ilvl w:val="0"/>
          <w:numId w:val="20"/>
        </w:numPr>
        <w:tabs>
          <w:tab w:val="left" w:pos="567"/>
        </w:tabs>
        <w:spacing w:before="0"/>
        <w:ind w:left="567" w:hanging="567"/>
        <w:jc w:val="both"/>
        <w:rPr>
          <w:rFonts w:eastAsia="Calibri" w:cs="Times New Roman"/>
          <w:caps/>
          <w:sz w:val="24"/>
          <w:szCs w:val="24"/>
          <w:lang w:val="it-IT" w:eastAsia="it-IT"/>
        </w:rPr>
      </w:pPr>
      <w:r w:rsidRPr="001A09F4">
        <w:rPr>
          <w:rFonts w:eastAsia="Calibri" w:cs="Times New Roman"/>
          <w:caps/>
          <w:sz w:val="24"/>
          <w:szCs w:val="24"/>
          <w:lang w:val="it-IT" w:eastAsia="it-IT"/>
        </w:rPr>
        <w:t>Conclusione</w:t>
      </w:r>
    </w:p>
    <w:p w:rsidR="001A09F4" w:rsidRPr="001A09F4" w:rsidRDefault="001A09F4" w:rsidP="001A09F4">
      <w:pPr>
        <w:suppressAutoHyphens/>
        <w:rPr>
          <w:rFonts w:eastAsia="Times New Roman" w:cs="Arial"/>
          <w:sz w:val="24"/>
          <w:szCs w:val="24"/>
          <w:lang w:eastAsia="it-IT"/>
        </w:rPr>
      </w:pPr>
      <w:r w:rsidRPr="001A09F4">
        <w:rPr>
          <w:rFonts w:eastAsia="Times New Roman" w:cs="Arial"/>
          <w:sz w:val="24"/>
          <w:szCs w:val="24"/>
          <w:lang w:eastAsia="it-IT"/>
        </w:rPr>
        <w:t xml:space="preserve">La minoranza </w:t>
      </w:r>
      <w:r w:rsidR="00767FE2">
        <w:rPr>
          <w:rFonts w:eastAsia="Times New Roman" w:cs="Arial"/>
          <w:sz w:val="24"/>
          <w:szCs w:val="24"/>
          <w:lang w:eastAsia="it-IT"/>
        </w:rPr>
        <w:t xml:space="preserve">2 </w:t>
      </w:r>
      <w:r w:rsidRPr="001A09F4">
        <w:rPr>
          <w:rFonts w:eastAsia="Times New Roman" w:cs="Arial"/>
          <w:sz w:val="24"/>
          <w:szCs w:val="24"/>
          <w:lang w:eastAsia="it-IT"/>
        </w:rPr>
        <w:t xml:space="preserve">della Commissione gestione e finanze, visto quanto precede, raccomanda al Gran Consiglio di </w:t>
      </w:r>
      <w:r w:rsidRPr="001A09F4">
        <w:rPr>
          <w:rFonts w:eastAsia="Times New Roman" w:cs="Arial"/>
          <w:b/>
          <w:bCs/>
          <w:sz w:val="24"/>
          <w:szCs w:val="24"/>
          <w:lang w:eastAsia="it-IT"/>
        </w:rPr>
        <w:t>approvare il controprogetto e respingere l’iniziativa popolare</w:t>
      </w:r>
      <w:r w:rsidR="00860BA5">
        <w:rPr>
          <w:rFonts w:eastAsia="Times New Roman" w:cs="Arial"/>
          <w:b/>
          <w:bCs/>
          <w:sz w:val="24"/>
          <w:szCs w:val="24"/>
          <w:lang w:eastAsia="it-IT"/>
        </w:rPr>
        <w:t>.</w:t>
      </w:r>
      <w:r w:rsidRPr="001A09F4">
        <w:rPr>
          <w:rFonts w:eastAsia="Times New Roman" w:cs="Arial"/>
          <w:sz w:val="24"/>
          <w:szCs w:val="24"/>
          <w:lang w:eastAsia="it-IT"/>
        </w:rPr>
        <w:t xml:space="preserve"> </w:t>
      </w:r>
    </w:p>
    <w:p w:rsidR="001A09F4" w:rsidRDefault="001A09F4" w:rsidP="00860BA5">
      <w:pPr>
        <w:rPr>
          <w:rFonts w:asciiTheme="minorHAnsi" w:eastAsia="Times New Roman" w:hAnsiTheme="minorHAnsi" w:cstheme="minorHAnsi"/>
          <w:sz w:val="24"/>
          <w:szCs w:val="24"/>
          <w:lang w:eastAsia="it-CH"/>
        </w:rPr>
      </w:pPr>
    </w:p>
    <w:p w:rsidR="001A09F4" w:rsidRDefault="001A09F4" w:rsidP="00860BA5">
      <w:pPr>
        <w:rPr>
          <w:rFonts w:asciiTheme="minorHAnsi" w:eastAsia="Times New Roman" w:hAnsiTheme="minorHAnsi" w:cstheme="minorHAnsi"/>
          <w:sz w:val="24"/>
          <w:szCs w:val="24"/>
          <w:lang w:eastAsia="it-CH"/>
        </w:rPr>
      </w:pPr>
    </w:p>
    <w:p w:rsidR="00D20F34" w:rsidRPr="00D20F34" w:rsidRDefault="00D20F34" w:rsidP="00860BA5">
      <w:pPr>
        <w:spacing w:after="120"/>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 xml:space="preserve">Per la minoranza </w:t>
      </w:r>
      <w:r w:rsidR="00A63A0E">
        <w:rPr>
          <w:rFonts w:asciiTheme="minorHAnsi" w:eastAsia="Times New Roman" w:hAnsiTheme="minorHAnsi" w:cstheme="minorHAnsi"/>
          <w:sz w:val="24"/>
          <w:szCs w:val="24"/>
          <w:lang w:eastAsia="it-CH"/>
        </w:rPr>
        <w:t>2</w:t>
      </w:r>
      <w:r w:rsidR="00EC064F">
        <w:rPr>
          <w:rFonts w:asciiTheme="minorHAnsi" w:eastAsia="Times New Roman" w:hAnsiTheme="minorHAnsi" w:cstheme="minorHAnsi"/>
          <w:sz w:val="24"/>
          <w:szCs w:val="24"/>
          <w:lang w:eastAsia="it-CH"/>
        </w:rPr>
        <w:t xml:space="preserve"> </w:t>
      </w:r>
      <w:r w:rsidRPr="00D20F34">
        <w:rPr>
          <w:rFonts w:asciiTheme="minorHAnsi" w:eastAsia="Times New Roman" w:hAnsiTheme="minorHAnsi" w:cstheme="minorHAnsi"/>
          <w:sz w:val="24"/>
          <w:szCs w:val="24"/>
          <w:lang w:eastAsia="it-CH"/>
        </w:rPr>
        <w:t>della Commissione gestione e finanze</w:t>
      </w:r>
      <w:r w:rsidR="00586CAF">
        <w:rPr>
          <w:rFonts w:asciiTheme="minorHAnsi" w:eastAsia="Times New Roman" w:hAnsiTheme="minorHAnsi" w:cstheme="minorHAnsi"/>
          <w:sz w:val="24"/>
          <w:szCs w:val="24"/>
          <w:lang w:eastAsia="it-CH"/>
        </w:rPr>
        <w:t>:</w:t>
      </w:r>
    </w:p>
    <w:p w:rsidR="00D20F34" w:rsidRPr="00D20F34" w:rsidRDefault="00A63A0E" w:rsidP="00D20F34">
      <w:pPr>
        <w:rPr>
          <w:rFonts w:asciiTheme="minorHAnsi" w:eastAsia="Times New Roman" w:hAnsiTheme="minorHAnsi" w:cstheme="minorHAnsi"/>
          <w:sz w:val="24"/>
          <w:szCs w:val="24"/>
          <w:lang w:eastAsia="it-CH"/>
        </w:rPr>
      </w:pPr>
      <w:r>
        <w:rPr>
          <w:rFonts w:asciiTheme="minorHAnsi" w:eastAsia="Times New Roman" w:hAnsiTheme="minorHAnsi" w:cstheme="minorHAnsi"/>
          <w:sz w:val="24"/>
          <w:szCs w:val="24"/>
          <w:lang w:eastAsia="it-CH"/>
        </w:rPr>
        <w:t>Maurizio Agustoni</w:t>
      </w:r>
      <w:r w:rsidR="00D20F34" w:rsidRPr="00D20F34">
        <w:rPr>
          <w:rFonts w:asciiTheme="minorHAnsi" w:eastAsia="Times New Roman" w:hAnsiTheme="minorHAnsi" w:cstheme="minorHAnsi"/>
          <w:sz w:val="24"/>
          <w:szCs w:val="24"/>
          <w:lang w:eastAsia="it-CH"/>
        </w:rPr>
        <w:t>, relatore</w:t>
      </w:r>
    </w:p>
    <w:p w:rsidR="00D649A8" w:rsidRPr="00D20F34" w:rsidRDefault="00A63A0E" w:rsidP="00D33940">
      <w:pPr>
        <w:pStyle w:val="StandardRisoluzionedelConsigliodiStato"/>
        <w:ind w:right="-1"/>
        <w:rPr>
          <w:rFonts w:asciiTheme="minorHAnsi" w:hAnsiTheme="minorHAnsi" w:cstheme="minorHAnsi"/>
          <w:szCs w:val="24"/>
        </w:rPr>
      </w:pPr>
      <w:r>
        <w:rPr>
          <w:rFonts w:asciiTheme="minorHAnsi" w:hAnsiTheme="minorHAnsi" w:cstheme="minorHAnsi"/>
          <w:szCs w:val="24"/>
        </w:rPr>
        <w:t xml:space="preserve">Caroni - Dadò - </w:t>
      </w:r>
      <w:r w:rsidR="00DE6598">
        <w:rPr>
          <w:rFonts w:asciiTheme="minorHAnsi" w:hAnsiTheme="minorHAnsi" w:cstheme="minorHAnsi"/>
          <w:szCs w:val="24"/>
        </w:rPr>
        <w:t>Gendotti</w:t>
      </w:r>
    </w:p>
    <w:p w:rsidR="00D20F34" w:rsidRPr="00D20F34" w:rsidRDefault="00D20F34" w:rsidP="00D33940">
      <w:pPr>
        <w:pStyle w:val="StandardRisoluzionedelConsigliodiStato"/>
        <w:ind w:right="-1"/>
        <w:rPr>
          <w:rFonts w:asciiTheme="minorHAnsi" w:hAnsiTheme="minorHAnsi" w:cstheme="minorHAnsi"/>
          <w:szCs w:val="24"/>
        </w:rPr>
      </w:pPr>
    </w:p>
    <w:p w:rsidR="00586CAF" w:rsidRDefault="00586CAF">
      <w:pPr>
        <w:rPr>
          <w:rFonts w:asciiTheme="minorHAnsi" w:hAnsiTheme="minorHAnsi" w:cstheme="minorHAnsi"/>
          <w:sz w:val="24"/>
          <w:szCs w:val="24"/>
        </w:rPr>
      </w:pPr>
      <w:r>
        <w:rPr>
          <w:rFonts w:asciiTheme="minorHAnsi" w:hAnsiTheme="minorHAnsi" w:cstheme="minorHAnsi"/>
          <w:szCs w:val="24"/>
        </w:rPr>
        <w:br w:type="page"/>
      </w: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 xml:space="preserve">Disegno di </w:t>
      </w:r>
    </w:p>
    <w:p w:rsidR="001A09F4" w:rsidRPr="001A09F4" w:rsidRDefault="001A09F4" w:rsidP="001A09F4">
      <w:pPr>
        <w:suppressAutoHyphens/>
        <w:rPr>
          <w:rFonts w:eastAsia="Calibri" w:cs="Arial"/>
          <w:color w:val="FF0000"/>
          <w:kern w:val="2"/>
          <w:sz w:val="24"/>
          <w:szCs w:val="24"/>
          <w14:ligatures w14:val="standardContextual"/>
        </w:rPr>
      </w:pPr>
    </w:p>
    <w:p w:rsidR="001A09F4" w:rsidRPr="001A09F4" w:rsidRDefault="001A09F4" w:rsidP="001A09F4">
      <w:pPr>
        <w:suppressAutoHyphens/>
        <w:rPr>
          <w:rFonts w:eastAsia="Calibri" w:cs="Arial"/>
          <w:b/>
          <w:kern w:val="2"/>
          <w:sz w:val="24"/>
          <w:szCs w:val="24"/>
          <w14:ligatures w14:val="standardContextual"/>
        </w:rPr>
      </w:pPr>
      <w:r w:rsidRPr="001A09F4">
        <w:rPr>
          <w:rFonts w:eastAsia="Calibri" w:cs="Arial"/>
          <w:b/>
          <w:kern w:val="2"/>
          <w:sz w:val="24"/>
          <w:szCs w:val="24"/>
          <w14:ligatures w14:val="standardContextual"/>
        </w:rPr>
        <w:t>Decreto legislativo</w:t>
      </w:r>
    </w:p>
    <w:p w:rsidR="001A09F4" w:rsidRPr="001A09F4" w:rsidRDefault="001A09F4" w:rsidP="001A09F4">
      <w:pPr>
        <w:suppressAutoHyphens/>
        <w:rPr>
          <w:rFonts w:eastAsia="Calibri" w:cs="Arial"/>
          <w:b/>
          <w:bCs/>
          <w:kern w:val="2"/>
          <w:sz w:val="24"/>
          <w:szCs w:val="24"/>
          <w14:ligatures w14:val="standardContextual"/>
        </w:rPr>
      </w:pPr>
      <w:r w:rsidRPr="001A09F4">
        <w:rPr>
          <w:rFonts w:eastAsia="Calibri" w:cs="Arial"/>
          <w:b/>
          <w:bCs/>
          <w:kern w:val="2"/>
          <w:sz w:val="24"/>
          <w:szCs w:val="24"/>
          <w14:ligatures w14:val="standardContextual"/>
        </w:rPr>
        <w:t>sull’iniziativa popolare legislativa elaborata del 29 agosto 2022 denominata "Basta spennare il cittadino, cassa malati deducibile integralmente”</w:t>
      </w: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del ....................</w:t>
      </w:r>
    </w:p>
    <w:p w:rsidR="001A09F4" w:rsidRPr="001A09F4" w:rsidRDefault="001A09F4" w:rsidP="001A09F4">
      <w:pPr>
        <w:suppressAutoHyphens/>
        <w:rPr>
          <w:rFonts w:eastAsia="Calibri" w:cs="Arial"/>
          <w:kern w:val="2"/>
          <w:sz w:val="24"/>
          <w:szCs w:val="24"/>
          <w14:ligatures w14:val="standardContextual"/>
        </w:rPr>
      </w:pP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IL GRAN CONSIGLIO</w:t>
      </w: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DELLA REPUBBLICA E CANTONE TICINO</w:t>
      </w:r>
    </w:p>
    <w:p w:rsidR="001A09F4" w:rsidRPr="001A09F4" w:rsidRDefault="001A09F4" w:rsidP="001A09F4">
      <w:pPr>
        <w:suppressAutoHyphens/>
        <w:rPr>
          <w:rFonts w:eastAsia="Calibri" w:cs="Arial"/>
          <w:kern w:val="2"/>
          <w:sz w:val="24"/>
          <w:szCs w:val="24"/>
          <w14:ligatures w14:val="standardContextual"/>
        </w:rPr>
      </w:pP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vista l’iniziativa popolare legislativa elaborata del 29 agosto 2022 denominata "Basta spennare il cittadino, cassa malati deducibile integralmente”;</w:t>
      </w: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vista la decisione del Gran Consiglio del .14 marzo 2023 sulla ricevibilità dell’iniziativa;</w:t>
      </w: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visto il messaggio del Consiglio di Stato n. 8573 del 14 maggio 2025;</w:t>
      </w: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 xml:space="preserve">visto il rapporto di minoranza </w:t>
      </w:r>
      <w:r w:rsidR="00454768" w:rsidRPr="00F04E29">
        <w:rPr>
          <w:rFonts w:eastAsia="Calibri" w:cs="Arial"/>
          <w:kern w:val="2"/>
          <w:sz w:val="24"/>
          <w:szCs w:val="24"/>
          <w14:ligatures w14:val="standardContextual"/>
        </w:rPr>
        <w:t>2</w:t>
      </w:r>
      <w:r w:rsidR="00454768" w:rsidRPr="00F04E29">
        <w:rPr>
          <w:rFonts w:eastAsia="Calibri" w:cs="Arial"/>
          <w:color w:val="FF0000"/>
          <w:kern w:val="2"/>
          <w:sz w:val="24"/>
          <w:szCs w:val="24"/>
          <w14:ligatures w14:val="standardContextual"/>
        </w:rPr>
        <w:t xml:space="preserve"> </w:t>
      </w:r>
      <w:r w:rsidRPr="001A09F4">
        <w:rPr>
          <w:rFonts w:eastAsia="Calibri" w:cs="Arial"/>
          <w:kern w:val="2"/>
          <w:sz w:val="24"/>
          <w:szCs w:val="24"/>
          <w14:ligatures w14:val="standardContextual"/>
        </w:rPr>
        <w:t>della Commissione gestione e finanze n. 8573R</w:t>
      </w:r>
      <w:r w:rsidR="00454768" w:rsidRPr="00F04E29">
        <w:rPr>
          <w:rFonts w:eastAsia="Calibri" w:cs="Arial"/>
          <w:kern w:val="2"/>
          <w:sz w:val="24"/>
          <w:szCs w:val="24"/>
          <w14:ligatures w14:val="standardContextual"/>
        </w:rPr>
        <w:t>2-2 del 3 giugno</w:t>
      </w:r>
      <w:r w:rsidRPr="001A09F4">
        <w:rPr>
          <w:rFonts w:eastAsia="Calibri" w:cs="Arial"/>
          <w:kern w:val="2"/>
          <w:sz w:val="24"/>
          <w:szCs w:val="24"/>
          <w14:ligatures w14:val="standardContextual"/>
        </w:rPr>
        <w:t xml:space="preserve"> 2025,</w:t>
      </w:r>
    </w:p>
    <w:p w:rsidR="001A09F4" w:rsidRPr="001A09F4" w:rsidRDefault="001A09F4" w:rsidP="001A09F4">
      <w:pPr>
        <w:suppressAutoHyphens/>
        <w:rPr>
          <w:rFonts w:eastAsia="Calibri" w:cs="Arial"/>
          <w:kern w:val="2"/>
          <w:sz w:val="24"/>
          <w:szCs w:val="24"/>
          <w14:ligatures w14:val="standardContextual"/>
        </w:rPr>
      </w:pP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decreta:</w:t>
      </w:r>
    </w:p>
    <w:p w:rsidR="001A09F4" w:rsidRPr="001A09F4" w:rsidRDefault="001A09F4" w:rsidP="001A09F4">
      <w:pPr>
        <w:suppressAutoHyphens/>
        <w:rPr>
          <w:rFonts w:eastAsia="Calibri" w:cs="Arial"/>
          <w:kern w:val="2"/>
          <w:sz w:val="24"/>
          <w:szCs w:val="24"/>
          <w14:ligatures w14:val="standardContextual"/>
        </w:rPr>
      </w:pPr>
    </w:p>
    <w:p w:rsidR="001A09F4" w:rsidRPr="001A09F4" w:rsidRDefault="001A09F4" w:rsidP="001A09F4">
      <w:pPr>
        <w:suppressAutoHyphens/>
        <w:rPr>
          <w:rFonts w:eastAsia="Calibri" w:cs="Arial"/>
          <w:b/>
          <w:bCs/>
          <w:kern w:val="2"/>
          <w:sz w:val="24"/>
          <w:szCs w:val="24"/>
          <w:lang w:val="it-IT"/>
          <w14:ligatures w14:val="standardContextual"/>
        </w:rPr>
      </w:pPr>
      <w:r w:rsidRPr="001A09F4">
        <w:rPr>
          <w:rFonts w:eastAsia="Calibri" w:cs="Arial"/>
          <w:b/>
          <w:bCs/>
          <w:kern w:val="2"/>
          <w:sz w:val="24"/>
          <w:szCs w:val="24"/>
          <w:lang w:val="it-IT"/>
          <w14:ligatures w14:val="standardContextual"/>
        </w:rPr>
        <w:t>I</w:t>
      </w:r>
    </w:p>
    <w:p w:rsidR="001A09F4" w:rsidRPr="001A09F4" w:rsidRDefault="001A09F4" w:rsidP="001A09F4">
      <w:pPr>
        <w:suppressAutoHyphens/>
        <w:rPr>
          <w:rFonts w:eastAsia="Calibri" w:cs="Arial"/>
          <w:kern w:val="2"/>
          <w:sz w:val="24"/>
          <w:szCs w:val="24"/>
          <w:lang w:val="it-IT"/>
          <w14:ligatures w14:val="standardContextual"/>
        </w:rPr>
      </w:pPr>
      <w:r w:rsidRPr="001A09F4">
        <w:rPr>
          <w:rFonts w:eastAsia="Calibri" w:cs="Arial"/>
          <w:kern w:val="2"/>
          <w:sz w:val="24"/>
          <w:szCs w:val="24"/>
          <w:lang w:val="it-IT"/>
          <w14:ligatures w14:val="standardContextual"/>
        </w:rPr>
        <w:t>L’iniziativa popolare ha il tenore seguente.</w:t>
      </w:r>
    </w:p>
    <w:p w:rsidR="001A09F4" w:rsidRPr="001A09F4" w:rsidRDefault="001A09F4" w:rsidP="001A09F4">
      <w:pPr>
        <w:suppressAutoHyphens/>
        <w:rPr>
          <w:rFonts w:eastAsia="Calibri" w:cs="Arial"/>
          <w:kern w:val="2"/>
          <w:sz w:val="24"/>
          <w:szCs w:val="24"/>
          <w:lang w:val="it-IT"/>
          <w14:ligatures w14:val="standardContextual"/>
        </w:rPr>
      </w:pPr>
    </w:p>
    <w:p w:rsidR="001A09F4" w:rsidRPr="001A09F4" w:rsidRDefault="001A09F4" w:rsidP="001A09F4">
      <w:pPr>
        <w:suppressAutoHyphens/>
        <w:rPr>
          <w:rFonts w:eastAsia="Calibri" w:cs="Arial"/>
          <w:kern w:val="2"/>
          <w:sz w:val="24"/>
          <w:szCs w:val="24"/>
          <w:lang w:val="it-IT"/>
          <w14:ligatures w14:val="standardContextual"/>
        </w:rPr>
      </w:pPr>
      <w:r w:rsidRPr="001A09F4">
        <w:rPr>
          <w:rFonts w:eastAsia="Calibri" w:cs="Arial"/>
          <w:kern w:val="2"/>
          <w:sz w:val="24"/>
          <w:szCs w:val="24"/>
          <w:lang w:val="it-IT"/>
          <w14:ligatures w14:val="standardContextual"/>
        </w:rPr>
        <w:t>La legge tributaria del 21 giugno 1994 (LT) è modificata come segue:</w:t>
      </w:r>
    </w:p>
    <w:p w:rsidR="001A09F4" w:rsidRPr="001A09F4" w:rsidRDefault="001A09F4" w:rsidP="001A09F4">
      <w:pPr>
        <w:suppressAutoHyphens/>
        <w:rPr>
          <w:rFonts w:eastAsia="Calibri" w:cs="Arial"/>
          <w:kern w:val="2"/>
          <w:sz w:val="24"/>
          <w:szCs w:val="24"/>
          <w:lang w:val="it-IT"/>
          <w14:ligatures w14:val="standardContextual"/>
        </w:rPr>
      </w:pPr>
    </w:p>
    <w:p w:rsidR="001A09F4" w:rsidRPr="001A09F4" w:rsidRDefault="001A09F4" w:rsidP="001A09F4">
      <w:pPr>
        <w:suppressAutoHyphens/>
        <w:rPr>
          <w:rFonts w:eastAsia="Calibri" w:cs="Arial"/>
          <w:b/>
          <w:bCs/>
          <w:kern w:val="2"/>
          <w:sz w:val="24"/>
          <w:szCs w:val="24"/>
          <w:lang w:val="it-IT"/>
          <w14:ligatures w14:val="standardContextual"/>
        </w:rPr>
      </w:pPr>
      <w:r w:rsidRPr="001A09F4">
        <w:rPr>
          <w:rFonts w:eastAsia="Calibri" w:cs="Arial"/>
          <w:b/>
          <w:bCs/>
          <w:kern w:val="2"/>
          <w:sz w:val="24"/>
          <w:szCs w:val="24"/>
          <w:lang w:val="it-IT"/>
          <w14:ligatures w14:val="standardContextual"/>
        </w:rPr>
        <w:t>Art. 32 cpv. 1 lett. g</w:t>
      </w:r>
    </w:p>
    <w:p w:rsidR="001A09F4" w:rsidRPr="001A09F4" w:rsidRDefault="001A09F4" w:rsidP="001A09F4">
      <w:pPr>
        <w:suppressAutoHyphens/>
        <w:rPr>
          <w:rFonts w:eastAsia="Calibri" w:cs="Arial"/>
          <w:kern w:val="2"/>
          <w:sz w:val="24"/>
          <w:szCs w:val="24"/>
          <w:lang w:val="it-IT"/>
          <w14:ligatures w14:val="standardContextual"/>
        </w:rPr>
      </w:pPr>
      <w:r w:rsidRPr="001A09F4">
        <w:rPr>
          <w:rFonts w:eastAsia="Calibri" w:cs="Arial"/>
          <w:kern w:val="2"/>
          <w:sz w:val="24"/>
          <w:szCs w:val="24"/>
          <w:vertAlign w:val="superscript"/>
          <w:lang w:val="it-IT"/>
          <w14:ligatures w14:val="standardContextual"/>
        </w:rPr>
        <w:t>1</w:t>
      </w:r>
      <w:r w:rsidRPr="001A09F4">
        <w:rPr>
          <w:rFonts w:eastAsia="Calibri" w:cs="Arial"/>
          <w:kern w:val="2"/>
          <w:sz w:val="24"/>
          <w:szCs w:val="24"/>
          <w:lang w:val="it-IT"/>
          <w14:ligatures w14:val="standardContextual"/>
        </w:rPr>
        <w:t>Sono dedotti dai proventi:</w:t>
      </w:r>
    </w:p>
    <w:p w:rsidR="001A09F4" w:rsidRPr="001A09F4" w:rsidRDefault="001A09F4" w:rsidP="001A09F4">
      <w:pPr>
        <w:suppressAutoHyphens/>
        <w:rPr>
          <w:rFonts w:eastAsia="Calibri" w:cs="Arial"/>
          <w:kern w:val="2"/>
          <w:sz w:val="24"/>
          <w:szCs w:val="24"/>
          <w:lang w:val="it-IT"/>
          <w14:ligatures w14:val="standardContextual"/>
        </w:rPr>
      </w:pPr>
      <w:r w:rsidRPr="001A09F4">
        <w:rPr>
          <w:rFonts w:eastAsia="Calibri" w:cs="Arial"/>
          <w:kern w:val="2"/>
          <w:sz w:val="24"/>
          <w:szCs w:val="24"/>
          <w:lang w:val="it-IT"/>
          <w14:ligatures w14:val="standardContextual"/>
        </w:rPr>
        <w:t>(…)</w:t>
      </w:r>
    </w:p>
    <w:p w:rsidR="001A09F4" w:rsidRPr="001A09F4" w:rsidRDefault="001A09F4" w:rsidP="001A09F4">
      <w:pPr>
        <w:suppressAutoHyphens/>
        <w:rPr>
          <w:rFonts w:eastAsia="Calibri" w:cs="Arial"/>
          <w:b/>
          <w:bCs/>
          <w:kern w:val="2"/>
          <w:sz w:val="24"/>
          <w:szCs w:val="24"/>
          <w:lang w:val="it-IT"/>
          <w14:ligatures w14:val="standardContextual"/>
        </w:rPr>
      </w:pPr>
      <w:r w:rsidRPr="001A09F4">
        <w:rPr>
          <w:rFonts w:eastAsia="Calibri" w:cs="Arial"/>
          <w:kern w:val="2"/>
          <w:sz w:val="24"/>
          <w:szCs w:val="24"/>
          <w:lang w:val="it-IT"/>
          <w14:ligatures w14:val="standardContextual"/>
        </w:rPr>
        <w:t>g) i versamenti, premi e contributi per assicurazioni sulla vita, contro le malattie e, in quanto non compresi sotto la lettera f), contro gli infortuni, nonché gli interessi dei capitali a risparmio del contribuente e delle persone al cui sostentamento egli provvede, fino a concorrenza di una somma globale di 18’000 franchi per i coniugi che vivono in comunione domestica e di 9’000 franchi per gli altri contribuenti; per i contribuenti che non versano contributi alle istituzioni di previdenza professionale e a forme riconosciute della previdenza individuale vincolata queste somme sono aumentate di 4'300 franchi per i coniugi che vivono in comunione domestica e di 2'200 franchi per gli altri contribuenti;</w:t>
      </w:r>
    </w:p>
    <w:p w:rsidR="001A09F4" w:rsidRPr="001A09F4" w:rsidRDefault="001A09F4" w:rsidP="001A09F4">
      <w:pPr>
        <w:suppressAutoHyphens/>
        <w:rPr>
          <w:rFonts w:eastAsia="Calibri" w:cs="Arial"/>
          <w:b/>
          <w:bCs/>
          <w:kern w:val="2"/>
          <w:sz w:val="24"/>
          <w:szCs w:val="24"/>
          <w:lang w:val="it-IT"/>
          <w14:ligatures w14:val="standardContextual"/>
        </w:rPr>
      </w:pPr>
    </w:p>
    <w:p w:rsidR="001A09F4" w:rsidRPr="001A09F4" w:rsidRDefault="001A09F4" w:rsidP="001A09F4">
      <w:pPr>
        <w:suppressAutoHyphens/>
        <w:rPr>
          <w:rFonts w:eastAsia="Calibri" w:cs="Arial"/>
          <w:b/>
          <w:bCs/>
          <w:kern w:val="2"/>
          <w:sz w:val="24"/>
          <w:szCs w:val="24"/>
          <w:lang w:val="it-IT"/>
          <w14:ligatures w14:val="standardContextual"/>
        </w:rPr>
      </w:pPr>
      <w:r w:rsidRPr="001A09F4">
        <w:rPr>
          <w:rFonts w:eastAsia="Calibri" w:cs="Arial"/>
          <w:b/>
          <w:bCs/>
          <w:kern w:val="2"/>
          <w:sz w:val="24"/>
          <w:szCs w:val="24"/>
          <w:lang w:val="it-IT"/>
          <w14:ligatures w14:val="standardContextual"/>
        </w:rPr>
        <w:t>II</w:t>
      </w:r>
    </w:p>
    <w:p w:rsidR="001A09F4" w:rsidRPr="001A09F4" w:rsidRDefault="001A09F4" w:rsidP="001A09F4">
      <w:pPr>
        <w:suppressAutoHyphens/>
        <w:rPr>
          <w:rFonts w:eastAsia="Calibri" w:cs="Arial"/>
          <w:kern w:val="2"/>
          <w:sz w:val="24"/>
          <w:szCs w:val="24"/>
          <w:lang w:val="it-IT"/>
          <w14:ligatures w14:val="standardContextual"/>
        </w:rPr>
      </w:pPr>
      <w:r w:rsidRPr="001A09F4">
        <w:rPr>
          <w:rFonts w:eastAsia="Calibri" w:cs="Arial"/>
          <w:kern w:val="2"/>
          <w:sz w:val="24"/>
          <w:szCs w:val="24"/>
          <w:lang w:val="it-IT"/>
          <w14:ligatures w14:val="standardContextual"/>
        </w:rPr>
        <w:t>L'iniziativa popolare è respinta.</w:t>
      </w:r>
    </w:p>
    <w:p w:rsidR="001A09F4" w:rsidRPr="001A09F4" w:rsidRDefault="001A09F4" w:rsidP="001A09F4">
      <w:pPr>
        <w:suppressAutoHyphens/>
        <w:rPr>
          <w:rFonts w:eastAsia="Calibri" w:cs="Arial"/>
          <w:bCs/>
          <w:kern w:val="2"/>
          <w:sz w:val="24"/>
          <w:szCs w:val="24"/>
          <w:lang w:val="it-IT"/>
          <w14:ligatures w14:val="standardContextual"/>
        </w:rPr>
      </w:pPr>
    </w:p>
    <w:p w:rsidR="001A09F4" w:rsidRPr="001A09F4" w:rsidRDefault="001A09F4" w:rsidP="001A09F4">
      <w:pPr>
        <w:suppressAutoHyphens/>
        <w:rPr>
          <w:rFonts w:eastAsia="Calibri" w:cs="Arial"/>
          <w:b/>
          <w:bCs/>
          <w:kern w:val="2"/>
          <w:sz w:val="24"/>
          <w:szCs w:val="24"/>
          <w:lang w:val="it-IT"/>
          <w14:ligatures w14:val="standardContextual"/>
        </w:rPr>
      </w:pPr>
      <w:r w:rsidRPr="001A09F4">
        <w:rPr>
          <w:rFonts w:eastAsia="Calibri" w:cs="Arial"/>
          <w:b/>
          <w:bCs/>
          <w:kern w:val="2"/>
          <w:sz w:val="24"/>
          <w:szCs w:val="24"/>
          <w:lang w:val="it-IT"/>
          <w14:ligatures w14:val="standardContextual"/>
        </w:rPr>
        <w:t>III</w:t>
      </w:r>
    </w:p>
    <w:p w:rsidR="001A09F4" w:rsidRPr="001A09F4" w:rsidRDefault="001A09F4" w:rsidP="001A09F4">
      <w:pPr>
        <w:suppressAutoHyphens/>
        <w:rPr>
          <w:rFonts w:eastAsia="Calibri" w:cs="Arial"/>
          <w:bCs/>
          <w:kern w:val="2"/>
          <w:sz w:val="24"/>
          <w:szCs w:val="24"/>
          <w:lang w:val="it-IT"/>
          <w14:ligatures w14:val="standardContextual"/>
        </w:rPr>
      </w:pPr>
      <w:r w:rsidRPr="001A09F4">
        <w:rPr>
          <w:rFonts w:eastAsia="Calibri" w:cs="Arial"/>
          <w:bCs/>
          <w:kern w:val="2"/>
          <w:sz w:val="24"/>
          <w:szCs w:val="24"/>
          <w:lang w:val="it-IT"/>
          <w14:ligatures w14:val="standardContextual"/>
        </w:rPr>
        <w:t>È elaborato il controprogetto seguente.</w:t>
      </w:r>
    </w:p>
    <w:p w:rsidR="001A09F4" w:rsidRPr="001A09F4" w:rsidRDefault="001A09F4" w:rsidP="001A09F4">
      <w:pPr>
        <w:suppressAutoHyphens/>
        <w:rPr>
          <w:rFonts w:eastAsia="Calibri" w:cs="Arial"/>
          <w:bCs/>
          <w:kern w:val="2"/>
          <w:sz w:val="24"/>
          <w:szCs w:val="24"/>
          <w:lang w:val="it-IT"/>
          <w14:ligatures w14:val="standardContextual"/>
        </w:rPr>
      </w:pPr>
    </w:p>
    <w:p w:rsidR="001A09F4" w:rsidRPr="001A09F4" w:rsidRDefault="001A09F4" w:rsidP="001A09F4">
      <w:pPr>
        <w:suppressAutoHyphens/>
        <w:rPr>
          <w:rFonts w:eastAsia="Calibri" w:cs="Arial"/>
          <w:bCs/>
          <w:kern w:val="2"/>
          <w:sz w:val="24"/>
          <w:szCs w:val="24"/>
          <w:lang w:val="it-IT"/>
          <w14:ligatures w14:val="standardContextual"/>
        </w:rPr>
      </w:pPr>
      <w:r w:rsidRPr="001A09F4">
        <w:rPr>
          <w:rFonts w:eastAsia="Calibri" w:cs="Arial"/>
          <w:bCs/>
          <w:kern w:val="2"/>
          <w:sz w:val="24"/>
          <w:szCs w:val="24"/>
          <w:lang w:val="it-IT"/>
          <w14:ligatures w14:val="standardContextual"/>
        </w:rPr>
        <w:t>La legge tributaria del 21 giugno 1994 (LT) è modificata come segue:</w:t>
      </w:r>
    </w:p>
    <w:p w:rsidR="001A09F4" w:rsidRPr="001A09F4" w:rsidRDefault="001A09F4" w:rsidP="001A09F4">
      <w:pPr>
        <w:suppressAutoHyphens/>
        <w:rPr>
          <w:rFonts w:eastAsia="Calibri" w:cs="Arial"/>
          <w:bCs/>
          <w:kern w:val="2"/>
          <w:sz w:val="24"/>
          <w:szCs w:val="24"/>
          <w:lang w:val="it-IT"/>
          <w14:ligatures w14:val="standardContextual"/>
        </w:rPr>
      </w:pPr>
    </w:p>
    <w:p w:rsidR="001A09F4" w:rsidRPr="001A09F4" w:rsidRDefault="001A09F4" w:rsidP="001A09F4">
      <w:pPr>
        <w:suppressAutoHyphens/>
        <w:rPr>
          <w:rFonts w:eastAsia="Calibri" w:cs="Arial"/>
          <w:b/>
          <w:bCs/>
          <w:kern w:val="2"/>
          <w:sz w:val="24"/>
          <w:szCs w:val="24"/>
          <w:lang w:val="en-US"/>
          <w14:ligatures w14:val="standardContextual"/>
        </w:rPr>
      </w:pPr>
      <w:r w:rsidRPr="001A09F4">
        <w:rPr>
          <w:rFonts w:eastAsia="Calibri" w:cs="Arial"/>
          <w:b/>
          <w:bCs/>
          <w:kern w:val="2"/>
          <w:sz w:val="24"/>
          <w:szCs w:val="24"/>
          <w:lang w:val="en-US"/>
          <w14:ligatures w14:val="standardContextual"/>
        </w:rPr>
        <w:t>Art. 32 cpv. 1 lett. g, cpv. 1</w:t>
      </w:r>
      <w:r w:rsidRPr="001A09F4">
        <w:rPr>
          <w:rFonts w:eastAsia="Calibri" w:cs="Arial"/>
          <w:b/>
          <w:bCs/>
          <w:kern w:val="2"/>
          <w:sz w:val="24"/>
          <w:szCs w:val="24"/>
          <w:vertAlign w:val="superscript"/>
          <w:lang w:val="en-US"/>
          <w14:ligatures w14:val="standardContextual"/>
        </w:rPr>
        <w:t>bis</w:t>
      </w:r>
    </w:p>
    <w:p w:rsidR="001A09F4" w:rsidRPr="001A09F4" w:rsidRDefault="001A09F4" w:rsidP="001A09F4">
      <w:pPr>
        <w:suppressAutoHyphens/>
        <w:rPr>
          <w:rFonts w:eastAsia="Calibri" w:cs="Arial"/>
          <w:kern w:val="2"/>
          <w:sz w:val="24"/>
          <w:szCs w:val="24"/>
          <w:lang w:val="it-IT"/>
          <w14:ligatures w14:val="standardContextual"/>
        </w:rPr>
      </w:pPr>
      <w:r w:rsidRPr="001A09F4">
        <w:rPr>
          <w:rFonts w:eastAsia="Calibri" w:cs="Arial"/>
          <w:kern w:val="2"/>
          <w:sz w:val="24"/>
          <w:szCs w:val="24"/>
          <w:vertAlign w:val="superscript"/>
          <w:lang w:val="it-IT"/>
          <w14:ligatures w14:val="standardContextual"/>
        </w:rPr>
        <w:t>1</w:t>
      </w:r>
      <w:r w:rsidRPr="001A09F4">
        <w:rPr>
          <w:rFonts w:eastAsia="Calibri" w:cs="Arial"/>
          <w:kern w:val="2"/>
          <w:sz w:val="24"/>
          <w:szCs w:val="24"/>
          <w:lang w:val="it-IT"/>
          <w14:ligatures w14:val="standardContextual"/>
        </w:rPr>
        <w:t>Sono dedotti dai proventi:</w:t>
      </w:r>
    </w:p>
    <w:p w:rsidR="001A09F4" w:rsidRPr="001A09F4" w:rsidRDefault="001A09F4" w:rsidP="001A09F4">
      <w:pPr>
        <w:suppressAutoHyphens/>
        <w:rPr>
          <w:rFonts w:eastAsia="Calibri" w:cs="Arial"/>
          <w:kern w:val="2"/>
          <w:sz w:val="24"/>
          <w:szCs w:val="24"/>
          <w:lang w:val="it-IT"/>
          <w14:ligatures w14:val="standardContextual"/>
        </w:rPr>
      </w:pPr>
      <w:r w:rsidRPr="001A09F4">
        <w:rPr>
          <w:rFonts w:eastAsia="Calibri" w:cs="Arial"/>
          <w:kern w:val="2"/>
          <w:sz w:val="24"/>
          <w:szCs w:val="24"/>
          <w:lang w:val="it-IT"/>
          <w14:ligatures w14:val="standardContextual"/>
        </w:rPr>
        <w:t>(…)</w:t>
      </w: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14:ligatures w14:val="standardContextual"/>
        </w:rPr>
        <w:t>g) i versamenti, premi e contributi per assicurazioni sulla vita, contro le malattie e, in quanto non compresi sotto la lettera f), contro gli infortuni, nonché gli interessi dei capitali a risparmio del contribuente e delle persone al cui sostentamento egli provvede, fino a concorrenza di una somma globale di 14'000 franchi per i coniugi che vivono in comunione domestica e di 7'000 franchi per gli altri contribuenti; per i contribuenti che non versano contributi alle istituzioni di previdenza professionale e a forme riconosciute della previdenza individuale vincolata queste somme sono aumentate di 4'500 franchi per i coniugi che vivono in comunione domestica e di 2'300 franchi per gli altri contribuenti;</w:t>
      </w:r>
    </w:p>
    <w:p w:rsidR="001A09F4" w:rsidRPr="001A09F4" w:rsidRDefault="001A09F4" w:rsidP="001A09F4">
      <w:pPr>
        <w:suppressAutoHyphens/>
        <w:rPr>
          <w:rFonts w:eastAsia="Calibri" w:cs="Arial"/>
          <w:kern w:val="2"/>
          <w:sz w:val="24"/>
          <w:szCs w:val="24"/>
          <w14:ligatures w14:val="standardContextual"/>
        </w:rPr>
      </w:pP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vertAlign w:val="superscript"/>
          <w14:ligatures w14:val="standardContextual"/>
        </w:rPr>
        <w:t>1bis</w:t>
      </w:r>
      <w:r w:rsidRPr="001A09F4">
        <w:rPr>
          <w:rFonts w:eastAsia="Calibri" w:cs="Arial"/>
          <w:kern w:val="2"/>
          <w:sz w:val="24"/>
          <w:szCs w:val="24"/>
          <w14:ligatures w14:val="standardContextual"/>
        </w:rPr>
        <w:t>Le deduzioni di cui al capoverso 1 lettera g) sono aumentate di:</w:t>
      </w:r>
    </w:p>
    <w:p w:rsidR="001A09F4" w:rsidRPr="001A09F4" w:rsidRDefault="001A09F4" w:rsidP="001A09F4">
      <w:pPr>
        <w:numPr>
          <w:ilvl w:val="0"/>
          <w:numId w:val="21"/>
        </w:numPr>
        <w:suppressAutoHyphens/>
        <w:jc w:val="left"/>
        <w:rPr>
          <w:rFonts w:eastAsia="Calibri" w:cs="Arial"/>
          <w:kern w:val="2"/>
          <w:sz w:val="24"/>
          <w:szCs w:val="24"/>
          <w14:ligatures w14:val="standardContextual"/>
        </w:rPr>
      </w:pPr>
      <w:r w:rsidRPr="001A09F4">
        <w:rPr>
          <w:rFonts w:eastAsia="Calibri" w:cs="Arial"/>
          <w:kern w:val="2"/>
          <w:sz w:val="24"/>
          <w:szCs w:val="24"/>
          <w14:ligatures w14:val="standardContextual"/>
        </w:rPr>
        <w:t>1’200 franchi per ogni figlio o persona bisognosa minorenne al cui sostentamento il contribuente provvede;</w:t>
      </w:r>
    </w:p>
    <w:p w:rsidR="001A09F4" w:rsidRPr="001A09F4" w:rsidRDefault="001A09F4" w:rsidP="001A09F4">
      <w:pPr>
        <w:numPr>
          <w:ilvl w:val="0"/>
          <w:numId w:val="21"/>
        </w:numPr>
        <w:suppressAutoHyphens/>
        <w:jc w:val="left"/>
        <w:rPr>
          <w:rFonts w:eastAsia="Calibri" w:cs="Arial"/>
          <w:kern w:val="2"/>
          <w:sz w:val="24"/>
          <w:szCs w:val="24"/>
          <w14:ligatures w14:val="standardContextual"/>
        </w:rPr>
      </w:pPr>
      <w:r w:rsidRPr="001A09F4">
        <w:rPr>
          <w:rFonts w:eastAsia="Calibri" w:cs="Arial"/>
          <w:kern w:val="2"/>
          <w:sz w:val="24"/>
          <w:szCs w:val="24"/>
          <w14:ligatures w14:val="standardContextual"/>
        </w:rPr>
        <w:t xml:space="preserve">3'000 franchi per ogni figlio o persona bisogna di età compresa tra 18 e 25 anni al cui sostentamento il contribuente provvede. </w:t>
      </w:r>
    </w:p>
    <w:p w:rsidR="001A09F4" w:rsidRPr="001A09F4" w:rsidRDefault="001A09F4" w:rsidP="001A09F4">
      <w:pPr>
        <w:suppressAutoHyphens/>
        <w:rPr>
          <w:rFonts w:eastAsia="Calibri" w:cs="Arial"/>
          <w:b/>
          <w:bCs/>
          <w:kern w:val="2"/>
          <w:sz w:val="24"/>
          <w:szCs w:val="24"/>
          <w:lang w:val="it-IT"/>
          <w14:ligatures w14:val="standardContextual"/>
        </w:rPr>
      </w:pPr>
    </w:p>
    <w:p w:rsidR="001A09F4" w:rsidRPr="001A09F4" w:rsidRDefault="001A09F4" w:rsidP="001A09F4">
      <w:pPr>
        <w:suppressAutoHyphens/>
        <w:rPr>
          <w:rFonts w:eastAsia="Calibri" w:cs="Arial"/>
          <w:b/>
          <w:kern w:val="2"/>
          <w:sz w:val="24"/>
          <w:szCs w:val="24"/>
          <w:lang w:val="it-IT"/>
          <w14:ligatures w14:val="standardContextual"/>
        </w:rPr>
      </w:pPr>
      <w:r w:rsidRPr="001A09F4">
        <w:rPr>
          <w:rFonts w:eastAsia="Calibri" w:cs="Arial"/>
          <w:b/>
          <w:kern w:val="2"/>
          <w:sz w:val="24"/>
          <w:szCs w:val="24"/>
          <w:lang w:val="it-IT"/>
          <w14:ligatures w14:val="standardContextual"/>
        </w:rPr>
        <w:t>IV</w:t>
      </w:r>
    </w:p>
    <w:p w:rsidR="001A09F4" w:rsidRPr="001A09F4" w:rsidRDefault="001A09F4" w:rsidP="001A09F4">
      <w:pPr>
        <w:suppressAutoHyphens/>
        <w:rPr>
          <w:rFonts w:eastAsia="Calibri" w:cs="Arial"/>
          <w:kern w:val="2"/>
          <w:sz w:val="24"/>
          <w:szCs w:val="24"/>
          <w:lang w:val="it-IT"/>
          <w14:ligatures w14:val="standardContextual"/>
        </w:rPr>
      </w:pPr>
      <w:r w:rsidRPr="001A09F4">
        <w:rPr>
          <w:rFonts w:eastAsia="Calibri" w:cs="Arial"/>
          <w:kern w:val="2"/>
          <w:sz w:val="24"/>
          <w:szCs w:val="24"/>
          <w:lang w:val="it-IT"/>
          <w14:ligatures w14:val="standardContextual"/>
        </w:rPr>
        <w:t>È raccomandato al popolo di respingere l’iniziativa popolare e di accogliere il controprogetto.</w:t>
      </w:r>
    </w:p>
    <w:p w:rsidR="001A09F4" w:rsidRPr="001A09F4" w:rsidRDefault="001A09F4" w:rsidP="001A09F4">
      <w:pPr>
        <w:suppressAutoHyphens/>
        <w:rPr>
          <w:rFonts w:eastAsia="Calibri" w:cs="Arial"/>
          <w:kern w:val="2"/>
          <w:sz w:val="24"/>
          <w:szCs w:val="24"/>
          <w:lang w:val="it-IT"/>
          <w14:ligatures w14:val="standardContextual"/>
        </w:rPr>
      </w:pPr>
    </w:p>
    <w:p w:rsidR="001A09F4" w:rsidRPr="001A09F4" w:rsidRDefault="001A09F4" w:rsidP="001A09F4">
      <w:pPr>
        <w:suppressAutoHyphens/>
        <w:rPr>
          <w:rFonts w:eastAsia="Calibri" w:cs="Arial"/>
          <w:b/>
          <w:kern w:val="2"/>
          <w:sz w:val="24"/>
          <w:szCs w:val="24"/>
          <w:lang w:val="it-IT"/>
          <w14:ligatures w14:val="standardContextual"/>
        </w:rPr>
      </w:pPr>
      <w:r w:rsidRPr="001A09F4">
        <w:rPr>
          <w:rFonts w:eastAsia="Calibri" w:cs="Arial"/>
          <w:b/>
          <w:kern w:val="2"/>
          <w:sz w:val="24"/>
          <w:szCs w:val="24"/>
          <w:lang w:val="it-IT"/>
          <w14:ligatures w14:val="standardContextual"/>
        </w:rPr>
        <w:t>V</w:t>
      </w:r>
    </w:p>
    <w:p w:rsidR="001A09F4" w:rsidRPr="001A09F4" w:rsidRDefault="001A09F4" w:rsidP="001A09F4">
      <w:pPr>
        <w:suppressAutoHyphens/>
        <w:rPr>
          <w:rFonts w:eastAsia="Calibri" w:cs="Arial"/>
          <w:kern w:val="2"/>
          <w:sz w:val="24"/>
          <w:szCs w:val="24"/>
          <w:lang w:val="it-IT"/>
          <w14:ligatures w14:val="standardContextual"/>
        </w:rPr>
      </w:pPr>
      <w:r w:rsidRPr="001A09F4">
        <w:rPr>
          <w:rFonts w:eastAsia="Calibri" w:cs="Arial"/>
          <w:kern w:val="2"/>
          <w:sz w:val="24"/>
          <w:szCs w:val="24"/>
          <w:lang w:val="it-IT"/>
          <w14:ligatures w14:val="standardContextual"/>
        </w:rPr>
        <w:t>Il Consiglio di Stato stabilisce l’entrata in vigore della legge.</w:t>
      </w:r>
    </w:p>
    <w:p w:rsidR="001A09F4" w:rsidRPr="001A09F4" w:rsidRDefault="001A09F4" w:rsidP="001A09F4">
      <w:pPr>
        <w:suppressAutoHyphens/>
        <w:rPr>
          <w:rFonts w:eastAsia="Calibri" w:cs="Arial"/>
          <w:kern w:val="2"/>
          <w:sz w:val="24"/>
          <w:szCs w:val="24"/>
          <w:lang w:val="it-IT"/>
          <w14:ligatures w14:val="standardContextual"/>
        </w:rPr>
      </w:pPr>
    </w:p>
    <w:p w:rsidR="001A09F4" w:rsidRPr="001A09F4" w:rsidRDefault="001A09F4" w:rsidP="001A09F4">
      <w:pPr>
        <w:suppressAutoHyphens/>
        <w:rPr>
          <w:rFonts w:eastAsia="Calibri" w:cs="Arial"/>
          <w:b/>
          <w:kern w:val="2"/>
          <w:sz w:val="24"/>
          <w:szCs w:val="24"/>
          <w14:ligatures w14:val="standardContextual"/>
        </w:rPr>
      </w:pPr>
      <w:r w:rsidRPr="001A09F4">
        <w:rPr>
          <w:rFonts w:eastAsia="Calibri" w:cs="Arial"/>
          <w:b/>
          <w:kern w:val="2"/>
          <w:sz w:val="24"/>
          <w:szCs w:val="24"/>
          <w:lang w:val="it-IT"/>
          <w14:ligatures w14:val="standardContextual"/>
        </w:rPr>
        <w:t>VI</w:t>
      </w: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vertAlign w:val="superscript"/>
          <w14:ligatures w14:val="standardContextual"/>
        </w:rPr>
        <w:t>1</w:t>
      </w:r>
      <w:r w:rsidRPr="001A09F4">
        <w:rPr>
          <w:rFonts w:eastAsia="Calibri" w:cs="Arial"/>
          <w:kern w:val="2"/>
          <w:sz w:val="24"/>
          <w:szCs w:val="24"/>
          <w14:ligatures w14:val="standardContextual"/>
        </w:rPr>
        <w:t>L’iniziativa popolare può essere ritirata dai promotori entro 10 giorni.</w:t>
      </w:r>
    </w:p>
    <w:p w:rsidR="001A09F4" w:rsidRPr="001A09F4" w:rsidRDefault="001A09F4" w:rsidP="001A09F4">
      <w:pPr>
        <w:suppressAutoHyphens/>
        <w:rPr>
          <w:rFonts w:eastAsia="Calibri" w:cs="Arial"/>
          <w:kern w:val="2"/>
          <w:sz w:val="24"/>
          <w:szCs w:val="24"/>
          <w14:ligatures w14:val="standardContextual"/>
        </w:rPr>
      </w:pPr>
      <w:r w:rsidRPr="001A09F4">
        <w:rPr>
          <w:rFonts w:eastAsia="Calibri" w:cs="Arial"/>
          <w:kern w:val="2"/>
          <w:sz w:val="24"/>
          <w:szCs w:val="24"/>
          <w:vertAlign w:val="superscript"/>
          <w14:ligatures w14:val="standardContextual"/>
        </w:rPr>
        <w:t>2</w:t>
      </w:r>
      <w:r w:rsidRPr="001A09F4">
        <w:rPr>
          <w:rFonts w:eastAsia="Calibri" w:cs="Arial"/>
          <w:kern w:val="2"/>
          <w:sz w:val="24"/>
          <w:szCs w:val="24"/>
          <w14:ligatures w14:val="standardContextual"/>
        </w:rPr>
        <w:t>In caso di ritiro la legge sottostà a referendum facoltativo.</w:t>
      </w:r>
    </w:p>
    <w:p w:rsidR="001A09F4" w:rsidRPr="001A09F4" w:rsidRDefault="001A09F4" w:rsidP="001A09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rPr>
          <w:rFonts w:eastAsia="Calibri" w:cs="Arial"/>
          <w:b/>
          <w:bCs/>
          <w:color w:val="000000"/>
          <w:sz w:val="24"/>
          <w:szCs w:val="24"/>
          <w14:ligatures w14:val="standardContextual"/>
        </w:rPr>
      </w:pPr>
    </w:p>
    <w:p w:rsidR="00D20F34" w:rsidRPr="0031191B" w:rsidRDefault="00D20F34" w:rsidP="00D20F34">
      <w:pPr>
        <w:rPr>
          <w:rFonts w:eastAsia="Times New Roman" w:cs="Arial"/>
          <w:lang w:eastAsia="it-CH"/>
        </w:rPr>
      </w:pPr>
    </w:p>
    <w:sectPr w:rsidR="00D20F34" w:rsidRPr="0031191B" w:rsidSect="00894B5C">
      <w:headerReference w:type="default" r:id="rId12"/>
      <w:footerReference w:type="default" r:id="rId13"/>
      <w:headerReference w:type="first" r:id="rId14"/>
      <w:footerReference w:type="first" r:id="rId15"/>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B5C" w:rsidRDefault="00894B5C" w:rsidP="00F657BF">
      <w:r>
        <w:separator/>
      </w:r>
    </w:p>
  </w:endnote>
  <w:endnote w:type="continuationSeparator" w:id="0">
    <w:p w:rsidR="00894B5C" w:rsidRDefault="00894B5C"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ill Alt One MT Light">
    <w:altName w:val="Calibri"/>
    <w:panose1 w:val="020B0302020104020203"/>
    <w:charset w:val="00"/>
    <w:family w:val="swiss"/>
    <w:pitch w:val="variable"/>
    <w:sig w:usb0="00000003" w:usb1="00000000" w:usb2="00000000" w:usb3="00000000" w:csb0="00000001" w:csb1="00000000"/>
  </w:font>
  <w:font w:name="Gill Sans MT Pro Light">
    <w:altName w:val="Segoe UI Semilight"/>
    <w:panose1 w:val="020B0302020104020203"/>
    <w:charset w:val="00"/>
    <w:family w:val="swiss"/>
    <w:pitch w:val="variable"/>
    <w:sig w:usb0="A00000AF" w:usb1="4000205A" w:usb2="00000000" w:usb3="00000000" w:csb0="00000093" w:csb1="00000000"/>
  </w:font>
  <w:font w:name="Gill Sans Display MT Pro BdCn">
    <w:altName w:val="Franklin Gothic Demi Cond"/>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894B5C" w:rsidRPr="003D1008" w:rsidTr="00894B5C">
      <w:trPr>
        <w:trHeight w:hRule="exact" w:val="737"/>
      </w:trPr>
      <w:tc>
        <w:tcPr>
          <w:tcW w:w="4695" w:type="dxa"/>
        </w:tcPr>
        <w:p w:rsidR="00894B5C" w:rsidRPr="003D1008" w:rsidRDefault="00894B5C" w:rsidP="00894B5C">
          <w:pPr>
            <w:tabs>
              <w:tab w:val="center" w:pos="2382"/>
            </w:tabs>
          </w:pPr>
        </w:p>
      </w:tc>
      <w:tc>
        <w:tcPr>
          <w:tcW w:w="721" w:type="dxa"/>
        </w:tcPr>
        <w:p w:rsidR="00894B5C" w:rsidRPr="003D1008" w:rsidRDefault="00894B5C" w:rsidP="00894B5C">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894B5C" w:rsidRPr="003D1008" w:rsidRDefault="00894B5C" w:rsidP="00894B5C">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894B5C" w:rsidRPr="003D1008" w:rsidRDefault="00894B5C" w:rsidP="00894B5C"/>
      </w:tc>
    </w:tr>
  </w:tbl>
  <w:p w:rsidR="00894B5C" w:rsidRDefault="00894B5C" w:rsidP="00894B5C">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B5C" w:rsidRDefault="00894B5C">
    <w:pPr>
      <w:pStyle w:val="Pidipagina"/>
      <w:jc w:val="center"/>
    </w:pPr>
  </w:p>
  <w:p w:rsidR="00894B5C" w:rsidRPr="008C6C46" w:rsidRDefault="00894B5C" w:rsidP="00894B5C">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B5C" w:rsidRDefault="00894B5C" w:rsidP="00F657BF">
      <w:r>
        <w:separator/>
      </w:r>
    </w:p>
  </w:footnote>
  <w:footnote w:type="continuationSeparator" w:id="0">
    <w:p w:rsidR="00894B5C" w:rsidRDefault="00894B5C"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894B5C" w:rsidRPr="002747E7" w:rsidTr="00894B5C">
      <w:trPr>
        <w:trHeight w:val="562"/>
      </w:trPr>
      <w:tc>
        <w:tcPr>
          <w:tcW w:w="8383" w:type="dxa"/>
          <w:tcBorders>
            <w:left w:val="single" w:sz="4" w:space="0" w:color="auto"/>
            <w:bottom w:val="single" w:sz="4" w:space="0" w:color="auto"/>
          </w:tcBorders>
          <w:tcMar>
            <w:left w:w="142" w:type="dxa"/>
          </w:tcMar>
          <w:vAlign w:val="bottom"/>
        </w:tcPr>
        <w:p w:rsidR="00894B5C" w:rsidRDefault="00F564B6" w:rsidP="00894B5C">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5303B76F-F26B-4838-B0D9-4DE1E8A20D10}"/>
              <w:text w:multiLine="1"/>
            </w:sdtPr>
            <w:sdtEndPr/>
            <w:sdtContent>
              <w:r w:rsidR="00894B5C">
                <w:rPr>
                  <w:rFonts w:ascii="Gill Alt One MT Light" w:hAnsi="Gill Alt One MT Light"/>
                  <w:sz w:val="16"/>
                  <w:szCs w:val="16"/>
                </w:rPr>
                <w:t>Repubblica e Cantone Ticino</w:t>
              </w:r>
            </w:sdtContent>
          </w:sdt>
        </w:p>
        <w:p w:rsidR="00894B5C" w:rsidRPr="00E8185F" w:rsidRDefault="00F564B6" w:rsidP="00894B5C">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5303B76F-F26B-4838-B0D9-4DE1E8A20D10}"/>
              <w:text w:multiLine="1"/>
            </w:sdtPr>
            <w:sdtEndPr/>
            <w:sdtContent>
              <w:r w:rsidR="00894B5C">
                <w:rPr>
                  <w:rFonts w:ascii="Gill Alt One MT Light" w:hAnsi="Gill Alt One MT Light"/>
                  <w:sz w:val="16"/>
                  <w:szCs w:val="16"/>
                </w:rPr>
                <w:t>Consiglio di Stato</w:t>
              </w:r>
            </w:sdtContent>
          </w:sdt>
        </w:p>
      </w:tc>
      <w:tc>
        <w:tcPr>
          <w:tcW w:w="1710" w:type="dxa"/>
          <w:tcBorders>
            <w:bottom w:val="single" w:sz="4" w:space="0" w:color="auto"/>
          </w:tcBorders>
          <w:vAlign w:val="bottom"/>
        </w:tcPr>
        <w:p w:rsidR="00894B5C" w:rsidRPr="004204CB" w:rsidRDefault="00894B5C" w:rsidP="00894B5C">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F564B6">
            <w:rPr>
              <w:noProof/>
              <w:sz w:val="24"/>
            </w:rPr>
            <w:t>10</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F564B6">
            <w:rPr>
              <w:noProof/>
              <w:sz w:val="24"/>
            </w:rPr>
            <w:t>10</w:t>
          </w:r>
          <w:r w:rsidRPr="004204CB">
            <w:rPr>
              <w:noProof/>
              <w:sz w:val="24"/>
            </w:rPr>
            <w:fldChar w:fldCharType="end"/>
          </w:r>
        </w:p>
      </w:tc>
    </w:tr>
    <w:tr w:rsidR="00894B5C" w:rsidRPr="009E444B" w:rsidTr="00894B5C">
      <w:trPr>
        <w:trHeight w:val="334"/>
      </w:trPr>
      <w:sdt>
        <w:sdtPr>
          <w:rPr>
            <w:rFonts w:ascii="Gill Sans Display MT Pro BdCn" w:hAnsi="Gill Sans Display MT Pro BdCn"/>
            <w:sz w:val="18"/>
            <w:szCs w:val="18"/>
          </w:rPr>
          <w:alias w:val="CustomElements.Fields.Titolo2"/>
          <w:id w:val="48588533"/>
          <w:dataBinding w:xpath="//Text[@id='CustomElements.Fields.Titolo2']" w:storeItemID="{5303B76F-F26B-4838-B0D9-4DE1E8A20D10}"/>
          <w:text w:multiLine="1"/>
        </w:sdtPr>
        <w:sdtEndPr/>
        <w:sdtContent>
          <w:tc>
            <w:tcPr>
              <w:tcW w:w="8383" w:type="dxa"/>
              <w:tcBorders>
                <w:left w:val="single" w:sz="4" w:space="0" w:color="auto"/>
              </w:tcBorders>
              <w:tcMar>
                <w:top w:w="0" w:type="dxa"/>
                <w:left w:w="142" w:type="dxa"/>
              </w:tcMar>
            </w:tcPr>
            <w:p w:rsidR="00894B5C" w:rsidRPr="00F57468" w:rsidRDefault="00860BA5" w:rsidP="00894B5C">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2 n. 8573 R2-2 del 3 giugno 2025</w:t>
              </w:r>
            </w:p>
          </w:tc>
        </w:sdtContent>
      </w:sdt>
      <w:tc>
        <w:tcPr>
          <w:tcW w:w="1710" w:type="dxa"/>
          <w:tcBorders>
            <w:top w:val="single" w:sz="4" w:space="0" w:color="auto"/>
          </w:tcBorders>
        </w:tcPr>
        <w:p w:rsidR="00894B5C" w:rsidRPr="00F57468" w:rsidRDefault="00894B5C" w:rsidP="00894B5C">
          <w:pPr>
            <w:pStyle w:val="InvisibleLine"/>
            <w:rPr>
              <w:lang w:val="it-CH"/>
            </w:rPr>
          </w:pPr>
        </w:p>
      </w:tc>
    </w:tr>
  </w:tbl>
  <w:p w:rsidR="00894B5C" w:rsidRPr="00980362" w:rsidRDefault="00894B5C" w:rsidP="00894B5C">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5303B76F-F26B-4838-B0D9-4DE1E8A20D10}"/>
                            <w:text w:multiLine="1"/>
                          </w:sdtPr>
                          <w:sdtEndPr/>
                          <w:sdtContent>
                            <w:p w:rsidR="00894B5C" w:rsidRPr="00411371" w:rsidRDefault="00894B5C" w:rsidP="00894B5C">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8F81390B-0650-44C6-8BF4-7054E8748167}"/>
                      <w:text w:multiLine="1"/>
                    </w:sdtPr>
                    <w:sdtEndPr/>
                    <w:sdtContent>
                      <w:p w:rsidR="00894B5C" w:rsidRPr="00411371" w:rsidRDefault="00894B5C" w:rsidP="00894B5C">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894B5C" w:rsidRPr="0004624C" w:rsidTr="00894B5C">
      <w:trPr>
        <w:trHeight w:hRule="exact" w:val="584"/>
      </w:trPr>
      <w:tc>
        <w:tcPr>
          <w:tcW w:w="2440" w:type="pct"/>
          <w:gridSpan w:val="3"/>
          <w:tcBorders>
            <w:top w:val="nil"/>
            <w:left w:val="nil"/>
            <w:bottom w:val="single" w:sz="4" w:space="0" w:color="auto"/>
          </w:tcBorders>
        </w:tcPr>
        <w:p w:rsidR="00894B5C" w:rsidRDefault="00894B5C" w:rsidP="00894B5C">
          <w:pPr>
            <w:pStyle w:val="InvisibleLine"/>
            <w:spacing w:line="240" w:lineRule="auto"/>
            <w:ind w:left="15"/>
            <w:rPr>
              <w:rFonts w:ascii="Gill Alt One MT Light" w:hAnsi="Gill Alt One MT Light"/>
              <w:sz w:val="16"/>
              <w:lang w:val="it-CH"/>
            </w:rPr>
          </w:pPr>
        </w:p>
        <w:p w:rsidR="00894B5C" w:rsidRDefault="00894B5C" w:rsidP="00894B5C">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894B5C" w:rsidRPr="008966E7" w:rsidRDefault="00894B5C" w:rsidP="00894B5C">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894B5C" w:rsidRPr="003108C0" w:rsidRDefault="00894B5C" w:rsidP="00894B5C">
          <w:pPr>
            <w:pStyle w:val="Level"/>
            <w:ind w:left="150"/>
            <w:rPr>
              <w:sz w:val="16"/>
            </w:rPr>
          </w:pPr>
        </w:p>
      </w:tc>
      <w:tc>
        <w:tcPr>
          <w:tcW w:w="209" w:type="pct"/>
          <w:tcBorders>
            <w:top w:val="nil"/>
            <w:bottom w:val="single" w:sz="4" w:space="0" w:color="auto"/>
          </w:tcBorders>
        </w:tcPr>
        <w:p w:rsidR="00894B5C" w:rsidRDefault="00894B5C" w:rsidP="00894B5C">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973048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894B5C" w:rsidRPr="00F57468" w:rsidRDefault="00894B5C" w:rsidP="00894B5C">
          <w:pPr>
            <w:pStyle w:val="HeaderDecisione"/>
            <w:spacing w:after="60"/>
            <w:ind w:left="150"/>
            <w:jc w:val="right"/>
            <w:rPr>
              <w:rFonts w:ascii="Calibri" w:hAnsi="Calibri" w:cs="Calibri"/>
              <w:sz w:val="24"/>
            </w:rPr>
          </w:pPr>
          <w:r w:rsidRPr="00F57468">
            <w:rPr>
              <w:rFonts w:ascii="Calibri" w:hAnsi="Calibri" w:cs="Calibri"/>
              <w:sz w:val="24"/>
            </w:rPr>
            <w:fldChar w:fldCharType="begin"/>
          </w:r>
          <w:r w:rsidRPr="00F57468">
            <w:rPr>
              <w:rFonts w:ascii="Calibri" w:hAnsi="Calibri" w:cs="Calibri"/>
              <w:sz w:val="24"/>
            </w:rPr>
            <w:instrText xml:space="preserve"> PAGE   \* MERGEFORMAT </w:instrText>
          </w:r>
          <w:r w:rsidRPr="00F57468">
            <w:rPr>
              <w:rFonts w:ascii="Calibri" w:hAnsi="Calibri" w:cs="Calibri"/>
              <w:sz w:val="24"/>
            </w:rPr>
            <w:fldChar w:fldCharType="separate"/>
          </w:r>
          <w:r w:rsidR="00F564B6">
            <w:rPr>
              <w:rFonts w:ascii="Calibri" w:hAnsi="Calibri" w:cs="Calibri"/>
              <w:noProof/>
              <w:sz w:val="24"/>
            </w:rPr>
            <w:t>1</w:t>
          </w:r>
          <w:r w:rsidRPr="00F57468">
            <w:rPr>
              <w:rFonts w:ascii="Calibri" w:hAnsi="Calibri" w:cs="Calibri"/>
              <w:sz w:val="24"/>
            </w:rPr>
            <w:fldChar w:fldCharType="end"/>
          </w:r>
          <w:r w:rsidRPr="00F57468">
            <w:rPr>
              <w:rFonts w:ascii="Calibri" w:hAnsi="Calibri" w:cs="Calibri"/>
              <w:sz w:val="24"/>
            </w:rPr>
            <w:t xml:space="preserve"> di </w:t>
          </w:r>
          <w:r w:rsidRPr="00F57468">
            <w:rPr>
              <w:rFonts w:ascii="Calibri" w:hAnsi="Calibri" w:cs="Calibri"/>
              <w:sz w:val="24"/>
            </w:rPr>
            <w:fldChar w:fldCharType="begin"/>
          </w:r>
          <w:r w:rsidRPr="00F57468">
            <w:rPr>
              <w:rFonts w:ascii="Calibri" w:hAnsi="Calibri" w:cs="Calibri"/>
              <w:sz w:val="24"/>
            </w:rPr>
            <w:instrText xml:space="preserve"> NUMPAGES   \* MERGEFORMAT </w:instrText>
          </w:r>
          <w:r w:rsidRPr="00F57468">
            <w:rPr>
              <w:rFonts w:ascii="Calibri" w:hAnsi="Calibri" w:cs="Calibri"/>
              <w:sz w:val="24"/>
            </w:rPr>
            <w:fldChar w:fldCharType="separate"/>
          </w:r>
          <w:r w:rsidR="00F564B6">
            <w:rPr>
              <w:rFonts w:ascii="Calibri" w:hAnsi="Calibri" w:cs="Calibri"/>
              <w:noProof/>
              <w:sz w:val="24"/>
            </w:rPr>
            <w:t>10</w:t>
          </w:r>
          <w:r w:rsidRPr="00F57468">
            <w:rPr>
              <w:rFonts w:ascii="Calibri" w:hAnsi="Calibri" w:cs="Calibri"/>
              <w:noProof/>
              <w:sz w:val="24"/>
            </w:rPr>
            <w:fldChar w:fldCharType="end"/>
          </w:r>
        </w:p>
      </w:tc>
    </w:tr>
    <w:tr w:rsidR="00894B5C" w:rsidRPr="0004624C" w:rsidTr="00894B5C">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5303B76F-F26B-4838-B0D9-4DE1E8A20D10}"/>
          <w:text w:multiLine="1"/>
        </w:sdtPr>
        <w:sdtEndPr/>
        <w:sdtContent>
          <w:tc>
            <w:tcPr>
              <w:tcW w:w="5000" w:type="pct"/>
              <w:gridSpan w:val="6"/>
              <w:tcBorders>
                <w:left w:val="nil"/>
                <w:right w:val="nil"/>
              </w:tcBorders>
              <w:noWrap/>
              <w:tcMar>
                <w:top w:w="0" w:type="dxa"/>
              </w:tcMar>
              <w:vAlign w:val="bottom"/>
            </w:tcPr>
            <w:p w:rsidR="00894B5C" w:rsidRPr="008C03B5" w:rsidRDefault="00A63A0E" w:rsidP="00894B5C">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 2</w:t>
              </w:r>
            </w:p>
          </w:tc>
        </w:sdtContent>
      </w:sdt>
    </w:tr>
    <w:tr w:rsidR="00894B5C" w:rsidRPr="0004624C" w:rsidTr="00894B5C">
      <w:trPr>
        <w:trHeight w:hRule="exact" w:val="306"/>
      </w:trPr>
      <w:tc>
        <w:tcPr>
          <w:tcW w:w="670" w:type="pct"/>
          <w:tcBorders>
            <w:left w:val="nil"/>
            <w:bottom w:val="nil"/>
          </w:tcBorders>
          <w:noWrap/>
          <w:tcMar>
            <w:top w:w="57" w:type="dxa"/>
            <w:left w:w="142" w:type="dxa"/>
          </w:tcMar>
        </w:tcPr>
        <w:p w:rsidR="00894B5C" w:rsidRPr="00C7320A" w:rsidRDefault="00894B5C" w:rsidP="00894B5C">
          <w:pPr>
            <w:pStyle w:val="Level"/>
            <w:spacing w:before="60"/>
            <w:rPr>
              <w:rFonts w:ascii="Gill Alt One MT Light" w:hAnsi="Gill Alt One MT Light"/>
              <w:sz w:val="16"/>
            </w:rPr>
          </w:pPr>
          <w:r w:rsidRPr="00C7320A">
            <w:rPr>
              <w:rFonts w:ascii="Gill Alt One MT Light" w:hAnsi="Gill Alt One MT Light"/>
              <w:sz w:val="16"/>
            </w:rPr>
            <w:t>numero</w:t>
          </w:r>
        </w:p>
        <w:p w:rsidR="00894B5C" w:rsidRPr="00C7320A" w:rsidRDefault="00894B5C" w:rsidP="00894B5C">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94B5C" w:rsidRPr="00C7320A" w:rsidRDefault="00894B5C" w:rsidP="00894B5C">
          <w:pPr>
            <w:pStyle w:val="Level"/>
            <w:spacing w:before="60"/>
            <w:rPr>
              <w:rFonts w:ascii="Gill Alt One MT Light" w:hAnsi="Gill Alt One MT Light"/>
              <w:sz w:val="16"/>
            </w:rPr>
          </w:pPr>
          <w:r w:rsidRPr="00C7320A">
            <w:rPr>
              <w:rFonts w:ascii="Gill Alt One MT Light" w:hAnsi="Gill Alt One MT Light"/>
              <w:sz w:val="16"/>
            </w:rPr>
            <w:t>data</w:t>
          </w:r>
        </w:p>
        <w:p w:rsidR="00894B5C" w:rsidRPr="00C7320A" w:rsidRDefault="00894B5C" w:rsidP="00894B5C">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94B5C" w:rsidRPr="00C7320A" w:rsidRDefault="00894B5C" w:rsidP="00894B5C">
          <w:pPr>
            <w:pStyle w:val="Level"/>
            <w:spacing w:before="60"/>
            <w:rPr>
              <w:rFonts w:ascii="Gill Alt One MT Light" w:hAnsi="Gill Alt One MT Light"/>
              <w:sz w:val="16"/>
            </w:rPr>
          </w:pPr>
          <w:r>
            <w:rPr>
              <w:rFonts w:ascii="Gill Alt One MT Light" w:hAnsi="Gill Alt One MT Light"/>
              <w:sz w:val="16"/>
            </w:rPr>
            <w:t>competenza</w:t>
          </w:r>
        </w:p>
        <w:p w:rsidR="00894B5C" w:rsidRPr="008C03B5" w:rsidRDefault="00894B5C" w:rsidP="00894B5C">
          <w:pPr>
            <w:pStyle w:val="Level"/>
            <w:spacing w:before="60" w:line="240" w:lineRule="auto"/>
            <w:rPr>
              <w:rFonts w:ascii="Gill Alt One MT Light" w:hAnsi="Gill Alt One MT Light"/>
              <w:sz w:val="16"/>
            </w:rPr>
          </w:pPr>
        </w:p>
      </w:tc>
    </w:tr>
    <w:tr w:rsidR="00894B5C" w:rsidRPr="0004624C" w:rsidTr="00894B5C">
      <w:trPr>
        <w:trHeight w:hRule="exact" w:val="699"/>
      </w:trPr>
      <w:tc>
        <w:tcPr>
          <w:tcW w:w="670" w:type="pct"/>
          <w:tcBorders>
            <w:top w:val="nil"/>
            <w:left w:val="nil"/>
            <w:bottom w:val="single" w:sz="4" w:space="0" w:color="auto"/>
            <w:right w:val="nil"/>
          </w:tcBorders>
          <w:noWrap/>
          <w:tcMar>
            <w:top w:w="0" w:type="dxa"/>
          </w:tcMar>
        </w:tcPr>
        <w:p w:rsidR="00894B5C" w:rsidRPr="00F57468" w:rsidRDefault="00F564B6" w:rsidP="00894B5C">
          <w:pPr>
            <w:pStyle w:val="InvisibleLine"/>
            <w:spacing w:line="280" w:lineRule="exact"/>
            <w:rPr>
              <w:rFonts w:cs="Calibri"/>
              <w:b/>
              <w:sz w:val="24"/>
              <w:szCs w:val="24"/>
            </w:rPr>
          </w:pPr>
          <w:sdt>
            <w:sdtPr>
              <w:rPr>
                <w:rFonts w:cs="Calibri"/>
                <w:b/>
                <w:sz w:val="24"/>
                <w:szCs w:val="24"/>
              </w:rPr>
              <w:alias w:val="DocParam.Number"/>
              <w:id w:val="614175640"/>
              <w:dataBinding w:xpath="//Text[@id='DocParam.Number']" w:storeItemID="{5303B76F-F26B-4838-B0D9-4DE1E8A20D10}"/>
              <w:text w:multiLine="1"/>
            </w:sdtPr>
            <w:sdtEndPr>
              <w:rPr>
                <w:rFonts w:cstheme="minorBidi"/>
              </w:rPr>
            </w:sdtEndPr>
            <w:sdtContent>
              <w:r w:rsidR="00A63A0E">
                <w:rPr>
                  <w:rFonts w:cs="Calibri"/>
                  <w:b/>
                  <w:sz w:val="24"/>
                  <w:szCs w:val="24"/>
                </w:rPr>
                <w:t>8573 R2-2</w:t>
              </w:r>
            </w:sdtContent>
          </w:sdt>
        </w:p>
      </w:tc>
      <w:sdt>
        <w:sdtPr>
          <w:rPr>
            <w:sz w:val="24"/>
          </w:rPr>
          <w:alias w:val="DocParam.Date"/>
          <w:id w:val="-464426178"/>
          <w:dataBinding w:xpath="//DateTime[@id='DocParam.Date']" w:storeItemID="{5303B76F-F26B-4838-B0D9-4DE1E8A20D10}"/>
          <w:date w:fullDate="2025-06-03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94B5C" w:rsidRPr="002A0371" w:rsidRDefault="00860BA5" w:rsidP="00894B5C">
              <w:pPr>
                <w:pStyle w:val="Data"/>
              </w:pPr>
              <w:r>
                <w:rPr>
                  <w:sz w:val="24"/>
                </w:rPr>
                <w:t>3 giugno 2025</w:t>
              </w:r>
            </w:p>
          </w:tc>
        </w:sdtContent>
      </w:sdt>
      <w:tc>
        <w:tcPr>
          <w:tcW w:w="3218" w:type="pct"/>
          <w:gridSpan w:val="4"/>
          <w:tcBorders>
            <w:top w:val="nil"/>
            <w:left w:val="nil"/>
            <w:bottom w:val="nil"/>
            <w:right w:val="nil"/>
          </w:tcBorders>
        </w:tcPr>
        <w:p w:rsidR="00894B5C" w:rsidRPr="00F57468" w:rsidRDefault="00F564B6" w:rsidP="00894B5C">
          <w:pPr>
            <w:pStyle w:val="Data"/>
            <w:rPr>
              <w:rFonts w:ascii="Calibri" w:hAnsi="Calibri" w:cs="Calibri"/>
              <w:sz w:val="23"/>
              <w:szCs w:val="23"/>
            </w:rPr>
          </w:pPr>
          <w:sdt>
            <w:sdtPr>
              <w:rPr>
                <w:smallCaps/>
                <w:sz w:val="23"/>
                <w:szCs w:val="23"/>
              </w:rPr>
              <w:alias w:val="CustomElements.Fields.Dipartimenti"/>
              <w:id w:val="-1138097914"/>
              <w:dataBinding w:xpath="//Text[@id='CustomElements.Fields.Dipartimenti']" w:storeItemID="{5303B76F-F26B-4838-B0D9-4DE1E8A20D10}"/>
              <w:text w:multiLine="1"/>
            </w:sdtPr>
            <w:sdtEndPr/>
            <w:sdtContent>
              <w:r w:rsidR="00894B5C">
                <w:rPr>
                  <w:smallCaps/>
                  <w:sz w:val="23"/>
                  <w:szCs w:val="23"/>
                </w:rPr>
                <w:t>Consiglio di Stato</w:t>
              </w:r>
            </w:sdtContent>
          </w:sdt>
        </w:p>
      </w:tc>
    </w:tr>
    <w:tr w:rsidR="00894B5C" w:rsidRPr="00C63927" w:rsidTr="00894B5C">
      <w:trPr>
        <w:trHeight w:hRule="exact" w:val="198"/>
      </w:trPr>
      <w:tc>
        <w:tcPr>
          <w:tcW w:w="5000" w:type="pct"/>
          <w:gridSpan w:val="6"/>
          <w:tcBorders>
            <w:left w:val="nil"/>
            <w:bottom w:val="nil"/>
            <w:right w:val="nil"/>
          </w:tcBorders>
          <w:noWrap/>
          <w:tcMar>
            <w:top w:w="57" w:type="dxa"/>
            <w:left w:w="85" w:type="dxa"/>
            <w:bottom w:w="170" w:type="dxa"/>
          </w:tcMar>
        </w:tcPr>
        <w:p w:rsidR="00894B5C" w:rsidRPr="00C7320A" w:rsidRDefault="00894B5C" w:rsidP="00894B5C">
          <w:pPr>
            <w:pStyle w:val="Level"/>
            <w:ind w:left="150"/>
            <w:rPr>
              <w:rFonts w:ascii="Gill Alt One MT Light" w:hAnsi="Gill Alt One MT Light"/>
              <w:sz w:val="16"/>
              <w:szCs w:val="16"/>
            </w:rPr>
          </w:pPr>
        </w:p>
      </w:tc>
    </w:tr>
  </w:tbl>
  <w:p w:rsidR="00894B5C" w:rsidRPr="00DA2879" w:rsidRDefault="00894B5C" w:rsidP="00894B5C">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705113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5303B76F-F26B-4838-B0D9-4DE1E8A20D10}"/>
                            <w:text w:multiLine="1"/>
                          </w:sdtPr>
                          <w:sdtEndPr/>
                          <w:sdtContent>
                            <w:p w:rsidR="00894B5C" w:rsidRPr="00411371" w:rsidRDefault="00894B5C" w:rsidP="00894B5C">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8F81390B-0650-44C6-8BF4-7054E8748167}"/>
                      <w:text w:multiLine="1"/>
                    </w:sdtPr>
                    <w:sdtEndPr/>
                    <w:sdtContent>
                      <w:p w:rsidR="00894B5C" w:rsidRPr="00411371" w:rsidRDefault="00894B5C" w:rsidP="00894B5C">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A2089"/>
    <w:multiLevelType w:val="multilevel"/>
    <w:tmpl w:val="C77C68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D4733E8"/>
    <w:multiLevelType w:val="multilevel"/>
    <w:tmpl w:val="0C3A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3FA26BC8"/>
    <w:multiLevelType w:val="hybridMultilevel"/>
    <w:tmpl w:val="680868B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9D524CC"/>
    <w:multiLevelType w:val="multilevel"/>
    <w:tmpl w:val="953CA1B2"/>
    <w:numStyleLink w:val="HeadingList"/>
  </w:abstractNum>
  <w:abstractNum w:abstractNumId="20" w15:restartNumberingAfterBreak="0">
    <w:nsid w:val="4D4D3A9C"/>
    <w:multiLevelType w:val="multilevel"/>
    <w:tmpl w:val="5C302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D840A86"/>
    <w:multiLevelType w:val="hybridMultilevel"/>
    <w:tmpl w:val="184698AE"/>
    <w:lvl w:ilvl="0" w:tplc="0810000F">
      <w:start w:val="1"/>
      <w:numFmt w:val="decimal"/>
      <w:lvlText w:val="%1."/>
      <w:lvlJc w:val="left"/>
      <w:pPr>
        <w:ind w:left="360" w:hanging="360"/>
      </w:pPr>
      <w:rPr>
        <w:rFonts w:hint="default"/>
      </w:rPr>
    </w:lvl>
    <w:lvl w:ilvl="1" w:tplc="08100019" w:tentative="1">
      <w:start w:val="1"/>
      <w:numFmt w:val="lowerLetter"/>
      <w:lvlText w:val="%2."/>
      <w:lvlJc w:val="left"/>
      <w:pPr>
        <w:ind w:left="1080" w:hanging="360"/>
      </w:pPr>
    </w:lvl>
    <w:lvl w:ilvl="2" w:tplc="0810001B" w:tentative="1">
      <w:start w:val="1"/>
      <w:numFmt w:val="lowerRoman"/>
      <w:lvlText w:val="%3."/>
      <w:lvlJc w:val="right"/>
      <w:pPr>
        <w:ind w:left="1800" w:hanging="180"/>
      </w:p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abstractNum w:abstractNumId="22" w15:restartNumberingAfterBreak="0">
    <w:nsid w:val="4FE55B85"/>
    <w:multiLevelType w:val="multilevel"/>
    <w:tmpl w:val="9C50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D24C89"/>
    <w:multiLevelType w:val="hybridMultilevel"/>
    <w:tmpl w:val="4E683CAE"/>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3635643"/>
    <w:multiLevelType w:val="hybridMultilevel"/>
    <w:tmpl w:val="BDB678C4"/>
    <w:lvl w:ilvl="0" w:tplc="490CAF0A">
      <w:start w:val="6"/>
      <w:numFmt w:val="bullet"/>
      <w:lvlText w:val="-"/>
      <w:lvlJc w:val="left"/>
      <w:pPr>
        <w:ind w:left="720" w:hanging="360"/>
      </w:pPr>
      <w:rPr>
        <w:rFonts w:ascii="Arial" w:eastAsiaTheme="minorHAnsi" w:hAnsi="Arial" w:cs="Arial" w:hint="default"/>
        <w:color w:val="auto"/>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5" w15:restartNumberingAfterBreak="0">
    <w:nsid w:val="55B26483"/>
    <w:multiLevelType w:val="hybridMultilevel"/>
    <w:tmpl w:val="A94A2F1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6EE76EC"/>
    <w:multiLevelType w:val="multilevel"/>
    <w:tmpl w:val="2BB2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850C7F"/>
    <w:multiLevelType w:val="hybridMultilevel"/>
    <w:tmpl w:val="02502BD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2811945"/>
    <w:multiLevelType w:val="multilevel"/>
    <w:tmpl w:val="08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9"/>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18"/>
  </w:num>
  <w:num w:numId="5">
    <w:abstractNumId w:val="16"/>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0"/>
  </w:num>
  <w:num w:numId="19">
    <w:abstractNumId w:val="10"/>
  </w:num>
  <w:num w:numId="20">
    <w:abstractNumId w:val="28"/>
  </w:num>
  <w:num w:numId="21">
    <w:abstractNumId w:val="24"/>
  </w:num>
  <w:num w:numId="22">
    <w:abstractNumId w:val="22"/>
  </w:num>
  <w:num w:numId="23">
    <w:abstractNumId w:val="26"/>
  </w:num>
  <w:num w:numId="24">
    <w:abstractNumId w:val="15"/>
  </w:num>
  <w:num w:numId="25">
    <w:abstractNumId w:val="21"/>
  </w:num>
  <w:num w:numId="26">
    <w:abstractNumId w:val="17"/>
  </w:num>
  <w:num w:numId="27">
    <w:abstractNumId w:val="27"/>
  </w:num>
  <w:num w:numId="28">
    <w:abstractNumId w:val="23"/>
  </w:num>
  <w:num w:numId="29">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468"/>
    <w:rsid w:val="00005772"/>
    <w:rsid w:val="000B7C7D"/>
    <w:rsid w:val="000D74AB"/>
    <w:rsid w:val="000E7502"/>
    <w:rsid w:val="000F0931"/>
    <w:rsid w:val="00113660"/>
    <w:rsid w:val="00113B59"/>
    <w:rsid w:val="00163172"/>
    <w:rsid w:val="001A09F4"/>
    <w:rsid w:val="001B3895"/>
    <w:rsid w:val="00226C34"/>
    <w:rsid w:val="00263A98"/>
    <w:rsid w:val="00297D78"/>
    <w:rsid w:val="002A7264"/>
    <w:rsid w:val="002B5D9F"/>
    <w:rsid w:val="002B7E21"/>
    <w:rsid w:val="002E6B0A"/>
    <w:rsid w:val="003B756D"/>
    <w:rsid w:val="00403ADB"/>
    <w:rsid w:val="00406C19"/>
    <w:rsid w:val="004325AA"/>
    <w:rsid w:val="00454768"/>
    <w:rsid w:val="00456E95"/>
    <w:rsid w:val="00471F4C"/>
    <w:rsid w:val="00474F71"/>
    <w:rsid w:val="0057107E"/>
    <w:rsid w:val="00572FD3"/>
    <w:rsid w:val="00586CAF"/>
    <w:rsid w:val="005C6273"/>
    <w:rsid w:val="005D790A"/>
    <w:rsid w:val="005E5BD5"/>
    <w:rsid w:val="006140C8"/>
    <w:rsid w:val="00665CF8"/>
    <w:rsid w:val="00692616"/>
    <w:rsid w:val="006E2C1B"/>
    <w:rsid w:val="00741E9C"/>
    <w:rsid w:val="007605BA"/>
    <w:rsid w:val="00767FE2"/>
    <w:rsid w:val="007762A7"/>
    <w:rsid w:val="00780801"/>
    <w:rsid w:val="00860BA5"/>
    <w:rsid w:val="008720C4"/>
    <w:rsid w:val="00894B5C"/>
    <w:rsid w:val="008A07F0"/>
    <w:rsid w:val="008C7B8A"/>
    <w:rsid w:val="008F52AF"/>
    <w:rsid w:val="009007E6"/>
    <w:rsid w:val="009359E0"/>
    <w:rsid w:val="009474F5"/>
    <w:rsid w:val="009763A3"/>
    <w:rsid w:val="00976F7D"/>
    <w:rsid w:val="009A0F08"/>
    <w:rsid w:val="009A4DC5"/>
    <w:rsid w:val="009B4872"/>
    <w:rsid w:val="009C5E5A"/>
    <w:rsid w:val="00A63A0E"/>
    <w:rsid w:val="00A808FB"/>
    <w:rsid w:val="00AD1624"/>
    <w:rsid w:val="00AF0268"/>
    <w:rsid w:val="00B567D0"/>
    <w:rsid w:val="00B81825"/>
    <w:rsid w:val="00BC326E"/>
    <w:rsid w:val="00BF0A1F"/>
    <w:rsid w:val="00C05224"/>
    <w:rsid w:val="00C20DF5"/>
    <w:rsid w:val="00C957D7"/>
    <w:rsid w:val="00CB7E0A"/>
    <w:rsid w:val="00D20F34"/>
    <w:rsid w:val="00D33940"/>
    <w:rsid w:val="00D600FD"/>
    <w:rsid w:val="00D649A8"/>
    <w:rsid w:val="00D950AA"/>
    <w:rsid w:val="00DC3B9B"/>
    <w:rsid w:val="00DE6598"/>
    <w:rsid w:val="00DF481A"/>
    <w:rsid w:val="00E175AC"/>
    <w:rsid w:val="00E55C9F"/>
    <w:rsid w:val="00E56A76"/>
    <w:rsid w:val="00EB088A"/>
    <w:rsid w:val="00EC064F"/>
    <w:rsid w:val="00EC0E72"/>
    <w:rsid w:val="00F0170F"/>
    <w:rsid w:val="00F04E29"/>
    <w:rsid w:val="00F564B6"/>
    <w:rsid w:val="00F57468"/>
    <w:rsid w:val="00F657BF"/>
    <w:rsid w:val="00F74B19"/>
    <w:rsid w:val="00FA43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218B326-15BF-430C-AC5A-C85B89F6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894B5C"/>
    <w:pPr>
      <w:tabs>
        <w:tab w:val="left" w:pos="567"/>
        <w:tab w:val="right" w:leader="dot" w:pos="9072"/>
      </w:tabs>
      <w:spacing w:before="16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styleId="Collegamentoipertestuale">
    <w:name w:val="Hyperlink"/>
    <w:basedOn w:val="Carpredefinitoparagrafo"/>
    <w:uiPriority w:val="99"/>
    <w:unhideWhenUsed/>
    <w:rsid w:val="00894B5C"/>
    <w:rPr>
      <w:color w:val="0000FF" w:themeColor="hyperlink"/>
      <w:u w:val="single"/>
    </w:rPr>
  </w:style>
  <w:style w:type="table" w:styleId="Grigliatabella">
    <w:name w:val="Table Grid"/>
    <w:basedOn w:val="Tabellanormale"/>
    <w:uiPriority w:val="39"/>
    <w:rsid w:val="001A09F4"/>
    <w:pPr>
      <w:suppressAutoHyphens/>
      <w:jc w:val="left"/>
    </w:pPr>
    <w:rPr>
      <w:kern w:val="2"/>
      <w:sz w:val="24"/>
      <w:szCs w:val="24"/>
      <w:lang w:val="it-C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67FE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67FE2"/>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primedocs\generated\6ab7329c-85e6-451f-9152-69c857dc8b36.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1973048023</Id>
      <Width>0</Width>
      <Height>0</Height>
      <XPath>//Image[@id='Profile.Org.WappenSW']</XPath>
      <ImageHash>02f1c0cdac6aeac316213b2e7cb733a0</ImageHash>
    </ImageSizeDefinition>
    <ImageSizeDefinition>
      <Id>1705113378</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b f 1 f 7 6 7 3 - d 0 8 d - 4 3 7 3 - a 8 f e - 1 a 4 b 5 9 1 0 b b 8 9 "   t I d = " a 3 6 2 a 5 d 4 - 9 5 8 9 - 4 1 b f - a 4 e 6 - 4 f 8 7 c 4 e 4 1 2 3 9 "   i n t e r n a l T I d = " 9 0 6 4 c c 7 f - 3 1 6 d - 4 6 b 1 - a 4 a c - 7 4 8 6 0 c 3 f 8 a 5 b "   m t I d = " 2 7 5 a f 3 2 e - b c 4 0 - 4 5 c 2 - 8 5 b 7 - a f b 1 c 0 3 8 2 6 5 3 "   r e v i s i o n = " 0 "   c r e a t e d m a j o r v e r s i o n = " 0 "   c r e a t e d m i n o r v e r s i o n = " 0 "   c r e a t e d = " 2 0 2 5 - 0 5 - 2 7 T 1 3 : 4 6 : 4 1 . 9 5 1 7 5 8 3 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C o n s i g l i o   d i   S t a t o ] ] > < / T e x t >  
                 < T e x t   i d = " C u s t o m E l e m e n t s . S u b T e m p l a t e . L a n d s c a p e . H e a d e r . T i t o l o "   l a b e l = " C u s t o m E l e m e n t s . S u b T e m p l a t e . L a n d s c a p e . H e a d e r . T i t o l o " > < ! [ C D A T A [ R a p p o r t o   d i   m i n o r a n z a   n .   8 5 7 3   R 2 - 2   d e l   0 3   g i u g n o   2 0 2 5 ] ] > < / T e x t >  
                 < T e x t   i d = " C u s t o m E l e m e n t s . T e x t s . D r a f t "   l a b e l = " C u s t o m E l e m e n t s . T e x t s . D r a f t " > < ! [ C D A T A [ B o z z a ] ] > < / T e x t >  
                 < T e x t   i d = " C u s t o m E l e m e n t s . F i e l d s . D i p a r t i m e n t i "   l a b e l = " C u s t o m E l e m e n t s . F i e l d s . D i p a r t i m e n t i " > < ! [ C D A T A [ C o n s i g l i o   d i   S t a t o ] ] > < / T e x t >  
                 < T e x t   i d = " C u s t o m E l e m e n t s . F i e l d s . T i t o l o 1 "   l a b e l = " C u s t o m E l e m e n t s . F i e l d s . T i t o l o 1 " > < ! [ C D A T A [ R a p p o r t o   d i   m i n o r a n z a   2 ] ] > < / T e x t >  
                 < T e x t   i d = " C u s t o m E l e m e n t s . F i e l d s . T i t o l o 2 "   l a b e l = " C u s t o m E l e m e n t s . F i e l d s . T i t o l o 2 " > < ! [ C D A T A [ R a p p o r t o   d i   m i n o r a n z a   2   n .   8 5 7 3   R 2 - 2   d e l   3   g i u g n o   2 0 2 5 ] ] > < / 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 2 0 2 5 - 0 6 - 0 3 T 0 0 : 0 0 : 0 0 Z < / D a t e T i m e >  
                 < T e x t   i d = " D o c P a r a m . N u m b e r " > < ! [ C D A T A [ 8 5 7 3   R 2 - 2 ] ] > < / T e x t >  
                 < T e x t   i d = " D o c P a r a m . D o c u m e n t o " > < ! [ C D A T A [ R a p p o r t o   d i   m i n o r a n z a ] ] > < / T e x t >  
                 < T e x t   i d = " D o c P a r a m . A g g i u n t a D o c "   t o o l t i p = " ( e s .   b i s ,   a g g i u n t i v o ,   a g g i u n t i v o   b i s ,   1 ,   2   e c c . ) " > < ! [ C D A T A [ 2 ] ] > < / T e x t >  
                 < T e x t   i d = " D o c P a r a m . D i p a r t i m e n t i " > < ! [ C D A T A [ C o n s i g l i o   d i   S t a t 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047FA6E1-5E73-4A45-B1BF-12E803F0AC48}">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5303B76F-F26B-4838-B0D9-4DE1E8A20D10}">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6ab7329c-85e6-451f-9152-69c857dc8b36.dotx</Template>
  <TotalTime>6</TotalTime>
  <Pages>10</Pages>
  <Words>3257</Words>
  <Characters>17950</Characters>
  <Application>Microsoft Office Word</Application>
  <DocSecurity>0</DocSecurity>
  <Lines>543</Lines>
  <Paragraphs>212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5</cp:revision>
  <cp:lastPrinted>2025-06-03T08:07:00Z</cp:lastPrinted>
  <dcterms:created xsi:type="dcterms:W3CDTF">2025-06-03T08:10:00Z</dcterms:created>
  <dcterms:modified xsi:type="dcterms:W3CDTF">2025-06-03T08:29:00Z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