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FC3" w:rsidRDefault="007860C0">
      <w:pPr>
        <w:rPr>
          <w:sz w:val="20"/>
        </w:rPr>
      </w:pPr>
      <w:bookmarkStart w:id="0" w:name="_GoBack"/>
      <w:bookmarkEnd w:id="0"/>
      <w:r w:rsidRPr="003126AA">
        <w:rPr>
          <w:rFonts w:ascii="Gill Sans MT" w:hAnsi="Gill Sans MT"/>
          <w:b/>
          <w:sz w:val="52"/>
          <w:szCs w:val="52"/>
        </w:rPr>
        <w:t>Messaggio</w:t>
      </w:r>
    </w:p>
    <w:p w:rsidR="00BF3FC3" w:rsidRDefault="00BF3FC3"/>
    <w:p w:rsidR="00BF3FC3" w:rsidRDefault="00BF3FC3"/>
    <w:p w:rsidR="00DF434B" w:rsidRDefault="00DF434B"/>
    <w:p w:rsidR="00BF3FC3" w:rsidRDefault="00BF3FC3"/>
    <w:p w:rsidR="00BF3FC3" w:rsidRPr="00B21A9A" w:rsidRDefault="00B21A9A">
      <w:pPr>
        <w:tabs>
          <w:tab w:val="left" w:pos="2098"/>
          <w:tab w:val="left" w:pos="4933"/>
        </w:tabs>
        <w:rPr>
          <w:sz w:val="26"/>
          <w:szCs w:val="26"/>
        </w:rPr>
      </w:pPr>
      <w:r>
        <w:rPr>
          <w:b/>
          <w:sz w:val="32"/>
        </w:rPr>
        <w:t>7761</w:t>
      </w:r>
      <w:r w:rsidR="00BF3FC3">
        <w:rPr>
          <w:sz w:val="28"/>
        </w:rPr>
        <w:tab/>
      </w:r>
      <w:r>
        <w:rPr>
          <w:sz w:val="28"/>
        </w:rPr>
        <w:t>27 novembre 2019</w:t>
      </w:r>
      <w:r w:rsidR="00BF3FC3">
        <w:rPr>
          <w:sz w:val="28"/>
        </w:rPr>
        <w:tab/>
      </w:r>
      <w:r w:rsidRPr="00B21A9A">
        <w:rPr>
          <w:sz w:val="26"/>
          <w:szCs w:val="26"/>
        </w:rPr>
        <w:t>ISTITUZIONI / FINANZE E ECONOMIA</w:t>
      </w:r>
    </w:p>
    <w:p w:rsidR="00BF3FC3" w:rsidRDefault="00BF3FC3"/>
    <w:p w:rsidR="00FD5A47" w:rsidRDefault="00FD5A47"/>
    <w:p w:rsidR="00BF3FC3" w:rsidRDefault="00BF3FC3"/>
    <w:p w:rsidR="00B21A9A" w:rsidRPr="00B21A9A" w:rsidRDefault="00B21A9A" w:rsidP="00B21A9A">
      <w:pPr>
        <w:rPr>
          <w:b/>
          <w:caps/>
          <w:sz w:val="28"/>
          <w:szCs w:val="28"/>
        </w:rPr>
      </w:pPr>
      <w:r w:rsidRPr="00B21A9A">
        <w:rPr>
          <w:b/>
          <w:sz w:val="28"/>
          <w:szCs w:val="28"/>
        </w:rPr>
        <w:t>Richiesta di un credito di franchi 80'000'000.- per l’acquisto dell’edificio ex Banca del Gottardo di proprietà di EFG Bank SA e di un credito di franchi 6'440'000.- per la progettazione della sua ristrutturazione e dell’adeguamento logistico, nonché per uno studio di fattibilità e progettazione per gli spazi destinati alla sede provvisoria necessaria per la ristrutturazione del Palazzo di giustizia</w:t>
      </w:r>
    </w:p>
    <w:p w:rsidR="00BF3FC3" w:rsidRDefault="00BF3FC3"/>
    <w:p w:rsidR="00FD5A47" w:rsidRDefault="00FD5A47"/>
    <w:p w:rsidR="00BF3FC3" w:rsidRDefault="00BF3FC3"/>
    <w:p w:rsidR="00BF3FC3" w:rsidRDefault="00BF3FC3">
      <w:r>
        <w:t>Signor Presidente,</w:t>
      </w:r>
    </w:p>
    <w:p w:rsidR="00BF3FC3" w:rsidRDefault="00BF3FC3">
      <w:r>
        <w:t>signore e signori deputati,</w:t>
      </w:r>
    </w:p>
    <w:p w:rsidR="00FD5A47" w:rsidRDefault="00FD5A47"/>
    <w:p w:rsidR="00B21A9A" w:rsidRPr="005D7855" w:rsidRDefault="00B21A9A" w:rsidP="00B21A9A">
      <w:pPr>
        <w:autoSpaceDE w:val="0"/>
        <w:autoSpaceDN w:val="0"/>
        <w:adjustRightInd w:val="0"/>
        <w:spacing w:after="40"/>
        <w:rPr>
          <w:rFonts w:cs="Arial"/>
          <w:szCs w:val="24"/>
          <w:lang w:val="it-CH" w:eastAsia="it-CH"/>
        </w:rPr>
      </w:pPr>
      <w:r w:rsidRPr="005D7855">
        <w:rPr>
          <w:rFonts w:cs="Arial"/>
          <w:szCs w:val="24"/>
          <w:lang w:val="it-CH" w:eastAsia="it-CH"/>
        </w:rPr>
        <w:t xml:space="preserve">con il presente messaggio vi sottoponiamo per esame ed approvazione la richiesta dei seguenti crediti: </w:t>
      </w:r>
    </w:p>
    <w:p w:rsidR="00B21A9A" w:rsidRPr="005D7855" w:rsidRDefault="00B21A9A" w:rsidP="00235850">
      <w:pPr>
        <w:numPr>
          <w:ilvl w:val="0"/>
          <w:numId w:val="1"/>
        </w:numPr>
        <w:autoSpaceDE w:val="0"/>
        <w:autoSpaceDN w:val="0"/>
        <w:adjustRightInd w:val="0"/>
        <w:spacing w:before="60"/>
        <w:ind w:left="284" w:hanging="284"/>
        <w:rPr>
          <w:rFonts w:cs="Arial"/>
          <w:szCs w:val="24"/>
          <w:lang w:val="it-CH" w:eastAsia="it-CH"/>
        </w:rPr>
      </w:pPr>
      <w:r w:rsidRPr="005D7855">
        <w:rPr>
          <w:rFonts w:cs="Arial"/>
          <w:szCs w:val="24"/>
          <w:lang w:val="it-CH" w:eastAsia="it-CH"/>
        </w:rPr>
        <w:t>franchi 80'000'000.- destinati all’acquisto dell’edificio ex Banca del Gottardo;</w:t>
      </w:r>
    </w:p>
    <w:p w:rsidR="00B21A9A" w:rsidRDefault="00B21A9A" w:rsidP="00235850">
      <w:pPr>
        <w:numPr>
          <w:ilvl w:val="0"/>
          <w:numId w:val="1"/>
        </w:numPr>
        <w:autoSpaceDE w:val="0"/>
        <w:autoSpaceDN w:val="0"/>
        <w:adjustRightInd w:val="0"/>
        <w:spacing w:before="60"/>
        <w:ind w:left="284" w:hanging="284"/>
        <w:rPr>
          <w:rFonts w:cs="Arial"/>
          <w:szCs w:val="24"/>
          <w:lang w:val="it-CH" w:eastAsia="it-CH"/>
        </w:rPr>
      </w:pPr>
      <w:r w:rsidRPr="005D7855">
        <w:rPr>
          <w:rFonts w:cs="Arial"/>
          <w:szCs w:val="24"/>
          <w:lang w:val="it-CH" w:eastAsia="it-CH"/>
        </w:rPr>
        <w:t>franchi 50'000.- per le spese legali e notarili dell’acquisto sopra</w:t>
      </w:r>
      <w:r>
        <w:rPr>
          <w:rFonts w:cs="Arial"/>
          <w:szCs w:val="24"/>
          <w:lang w:val="it-CH" w:eastAsia="it-CH"/>
        </w:rPr>
        <w:t xml:space="preserve"> citato;</w:t>
      </w:r>
    </w:p>
    <w:p w:rsidR="00B21A9A" w:rsidRDefault="00B21A9A" w:rsidP="00235850">
      <w:pPr>
        <w:numPr>
          <w:ilvl w:val="0"/>
          <w:numId w:val="1"/>
        </w:numPr>
        <w:autoSpaceDE w:val="0"/>
        <w:autoSpaceDN w:val="0"/>
        <w:adjustRightInd w:val="0"/>
        <w:spacing w:before="60"/>
        <w:ind w:left="284" w:hanging="284"/>
        <w:rPr>
          <w:rFonts w:cs="Arial"/>
          <w:szCs w:val="24"/>
          <w:lang w:val="it-CH" w:eastAsia="it-CH"/>
        </w:rPr>
      </w:pPr>
      <w:r w:rsidRPr="00F174C0">
        <w:rPr>
          <w:rFonts w:cs="Arial"/>
          <w:szCs w:val="24"/>
          <w:lang w:val="it-CH" w:eastAsia="it-CH"/>
        </w:rPr>
        <w:t xml:space="preserve">franchi </w:t>
      </w:r>
      <w:r>
        <w:rPr>
          <w:rFonts w:cs="Arial"/>
          <w:szCs w:val="24"/>
          <w:lang w:val="it-CH" w:eastAsia="it-CH"/>
        </w:rPr>
        <w:t xml:space="preserve">5'500'000.- </w:t>
      </w:r>
      <w:r w:rsidRPr="00F174C0">
        <w:rPr>
          <w:rFonts w:cs="Arial"/>
          <w:szCs w:val="24"/>
          <w:lang w:val="it-CH" w:eastAsia="it-CH"/>
        </w:rPr>
        <w:t xml:space="preserve">per la progettazione </w:t>
      </w:r>
      <w:r>
        <w:rPr>
          <w:rFonts w:cs="Arial"/>
          <w:szCs w:val="24"/>
          <w:lang w:val="it-CH" w:eastAsia="it-CH"/>
        </w:rPr>
        <w:t xml:space="preserve">della ristrutturazione e </w:t>
      </w:r>
      <w:r w:rsidRPr="00F174C0">
        <w:rPr>
          <w:rFonts w:cs="Arial"/>
          <w:szCs w:val="24"/>
          <w:lang w:val="it-CH" w:eastAsia="it-CH"/>
        </w:rPr>
        <w:t>dell’adeguamento logistico</w:t>
      </w:r>
      <w:r>
        <w:rPr>
          <w:rFonts w:cs="Arial"/>
          <w:szCs w:val="24"/>
          <w:lang w:val="it-CH" w:eastAsia="it-CH"/>
        </w:rPr>
        <w:t>,</w:t>
      </w:r>
      <w:r w:rsidRPr="00F174C0">
        <w:rPr>
          <w:rFonts w:cs="Arial"/>
          <w:szCs w:val="24"/>
          <w:lang w:val="it-CH" w:eastAsia="it-CH"/>
        </w:rPr>
        <w:t xml:space="preserve"> fino alla fase </w:t>
      </w:r>
      <w:r>
        <w:rPr>
          <w:rFonts w:cs="Arial"/>
          <w:szCs w:val="24"/>
          <w:lang w:val="it-CH" w:eastAsia="it-CH"/>
        </w:rPr>
        <w:t>della procedura d’appalto compresa (</w:t>
      </w:r>
      <w:r w:rsidRPr="00F174C0">
        <w:rPr>
          <w:rFonts w:cs="Arial"/>
          <w:szCs w:val="24"/>
          <w:lang w:val="it-CH" w:eastAsia="it-CH"/>
        </w:rPr>
        <w:t>4.41 del regolamento SIA 112)</w:t>
      </w:r>
      <w:r>
        <w:rPr>
          <w:rFonts w:cs="Arial"/>
          <w:szCs w:val="24"/>
          <w:lang w:val="it-CH" w:eastAsia="it-CH"/>
        </w:rPr>
        <w:t>,</w:t>
      </w:r>
      <w:r w:rsidRPr="00F174C0">
        <w:rPr>
          <w:rFonts w:cs="Arial"/>
          <w:szCs w:val="24"/>
          <w:lang w:val="it-CH" w:eastAsia="it-CH"/>
        </w:rPr>
        <w:t xml:space="preserve"> degli spazi destinati </w:t>
      </w:r>
      <w:r>
        <w:rPr>
          <w:rFonts w:cs="Arial"/>
          <w:szCs w:val="24"/>
          <w:lang w:val="it-CH" w:eastAsia="it-CH"/>
        </w:rPr>
        <w:t>alle autorità giudiziarie presso</w:t>
      </w:r>
      <w:r w:rsidRPr="002D4C4C">
        <w:rPr>
          <w:rFonts w:cs="Arial"/>
          <w:szCs w:val="24"/>
          <w:lang w:val="it-CH" w:eastAsia="it-CH"/>
        </w:rPr>
        <w:t xml:space="preserve"> </w:t>
      </w:r>
      <w:r w:rsidRPr="00A170AC">
        <w:rPr>
          <w:rFonts w:cs="Arial"/>
          <w:szCs w:val="24"/>
          <w:lang w:val="it-CH" w:eastAsia="it-CH"/>
        </w:rPr>
        <w:t>l’edificio ex Banca del Gottardo</w:t>
      </w:r>
      <w:r>
        <w:rPr>
          <w:rFonts w:cs="Arial"/>
          <w:szCs w:val="24"/>
          <w:lang w:val="it-CH" w:eastAsia="it-CH"/>
        </w:rPr>
        <w:t>;</w:t>
      </w:r>
    </w:p>
    <w:p w:rsidR="00B21A9A" w:rsidRDefault="00B21A9A" w:rsidP="00235850">
      <w:pPr>
        <w:numPr>
          <w:ilvl w:val="0"/>
          <w:numId w:val="1"/>
        </w:numPr>
        <w:autoSpaceDE w:val="0"/>
        <w:autoSpaceDN w:val="0"/>
        <w:adjustRightInd w:val="0"/>
        <w:spacing w:before="60"/>
        <w:ind w:left="284" w:hanging="284"/>
        <w:rPr>
          <w:rFonts w:cs="Arial"/>
          <w:szCs w:val="24"/>
          <w:lang w:val="it-CH" w:eastAsia="it-CH"/>
        </w:rPr>
      </w:pPr>
      <w:r w:rsidRPr="00F174C0">
        <w:rPr>
          <w:rFonts w:cs="Arial"/>
          <w:szCs w:val="24"/>
          <w:lang w:val="it-CH" w:eastAsia="it-CH"/>
        </w:rPr>
        <w:t xml:space="preserve">franchi </w:t>
      </w:r>
      <w:r>
        <w:rPr>
          <w:rFonts w:cs="Arial"/>
          <w:szCs w:val="24"/>
          <w:lang w:val="it-CH" w:eastAsia="it-CH"/>
        </w:rPr>
        <w:t xml:space="preserve">490'000.- </w:t>
      </w:r>
      <w:r w:rsidRPr="00F174C0">
        <w:rPr>
          <w:rFonts w:cs="Arial"/>
          <w:szCs w:val="24"/>
          <w:lang w:val="it-CH" w:eastAsia="it-CH"/>
        </w:rPr>
        <w:t>per</w:t>
      </w:r>
      <w:r>
        <w:rPr>
          <w:rFonts w:cs="Arial"/>
          <w:szCs w:val="24"/>
          <w:lang w:val="it-CH" w:eastAsia="it-CH"/>
        </w:rPr>
        <w:t xml:space="preserve"> uno studio di fattibilità e</w:t>
      </w:r>
      <w:r w:rsidRPr="00F174C0">
        <w:rPr>
          <w:rFonts w:cs="Arial"/>
          <w:szCs w:val="24"/>
          <w:lang w:val="it-CH" w:eastAsia="it-CH"/>
        </w:rPr>
        <w:t xml:space="preserve"> la progettazione fino alla fase </w:t>
      </w:r>
      <w:r>
        <w:rPr>
          <w:rFonts w:cs="Arial"/>
          <w:szCs w:val="24"/>
          <w:lang w:val="it-CH" w:eastAsia="it-CH"/>
        </w:rPr>
        <w:t>della procedura d’appalto compresa (4.41 del regolamento SIA 112),</w:t>
      </w:r>
      <w:r w:rsidRPr="00F174C0">
        <w:rPr>
          <w:rFonts w:cs="Arial"/>
          <w:szCs w:val="24"/>
          <w:lang w:val="it-CH" w:eastAsia="it-CH"/>
        </w:rPr>
        <w:t xml:space="preserve"> degli spazi destinati alla sede provvisoria necessaria </w:t>
      </w:r>
      <w:r>
        <w:rPr>
          <w:rFonts w:cs="Arial"/>
          <w:szCs w:val="24"/>
          <w:lang w:val="it-CH" w:eastAsia="it-CH"/>
        </w:rPr>
        <w:t>per la</w:t>
      </w:r>
      <w:r w:rsidRPr="00F174C0">
        <w:rPr>
          <w:rFonts w:cs="Arial"/>
          <w:szCs w:val="24"/>
          <w:lang w:val="it-CH" w:eastAsia="it-CH"/>
        </w:rPr>
        <w:t xml:space="preserve"> ristrutturazione del </w:t>
      </w:r>
      <w:r>
        <w:rPr>
          <w:rFonts w:cs="Arial"/>
          <w:szCs w:val="24"/>
          <w:lang w:val="it-CH" w:eastAsia="it-CH"/>
        </w:rPr>
        <w:t>Palazzo di giustizia, presso lo stabile Bossi (E2009);</w:t>
      </w:r>
    </w:p>
    <w:p w:rsidR="00B21A9A" w:rsidRPr="001079BB" w:rsidRDefault="00B21A9A" w:rsidP="00235850">
      <w:pPr>
        <w:numPr>
          <w:ilvl w:val="0"/>
          <w:numId w:val="1"/>
        </w:numPr>
        <w:autoSpaceDE w:val="0"/>
        <w:autoSpaceDN w:val="0"/>
        <w:adjustRightInd w:val="0"/>
        <w:spacing w:before="60"/>
        <w:ind w:left="284" w:hanging="284"/>
        <w:rPr>
          <w:rFonts w:cs="Arial"/>
          <w:szCs w:val="24"/>
          <w:lang w:val="it-CH" w:eastAsia="it-CH"/>
        </w:rPr>
      </w:pPr>
      <w:r w:rsidRPr="001079BB">
        <w:rPr>
          <w:rFonts w:cs="Arial"/>
          <w:szCs w:val="24"/>
          <w:lang w:val="it-CH" w:eastAsia="it-CH"/>
        </w:rPr>
        <w:t>franchi 400’000.- per un consulente esterno a supporto del Capoprogetto per le attività della Sezione della logistica fino alla fase</w:t>
      </w:r>
      <w:r>
        <w:rPr>
          <w:rFonts w:cs="Arial"/>
          <w:szCs w:val="24"/>
          <w:lang w:val="it-CH" w:eastAsia="it-CH"/>
        </w:rPr>
        <w:t xml:space="preserve"> </w:t>
      </w:r>
      <w:r w:rsidRPr="001079BB">
        <w:rPr>
          <w:rFonts w:cs="Arial"/>
          <w:szCs w:val="24"/>
          <w:lang w:val="it-CH" w:eastAsia="it-CH"/>
        </w:rPr>
        <w:t>della procedura d’appalto</w:t>
      </w:r>
      <w:r>
        <w:rPr>
          <w:rFonts w:cs="Arial"/>
          <w:szCs w:val="24"/>
          <w:lang w:val="it-CH" w:eastAsia="it-CH"/>
        </w:rPr>
        <w:t xml:space="preserve"> compresa</w:t>
      </w:r>
      <w:r w:rsidRPr="001079BB">
        <w:rPr>
          <w:rFonts w:cs="Arial"/>
          <w:szCs w:val="24"/>
          <w:lang w:val="it-CH" w:eastAsia="it-CH"/>
        </w:rPr>
        <w:t xml:space="preserve"> (4.41 del regolamento SIA 112)</w:t>
      </w:r>
      <w:r>
        <w:rPr>
          <w:rFonts w:cs="Arial"/>
          <w:szCs w:val="24"/>
          <w:lang w:val="it-CH" w:eastAsia="it-CH"/>
        </w:rPr>
        <w:t xml:space="preserve"> </w:t>
      </w:r>
      <w:r w:rsidRPr="001079BB">
        <w:rPr>
          <w:rFonts w:cs="Arial"/>
          <w:szCs w:val="24"/>
          <w:lang w:val="it-CH" w:eastAsia="it-CH"/>
        </w:rPr>
        <w:t xml:space="preserve">del progetto di ristrutturazione dello stabile ex Banca del Gottardo e degli spazi destinati alla sede provvisoria presso lo </w:t>
      </w:r>
      <w:r>
        <w:rPr>
          <w:rFonts w:cs="Arial"/>
          <w:szCs w:val="24"/>
          <w:lang w:val="it-CH" w:eastAsia="it-CH"/>
        </w:rPr>
        <w:t>s</w:t>
      </w:r>
      <w:r w:rsidRPr="001079BB">
        <w:rPr>
          <w:rFonts w:cs="Arial"/>
          <w:szCs w:val="24"/>
          <w:lang w:val="it-CH" w:eastAsia="it-CH"/>
        </w:rPr>
        <w:t>tabile Bossi.</w:t>
      </w:r>
    </w:p>
    <w:p w:rsidR="00B21A9A" w:rsidRDefault="00B21A9A" w:rsidP="00B21A9A">
      <w:pPr>
        <w:autoSpaceDE w:val="0"/>
        <w:autoSpaceDN w:val="0"/>
        <w:adjustRightInd w:val="0"/>
        <w:jc w:val="left"/>
        <w:rPr>
          <w:rFonts w:cs="Arial"/>
          <w:szCs w:val="24"/>
          <w:lang w:val="it-CH" w:eastAsia="it-CH"/>
        </w:rPr>
      </w:pPr>
    </w:p>
    <w:p w:rsidR="00B21A9A" w:rsidRDefault="00B21A9A" w:rsidP="00B21A9A">
      <w:pPr>
        <w:autoSpaceDE w:val="0"/>
        <w:autoSpaceDN w:val="0"/>
        <w:adjustRightInd w:val="0"/>
        <w:rPr>
          <w:rFonts w:cs="Arial"/>
          <w:szCs w:val="24"/>
          <w:lang w:val="it-CH" w:eastAsia="it-CH"/>
        </w:rPr>
      </w:pPr>
      <w:r>
        <w:rPr>
          <w:rFonts w:cs="Arial"/>
          <w:szCs w:val="24"/>
          <w:lang w:val="it-CH" w:eastAsia="it-CH"/>
        </w:rPr>
        <w:t>Con il presente messaggio viene aggiornata la strategia logistica per il comparto della giustizia del luganese presentata nel messaggio 7080 del 14 aprile 2015. Esso prevede, unitamente alla ristrutturazione dell’attuale Palazzo di giustizia oggetto di richiesta di credito del messaggio citato, l’acquisizione e il risanamento dell’edifico ex Banca del Gottardo.</w:t>
      </w:r>
    </w:p>
    <w:p w:rsidR="00B21A9A" w:rsidRDefault="00B21A9A" w:rsidP="00B21A9A">
      <w:pPr>
        <w:autoSpaceDE w:val="0"/>
        <w:autoSpaceDN w:val="0"/>
        <w:adjustRightInd w:val="0"/>
        <w:jc w:val="left"/>
        <w:rPr>
          <w:rFonts w:cs="Arial"/>
          <w:szCs w:val="24"/>
          <w:lang w:val="it-CH" w:eastAsia="it-CH"/>
        </w:rPr>
      </w:pPr>
    </w:p>
    <w:p w:rsidR="00B21A9A" w:rsidRDefault="00B21A9A" w:rsidP="00B21A9A">
      <w:pPr>
        <w:autoSpaceDE w:val="0"/>
        <w:autoSpaceDN w:val="0"/>
        <w:adjustRightInd w:val="0"/>
        <w:jc w:val="left"/>
        <w:rPr>
          <w:rFonts w:cs="Arial"/>
          <w:szCs w:val="24"/>
          <w:lang w:val="it-CH" w:eastAsia="it-CH"/>
        </w:rPr>
      </w:pPr>
    </w:p>
    <w:p w:rsidR="00B21A9A" w:rsidRPr="00CF3A90" w:rsidRDefault="00B21A9A" w:rsidP="00B21A9A"/>
    <w:p w:rsidR="00B21A9A" w:rsidRDefault="00B21A9A" w:rsidP="00B21A9A">
      <w:pPr>
        <w:pStyle w:val="Titolo1"/>
        <w:tabs>
          <w:tab w:val="clear" w:pos="567"/>
          <w:tab w:val="left" w:pos="709"/>
        </w:tabs>
        <w:rPr>
          <w:lang w:val="it-CH" w:eastAsia="it-CH"/>
        </w:rPr>
      </w:pPr>
      <w:r w:rsidRPr="00CF3A90">
        <w:lastRenderedPageBreak/>
        <w:t>1.</w:t>
      </w:r>
      <w:r w:rsidRPr="00CF3A90">
        <w:tab/>
      </w:r>
      <w:r w:rsidRPr="004B790D">
        <w:t xml:space="preserve">INTRODUZIONE </w:t>
      </w:r>
    </w:p>
    <w:p w:rsidR="00B21A9A" w:rsidRPr="00F517FE" w:rsidRDefault="00B21A9A" w:rsidP="00B21A9A">
      <w:pPr>
        <w:pStyle w:val="Titolo2"/>
        <w:tabs>
          <w:tab w:val="clear" w:pos="567"/>
          <w:tab w:val="left" w:pos="709"/>
        </w:tabs>
      </w:pPr>
      <w:r>
        <w:t>1.1</w:t>
      </w:r>
      <w:r>
        <w:tab/>
      </w:r>
      <w:r w:rsidRPr="00F517FE">
        <w:t>Cronistoria del progetto</w:t>
      </w:r>
    </w:p>
    <w:p w:rsidR="00B21A9A" w:rsidRPr="00727D00" w:rsidRDefault="00B21A9A" w:rsidP="00B21A9A">
      <w:r w:rsidRPr="00727D00">
        <w:t>La presentazione di una prima richiesta di credito</w:t>
      </w:r>
      <w:r>
        <w:t xml:space="preserve"> di franchi 1'850'000.-</w:t>
      </w:r>
      <w:r w:rsidRPr="00727D00">
        <w:t xml:space="preserve"> per la progettazione del risanamento edile impiantistico ed energetico, nonché per la riorganizzazione logistica del Palazzo di giustizia di Lugano (PGL) risale al 30 gennaio 2008 (messaggio n. 6028).</w:t>
      </w:r>
    </w:p>
    <w:p w:rsidR="00B21A9A" w:rsidRPr="00727D00" w:rsidRDefault="00B21A9A" w:rsidP="00B21A9A">
      <w:r w:rsidRPr="00727D00">
        <w:t xml:space="preserve">Il 6 maggio 2008, il Gran Consiglio approva la relativa richiesta di credito e il 18 settembre 2009 viene avviata la scelta del progetto tramite un concorso di progetto. </w:t>
      </w:r>
    </w:p>
    <w:p w:rsidR="00B21A9A" w:rsidRPr="0051430C" w:rsidRDefault="00B21A9A" w:rsidP="00B21A9A">
      <w:pPr>
        <w:rPr>
          <w:sz w:val="18"/>
          <w:szCs w:val="18"/>
        </w:rPr>
      </w:pPr>
    </w:p>
    <w:p w:rsidR="00B21A9A" w:rsidRPr="00727D00" w:rsidRDefault="00B21A9A" w:rsidP="00B21A9A">
      <w:r w:rsidRPr="00727D00">
        <w:t>Il 21 aprile 2010 la giuria raccomanda al Consiglio di Stato di assegnare la progettazione allo studio di architettura Buletti Fumagalli e associati di Lugano. Nel bando di concorso non erano state specificate le esigenze di dettaglio di ogni servizio.</w:t>
      </w:r>
    </w:p>
    <w:p w:rsidR="00B21A9A" w:rsidRPr="0051430C" w:rsidRDefault="00B21A9A" w:rsidP="00B21A9A">
      <w:pPr>
        <w:rPr>
          <w:sz w:val="18"/>
          <w:szCs w:val="18"/>
        </w:rPr>
      </w:pPr>
    </w:p>
    <w:p w:rsidR="00B21A9A" w:rsidRPr="00727D00" w:rsidRDefault="00B21A9A" w:rsidP="00B21A9A">
      <w:r w:rsidRPr="00727D00">
        <w:t xml:space="preserve">Nel 2009 si procede alla sostituzione degli ascensori presso il Palazzo di giustizia e si evidenziano le oggettive difficoltà di coabitazione di un cantiere con i servizi </w:t>
      </w:r>
      <w:r>
        <w:t>insediati</w:t>
      </w:r>
      <w:r w:rsidRPr="00727D00">
        <w:t xml:space="preserve">. </w:t>
      </w:r>
    </w:p>
    <w:p w:rsidR="00B21A9A" w:rsidRPr="0051430C" w:rsidRDefault="00B21A9A" w:rsidP="00B21A9A">
      <w:pPr>
        <w:rPr>
          <w:sz w:val="18"/>
          <w:szCs w:val="18"/>
        </w:rPr>
      </w:pPr>
    </w:p>
    <w:p w:rsidR="00B21A9A" w:rsidRPr="00F43D53" w:rsidRDefault="00B21A9A" w:rsidP="00B21A9A">
      <w:pPr>
        <w:rPr>
          <w:szCs w:val="24"/>
        </w:rPr>
      </w:pPr>
      <w:r w:rsidRPr="00F43D53">
        <w:rPr>
          <w:szCs w:val="24"/>
        </w:rPr>
        <w:t xml:space="preserve">Nel novembre 2011 il Consiglio di Stato in considerazione </w:t>
      </w:r>
      <w:r>
        <w:rPr>
          <w:szCs w:val="24"/>
        </w:rPr>
        <w:t>dell’esperienza di sostituzione degli ascensori,</w:t>
      </w:r>
      <w:r w:rsidRPr="00F43D53">
        <w:rPr>
          <w:szCs w:val="24"/>
        </w:rPr>
        <w:t xml:space="preserve"> decide di incaricare la Sezione della logistica e il Dipartimento delle istituzioni di verificare i vantaggi e gli svantaggi nonché i costi per il trasloco dei servizi (o parte degli stessi) in sedi provvisorie esterne al Palazzo di giustizia. </w:t>
      </w:r>
    </w:p>
    <w:p w:rsidR="00B21A9A" w:rsidRPr="0051430C" w:rsidRDefault="00B21A9A" w:rsidP="00B21A9A">
      <w:pPr>
        <w:rPr>
          <w:sz w:val="18"/>
          <w:szCs w:val="18"/>
        </w:rPr>
      </w:pPr>
    </w:p>
    <w:p w:rsidR="00B21A9A" w:rsidRPr="00F43D53" w:rsidRDefault="00B21A9A" w:rsidP="00B21A9A">
      <w:pPr>
        <w:rPr>
          <w:szCs w:val="24"/>
        </w:rPr>
      </w:pPr>
      <w:r w:rsidRPr="00F43D53">
        <w:rPr>
          <w:szCs w:val="24"/>
        </w:rPr>
        <w:t>Il 20 dicembre 2011, la Sezione della logistica presenta delle prime varianti d’insediamento provvisorio al Dipartimento delle istituzioni.</w:t>
      </w:r>
    </w:p>
    <w:p w:rsidR="00B21A9A" w:rsidRPr="0051430C" w:rsidRDefault="00B21A9A" w:rsidP="00B21A9A">
      <w:pPr>
        <w:rPr>
          <w:sz w:val="18"/>
          <w:szCs w:val="18"/>
        </w:rPr>
      </w:pPr>
    </w:p>
    <w:p w:rsidR="00B21A9A" w:rsidRPr="00F43D53" w:rsidRDefault="00B21A9A" w:rsidP="00B21A9A">
      <w:pPr>
        <w:rPr>
          <w:szCs w:val="24"/>
        </w:rPr>
      </w:pPr>
      <w:r w:rsidRPr="00F43D53">
        <w:rPr>
          <w:szCs w:val="24"/>
        </w:rPr>
        <w:t>Il 17 febbr</w:t>
      </w:r>
      <w:r>
        <w:rPr>
          <w:szCs w:val="24"/>
        </w:rPr>
        <w:t>aio 2012 il Consiglio di Stato</w:t>
      </w:r>
      <w:r w:rsidRPr="00F43D53">
        <w:rPr>
          <w:szCs w:val="24"/>
        </w:rPr>
        <w:t xml:space="preserve"> informa la Commissione della gestione </w:t>
      </w:r>
      <w:r>
        <w:rPr>
          <w:szCs w:val="24"/>
        </w:rPr>
        <w:t xml:space="preserve">e delle finanze </w:t>
      </w:r>
      <w:r w:rsidRPr="00F43D53">
        <w:rPr>
          <w:szCs w:val="24"/>
        </w:rPr>
        <w:t>che a causa di una divergenza sull’entità dell’investimento e quindi sul tetto massimo di spesa da indicare tra le condizioni contrattuali, si è prodotta una situazione di impasse nella firma dei contratti di prestazione dei progettisti.</w:t>
      </w:r>
    </w:p>
    <w:p w:rsidR="00B21A9A" w:rsidRPr="0051430C" w:rsidRDefault="00B21A9A" w:rsidP="00B21A9A">
      <w:pPr>
        <w:rPr>
          <w:sz w:val="18"/>
          <w:szCs w:val="18"/>
        </w:rPr>
      </w:pPr>
    </w:p>
    <w:p w:rsidR="00B21A9A" w:rsidRPr="00F43D53" w:rsidRDefault="00B21A9A" w:rsidP="00B21A9A">
      <w:pPr>
        <w:rPr>
          <w:spacing w:val="-2"/>
          <w:szCs w:val="24"/>
        </w:rPr>
      </w:pPr>
      <w:r w:rsidRPr="00F43D53">
        <w:rPr>
          <w:spacing w:val="-2"/>
          <w:szCs w:val="24"/>
        </w:rPr>
        <w:t xml:space="preserve">Il 28 giugno 2012, il Dipartimento delle istituzioni sottopone al Consiglio di Stato il masterplan della giustizia con il quale vengono assestate le esigenze logistiche della </w:t>
      </w:r>
      <w:r>
        <w:rPr>
          <w:spacing w:val="-2"/>
          <w:szCs w:val="24"/>
        </w:rPr>
        <w:t>Giustizia</w:t>
      </w:r>
      <w:r w:rsidRPr="00F43D53">
        <w:rPr>
          <w:spacing w:val="-2"/>
          <w:szCs w:val="24"/>
        </w:rPr>
        <w:t>.</w:t>
      </w:r>
    </w:p>
    <w:p w:rsidR="00B21A9A" w:rsidRPr="0051430C" w:rsidRDefault="00B21A9A" w:rsidP="00B21A9A">
      <w:pPr>
        <w:rPr>
          <w:sz w:val="18"/>
          <w:szCs w:val="18"/>
        </w:rPr>
      </w:pPr>
    </w:p>
    <w:p w:rsidR="00B21A9A" w:rsidRPr="00F43D53" w:rsidRDefault="00B21A9A" w:rsidP="00B21A9A">
      <w:pPr>
        <w:rPr>
          <w:szCs w:val="24"/>
        </w:rPr>
      </w:pPr>
      <w:r>
        <w:rPr>
          <w:szCs w:val="24"/>
        </w:rPr>
        <w:t xml:space="preserve">Il 19 settembre 2012 </w:t>
      </w:r>
      <w:r w:rsidRPr="00F43D53">
        <w:rPr>
          <w:szCs w:val="24"/>
        </w:rPr>
        <w:t xml:space="preserve">il Consiglio di Stato prende atto degli indirizzi strategici definiti nel masterplan </w:t>
      </w:r>
      <w:r>
        <w:rPr>
          <w:szCs w:val="24"/>
        </w:rPr>
        <w:t xml:space="preserve">della </w:t>
      </w:r>
      <w:r w:rsidRPr="00F43D53">
        <w:rPr>
          <w:szCs w:val="24"/>
        </w:rPr>
        <w:t xml:space="preserve">giustizia, disponendo alcuni ulteriori approfondimenti nonché l’avvio di trattative per l’acquisizione dello stabile Mizar a Lugano-Molino Nuovo. </w:t>
      </w:r>
    </w:p>
    <w:p w:rsidR="00B21A9A" w:rsidRPr="0051430C" w:rsidRDefault="00B21A9A" w:rsidP="00B21A9A">
      <w:pPr>
        <w:rPr>
          <w:sz w:val="18"/>
          <w:szCs w:val="18"/>
        </w:rPr>
      </w:pPr>
    </w:p>
    <w:p w:rsidR="00B21A9A" w:rsidRPr="00F43D53" w:rsidRDefault="00B21A9A" w:rsidP="00B21A9A">
      <w:pPr>
        <w:rPr>
          <w:szCs w:val="24"/>
        </w:rPr>
      </w:pPr>
      <w:r w:rsidRPr="00F43D53">
        <w:rPr>
          <w:szCs w:val="24"/>
        </w:rPr>
        <w:t>Il 15 febbraio 2013 la Sezione della logistica presenta un rapporto di valutazione finanziaria dello stabile Mizar a Lugano, dal quale emergono dei costi di locazione e gestione rilevanti che non permettono di concretizzare questa ipotesi. L’ipotesi viene quindi a cadere anche in relazione all’indisponibilità del proprietario a vendere l’immobile.</w:t>
      </w:r>
    </w:p>
    <w:p w:rsidR="00B21A9A" w:rsidRPr="0051430C" w:rsidRDefault="00B21A9A" w:rsidP="00B21A9A">
      <w:pPr>
        <w:rPr>
          <w:sz w:val="18"/>
          <w:szCs w:val="18"/>
        </w:rPr>
      </w:pPr>
    </w:p>
    <w:p w:rsidR="00B21A9A" w:rsidRPr="00F43D53" w:rsidRDefault="00B21A9A" w:rsidP="00B21A9A">
      <w:pPr>
        <w:rPr>
          <w:szCs w:val="24"/>
        </w:rPr>
      </w:pPr>
      <w:r w:rsidRPr="00F43D53">
        <w:rPr>
          <w:szCs w:val="24"/>
        </w:rPr>
        <w:t>Il 18 febbraio 2013 la Sezione della logistica e la Divisione della giustizia presentano quindi il rapporto “</w:t>
      </w:r>
      <w:r w:rsidRPr="00F43D53">
        <w:rPr>
          <w:i/>
          <w:szCs w:val="24"/>
        </w:rPr>
        <w:t>Logistica autorità giudiziarie – Palazzo di giustizia di Lugano – Approfondimento scenari d’intervento</w:t>
      </w:r>
      <w:r w:rsidRPr="00F43D53">
        <w:rPr>
          <w:szCs w:val="24"/>
        </w:rPr>
        <w:t>”.</w:t>
      </w:r>
    </w:p>
    <w:p w:rsidR="00B21A9A" w:rsidRPr="0051430C" w:rsidRDefault="00B21A9A" w:rsidP="00B21A9A">
      <w:pPr>
        <w:rPr>
          <w:sz w:val="18"/>
          <w:szCs w:val="18"/>
        </w:rPr>
      </w:pPr>
    </w:p>
    <w:p w:rsidR="00B21A9A" w:rsidRDefault="00B21A9A" w:rsidP="00B21A9A">
      <w:pPr>
        <w:rPr>
          <w:szCs w:val="24"/>
        </w:rPr>
      </w:pPr>
      <w:r w:rsidRPr="00F43D53">
        <w:rPr>
          <w:szCs w:val="24"/>
        </w:rPr>
        <w:t>Alla luce di quanto sopra il Dipartimento delle istituzioni e la Sezione della logistica si attivano per sottoporre al Consiglio di Stato delle piste d’azione che tengano in considerazione pure le mutate esigenze dei servizi giudiziari e della Polizia cantonale.</w:t>
      </w:r>
    </w:p>
    <w:p w:rsidR="00B21A9A" w:rsidRPr="0051430C" w:rsidRDefault="00B21A9A" w:rsidP="00B21A9A">
      <w:pPr>
        <w:rPr>
          <w:sz w:val="18"/>
          <w:szCs w:val="18"/>
        </w:rPr>
      </w:pPr>
    </w:p>
    <w:p w:rsidR="00B21A9A" w:rsidRPr="00F43D53" w:rsidRDefault="00B21A9A" w:rsidP="00B21A9A">
      <w:pPr>
        <w:rPr>
          <w:spacing w:val="-2"/>
          <w:szCs w:val="24"/>
        </w:rPr>
      </w:pPr>
      <w:r w:rsidRPr="00F43D53">
        <w:rPr>
          <w:spacing w:val="-2"/>
          <w:szCs w:val="24"/>
        </w:rPr>
        <w:t>Le valutazioni delle possibili piste d’azione e delle rispettive soluzioni logistiche, unitamente alle conseguenti trattative con proprietari terzi, si protraggono fino alla fine di giugno 2014.</w:t>
      </w:r>
    </w:p>
    <w:p w:rsidR="00B21A9A" w:rsidRPr="0051430C" w:rsidRDefault="00B21A9A" w:rsidP="00B21A9A">
      <w:pPr>
        <w:rPr>
          <w:sz w:val="18"/>
          <w:szCs w:val="18"/>
        </w:rPr>
      </w:pPr>
    </w:p>
    <w:p w:rsidR="00B21A9A" w:rsidRPr="00727D00" w:rsidRDefault="00B21A9A" w:rsidP="00B21A9A">
      <w:r w:rsidRPr="00F43D53">
        <w:rPr>
          <w:szCs w:val="24"/>
        </w:rPr>
        <w:t>Il</w:t>
      </w:r>
      <w:r w:rsidRPr="00727D00">
        <w:t xml:space="preserve"> 19 agosto 2014</w:t>
      </w:r>
      <w:r>
        <w:t xml:space="preserve"> </w:t>
      </w:r>
      <w:r w:rsidRPr="00727D00">
        <w:t>il Consiglio di Stato condivide gli indirizzi strategici aggiornati relativi all’organizzazione logistica della Polizia cantonale che tra le altre proposte, prevede la concretizzazione di un comparto urbano a Lugano.</w:t>
      </w:r>
    </w:p>
    <w:p w:rsidR="00B21A9A" w:rsidRPr="0051430C" w:rsidRDefault="00B21A9A" w:rsidP="00B21A9A">
      <w:pPr>
        <w:rPr>
          <w:sz w:val="18"/>
          <w:szCs w:val="18"/>
        </w:rPr>
      </w:pPr>
    </w:p>
    <w:p w:rsidR="00B21A9A" w:rsidRPr="00727D00" w:rsidRDefault="00B21A9A" w:rsidP="00B21A9A">
      <w:r w:rsidRPr="00727D00">
        <w:t>Il 6 ottobre 2014 la Sezione della logistica presenta al Dipartimento delle istituzioni un rapporto di ricerca spazi nel comparto luganese per la sistemazione dei servizi giudiziari con il quale si informa che in quel momento il mercato non fornisce oggetti che permettano di soddisfare tutte le esigenze.</w:t>
      </w:r>
    </w:p>
    <w:p w:rsidR="00B21A9A" w:rsidRPr="0051430C" w:rsidRDefault="00B21A9A" w:rsidP="00B21A9A">
      <w:pPr>
        <w:rPr>
          <w:sz w:val="18"/>
          <w:szCs w:val="18"/>
        </w:rPr>
      </w:pPr>
    </w:p>
    <w:p w:rsidR="00B21A9A" w:rsidRPr="00727D00" w:rsidRDefault="00B21A9A" w:rsidP="00B21A9A">
      <w:r w:rsidRPr="00727D00">
        <w:t>Il 10 dicemb</w:t>
      </w:r>
      <w:r>
        <w:t xml:space="preserve">re 2014 il Consiglio di Stato </w:t>
      </w:r>
      <w:r w:rsidRPr="00727D00">
        <w:t xml:space="preserve">condivide infine una nuova pista d’azione che prevede la creazione di due comparti principali destinati alla </w:t>
      </w:r>
      <w:r>
        <w:t>G</w:t>
      </w:r>
      <w:r w:rsidRPr="00727D00">
        <w:t xml:space="preserve">iustizia e alla </w:t>
      </w:r>
      <w:r>
        <w:t>P</w:t>
      </w:r>
      <w:r w:rsidRPr="00727D00">
        <w:t xml:space="preserve">olizia del </w:t>
      </w:r>
      <w:r>
        <w:t>l</w:t>
      </w:r>
      <w:r w:rsidRPr="00727D00">
        <w:t>uganese.</w:t>
      </w:r>
    </w:p>
    <w:p w:rsidR="00B21A9A" w:rsidRPr="0051430C" w:rsidRDefault="00B21A9A" w:rsidP="00B21A9A">
      <w:pPr>
        <w:autoSpaceDE w:val="0"/>
        <w:autoSpaceDN w:val="0"/>
        <w:adjustRightInd w:val="0"/>
        <w:rPr>
          <w:sz w:val="18"/>
          <w:szCs w:val="18"/>
        </w:rPr>
      </w:pPr>
    </w:p>
    <w:p w:rsidR="00B21A9A" w:rsidRPr="00F43D53" w:rsidRDefault="00B21A9A" w:rsidP="00B21A9A">
      <w:pPr>
        <w:autoSpaceDE w:val="0"/>
        <w:autoSpaceDN w:val="0"/>
        <w:adjustRightInd w:val="0"/>
        <w:spacing w:after="40"/>
        <w:rPr>
          <w:rFonts w:cs="Arial"/>
          <w:szCs w:val="24"/>
          <w:lang w:val="it-CH" w:eastAsia="it-CH"/>
        </w:rPr>
      </w:pPr>
      <w:r w:rsidRPr="00F43D53">
        <w:rPr>
          <w:szCs w:val="24"/>
        </w:rPr>
        <w:t xml:space="preserve">Il 14 aprile 2015 il Consiglio di Stato licenzia il messaggio (n. 7080) inerente </w:t>
      </w:r>
      <w:r>
        <w:rPr>
          <w:szCs w:val="24"/>
        </w:rPr>
        <w:t>al</w:t>
      </w:r>
      <w:r w:rsidRPr="00F43D53">
        <w:rPr>
          <w:szCs w:val="24"/>
        </w:rPr>
        <w:t xml:space="preserve">la </w:t>
      </w:r>
      <w:r w:rsidRPr="00F43D53">
        <w:rPr>
          <w:rFonts w:cs="Arial"/>
          <w:szCs w:val="24"/>
          <w:lang w:val="it-CH" w:eastAsia="it-CH"/>
        </w:rPr>
        <w:t>richiesta di un credito complessivo di 4'060'000</w:t>
      </w:r>
      <w:r>
        <w:rPr>
          <w:rFonts w:cs="Arial"/>
          <w:szCs w:val="24"/>
          <w:lang w:val="it-CH" w:eastAsia="it-CH"/>
        </w:rPr>
        <w:t>.-</w:t>
      </w:r>
      <w:r w:rsidRPr="00F43D53">
        <w:rPr>
          <w:rFonts w:cs="Arial"/>
          <w:szCs w:val="24"/>
          <w:lang w:val="it-CH" w:eastAsia="it-CH"/>
        </w:rPr>
        <w:t xml:space="preserve"> franchi destinato alla logistica dei servizi giudiziari e della Polizia cantonale nel comparto del </w:t>
      </w:r>
      <w:r>
        <w:rPr>
          <w:rFonts w:cs="Arial"/>
          <w:szCs w:val="24"/>
          <w:lang w:val="it-CH" w:eastAsia="it-CH"/>
        </w:rPr>
        <w:t>l</w:t>
      </w:r>
      <w:r w:rsidRPr="00F43D53">
        <w:rPr>
          <w:rFonts w:cs="Arial"/>
          <w:szCs w:val="24"/>
          <w:lang w:val="it-CH" w:eastAsia="it-CH"/>
        </w:rPr>
        <w:t>uganese così suddiviso:</w:t>
      </w:r>
    </w:p>
    <w:p w:rsidR="00B21A9A" w:rsidRPr="00F43D53" w:rsidRDefault="00B21A9A" w:rsidP="00235850">
      <w:pPr>
        <w:numPr>
          <w:ilvl w:val="0"/>
          <w:numId w:val="1"/>
        </w:numPr>
        <w:autoSpaceDE w:val="0"/>
        <w:autoSpaceDN w:val="0"/>
        <w:adjustRightInd w:val="0"/>
        <w:spacing w:before="60"/>
        <w:ind w:left="284" w:hanging="284"/>
        <w:rPr>
          <w:rFonts w:cs="Arial"/>
          <w:szCs w:val="24"/>
          <w:lang w:val="it-CH" w:eastAsia="it-CH"/>
        </w:rPr>
      </w:pPr>
      <w:r w:rsidRPr="00F43D53">
        <w:rPr>
          <w:rFonts w:cs="Arial"/>
          <w:szCs w:val="24"/>
          <w:lang w:val="it-CH" w:eastAsia="it-CH"/>
        </w:rPr>
        <w:t>un credito supplementare di franchi 3'700'000.- per la progettazione del risanamento edile, impiantistico ed energetico nonché per la riorganizzazione logistica del Palazzo di giustizia di Lugano (in parte dovuto a un aumento del tetto massimo di spesa dell’opera, che passa da 40</w:t>
      </w:r>
      <w:r>
        <w:rPr>
          <w:rFonts w:cs="Arial"/>
          <w:szCs w:val="24"/>
          <w:lang w:val="it-CH" w:eastAsia="it-CH"/>
        </w:rPr>
        <w:t>.00</w:t>
      </w:r>
      <w:r w:rsidRPr="00F43D53">
        <w:rPr>
          <w:rFonts w:cs="Arial"/>
          <w:szCs w:val="24"/>
          <w:lang w:val="it-CH" w:eastAsia="it-CH"/>
        </w:rPr>
        <w:t xml:space="preserve"> milioni di franchi a 60.15 milioni);</w:t>
      </w:r>
    </w:p>
    <w:p w:rsidR="00B21A9A" w:rsidRPr="00F43D53" w:rsidRDefault="00B21A9A" w:rsidP="00235850">
      <w:pPr>
        <w:numPr>
          <w:ilvl w:val="0"/>
          <w:numId w:val="1"/>
        </w:numPr>
        <w:autoSpaceDE w:val="0"/>
        <w:autoSpaceDN w:val="0"/>
        <w:adjustRightInd w:val="0"/>
        <w:spacing w:before="60"/>
        <w:ind w:left="284" w:hanging="284"/>
        <w:rPr>
          <w:rFonts w:cs="Arial"/>
          <w:szCs w:val="24"/>
          <w:lang w:val="it-CH" w:eastAsia="it-CH"/>
        </w:rPr>
      </w:pPr>
      <w:r w:rsidRPr="00F43D53">
        <w:rPr>
          <w:rFonts w:cs="Arial"/>
          <w:szCs w:val="24"/>
          <w:lang w:val="it-CH" w:eastAsia="it-CH"/>
        </w:rPr>
        <w:t xml:space="preserve">un credito di franchi 200'000.- per lo studio di fattibilità per una nuova sede esterna provvisoria o definitiva dei </w:t>
      </w:r>
      <w:r>
        <w:rPr>
          <w:rFonts w:cs="Arial"/>
          <w:szCs w:val="24"/>
          <w:lang w:val="it-CH" w:eastAsia="it-CH"/>
        </w:rPr>
        <w:t>s</w:t>
      </w:r>
      <w:r w:rsidRPr="00F43D53">
        <w:rPr>
          <w:rFonts w:cs="Arial"/>
          <w:szCs w:val="24"/>
          <w:lang w:val="it-CH" w:eastAsia="it-CH"/>
        </w:rPr>
        <w:t>ervizi giudiziari;</w:t>
      </w:r>
    </w:p>
    <w:p w:rsidR="00B21A9A" w:rsidRPr="00F43D53" w:rsidRDefault="00B21A9A" w:rsidP="00235850">
      <w:pPr>
        <w:numPr>
          <w:ilvl w:val="0"/>
          <w:numId w:val="1"/>
        </w:numPr>
        <w:autoSpaceDE w:val="0"/>
        <w:autoSpaceDN w:val="0"/>
        <w:adjustRightInd w:val="0"/>
        <w:spacing w:before="60"/>
        <w:ind w:left="284" w:hanging="284"/>
        <w:rPr>
          <w:rFonts w:cs="Arial"/>
          <w:szCs w:val="24"/>
          <w:lang w:val="it-CH" w:eastAsia="it-CH"/>
        </w:rPr>
      </w:pPr>
      <w:r w:rsidRPr="00F43D53">
        <w:rPr>
          <w:rFonts w:cs="Arial"/>
          <w:szCs w:val="24"/>
          <w:lang w:val="it-CH" w:eastAsia="it-CH"/>
        </w:rPr>
        <w:t>un credito di franchi 160'000.- per interventi di carattere urgente per esigenze della polizia cantonale presso il Palazzo di giustizia di Lugano.</w:t>
      </w:r>
    </w:p>
    <w:p w:rsidR="00B21A9A" w:rsidRPr="0051430C" w:rsidRDefault="00B21A9A" w:rsidP="00B21A9A">
      <w:pPr>
        <w:autoSpaceDE w:val="0"/>
        <w:autoSpaceDN w:val="0"/>
        <w:adjustRightInd w:val="0"/>
        <w:jc w:val="left"/>
        <w:rPr>
          <w:rFonts w:cs="Arial"/>
          <w:sz w:val="18"/>
          <w:szCs w:val="18"/>
          <w:lang w:val="it-CH" w:eastAsia="it-CH"/>
        </w:rPr>
      </w:pPr>
    </w:p>
    <w:p w:rsidR="00B21A9A" w:rsidRPr="00F43D53" w:rsidRDefault="00B21A9A" w:rsidP="00B21A9A">
      <w:pPr>
        <w:rPr>
          <w:rFonts w:cs="Arial"/>
          <w:szCs w:val="24"/>
          <w:lang w:val="it-CH" w:eastAsia="it-CH"/>
        </w:rPr>
      </w:pPr>
      <w:r w:rsidRPr="00F43D53">
        <w:rPr>
          <w:szCs w:val="24"/>
          <w:lang w:val="it-CH"/>
        </w:rPr>
        <w:t xml:space="preserve">Il 22 giugno 2015 il Gran Consiglio approva i crediti per lo studio di fattibilità per una sede esterna e per gli interventi urgenti per le esigenze di Polizia. Per contro, il Gran Consiglio informa che il rimanente credito supplementare di </w:t>
      </w:r>
      <w:r w:rsidRPr="00F43D53">
        <w:rPr>
          <w:rFonts w:cs="Arial"/>
          <w:szCs w:val="24"/>
          <w:lang w:val="it-CH" w:eastAsia="it-CH"/>
        </w:rPr>
        <w:t>franchi 3'700'000.- sarà oggetto di maggiori approfondimenti da parte della Commissione della gestione e delle finanze.</w:t>
      </w:r>
    </w:p>
    <w:p w:rsidR="00B21A9A" w:rsidRPr="0051430C" w:rsidRDefault="00B21A9A" w:rsidP="00B21A9A">
      <w:pPr>
        <w:rPr>
          <w:rFonts w:cs="Arial"/>
          <w:sz w:val="18"/>
          <w:szCs w:val="18"/>
          <w:lang w:val="it-CH" w:eastAsia="it-CH"/>
        </w:rPr>
      </w:pPr>
    </w:p>
    <w:p w:rsidR="00B21A9A" w:rsidRPr="00F43D53" w:rsidRDefault="00B21A9A" w:rsidP="00B21A9A">
      <w:pPr>
        <w:rPr>
          <w:rFonts w:cs="Arial"/>
          <w:szCs w:val="24"/>
          <w:lang w:val="it-CH" w:eastAsia="it-CH"/>
        </w:rPr>
      </w:pPr>
      <w:r w:rsidRPr="00F43D53">
        <w:rPr>
          <w:rFonts w:cs="Arial"/>
          <w:szCs w:val="24"/>
          <w:lang w:val="it-CH" w:eastAsia="it-CH"/>
        </w:rPr>
        <w:t xml:space="preserve">Il 22 settembre 2015 il Consiglio di Stato incarica la Sezione della logistica di allestire uno studio di fattibilità per la nuova sede esterna dei </w:t>
      </w:r>
      <w:r>
        <w:rPr>
          <w:rFonts w:cs="Arial"/>
          <w:szCs w:val="24"/>
          <w:lang w:val="it-CH" w:eastAsia="it-CH"/>
        </w:rPr>
        <w:t>s</w:t>
      </w:r>
      <w:r w:rsidRPr="00F43D53">
        <w:rPr>
          <w:rFonts w:cs="Arial"/>
          <w:szCs w:val="24"/>
          <w:lang w:val="it-CH" w:eastAsia="it-CH"/>
        </w:rPr>
        <w:t xml:space="preserve">ervizi giudiziari del </w:t>
      </w:r>
      <w:r>
        <w:rPr>
          <w:rFonts w:cs="Arial"/>
          <w:szCs w:val="24"/>
          <w:lang w:val="it-CH" w:eastAsia="it-CH"/>
        </w:rPr>
        <w:t>l</w:t>
      </w:r>
      <w:r w:rsidRPr="00F43D53">
        <w:rPr>
          <w:rFonts w:cs="Arial"/>
          <w:szCs w:val="24"/>
          <w:lang w:val="it-CH" w:eastAsia="it-CH"/>
        </w:rPr>
        <w:t xml:space="preserve">uganese presso lo stabile Sant’Anna a Lugano ancora di proprietà di Banca della </w:t>
      </w:r>
      <w:r>
        <w:rPr>
          <w:rFonts w:cs="Arial"/>
          <w:szCs w:val="24"/>
          <w:lang w:val="it-CH" w:eastAsia="it-CH"/>
        </w:rPr>
        <w:t>S</w:t>
      </w:r>
      <w:r w:rsidRPr="00F43D53">
        <w:rPr>
          <w:rFonts w:cs="Arial"/>
          <w:szCs w:val="24"/>
          <w:lang w:val="it-CH" w:eastAsia="it-CH"/>
        </w:rPr>
        <w:t xml:space="preserve">vizzera </w:t>
      </w:r>
      <w:r>
        <w:rPr>
          <w:rFonts w:cs="Arial"/>
          <w:szCs w:val="24"/>
          <w:lang w:val="it-CH" w:eastAsia="it-CH"/>
        </w:rPr>
        <w:t>I</w:t>
      </w:r>
      <w:r w:rsidRPr="00F43D53">
        <w:rPr>
          <w:rFonts w:cs="Arial"/>
          <w:szCs w:val="24"/>
          <w:lang w:val="it-CH" w:eastAsia="it-CH"/>
        </w:rPr>
        <w:t>taliana (BSI).</w:t>
      </w:r>
    </w:p>
    <w:p w:rsidR="00B21A9A" w:rsidRPr="0051430C" w:rsidRDefault="00B21A9A" w:rsidP="00B21A9A">
      <w:pPr>
        <w:rPr>
          <w:rFonts w:cs="Arial"/>
          <w:sz w:val="18"/>
          <w:szCs w:val="18"/>
          <w:lang w:val="it-CH" w:eastAsia="it-CH"/>
        </w:rPr>
      </w:pPr>
    </w:p>
    <w:p w:rsidR="00B21A9A" w:rsidRDefault="00B21A9A" w:rsidP="00B21A9A">
      <w:pPr>
        <w:rPr>
          <w:rFonts w:cs="Arial"/>
          <w:szCs w:val="24"/>
          <w:lang w:val="it-CH" w:eastAsia="it-CH"/>
        </w:rPr>
      </w:pPr>
      <w:r>
        <w:rPr>
          <w:rFonts w:cs="Arial"/>
          <w:szCs w:val="24"/>
          <w:lang w:val="it-CH" w:eastAsia="it-CH"/>
        </w:rPr>
        <w:t>Il 3 novembre 2015 la Commissione della gestione e delle finanze autorizza il Consiglio di Stato all’utilizzo dell’importo ancora a disposizione del credito di progettazione, approvato dal Gran Consiglio nel 2008 (messaggio n. 6028), per l’approfondimento del progetto di massima per la ristrutturazione del Palazzo di giustizia.</w:t>
      </w:r>
    </w:p>
    <w:p w:rsidR="00B21A9A" w:rsidRPr="0051430C" w:rsidRDefault="00B21A9A" w:rsidP="00B21A9A">
      <w:pPr>
        <w:rPr>
          <w:rFonts w:cs="Arial"/>
          <w:sz w:val="18"/>
          <w:szCs w:val="18"/>
          <w:lang w:val="it-CH" w:eastAsia="it-CH"/>
        </w:rPr>
      </w:pPr>
    </w:p>
    <w:p w:rsidR="00B21A9A" w:rsidRPr="00F43D53" w:rsidRDefault="00B21A9A" w:rsidP="00B21A9A">
      <w:pPr>
        <w:rPr>
          <w:rFonts w:cs="Arial"/>
          <w:szCs w:val="24"/>
          <w:lang w:val="it-CH" w:eastAsia="it-CH"/>
        </w:rPr>
      </w:pPr>
      <w:r w:rsidRPr="00F43D53">
        <w:rPr>
          <w:rFonts w:cs="Arial"/>
          <w:szCs w:val="24"/>
          <w:lang w:val="it-CH" w:eastAsia="it-CH"/>
        </w:rPr>
        <w:t xml:space="preserve">Il 27 gennaio 2016 la Commissione della gestione e delle finanze informa il Consiglio di Stato di aver sospeso l’esame del messaggio n. 7080 in attesa di sviluppi riguardo all’acquisto di un nuovo stabile in cui insediare il Tribunale </w:t>
      </w:r>
      <w:r>
        <w:rPr>
          <w:rFonts w:cs="Arial"/>
          <w:szCs w:val="24"/>
          <w:lang w:val="it-CH" w:eastAsia="it-CH"/>
        </w:rPr>
        <w:t>d’a</w:t>
      </w:r>
      <w:r w:rsidRPr="00F43D53">
        <w:rPr>
          <w:rFonts w:cs="Arial"/>
          <w:szCs w:val="24"/>
          <w:lang w:val="it-CH" w:eastAsia="it-CH"/>
        </w:rPr>
        <w:t>ppello.</w:t>
      </w:r>
    </w:p>
    <w:p w:rsidR="00B21A9A" w:rsidRPr="0051430C" w:rsidRDefault="00B21A9A" w:rsidP="00B21A9A">
      <w:pPr>
        <w:rPr>
          <w:rFonts w:cs="Arial"/>
          <w:sz w:val="18"/>
          <w:szCs w:val="18"/>
          <w:lang w:val="it-CH" w:eastAsia="it-CH"/>
        </w:rPr>
      </w:pPr>
    </w:p>
    <w:p w:rsidR="00B21A9A" w:rsidRPr="00F43D53" w:rsidRDefault="00B21A9A" w:rsidP="00B21A9A">
      <w:pPr>
        <w:rPr>
          <w:rFonts w:cs="Arial"/>
          <w:szCs w:val="24"/>
          <w:lang w:val="it-CH" w:eastAsia="it-CH"/>
        </w:rPr>
      </w:pPr>
      <w:r w:rsidRPr="00F43D53">
        <w:rPr>
          <w:rFonts w:cs="Arial"/>
          <w:szCs w:val="24"/>
          <w:lang w:val="it-CH" w:eastAsia="it-CH"/>
        </w:rPr>
        <w:t>Contestualmente alle trattative immobiliari relative allo stabile Sant’Anna, BSI è stata oggetto di acquisizione da parte della banca EFG</w:t>
      </w:r>
      <w:r>
        <w:rPr>
          <w:rFonts w:cs="Arial"/>
          <w:szCs w:val="24"/>
          <w:lang w:val="it-CH" w:eastAsia="it-CH"/>
        </w:rPr>
        <w:t xml:space="preserve"> Bank SA</w:t>
      </w:r>
      <w:r w:rsidRPr="00F43D53">
        <w:rPr>
          <w:rFonts w:cs="Arial"/>
          <w:szCs w:val="24"/>
          <w:lang w:val="it-CH" w:eastAsia="it-CH"/>
        </w:rPr>
        <w:t xml:space="preserve"> con il conseguente rallentamento dei negoziati. Quest’ultimi </w:t>
      </w:r>
      <w:r>
        <w:rPr>
          <w:rFonts w:cs="Arial"/>
          <w:szCs w:val="24"/>
          <w:lang w:val="it-CH" w:eastAsia="it-CH"/>
        </w:rPr>
        <w:t>riprendono</w:t>
      </w:r>
      <w:r w:rsidRPr="00F43D53">
        <w:rPr>
          <w:rFonts w:cs="Arial"/>
          <w:szCs w:val="24"/>
          <w:lang w:val="it-CH" w:eastAsia="it-CH"/>
        </w:rPr>
        <w:t xml:space="preserve"> nell’estate 2016. Nell’ambito delle discussioni emerge una variante supplementare inerente </w:t>
      </w:r>
      <w:r>
        <w:rPr>
          <w:rFonts w:cs="Arial"/>
          <w:szCs w:val="24"/>
          <w:lang w:val="it-CH" w:eastAsia="it-CH"/>
        </w:rPr>
        <w:t>al</w:t>
      </w:r>
      <w:r w:rsidRPr="00F43D53">
        <w:rPr>
          <w:rFonts w:cs="Arial"/>
          <w:szCs w:val="24"/>
          <w:lang w:val="it-CH" w:eastAsia="it-CH"/>
        </w:rPr>
        <w:t>l</w:t>
      </w:r>
      <w:r>
        <w:rPr>
          <w:rFonts w:cs="Arial"/>
          <w:szCs w:val="24"/>
          <w:lang w:val="it-CH" w:eastAsia="it-CH"/>
        </w:rPr>
        <w:t xml:space="preserve">a possibile </w:t>
      </w:r>
      <w:r w:rsidRPr="00F43D53">
        <w:rPr>
          <w:rFonts w:cs="Arial"/>
          <w:szCs w:val="24"/>
          <w:lang w:val="it-CH" w:eastAsia="it-CH"/>
        </w:rPr>
        <w:t>acquisizione dello stabile già sede della Banca del Gottardo, sempre di proprietà di EFG</w:t>
      </w:r>
      <w:r>
        <w:rPr>
          <w:rFonts w:cs="Arial"/>
          <w:szCs w:val="24"/>
          <w:lang w:val="it-CH" w:eastAsia="it-CH"/>
        </w:rPr>
        <w:t xml:space="preserve"> Bank SA</w:t>
      </w:r>
      <w:r w:rsidRPr="00F43D53">
        <w:rPr>
          <w:rFonts w:cs="Arial"/>
          <w:szCs w:val="24"/>
          <w:lang w:val="it-CH" w:eastAsia="it-CH"/>
        </w:rPr>
        <w:t>.</w:t>
      </w:r>
    </w:p>
    <w:p w:rsidR="00B21A9A" w:rsidRPr="0051430C" w:rsidRDefault="00B21A9A" w:rsidP="00B21A9A">
      <w:pPr>
        <w:rPr>
          <w:rFonts w:cs="Arial"/>
          <w:sz w:val="18"/>
          <w:szCs w:val="18"/>
          <w:lang w:val="it-CH" w:eastAsia="it-CH"/>
        </w:rPr>
      </w:pPr>
    </w:p>
    <w:p w:rsidR="00B21A9A" w:rsidRPr="00F43D53" w:rsidRDefault="00B21A9A" w:rsidP="00B21A9A">
      <w:pPr>
        <w:rPr>
          <w:rFonts w:cs="Arial"/>
          <w:szCs w:val="24"/>
          <w:lang w:val="it-CH" w:eastAsia="it-CH"/>
        </w:rPr>
      </w:pPr>
      <w:r w:rsidRPr="00F43D53">
        <w:rPr>
          <w:rFonts w:cs="Arial"/>
          <w:szCs w:val="24"/>
          <w:lang w:val="it-CH" w:eastAsia="it-CH"/>
        </w:rPr>
        <w:t xml:space="preserve">Il 10 maggio 2017 il Consiglio di Stato incarica la Sezione della logistica di approfondire tre piste d’azione e di sospendere gli approfondimenti inerenti </w:t>
      </w:r>
      <w:r>
        <w:rPr>
          <w:rFonts w:cs="Arial"/>
          <w:szCs w:val="24"/>
          <w:lang w:val="it-CH" w:eastAsia="it-CH"/>
        </w:rPr>
        <w:t>al</w:t>
      </w:r>
      <w:r w:rsidRPr="00F43D53">
        <w:rPr>
          <w:rFonts w:cs="Arial"/>
          <w:szCs w:val="24"/>
          <w:lang w:val="it-CH" w:eastAsia="it-CH"/>
        </w:rPr>
        <w:t xml:space="preserve">l’insediamento presso lo stabile Sant’Anna. Successivamente, il 24 maggio 2017, il Consiglio di Stato informa la Commissione della gestione </w:t>
      </w:r>
      <w:r>
        <w:rPr>
          <w:rFonts w:cs="Arial"/>
          <w:szCs w:val="24"/>
          <w:lang w:val="it-CH" w:eastAsia="it-CH"/>
        </w:rPr>
        <w:t xml:space="preserve">e delle finanze </w:t>
      </w:r>
      <w:r w:rsidRPr="00F43D53">
        <w:rPr>
          <w:rFonts w:cs="Arial"/>
          <w:szCs w:val="24"/>
          <w:lang w:val="it-CH" w:eastAsia="it-CH"/>
        </w:rPr>
        <w:t>sui propri intendimenti. Proseguono quindi le trattative con i rispettivi interlocutori.</w:t>
      </w:r>
    </w:p>
    <w:p w:rsidR="00B21A9A" w:rsidRPr="0051430C" w:rsidRDefault="00B21A9A" w:rsidP="00B21A9A">
      <w:pPr>
        <w:rPr>
          <w:rFonts w:cs="Arial"/>
          <w:sz w:val="18"/>
          <w:szCs w:val="18"/>
          <w:lang w:val="it-CH" w:eastAsia="it-CH"/>
        </w:rPr>
      </w:pPr>
    </w:p>
    <w:p w:rsidR="00B21A9A" w:rsidRPr="00F43D53" w:rsidRDefault="00B21A9A" w:rsidP="00B21A9A">
      <w:pPr>
        <w:rPr>
          <w:rFonts w:cs="Arial"/>
          <w:szCs w:val="24"/>
          <w:lang w:val="it-CH" w:eastAsia="it-CH"/>
        </w:rPr>
      </w:pPr>
      <w:r w:rsidRPr="00F43D53">
        <w:rPr>
          <w:rFonts w:cs="Arial"/>
          <w:szCs w:val="24"/>
          <w:lang w:val="it-CH" w:eastAsia="it-CH"/>
        </w:rPr>
        <w:t xml:space="preserve">Il 7 giugno 2018 è allestita </w:t>
      </w:r>
      <w:r>
        <w:rPr>
          <w:rFonts w:cs="Arial"/>
          <w:szCs w:val="24"/>
          <w:lang w:val="it-CH" w:eastAsia="it-CH"/>
        </w:rPr>
        <w:t>una valutazione</w:t>
      </w:r>
      <w:r w:rsidRPr="00F43D53">
        <w:rPr>
          <w:rFonts w:cs="Arial"/>
          <w:szCs w:val="24"/>
          <w:lang w:val="it-CH" w:eastAsia="it-CH"/>
        </w:rPr>
        <w:t xml:space="preserve"> immobiliare dello stabile ex Banca del Gottardo da parte </w:t>
      </w:r>
      <w:r>
        <w:rPr>
          <w:rFonts w:cs="Arial"/>
          <w:szCs w:val="24"/>
          <w:lang w:val="it-CH" w:eastAsia="it-CH"/>
        </w:rPr>
        <w:t>di Wüest Partner SA</w:t>
      </w:r>
      <w:r w:rsidRPr="00F43D53">
        <w:rPr>
          <w:rFonts w:cs="Arial"/>
          <w:szCs w:val="24"/>
          <w:lang w:val="it-CH" w:eastAsia="it-CH"/>
        </w:rPr>
        <w:t>. Riprendono quindi le articolate trattative con EFG</w:t>
      </w:r>
      <w:r>
        <w:rPr>
          <w:rFonts w:cs="Arial"/>
          <w:szCs w:val="24"/>
          <w:lang w:val="it-CH" w:eastAsia="it-CH"/>
        </w:rPr>
        <w:t xml:space="preserve"> Bank SA</w:t>
      </w:r>
      <w:r w:rsidRPr="00F43D53">
        <w:rPr>
          <w:rFonts w:cs="Arial"/>
          <w:szCs w:val="24"/>
          <w:lang w:val="it-CH" w:eastAsia="it-CH"/>
        </w:rPr>
        <w:t xml:space="preserve"> per l’acquisizione dello stabile e le valutazioni delle tre piste d’azione.</w:t>
      </w:r>
    </w:p>
    <w:p w:rsidR="00B21A9A" w:rsidRPr="0051430C" w:rsidRDefault="00B21A9A" w:rsidP="00B21A9A">
      <w:pPr>
        <w:rPr>
          <w:rFonts w:cs="Arial"/>
          <w:sz w:val="18"/>
          <w:szCs w:val="18"/>
          <w:lang w:val="it-CH" w:eastAsia="it-CH"/>
        </w:rPr>
      </w:pPr>
    </w:p>
    <w:p w:rsidR="00B21A9A" w:rsidRPr="00F43D53" w:rsidRDefault="00B21A9A" w:rsidP="00B21A9A">
      <w:pPr>
        <w:rPr>
          <w:rFonts w:cs="Arial"/>
          <w:szCs w:val="24"/>
          <w:lang w:val="it-CH" w:eastAsia="it-CH"/>
        </w:rPr>
      </w:pPr>
      <w:r w:rsidRPr="00F43D53">
        <w:rPr>
          <w:rFonts w:cs="Arial"/>
          <w:szCs w:val="24"/>
          <w:lang w:val="it-CH" w:eastAsia="it-CH"/>
        </w:rPr>
        <w:t xml:space="preserve">Il 4 settembre 2018 una delegazione del </w:t>
      </w:r>
      <w:r>
        <w:rPr>
          <w:rFonts w:cs="Arial"/>
          <w:szCs w:val="24"/>
          <w:lang w:val="it-CH" w:eastAsia="it-CH"/>
        </w:rPr>
        <w:t>Dipartimento delle finanze e dell’economia</w:t>
      </w:r>
      <w:r w:rsidRPr="00F43D53">
        <w:rPr>
          <w:rFonts w:cs="Arial"/>
          <w:szCs w:val="24"/>
          <w:lang w:val="it-CH" w:eastAsia="it-CH"/>
        </w:rPr>
        <w:t xml:space="preserve"> e del D</w:t>
      </w:r>
      <w:r>
        <w:rPr>
          <w:rFonts w:cs="Arial"/>
          <w:szCs w:val="24"/>
          <w:lang w:val="it-CH" w:eastAsia="it-CH"/>
        </w:rPr>
        <w:t>ipartimento delle istituzioni</w:t>
      </w:r>
      <w:r w:rsidRPr="00F43D53">
        <w:rPr>
          <w:rFonts w:cs="Arial"/>
          <w:szCs w:val="24"/>
          <w:lang w:val="it-CH" w:eastAsia="it-CH"/>
        </w:rPr>
        <w:t xml:space="preserve"> presenta alla Commissione della gestione </w:t>
      </w:r>
      <w:r>
        <w:rPr>
          <w:rFonts w:cs="Arial"/>
          <w:szCs w:val="24"/>
          <w:lang w:val="it-CH" w:eastAsia="it-CH"/>
        </w:rPr>
        <w:t xml:space="preserve">e delle finanze </w:t>
      </w:r>
      <w:r w:rsidRPr="00F43D53">
        <w:rPr>
          <w:rFonts w:cs="Arial"/>
          <w:szCs w:val="24"/>
          <w:lang w:val="it-CH" w:eastAsia="it-CH"/>
        </w:rPr>
        <w:t xml:space="preserve">il documento “Sedi provvisorie e definitive delle autorità giudiziarie e della polizia nel </w:t>
      </w:r>
      <w:r>
        <w:rPr>
          <w:rFonts w:cs="Arial"/>
          <w:szCs w:val="24"/>
          <w:lang w:val="it-CH" w:eastAsia="it-CH"/>
        </w:rPr>
        <w:t>l</w:t>
      </w:r>
      <w:r w:rsidRPr="00F43D53">
        <w:rPr>
          <w:rFonts w:cs="Arial"/>
          <w:szCs w:val="24"/>
          <w:lang w:val="it-CH" w:eastAsia="it-CH"/>
        </w:rPr>
        <w:t>uganese”.</w:t>
      </w:r>
    </w:p>
    <w:p w:rsidR="00B21A9A" w:rsidRPr="0051430C" w:rsidRDefault="00B21A9A" w:rsidP="00B21A9A">
      <w:pPr>
        <w:rPr>
          <w:rFonts w:cs="Arial"/>
          <w:sz w:val="18"/>
          <w:szCs w:val="18"/>
          <w:lang w:val="it-CH" w:eastAsia="it-CH"/>
        </w:rPr>
      </w:pPr>
    </w:p>
    <w:p w:rsidR="00B21A9A" w:rsidRPr="00F43D53" w:rsidRDefault="00B21A9A" w:rsidP="00B21A9A">
      <w:pPr>
        <w:rPr>
          <w:rFonts w:cs="Arial"/>
          <w:szCs w:val="24"/>
          <w:lang w:val="it-CH" w:eastAsia="it-CH"/>
        </w:rPr>
      </w:pPr>
      <w:r w:rsidRPr="00F43D53">
        <w:rPr>
          <w:rFonts w:cs="Arial"/>
          <w:szCs w:val="24"/>
          <w:lang w:val="it-CH" w:eastAsia="it-CH"/>
        </w:rPr>
        <w:t xml:space="preserve">Il 17 aprile 2019 il Consiglio di Stato definisce e comunica </w:t>
      </w:r>
      <w:r>
        <w:rPr>
          <w:rFonts w:cs="Arial"/>
          <w:szCs w:val="24"/>
          <w:lang w:val="it-CH" w:eastAsia="it-CH"/>
        </w:rPr>
        <w:t xml:space="preserve">con lettera </w:t>
      </w:r>
      <w:r w:rsidRPr="00F43D53">
        <w:rPr>
          <w:rFonts w:cs="Arial"/>
          <w:szCs w:val="24"/>
          <w:lang w:val="it-CH" w:eastAsia="it-CH"/>
        </w:rPr>
        <w:t>a EFG</w:t>
      </w:r>
      <w:r>
        <w:rPr>
          <w:rFonts w:cs="Arial"/>
          <w:szCs w:val="24"/>
          <w:lang w:val="it-CH" w:eastAsia="it-CH"/>
        </w:rPr>
        <w:t xml:space="preserve"> Bank SA</w:t>
      </w:r>
      <w:r w:rsidRPr="00F43D53">
        <w:rPr>
          <w:rFonts w:cs="Arial"/>
          <w:szCs w:val="24"/>
          <w:lang w:val="it-CH" w:eastAsia="it-CH"/>
        </w:rPr>
        <w:t xml:space="preserve"> le condizioni di acquisto. </w:t>
      </w:r>
    </w:p>
    <w:p w:rsidR="00B21A9A" w:rsidRPr="0051430C" w:rsidRDefault="00B21A9A" w:rsidP="00B21A9A">
      <w:pPr>
        <w:rPr>
          <w:rFonts w:cs="Arial"/>
          <w:sz w:val="18"/>
          <w:szCs w:val="18"/>
          <w:lang w:val="it-CH" w:eastAsia="it-CH"/>
        </w:rPr>
      </w:pPr>
    </w:p>
    <w:p w:rsidR="00B21A9A" w:rsidRPr="00202FF3" w:rsidRDefault="00B21A9A" w:rsidP="00B21A9A">
      <w:pPr>
        <w:rPr>
          <w:rFonts w:cs="Arial"/>
          <w:szCs w:val="24"/>
          <w:highlight w:val="yellow"/>
          <w:lang w:val="it-CH" w:eastAsia="it-CH"/>
        </w:rPr>
      </w:pPr>
      <w:r w:rsidRPr="003E693A">
        <w:rPr>
          <w:rFonts w:cs="Arial"/>
          <w:szCs w:val="24"/>
          <w:lang w:val="it-CH" w:eastAsia="it-CH"/>
        </w:rPr>
        <w:t>A seguito della lettera del 17 aprile e dell’incontro del 28 maggio 2019, EFG Bank SA invia, il 29 luglio 2019, all’attenzione del Consiglio di Stato, una bozza d</w:t>
      </w:r>
      <w:r>
        <w:rPr>
          <w:rFonts w:cs="Arial"/>
          <w:szCs w:val="24"/>
          <w:lang w:val="it-CH" w:eastAsia="it-CH"/>
        </w:rPr>
        <w:t>i</w:t>
      </w:r>
      <w:r w:rsidRPr="003E693A">
        <w:rPr>
          <w:rFonts w:cs="Arial"/>
          <w:szCs w:val="24"/>
          <w:lang w:val="it-CH" w:eastAsia="it-CH"/>
        </w:rPr>
        <w:t xml:space="preserve"> lettera d’intenti</w:t>
      </w:r>
      <w:r w:rsidRPr="006E0D58">
        <w:rPr>
          <w:rFonts w:cs="Arial"/>
          <w:szCs w:val="24"/>
          <w:lang w:val="it-CH" w:eastAsia="it-CH"/>
        </w:rPr>
        <w:t xml:space="preserve"> </w:t>
      </w:r>
      <w:r w:rsidRPr="00F43D53">
        <w:rPr>
          <w:rFonts w:cs="Arial"/>
          <w:szCs w:val="24"/>
          <w:lang w:val="it-CH" w:eastAsia="it-CH"/>
        </w:rPr>
        <w:t>conferma</w:t>
      </w:r>
      <w:r>
        <w:rPr>
          <w:rFonts w:cs="Arial"/>
          <w:szCs w:val="24"/>
          <w:lang w:val="it-CH" w:eastAsia="it-CH"/>
        </w:rPr>
        <w:t>ndo</w:t>
      </w:r>
      <w:r w:rsidRPr="00F43D53">
        <w:rPr>
          <w:rFonts w:cs="Arial"/>
          <w:szCs w:val="24"/>
          <w:lang w:val="it-CH" w:eastAsia="it-CH"/>
        </w:rPr>
        <w:t xml:space="preserve"> la validità della proposta e </w:t>
      </w:r>
      <w:r>
        <w:rPr>
          <w:rFonts w:cs="Arial"/>
          <w:szCs w:val="24"/>
          <w:lang w:val="it-CH" w:eastAsia="it-CH"/>
        </w:rPr>
        <w:t xml:space="preserve">annunciando </w:t>
      </w:r>
      <w:r w:rsidRPr="00F43D53">
        <w:rPr>
          <w:rFonts w:cs="Arial"/>
          <w:szCs w:val="24"/>
          <w:lang w:val="it-CH" w:eastAsia="it-CH"/>
        </w:rPr>
        <w:t>di aver avviato l’iter di approvazione per la vendita dell’immobile presso il proprio Consiglio di amministrazione.</w:t>
      </w:r>
    </w:p>
    <w:p w:rsidR="00B21A9A" w:rsidRPr="0051430C" w:rsidRDefault="00B21A9A" w:rsidP="00B21A9A">
      <w:pPr>
        <w:rPr>
          <w:rFonts w:cs="Arial"/>
          <w:sz w:val="18"/>
          <w:szCs w:val="18"/>
          <w:lang w:val="it-CH" w:eastAsia="it-CH"/>
        </w:rPr>
      </w:pPr>
    </w:p>
    <w:p w:rsidR="00B21A9A" w:rsidRDefault="00B21A9A" w:rsidP="00B21A9A">
      <w:pPr>
        <w:rPr>
          <w:rFonts w:cs="Arial"/>
          <w:szCs w:val="24"/>
          <w:lang w:val="it-CH" w:eastAsia="it-CH"/>
        </w:rPr>
      </w:pPr>
      <w:r w:rsidRPr="00202FF3">
        <w:rPr>
          <w:rFonts w:cs="Arial"/>
          <w:szCs w:val="24"/>
          <w:lang w:val="it-CH" w:eastAsia="it-CH"/>
        </w:rPr>
        <w:t>N</w:t>
      </w:r>
      <w:r>
        <w:rPr>
          <w:rFonts w:cs="Arial"/>
          <w:szCs w:val="24"/>
          <w:lang w:val="it-CH" w:eastAsia="it-CH"/>
        </w:rPr>
        <w:t xml:space="preserve">ella seduta dell’8 agosto 2019 </w:t>
      </w:r>
      <w:r w:rsidRPr="00202FF3">
        <w:rPr>
          <w:rFonts w:cs="Arial"/>
          <w:szCs w:val="24"/>
          <w:lang w:val="it-CH" w:eastAsia="it-CH"/>
        </w:rPr>
        <w:t xml:space="preserve">il Consiglio di Stato conferma l’interesse strategico del Cantone per l’acquisto dello stabile </w:t>
      </w:r>
      <w:r>
        <w:rPr>
          <w:rFonts w:cs="Arial"/>
          <w:szCs w:val="24"/>
          <w:lang w:val="it-CH" w:eastAsia="it-CH"/>
        </w:rPr>
        <w:t xml:space="preserve">ex Banca del Gottardo </w:t>
      </w:r>
      <w:r w:rsidRPr="00202FF3">
        <w:rPr>
          <w:rFonts w:cs="Arial"/>
          <w:szCs w:val="24"/>
          <w:lang w:val="it-CH" w:eastAsia="it-CH"/>
        </w:rPr>
        <w:t xml:space="preserve">e incarica la Segreteria generale del Dipartimento delle </w:t>
      </w:r>
      <w:r>
        <w:rPr>
          <w:rFonts w:cs="Arial"/>
          <w:szCs w:val="24"/>
          <w:lang w:val="it-CH" w:eastAsia="it-CH"/>
        </w:rPr>
        <w:t>i</w:t>
      </w:r>
      <w:r w:rsidRPr="00202FF3">
        <w:rPr>
          <w:rFonts w:cs="Arial"/>
          <w:szCs w:val="24"/>
          <w:lang w:val="it-CH" w:eastAsia="it-CH"/>
        </w:rPr>
        <w:t>stituzion</w:t>
      </w:r>
      <w:r>
        <w:rPr>
          <w:rFonts w:cs="Arial"/>
          <w:szCs w:val="24"/>
          <w:lang w:val="it-CH" w:eastAsia="it-CH"/>
        </w:rPr>
        <w:t>i</w:t>
      </w:r>
      <w:r w:rsidRPr="00202FF3">
        <w:rPr>
          <w:rFonts w:cs="Arial"/>
          <w:szCs w:val="24"/>
          <w:lang w:val="it-CH" w:eastAsia="it-CH"/>
        </w:rPr>
        <w:t xml:space="preserve">, la Divisione delle risorse e la Sezione della logistica </w:t>
      </w:r>
      <w:r>
        <w:rPr>
          <w:rFonts w:cs="Arial"/>
          <w:szCs w:val="24"/>
          <w:lang w:val="it-CH" w:eastAsia="it-CH"/>
        </w:rPr>
        <w:t>di prendere contatto con EFG Bank SA per</w:t>
      </w:r>
      <w:r w:rsidRPr="00202FF3">
        <w:rPr>
          <w:rFonts w:cs="Arial"/>
          <w:szCs w:val="24"/>
          <w:lang w:val="it-CH" w:eastAsia="it-CH"/>
        </w:rPr>
        <w:t xml:space="preserve"> affinare il progetto di lettera d’intenti e </w:t>
      </w:r>
      <w:r>
        <w:rPr>
          <w:rFonts w:cs="Arial"/>
          <w:szCs w:val="24"/>
          <w:lang w:val="it-CH" w:eastAsia="it-CH"/>
        </w:rPr>
        <w:t>di</w:t>
      </w:r>
      <w:r w:rsidRPr="00202FF3">
        <w:rPr>
          <w:rFonts w:cs="Arial"/>
          <w:szCs w:val="24"/>
          <w:lang w:val="it-CH" w:eastAsia="it-CH"/>
        </w:rPr>
        <w:t xml:space="preserve"> attivare il completamento della </w:t>
      </w:r>
      <w:r>
        <w:rPr>
          <w:rFonts w:cs="Arial"/>
          <w:szCs w:val="24"/>
          <w:lang w:val="it-CH" w:eastAsia="it-CH"/>
        </w:rPr>
        <w:t>D</w:t>
      </w:r>
      <w:r w:rsidRPr="00202FF3">
        <w:rPr>
          <w:rFonts w:cs="Arial"/>
          <w:szCs w:val="24"/>
          <w:lang w:val="it-CH" w:eastAsia="it-CH"/>
        </w:rPr>
        <w:t xml:space="preserve">ue </w:t>
      </w:r>
      <w:r>
        <w:rPr>
          <w:rFonts w:cs="Arial"/>
          <w:szCs w:val="24"/>
          <w:lang w:val="it-CH" w:eastAsia="it-CH"/>
        </w:rPr>
        <w:t>d</w:t>
      </w:r>
      <w:r w:rsidRPr="00202FF3">
        <w:rPr>
          <w:rFonts w:cs="Arial"/>
          <w:szCs w:val="24"/>
          <w:lang w:val="it-CH" w:eastAsia="it-CH"/>
        </w:rPr>
        <w:t>iligence tecnica</w:t>
      </w:r>
      <w:r>
        <w:rPr>
          <w:rFonts w:cs="Arial"/>
          <w:szCs w:val="24"/>
          <w:lang w:val="it-CH" w:eastAsia="it-CH"/>
        </w:rPr>
        <w:t>.</w:t>
      </w:r>
    </w:p>
    <w:p w:rsidR="00B21A9A" w:rsidRPr="0051430C" w:rsidRDefault="00B21A9A" w:rsidP="00B21A9A">
      <w:pPr>
        <w:rPr>
          <w:rFonts w:cs="Arial"/>
          <w:sz w:val="18"/>
          <w:szCs w:val="18"/>
          <w:lang w:val="it-CH" w:eastAsia="it-CH"/>
        </w:rPr>
      </w:pPr>
    </w:p>
    <w:p w:rsidR="00B21A9A" w:rsidRDefault="00B21A9A" w:rsidP="00B21A9A">
      <w:pPr>
        <w:rPr>
          <w:rFonts w:cs="Arial"/>
          <w:szCs w:val="24"/>
          <w:lang w:val="it-CH" w:eastAsia="it-CH"/>
        </w:rPr>
      </w:pPr>
      <w:r>
        <w:rPr>
          <w:rFonts w:cs="Arial"/>
          <w:szCs w:val="24"/>
          <w:lang w:val="it-CH" w:eastAsia="it-CH"/>
        </w:rPr>
        <w:t>La Sezione della logistica incarica la Wüest Partner SA per l’elaborazione di una Due diligence. Il 25 settembre il documento è consegnato e, oltre a valutare gli aspetti normativi, ambientali e tecnici</w:t>
      </w:r>
      <w:r w:rsidRPr="009B316C">
        <w:rPr>
          <w:rFonts w:cs="Arial"/>
          <w:szCs w:val="24"/>
          <w:lang w:val="it-CH" w:eastAsia="it-CH"/>
        </w:rPr>
        <w:t xml:space="preserve"> </w:t>
      </w:r>
      <w:r>
        <w:rPr>
          <w:rFonts w:cs="Arial"/>
          <w:szCs w:val="24"/>
          <w:lang w:val="it-CH" w:eastAsia="it-CH"/>
        </w:rPr>
        <w:t>dell’edificio ex Banca del Gottardo, ne conferma il valore di mercato, precedentemente definito.</w:t>
      </w:r>
    </w:p>
    <w:p w:rsidR="00B21A9A" w:rsidRPr="0051430C" w:rsidRDefault="00B21A9A" w:rsidP="00B21A9A">
      <w:pPr>
        <w:rPr>
          <w:rFonts w:cs="Arial"/>
          <w:sz w:val="18"/>
          <w:szCs w:val="18"/>
          <w:lang w:val="it-CH" w:eastAsia="it-CH"/>
        </w:rPr>
      </w:pPr>
    </w:p>
    <w:p w:rsidR="00B21A9A" w:rsidRDefault="00B21A9A" w:rsidP="00B21A9A">
      <w:pPr>
        <w:rPr>
          <w:rFonts w:cs="Arial"/>
          <w:szCs w:val="24"/>
          <w:lang w:val="it-CH" w:eastAsia="it-CH"/>
        </w:rPr>
      </w:pPr>
      <w:r>
        <w:rPr>
          <w:rFonts w:cs="Arial"/>
          <w:szCs w:val="24"/>
          <w:lang w:val="it-CH" w:eastAsia="it-CH"/>
        </w:rPr>
        <w:t>Il 22 novembre 2019, riservate le competenze del Parlamento, il Consiglio di Stato sottoscrive la lettera d’intenti con EFG Bank SA.</w:t>
      </w:r>
    </w:p>
    <w:p w:rsidR="00B21A9A" w:rsidRDefault="00B21A9A" w:rsidP="00B21A9A">
      <w:pPr>
        <w:rPr>
          <w:rFonts w:cs="Arial"/>
          <w:szCs w:val="24"/>
          <w:lang w:val="it-CH" w:eastAsia="it-CH"/>
        </w:rPr>
      </w:pPr>
    </w:p>
    <w:p w:rsidR="00B21A9A" w:rsidRPr="00F43D53" w:rsidRDefault="00B21A9A" w:rsidP="00B21A9A">
      <w:pPr>
        <w:rPr>
          <w:rFonts w:cs="Arial"/>
          <w:szCs w:val="24"/>
          <w:lang w:val="it-CH" w:eastAsia="it-CH"/>
        </w:rPr>
      </w:pPr>
    </w:p>
    <w:p w:rsidR="00B21A9A" w:rsidRPr="00E63437" w:rsidRDefault="00B21A9A" w:rsidP="00B21A9A">
      <w:pPr>
        <w:pStyle w:val="Titolo2"/>
        <w:tabs>
          <w:tab w:val="clear" w:pos="567"/>
          <w:tab w:val="left" w:pos="709"/>
        </w:tabs>
      </w:pPr>
      <w:r>
        <w:t>1.2</w:t>
      </w:r>
      <w:r>
        <w:tab/>
        <w:t>Relazione con altri progetti in corso</w:t>
      </w:r>
    </w:p>
    <w:p w:rsidR="00B21A9A" w:rsidRPr="002D3ECE" w:rsidRDefault="00B21A9A" w:rsidP="00B21A9A">
      <w:pPr>
        <w:spacing w:after="40"/>
        <w:rPr>
          <w:szCs w:val="22"/>
        </w:rPr>
      </w:pPr>
      <w:r w:rsidRPr="002D3ECE">
        <w:rPr>
          <w:szCs w:val="24"/>
        </w:rPr>
        <w:t>L’indirizzo strategico sviluppato nell’ambito del progetto</w:t>
      </w:r>
      <w:r w:rsidRPr="002D3ECE">
        <w:rPr>
          <w:szCs w:val="22"/>
        </w:rPr>
        <w:t xml:space="preserve"> “Giustizia 2018”, promosso dalla Direzione del Dipartimento delle istituzioni, prevedeva:</w:t>
      </w:r>
    </w:p>
    <w:p w:rsidR="00B21A9A" w:rsidRPr="00B21A9A" w:rsidRDefault="00B21A9A" w:rsidP="00235850">
      <w:pPr>
        <w:numPr>
          <w:ilvl w:val="0"/>
          <w:numId w:val="1"/>
        </w:numPr>
        <w:autoSpaceDE w:val="0"/>
        <w:autoSpaceDN w:val="0"/>
        <w:adjustRightInd w:val="0"/>
        <w:spacing w:before="60"/>
        <w:ind w:left="284" w:hanging="284"/>
        <w:rPr>
          <w:rFonts w:cs="Arial"/>
          <w:szCs w:val="24"/>
          <w:lang w:val="it-CH" w:eastAsia="it-CH"/>
        </w:rPr>
      </w:pPr>
      <w:r w:rsidRPr="00B21A9A">
        <w:rPr>
          <w:rFonts w:cs="Arial"/>
          <w:szCs w:val="24"/>
          <w:lang w:val="it-CH" w:eastAsia="it-CH"/>
        </w:rPr>
        <w:t>la centralizzazione delle competenze per il perseguimento penale;</w:t>
      </w:r>
    </w:p>
    <w:p w:rsidR="00B21A9A" w:rsidRPr="00B21A9A" w:rsidRDefault="00B21A9A" w:rsidP="00235850">
      <w:pPr>
        <w:numPr>
          <w:ilvl w:val="0"/>
          <w:numId w:val="1"/>
        </w:numPr>
        <w:autoSpaceDE w:val="0"/>
        <w:autoSpaceDN w:val="0"/>
        <w:adjustRightInd w:val="0"/>
        <w:spacing w:before="60"/>
        <w:ind w:left="284" w:hanging="284"/>
        <w:rPr>
          <w:rFonts w:cs="Arial"/>
          <w:szCs w:val="24"/>
          <w:lang w:val="it-CH" w:eastAsia="it-CH"/>
        </w:rPr>
      </w:pPr>
      <w:r w:rsidRPr="00B21A9A">
        <w:rPr>
          <w:rFonts w:cs="Arial"/>
          <w:szCs w:val="24"/>
          <w:lang w:val="it-CH" w:eastAsia="it-CH"/>
        </w:rPr>
        <w:t>la centralizzazione delle prime istanze penali a Bellinzona;</w:t>
      </w:r>
    </w:p>
    <w:p w:rsidR="00B21A9A" w:rsidRPr="00B21A9A" w:rsidRDefault="00B21A9A" w:rsidP="00235850">
      <w:pPr>
        <w:numPr>
          <w:ilvl w:val="0"/>
          <w:numId w:val="1"/>
        </w:numPr>
        <w:autoSpaceDE w:val="0"/>
        <w:autoSpaceDN w:val="0"/>
        <w:adjustRightInd w:val="0"/>
        <w:spacing w:before="60"/>
        <w:ind w:left="284" w:hanging="284"/>
        <w:rPr>
          <w:rFonts w:cs="Arial"/>
          <w:szCs w:val="24"/>
          <w:lang w:val="it-CH" w:eastAsia="it-CH"/>
        </w:rPr>
      </w:pPr>
      <w:r w:rsidRPr="00B21A9A">
        <w:rPr>
          <w:rFonts w:cs="Arial"/>
          <w:szCs w:val="24"/>
          <w:lang w:val="it-CH" w:eastAsia="it-CH"/>
        </w:rPr>
        <w:t>il mantenimento sul territorio delle Preture;</w:t>
      </w:r>
    </w:p>
    <w:p w:rsidR="00B21A9A" w:rsidRPr="00B21A9A" w:rsidRDefault="00B21A9A" w:rsidP="00235850">
      <w:pPr>
        <w:numPr>
          <w:ilvl w:val="0"/>
          <w:numId w:val="1"/>
        </w:numPr>
        <w:autoSpaceDE w:val="0"/>
        <w:autoSpaceDN w:val="0"/>
        <w:adjustRightInd w:val="0"/>
        <w:spacing w:before="60"/>
        <w:ind w:left="284" w:hanging="284"/>
        <w:rPr>
          <w:rFonts w:cs="Arial"/>
          <w:szCs w:val="24"/>
          <w:lang w:val="it-CH" w:eastAsia="it-CH"/>
        </w:rPr>
      </w:pPr>
      <w:r w:rsidRPr="00B21A9A">
        <w:rPr>
          <w:rFonts w:cs="Arial"/>
          <w:szCs w:val="24"/>
          <w:lang w:val="it-CH" w:eastAsia="it-CH"/>
        </w:rPr>
        <w:t>il raggruppamento del Tribunale d’appello in una sola sede.</w:t>
      </w:r>
    </w:p>
    <w:p w:rsidR="00B21A9A" w:rsidRPr="00B21A9A" w:rsidRDefault="00B21A9A" w:rsidP="00B21A9A">
      <w:pPr>
        <w:spacing w:before="60"/>
        <w:rPr>
          <w:szCs w:val="22"/>
        </w:rPr>
      </w:pPr>
    </w:p>
    <w:p w:rsidR="00B21A9A" w:rsidRPr="0092570B" w:rsidRDefault="00B21A9A" w:rsidP="00B21A9A">
      <w:pPr>
        <w:rPr>
          <w:szCs w:val="22"/>
        </w:rPr>
      </w:pPr>
      <w:r>
        <w:rPr>
          <w:szCs w:val="22"/>
        </w:rPr>
        <w:t>La pianificazione nel corso degli anni ha tuttavia conosciuto alcuni adeguamenti, principalmente generati dalle mutate esigenze di alcuni servizi esterni all’Amministrazione cantonale, con particolare riferimento all’Appello penale federale e alle nuove opportunità realizzative emerse a livello immobiliare.</w:t>
      </w:r>
      <w:r>
        <w:t xml:space="preserve"> </w:t>
      </w:r>
    </w:p>
    <w:p w:rsidR="00B21A9A" w:rsidRDefault="00B21A9A" w:rsidP="00B21A9A">
      <w:pPr>
        <w:rPr>
          <w:szCs w:val="22"/>
        </w:rPr>
      </w:pPr>
    </w:p>
    <w:p w:rsidR="00B21A9A" w:rsidRDefault="00B21A9A" w:rsidP="00B21A9A">
      <w:pPr>
        <w:rPr>
          <w:szCs w:val="22"/>
        </w:rPr>
      </w:pPr>
      <w:r>
        <w:rPr>
          <w:szCs w:val="22"/>
        </w:rPr>
        <w:t>Questi adattamenti hanno di riflesso condizionato lo sviluppo e l’avanzamento dei principali progetti logistici che garantiranno, nel medio termine, l’implementazione del nuovo assetto della Giustizia ticinese. Ragione per la quale, di seguito è illustrato un breve aggiornamento circa i contenuti previsti presso le sedi del Pretorio di Bellinzona e di Locarno che sono oggetto di ristrutturazione.</w:t>
      </w:r>
    </w:p>
    <w:p w:rsidR="00B21A9A" w:rsidRDefault="00B21A9A" w:rsidP="00B21A9A">
      <w:pPr>
        <w:rPr>
          <w:szCs w:val="22"/>
        </w:rPr>
      </w:pPr>
    </w:p>
    <w:p w:rsidR="00B21A9A" w:rsidRPr="00FE634C" w:rsidRDefault="00B21A9A" w:rsidP="00B21A9A">
      <w:pPr>
        <w:pStyle w:val="Titolo3"/>
      </w:pPr>
      <w:r>
        <w:t>1.2.1</w:t>
      </w:r>
      <w:r>
        <w:tab/>
        <w:t>Pretorio di Bellinzona</w:t>
      </w:r>
    </w:p>
    <w:p w:rsidR="00B21A9A" w:rsidRPr="00E92A5B" w:rsidRDefault="00B21A9A" w:rsidP="00B21A9A">
      <w:r>
        <w:t>I contenuti del Pretorio di Bellinzona ristrutturato hanno conosciuto un’evoluzione rispetto a quanto indicato nel</w:t>
      </w:r>
      <w:r w:rsidRPr="006F3AC0">
        <w:t xml:space="preserve"> messaggio n. 6763 del 12 marzo 2013</w:t>
      </w:r>
      <w:r>
        <w:t xml:space="preserve"> riguardante la </w:t>
      </w:r>
      <w:r w:rsidRPr="00E92A5B">
        <w:t>richiesta di adeguamento del</w:t>
      </w:r>
      <w:r>
        <w:t xml:space="preserve"> credito di progettazione</w:t>
      </w:r>
      <w:r w:rsidRPr="00E92A5B">
        <w:t xml:space="preserve"> a fr</w:t>
      </w:r>
      <w:r>
        <w:t>anchi</w:t>
      </w:r>
      <w:r w:rsidRPr="00E92A5B">
        <w:t xml:space="preserve"> 3.83 mi</w:t>
      </w:r>
      <w:r>
        <w:t>lioni</w:t>
      </w:r>
      <w:r w:rsidRPr="00E92A5B">
        <w:t xml:space="preserve"> per la ristrutturazione del Pretorio di Bellinzona e del relativo tetto massimo di spesa</w:t>
      </w:r>
      <w:r>
        <w:t>,</w:t>
      </w:r>
      <w:r w:rsidRPr="00E92A5B">
        <w:t xml:space="preserve"> pari a fr</w:t>
      </w:r>
      <w:r>
        <w:t>anchi</w:t>
      </w:r>
      <w:r w:rsidRPr="00E92A5B">
        <w:t xml:space="preserve"> 40.4</w:t>
      </w:r>
      <w:r>
        <w:t>0</w:t>
      </w:r>
      <w:r w:rsidRPr="00E92A5B">
        <w:t xml:space="preserve"> mi</w:t>
      </w:r>
      <w:r>
        <w:t>lioni</w:t>
      </w:r>
      <w:r w:rsidRPr="00E92A5B">
        <w:t xml:space="preserve"> unitamente alla modifica dei contenuti e alla richiesta di un credito di fr</w:t>
      </w:r>
      <w:r>
        <w:t>anchi</w:t>
      </w:r>
      <w:r w:rsidRPr="00E92A5B">
        <w:t xml:space="preserve"> </w:t>
      </w:r>
      <w:r>
        <w:t>2.68</w:t>
      </w:r>
      <w:r w:rsidRPr="00E92A5B">
        <w:t xml:space="preserve"> mi</w:t>
      </w:r>
      <w:r>
        <w:t>lioni</w:t>
      </w:r>
      <w:r w:rsidRPr="00E92A5B">
        <w:t xml:space="preserve"> per le sedi provvisorie.</w:t>
      </w:r>
    </w:p>
    <w:p w:rsidR="00B21A9A" w:rsidRPr="0051430C" w:rsidRDefault="00B21A9A" w:rsidP="00B21A9A">
      <w:pPr>
        <w:rPr>
          <w:sz w:val="16"/>
          <w:szCs w:val="16"/>
        </w:rPr>
      </w:pPr>
    </w:p>
    <w:p w:rsidR="00B21A9A" w:rsidRDefault="00B21A9A" w:rsidP="00B21A9A">
      <w:pPr>
        <w:rPr>
          <w:rFonts w:cs="Arial"/>
          <w:lang w:eastAsia="it-CH"/>
        </w:rPr>
      </w:pPr>
      <w:r>
        <w:t xml:space="preserve">La modifica è principalmente da attribuire alla richiesta espressa dalla Confederazione di ottenere, nell’immobile del Pretorio, una superficie a uso esclusivo di circa </w:t>
      </w:r>
      <w:r w:rsidRPr="00E13155">
        <w:t>1’280 m</w:t>
      </w:r>
      <w:r w:rsidRPr="00E13155">
        <w:rPr>
          <w:vertAlign w:val="superscript"/>
        </w:rPr>
        <w:t>2</w:t>
      </w:r>
      <w:r w:rsidRPr="00E13155">
        <w:t>,</w:t>
      </w:r>
      <w:r>
        <w:t xml:space="preserve"> compresa l’aula penale, per soddisfare le esigenze del Tribunale penale federale. Questa esigenza è scaturita dall’adozione da parte delle Camere federali, avvenuta </w:t>
      </w:r>
      <w:r>
        <w:rPr>
          <w:rFonts w:cs="Arial"/>
          <w:lang w:eastAsia="it-CH"/>
        </w:rPr>
        <w:t>i</w:t>
      </w:r>
      <w:r w:rsidRPr="00663588">
        <w:rPr>
          <w:rFonts w:cs="Arial"/>
          <w:lang w:eastAsia="it-CH"/>
        </w:rPr>
        <w:t>l 17 marzo 2017</w:t>
      </w:r>
      <w:r>
        <w:rPr>
          <w:rFonts w:cs="Arial"/>
          <w:lang w:eastAsia="it-CH"/>
        </w:rPr>
        <w:t>,</w:t>
      </w:r>
      <w:r w:rsidRPr="00663588">
        <w:rPr>
          <w:rFonts w:cs="Arial"/>
          <w:lang w:eastAsia="it-CH"/>
        </w:rPr>
        <w:t xml:space="preserve"> </w:t>
      </w:r>
      <w:r>
        <w:rPr>
          <w:rFonts w:cs="Arial"/>
          <w:lang w:eastAsia="it-CH"/>
        </w:rPr>
        <w:t>del</w:t>
      </w:r>
      <w:r w:rsidRPr="00663588">
        <w:rPr>
          <w:rFonts w:cs="Arial"/>
          <w:lang w:eastAsia="it-CH"/>
        </w:rPr>
        <w:t>la modifica della L</w:t>
      </w:r>
      <w:r>
        <w:rPr>
          <w:rFonts w:cs="Arial"/>
          <w:lang w:eastAsia="it-CH"/>
        </w:rPr>
        <w:t>egge sull’organizzazione delle A</w:t>
      </w:r>
      <w:r w:rsidRPr="00663588">
        <w:rPr>
          <w:rFonts w:cs="Arial"/>
          <w:lang w:eastAsia="it-CH"/>
        </w:rPr>
        <w:t xml:space="preserve">utorità penali della Confederazione, volta a consolidare la tutela giurisdizionale nella procedura penale federale, ovverosia il principio secondo il quale un’infrazione penale può essere giudicata da due tribunali indipendenti sia per quanto concerne l’apprezzamento giuridico dei fatti, sia per quanto concerne l’accertamento dei medesimi (FF 2016 5587). Il Consiglio federale ha quindi deciso il 25 ottobre 2017, l’istituzione di una Corte d’appello indipendente in seno al Tribunale penale federale di Bellinzona, a partire dal 1° gennaio 2019. </w:t>
      </w:r>
    </w:p>
    <w:p w:rsidR="00B21A9A" w:rsidRPr="0051430C" w:rsidRDefault="00B21A9A" w:rsidP="00B21A9A">
      <w:pPr>
        <w:rPr>
          <w:rFonts w:cs="Arial"/>
          <w:sz w:val="16"/>
          <w:szCs w:val="16"/>
          <w:lang w:eastAsia="it-CH"/>
        </w:rPr>
      </w:pPr>
    </w:p>
    <w:p w:rsidR="00B21A9A" w:rsidRPr="00FF60FF" w:rsidRDefault="00B21A9A" w:rsidP="00B21A9A">
      <w:r>
        <w:rPr>
          <w:rFonts w:cs="Arial"/>
          <w:lang w:eastAsia="it-CH"/>
        </w:rPr>
        <w:t>L</w:t>
      </w:r>
      <w:r w:rsidRPr="00663588">
        <w:rPr>
          <w:rFonts w:cs="Arial"/>
          <w:lang w:eastAsia="it-CH"/>
        </w:rPr>
        <w:t>a Convenzione</w:t>
      </w:r>
      <w:r w:rsidRPr="00663588">
        <w:rPr>
          <w:rFonts w:cs="Arial"/>
        </w:rPr>
        <w:t xml:space="preserve"> di principio tra la Confederazione e il Canton Ticino concernente il Tribunale penale federale di Bellinzona</w:t>
      </w:r>
      <w:r>
        <w:rPr>
          <w:rFonts w:cs="Arial"/>
        </w:rPr>
        <w:t>,</w:t>
      </w:r>
      <w:r w:rsidRPr="00663588">
        <w:rPr>
          <w:rFonts w:cs="Arial"/>
        </w:rPr>
        <w:t xml:space="preserve"> </w:t>
      </w:r>
      <w:r>
        <w:rPr>
          <w:rFonts w:cs="Arial"/>
        </w:rPr>
        <w:t>siglata dalle parti n</w:t>
      </w:r>
      <w:r w:rsidRPr="00663588">
        <w:rPr>
          <w:rFonts w:cs="Arial"/>
        </w:rPr>
        <w:t xml:space="preserve">el 2006, </w:t>
      </w:r>
      <w:r>
        <w:rPr>
          <w:rFonts w:cs="Arial"/>
        </w:rPr>
        <w:t xml:space="preserve">offriva opzione </w:t>
      </w:r>
      <w:r w:rsidRPr="00663588">
        <w:rPr>
          <w:rFonts w:cs="Arial"/>
        </w:rPr>
        <w:t>alla Confederazione, in caso di necessità, di locare presso il Cantone ulteriori spazi nell’edificio del Pretorio.</w:t>
      </w:r>
      <w:r>
        <w:rPr>
          <w:rFonts w:cs="Arial"/>
        </w:rPr>
        <w:t xml:space="preserve"> </w:t>
      </w:r>
    </w:p>
    <w:p w:rsidR="00B21A9A" w:rsidRPr="0051430C" w:rsidRDefault="00B21A9A" w:rsidP="00B21A9A">
      <w:pPr>
        <w:rPr>
          <w:rFonts w:cs="Arial"/>
          <w:sz w:val="16"/>
          <w:szCs w:val="16"/>
          <w:lang w:eastAsia="it-CH"/>
        </w:rPr>
      </w:pPr>
    </w:p>
    <w:p w:rsidR="00B21A9A" w:rsidRDefault="00B21A9A" w:rsidP="00B21A9A">
      <w:pPr>
        <w:rPr>
          <w:szCs w:val="22"/>
        </w:rPr>
      </w:pPr>
      <w:r>
        <w:rPr>
          <w:rFonts w:cs="Arial"/>
          <w:lang w:eastAsia="it-CH"/>
        </w:rPr>
        <w:t>In base a quanto sopra</w:t>
      </w:r>
      <w:r w:rsidRPr="00663588">
        <w:rPr>
          <w:rFonts w:cs="Arial"/>
          <w:lang w:eastAsia="it-CH"/>
        </w:rPr>
        <w:t xml:space="preserve"> </w:t>
      </w:r>
      <w:r>
        <w:rPr>
          <w:rFonts w:cs="Arial"/>
          <w:lang w:eastAsia="it-CH"/>
        </w:rPr>
        <w:t>esposto e alle prospettive di incremento delle esigenze delle Autorità federali, lo scrivente Consiglio</w:t>
      </w:r>
      <w:r w:rsidRPr="00663588">
        <w:rPr>
          <w:rFonts w:cs="Arial"/>
          <w:lang w:eastAsia="it-CH"/>
        </w:rPr>
        <w:t xml:space="preserve"> </w:t>
      </w:r>
      <w:r>
        <w:rPr>
          <w:rFonts w:cs="Arial"/>
          <w:lang w:eastAsia="it-CH"/>
        </w:rPr>
        <w:t xml:space="preserve">ha deciso di rivedere l’impostazione logistica </w:t>
      </w:r>
      <w:r w:rsidRPr="00663588">
        <w:rPr>
          <w:rFonts w:cs="Arial"/>
          <w:lang w:eastAsia="it-CH"/>
        </w:rPr>
        <w:t xml:space="preserve">concernente </w:t>
      </w:r>
      <w:r>
        <w:rPr>
          <w:szCs w:val="22"/>
        </w:rPr>
        <w:t>la centralizzazione delle p</w:t>
      </w:r>
      <w:r w:rsidRPr="002D3ECE">
        <w:rPr>
          <w:szCs w:val="22"/>
        </w:rPr>
        <w:t>rime istanze penali</w:t>
      </w:r>
      <w:r>
        <w:rPr>
          <w:szCs w:val="22"/>
        </w:rPr>
        <w:t xml:space="preserve">, prevista in origine nel Pretorio di Bellinzona, trasferendo queste competenze a Lugano, creando di fatto un polo centralizzato della Giustizia ticinese. Le autorità citate sono quindi state integrate nell’ambito del progetto di ristrutturazione del Palazzo di giustizia. </w:t>
      </w:r>
    </w:p>
    <w:p w:rsidR="00B21A9A" w:rsidRPr="0051430C" w:rsidRDefault="00B21A9A" w:rsidP="00B21A9A">
      <w:pPr>
        <w:rPr>
          <w:sz w:val="16"/>
          <w:szCs w:val="16"/>
        </w:rPr>
      </w:pPr>
    </w:p>
    <w:p w:rsidR="00B21A9A" w:rsidRDefault="00B21A9A" w:rsidP="00B21A9A">
      <w:pPr>
        <w:rPr>
          <w:szCs w:val="22"/>
        </w:rPr>
      </w:pPr>
      <w:r>
        <w:rPr>
          <w:szCs w:val="22"/>
        </w:rPr>
        <w:t>Il Pretorio di Bellinzona rimarrà occupato dai servizi giudiziari della Confederazione e dai servizi cantonali nella misura indicata di seguito.</w:t>
      </w:r>
    </w:p>
    <w:p w:rsidR="00B21A9A" w:rsidRDefault="00B21A9A" w:rsidP="00B21A9A">
      <w:pPr>
        <w:rPr>
          <w:szCs w:val="22"/>
        </w:rPr>
      </w:pPr>
    </w:p>
    <w:tbl>
      <w:tblPr>
        <w:tblW w:w="9654" w:type="dxa"/>
        <w:tblInd w:w="55" w:type="dxa"/>
        <w:tblLayout w:type="fixed"/>
        <w:tblCellMar>
          <w:left w:w="70" w:type="dxa"/>
          <w:right w:w="70" w:type="dxa"/>
        </w:tblCellMar>
        <w:tblLook w:val="04A0" w:firstRow="1" w:lastRow="0" w:firstColumn="1" w:lastColumn="0" w:noHBand="0" w:noVBand="1"/>
      </w:tblPr>
      <w:tblGrid>
        <w:gridCol w:w="3843"/>
        <w:gridCol w:w="2835"/>
        <w:gridCol w:w="1417"/>
        <w:gridCol w:w="1559"/>
      </w:tblGrid>
      <w:tr w:rsidR="00B21A9A" w:rsidRPr="00E0094A" w:rsidTr="00B21A9A">
        <w:trPr>
          <w:trHeight w:val="656"/>
        </w:trPr>
        <w:tc>
          <w:tcPr>
            <w:tcW w:w="3843" w:type="dxa"/>
            <w:tcBorders>
              <w:top w:val="single" w:sz="8" w:space="0" w:color="auto"/>
              <w:left w:val="single" w:sz="8" w:space="0" w:color="auto"/>
              <w:bottom w:val="single" w:sz="8" w:space="0" w:color="000000"/>
              <w:right w:val="single" w:sz="8" w:space="0" w:color="000000"/>
            </w:tcBorders>
            <w:shd w:val="clear" w:color="000000" w:fill="BFBFBF"/>
            <w:noWrap/>
            <w:vAlign w:val="center"/>
            <w:hideMark/>
          </w:tcPr>
          <w:p w:rsidR="00B21A9A" w:rsidRPr="00E0094A" w:rsidRDefault="00B21A9A" w:rsidP="00B21A9A">
            <w:pPr>
              <w:jc w:val="center"/>
              <w:rPr>
                <w:rFonts w:cs="Arial"/>
                <w:b/>
                <w:bCs/>
                <w:color w:val="000000"/>
                <w:sz w:val="22"/>
                <w:szCs w:val="22"/>
                <w:lang w:val="it-CH" w:eastAsia="it-CH"/>
              </w:rPr>
            </w:pPr>
            <w:r w:rsidRPr="00E0094A">
              <w:rPr>
                <w:rFonts w:cs="Arial"/>
                <w:b/>
                <w:bCs/>
                <w:color w:val="000000"/>
                <w:sz w:val="22"/>
                <w:szCs w:val="22"/>
                <w:lang w:val="it-CH" w:eastAsia="it-CH"/>
              </w:rPr>
              <w:t xml:space="preserve">Servizio </w:t>
            </w:r>
          </w:p>
        </w:tc>
        <w:tc>
          <w:tcPr>
            <w:tcW w:w="2835" w:type="dxa"/>
            <w:tcBorders>
              <w:top w:val="single" w:sz="8" w:space="0" w:color="auto"/>
              <w:left w:val="nil"/>
              <w:right w:val="single" w:sz="4" w:space="0" w:color="auto"/>
            </w:tcBorders>
            <w:shd w:val="clear" w:color="000000" w:fill="BFBFBF"/>
            <w:noWrap/>
            <w:vAlign w:val="bottom"/>
            <w:hideMark/>
          </w:tcPr>
          <w:p w:rsidR="00B21A9A" w:rsidRPr="00E0094A" w:rsidRDefault="00B21A9A" w:rsidP="00B21A9A">
            <w:pPr>
              <w:jc w:val="center"/>
              <w:rPr>
                <w:rFonts w:cs="Arial"/>
                <w:b/>
                <w:bCs/>
                <w:color w:val="000000"/>
                <w:sz w:val="22"/>
                <w:szCs w:val="22"/>
                <w:lang w:val="it-CH" w:eastAsia="it-CH"/>
              </w:rPr>
            </w:pPr>
            <w:r w:rsidRPr="00E0094A">
              <w:rPr>
                <w:rFonts w:cs="Arial"/>
                <w:b/>
                <w:bCs/>
                <w:color w:val="000000"/>
                <w:sz w:val="22"/>
                <w:szCs w:val="22"/>
                <w:lang w:val="it-CH" w:eastAsia="it-CH"/>
              </w:rPr>
              <w:t>Collocazione</w:t>
            </w:r>
          </w:p>
          <w:p w:rsidR="00B21A9A" w:rsidRPr="00E0094A" w:rsidRDefault="00B21A9A" w:rsidP="00B21A9A">
            <w:pPr>
              <w:jc w:val="center"/>
              <w:rPr>
                <w:rFonts w:cs="Arial"/>
                <w:b/>
                <w:bCs/>
                <w:color w:val="000000"/>
                <w:sz w:val="22"/>
                <w:szCs w:val="22"/>
                <w:lang w:val="it-CH" w:eastAsia="it-CH"/>
              </w:rPr>
            </w:pPr>
            <w:r w:rsidRPr="00E0094A">
              <w:rPr>
                <w:rFonts w:cs="Arial"/>
                <w:b/>
                <w:bCs/>
                <w:color w:val="000000"/>
                <w:sz w:val="22"/>
                <w:szCs w:val="22"/>
                <w:lang w:val="it-CH" w:eastAsia="it-CH"/>
              </w:rPr>
              <w:t>attuale</w:t>
            </w:r>
          </w:p>
        </w:tc>
        <w:tc>
          <w:tcPr>
            <w:tcW w:w="1417" w:type="dxa"/>
            <w:tcBorders>
              <w:top w:val="single" w:sz="8" w:space="0" w:color="auto"/>
              <w:left w:val="nil"/>
              <w:bottom w:val="single" w:sz="8" w:space="0" w:color="000000"/>
              <w:right w:val="nil"/>
            </w:tcBorders>
            <w:shd w:val="clear" w:color="000000" w:fill="BFBFBF"/>
            <w:vAlign w:val="center"/>
            <w:hideMark/>
          </w:tcPr>
          <w:p w:rsidR="00B21A9A" w:rsidRPr="00E0094A" w:rsidRDefault="00B21A9A" w:rsidP="00B21A9A">
            <w:pPr>
              <w:jc w:val="center"/>
              <w:rPr>
                <w:rFonts w:cs="Arial"/>
                <w:b/>
                <w:bCs/>
                <w:color w:val="000000"/>
                <w:sz w:val="22"/>
                <w:szCs w:val="22"/>
                <w:lang w:val="it-CH" w:eastAsia="it-CH"/>
              </w:rPr>
            </w:pPr>
            <w:r w:rsidRPr="00E0094A">
              <w:rPr>
                <w:rFonts w:cs="Arial"/>
                <w:b/>
                <w:bCs/>
                <w:color w:val="000000"/>
                <w:sz w:val="22"/>
                <w:szCs w:val="22"/>
                <w:lang w:val="it-CH" w:eastAsia="it-CH"/>
              </w:rPr>
              <w:t>Orizzonte temporale</w:t>
            </w:r>
          </w:p>
        </w:tc>
        <w:tc>
          <w:tcPr>
            <w:tcW w:w="1559" w:type="dxa"/>
            <w:tcBorders>
              <w:top w:val="single" w:sz="8" w:space="0" w:color="auto"/>
              <w:left w:val="single" w:sz="4" w:space="0" w:color="auto"/>
              <w:bottom w:val="single" w:sz="8" w:space="0" w:color="000000"/>
              <w:right w:val="single" w:sz="8" w:space="0" w:color="auto"/>
            </w:tcBorders>
            <w:shd w:val="clear" w:color="000000" w:fill="BFBFBF"/>
            <w:vAlign w:val="center"/>
            <w:hideMark/>
          </w:tcPr>
          <w:p w:rsidR="00B21A9A" w:rsidRPr="00E0094A" w:rsidRDefault="00B21A9A" w:rsidP="00B21A9A">
            <w:pPr>
              <w:jc w:val="center"/>
              <w:rPr>
                <w:rFonts w:cs="Arial"/>
                <w:b/>
                <w:bCs/>
                <w:color w:val="000000"/>
                <w:sz w:val="22"/>
                <w:szCs w:val="22"/>
                <w:lang w:val="it-CH" w:eastAsia="it-CH"/>
              </w:rPr>
            </w:pPr>
            <w:r w:rsidRPr="00E0094A">
              <w:rPr>
                <w:rFonts w:cs="Arial"/>
                <w:b/>
                <w:bCs/>
                <w:color w:val="000000"/>
                <w:sz w:val="22"/>
                <w:szCs w:val="22"/>
                <w:lang w:val="it-CH" w:eastAsia="it-CH"/>
              </w:rPr>
              <w:t>Investimento</w:t>
            </w:r>
            <w:r w:rsidRPr="00E0094A">
              <w:rPr>
                <w:rFonts w:cs="Arial"/>
                <w:b/>
                <w:bCs/>
                <w:color w:val="000000"/>
                <w:sz w:val="22"/>
                <w:szCs w:val="22"/>
                <w:lang w:val="it-CH" w:eastAsia="it-CH"/>
              </w:rPr>
              <w:br/>
            </w:r>
            <w:r w:rsidRPr="00E0094A">
              <w:rPr>
                <w:rFonts w:cs="Arial"/>
                <w:color w:val="000000"/>
                <w:sz w:val="22"/>
                <w:szCs w:val="22"/>
                <w:lang w:val="it-CH" w:eastAsia="it-CH"/>
              </w:rPr>
              <w:t>(mio fr.)</w:t>
            </w:r>
          </w:p>
        </w:tc>
      </w:tr>
      <w:tr w:rsidR="00B21A9A" w:rsidRPr="00E0094A" w:rsidTr="00B21A9A">
        <w:trPr>
          <w:trHeight w:val="288"/>
        </w:trPr>
        <w:tc>
          <w:tcPr>
            <w:tcW w:w="384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21A9A" w:rsidRPr="00E0094A" w:rsidRDefault="00B21A9A" w:rsidP="00B21A9A">
            <w:pPr>
              <w:jc w:val="left"/>
              <w:rPr>
                <w:rFonts w:cs="Arial"/>
                <w:sz w:val="22"/>
                <w:szCs w:val="22"/>
                <w:lang w:val="it-CH" w:eastAsia="it-CH"/>
              </w:rPr>
            </w:pPr>
            <w:r w:rsidRPr="00E0094A">
              <w:rPr>
                <w:rFonts w:cs="Arial"/>
                <w:sz w:val="22"/>
                <w:szCs w:val="22"/>
                <w:lang w:val="it-CH" w:eastAsia="it-CH"/>
              </w:rPr>
              <w:t>Polizia cantonale (Gend</w:t>
            </w:r>
            <w:r>
              <w:rPr>
                <w:rFonts w:cs="Arial"/>
                <w:sz w:val="22"/>
                <w:szCs w:val="22"/>
                <w:lang w:val="it-CH" w:eastAsia="it-CH"/>
              </w:rPr>
              <w:t xml:space="preserve">armeria </w:t>
            </w:r>
            <w:r w:rsidRPr="00E0094A">
              <w:rPr>
                <w:rFonts w:cs="Arial"/>
                <w:sz w:val="22"/>
                <w:szCs w:val="22"/>
                <w:lang w:val="it-CH" w:eastAsia="it-CH"/>
              </w:rPr>
              <w:t>e P</w:t>
            </w:r>
            <w:r>
              <w:rPr>
                <w:rFonts w:cs="Arial"/>
                <w:sz w:val="22"/>
                <w:szCs w:val="22"/>
                <w:lang w:val="it-CH" w:eastAsia="it-CH"/>
              </w:rPr>
              <w:t>olizia giudiziaria</w:t>
            </w:r>
            <w:r w:rsidRPr="00E0094A">
              <w:rPr>
                <w:rFonts w:cs="Arial"/>
                <w:sz w:val="22"/>
                <w:szCs w:val="22"/>
                <w:lang w:val="it-CH" w:eastAsia="it-CH"/>
              </w:rPr>
              <w:t>) Bellinzona</w:t>
            </w:r>
          </w:p>
        </w:tc>
        <w:tc>
          <w:tcPr>
            <w:tcW w:w="2835" w:type="dxa"/>
            <w:tcBorders>
              <w:top w:val="single" w:sz="8" w:space="0" w:color="auto"/>
              <w:left w:val="nil"/>
              <w:bottom w:val="single" w:sz="4" w:space="0" w:color="auto"/>
              <w:right w:val="single" w:sz="4" w:space="0" w:color="auto"/>
            </w:tcBorders>
            <w:shd w:val="clear" w:color="auto" w:fill="auto"/>
            <w:noWrap/>
            <w:vAlign w:val="bottom"/>
            <w:hideMark/>
          </w:tcPr>
          <w:p w:rsidR="00B21A9A" w:rsidRPr="00E0094A" w:rsidRDefault="00B21A9A" w:rsidP="00B21A9A">
            <w:pPr>
              <w:jc w:val="left"/>
              <w:rPr>
                <w:rFonts w:cs="Arial"/>
                <w:color w:val="000000"/>
                <w:sz w:val="22"/>
                <w:szCs w:val="22"/>
                <w:lang w:val="it-CH" w:eastAsia="it-CH"/>
              </w:rPr>
            </w:pPr>
            <w:r w:rsidRPr="00E0094A">
              <w:rPr>
                <w:rFonts w:cs="Arial"/>
                <w:color w:val="000000"/>
                <w:sz w:val="22"/>
                <w:szCs w:val="22"/>
                <w:lang w:val="it-CH" w:eastAsia="it-CH"/>
              </w:rPr>
              <w:t>SA2 - Bellinzona</w:t>
            </w:r>
          </w:p>
        </w:tc>
        <w:tc>
          <w:tcPr>
            <w:tcW w:w="1417" w:type="dxa"/>
            <w:vMerge w:val="restart"/>
            <w:tcBorders>
              <w:top w:val="single" w:sz="8" w:space="0" w:color="auto"/>
              <w:left w:val="nil"/>
              <w:bottom w:val="single" w:sz="8" w:space="0" w:color="000000"/>
              <w:right w:val="single" w:sz="4" w:space="0" w:color="auto"/>
            </w:tcBorders>
            <w:shd w:val="clear" w:color="auto" w:fill="auto"/>
            <w:noWrap/>
            <w:vAlign w:val="center"/>
            <w:hideMark/>
          </w:tcPr>
          <w:p w:rsidR="00B21A9A" w:rsidRPr="00E0094A" w:rsidRDefault="00B21A9A" w:rsidP="00B21A9A">
            <w:pPr>
              <w:jc w:val="center"/>
              <w:rPr>
                <w:rFonts w:cs="Arial"/>
                <w:color w:val="000000"/>
                <w:sz w:val="22"/>
                <w:szCs w:val="22"/>
                <w:lang w:val="it-CH" w:eastAsia="it-CH"/>
              </w:rPr>
            </w:pPr>
            <w:r w:rsidRPr="00E0094A">
              <w:rPr>
                <w:rFonts w:cs="Arial"/>
                <w:color w:val="000000"/>
                <w:sz w:val="22"/>
                <w:szCs w:val="22"/>
                <w:lang w:val="it-CH" w:eastAsia="it-CH"/>
              </w:rPr>
              <w:t>2020 - 2024</w:t>
            </w:r>
          </w:p>
        </w:tc>
        <w:tc>
          <w:tcPr>
            <w:tcW w:w="1559"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B21A9A" w:rsidRPr="00E0094A" w:rsidRDefault="00B21A9A" w:rsidP="00B21A9A">
            <w:pPr>
              <w:jc w:val="center"/>
              <w:rPr>
                <w:rFonts w:cs="Arial"/>
                <w:color w:val="000000"/>
                <w:sz w:val="22"/>
                <w:szCs w:val="22"/>
                <w:lang w:val="it-CH" w:eastAsia="it-CH"/>
              </w:rPr>
            </w:pPr>
            <w:r w:rsidRPr="00E0094A">
              <w:rPr>
                <w:rFonts w:cs="Arial"/>
                <w:color w:val="000000"/>
                <w:sz w:val="22"/>
                <w:szCs w:val="22"/>
                <w:lang w:val="it-CH" w:eastAsia="it-CH"/>
              </w:rPr>
              <w:t>40.4</w:t>
            </w:r>
          </w:p>
        </w:tc>
      </w:tr>
      <w:tr w:rsidR="00B21A9A" w:rsidRPr="00E0094A" w:rsidTr="00B21A9A">
        <w:trPr>
          <w:trHeight w:val="288"/>
        </w:trPr>
        <w:tc>
          <w:tcPr>
            <w:tcW w:w="3843" w:type="dxa"/>
            <w:tcBorders>
              <w:top w:val="nil"/>
              <w:left w:val="single" w:sz="8" w:space="0" w:color="auto"/>
              <w:bottom w:val="single" w:sz="4" w:space="0" w:color="auto"/>
              <w:right w:val="single" w:sz="8" w:space="0" w:color="auto"/>
            </w:tcBorders>
            <w:shd w:val="clear" w:color="auto" w:fill="auto"/>
            <w:noWrap/>
            <w:vAlign w:val="bottom"/>
            <w:hideMark/>
          </w:tcPr>
          <w:p w:rsidR="00B21A9A" w:rsidRPr="00E0094A" w:rsidRDefault="00B21A9A" w:rsidP="00B21A9A">
            <w:pPr>
              <w:jc w:val="left"/>
              <w:rPr>
                <w:rFonts w:cs="Arial"/>
                <w:sz w:val="22"/>
                <w:szCs w:val="22"/>
                <w:lang w:val="it-CH" w:eastAsia="it-CH"/>
              </w:rPr>
            </w:pPr>
            <w:r w:rsidRPr="00E0094A">
              <w:rPr>
                <w:rFonts w:cs="Arial"/>
                <w:sz w:val="22"/>
                <w:szCs w:val="22"/>
                <w:lang w:val="it-CH" w:eastAsia="it-CH"/>
              </w:rPr>
              <w:t xml:space="preserve">Pretura </w:t>
            </w:r>
            <w:r>
              <w:rPr>
                <w:rFonts w:cs="Arial"/>
                <w:sz w:val="22"/>
                <w:szCs w:val="22"/>
                <w:lang w:val="it-CH" w:eastAsia="it-CH"/>
              </w:rPr>
              <w:t xml:space="preserve">civile </w:t>
            </w:r>
            <w:r w:rsidRPr="00E0094A">
              <w:rPr>
                <w:rFonts w:cs="Arial"/>
                <w:sz w:val="22"/>
                <w:szCs w:val="22"/>
                <w:lang w:val="it-CH" w:eastAsia="it-CH"/>
              </w:rPr>
              <w:t>di Bellinzona</w:t>
            </w:r>
          </w:p>
        </w:tc>
        <w:tc>
          <w:tcPr>
            <w:tcW w:w="2835" w:type="dxa"/>
            <w:tcBorders>
              <w:top w:val="nil"/>
              <w:left w:val="nil"/>
              <w:bottom w:val="single" w:sz="4" w:space="0" w:color="auto"/>
              <w:right w:val="single" w:sz="4" w:space="0" w:color="auto"/>
            </w:tcBorders>
            <w:shd w:val="clear" w:color="auto" w:fill="auto"/>
            <w:noWrap/>
            <w:vAlign w:val="bottom"/>
            <w:hideMark/>
          </w:tcPr>
          <w:p w:rsidR="00B21A9A" w:rsidRPr="00E0094A" w:rsidRDefault="00B21A9A" w:rsidP="00B21A9A">
            <w:pPr>
              <w:jc w:val="left"/>
              <w:rPr>
                <w:rFonts w:cs="Arial"/>
                <w:color w:val="000000"/>
                <w:sz w:val="22"/>
                <w:szCs w:val="22"/>
                <w:lang w:val="it-CH" w:eastAsia="it-CH"/>
              </w:rPr>
            </w:pPr>
            <w:r w:rsidRPr="00E0094A">
              <w:rPr>
                <w:rFonts w:cs="Arial"/>
                <w:color w:val="000000"/>
                <w:sz w:val="22"/>
                <w:szCs w:val="22"/>
                <w:lang w:val="it-CH" w:eastAsia="it-CH"/>
              </w:rPr>
              <w:t>Locazione terzi - Bellinzona</w:t>
            </w:r>
          </w:p>
        </w:tc>
        <w:tc>
          <w:tcPr>
            <w:tcW w:w="1417" w:type="dxa"/>
            <w:vMerge/>
            <w:tcBorders>
              <w:top w:val="single" w:sz="8" w:space="0" w:color="auto"/>
              <w:left w:val="nil"/>
              <w:bottom w:val="single" w:sz="8" w:space="0" w:color="000000"/>
              <w:right w:val="single" w:sz="4" w:space="0" w:color="auto"/>
            </w:tcBorders>
            <w:vAlign w:val="center"/>
            <w:hideMark/>
          </w:tcPr>
          <w:p w:rsidR="00B21A9A" w:rsidRPr="00E0094A" w:rsidRDefault="00B21A9A" w:rsidP="00B21A9A">
            <w:pPr>
              <w:jc w:val="left"/>
              <w:rPr>
                <w:rFonts w:cs="Arial"/>
                <w:color w:val="000000"/>
                <w:sz w:val="22"/>
                <w:szCs w:val="22"/>
                <w:lang w:val="it-CH" w:eastAsia="it-CH"/>
              </w:rPr>
            </w:pPr>
          </w:p>
        </w:tc>
        <w:tc>
          <w:tcPr>
            <w:tcW w:w="1559" w:type="dxa"/>
            <w:vMerge/>
            <w:tcBorders>
              <w:top w:val="single" w:sz="8" w:space="0" w:color="auto"/>
              <w:left w:val="single" w:sz="4" w:space="0" w:color="auto"/>
              <w:bottom w:val="single" w:sz="8" w:space="0" w:color="000000"/>
              <w:right w:val="single" w:sz="8" w:space="0" w:color="auto"/>
            </w:tcBorders>
            <w:vAlign w:val="center"/>
            <w:hideMark/>
          </w:tcPr>
          <w:p w:rsidR="00B21A9A" w:rsidRPr="00E0094A" w:rsidRDefault="00B21A9A" w:rsidP="00B21A9A">
            <w:pPr>
              <w:jc w:val="left"/>
              <w:rPr>
                <w:rFonts w:cs="Arial"/>
                <w:color w:val="000000"/>
                <w:sz w:val="22"/>
                <w:szCs w:val="22"/>
                <w:lang w:val="it-CH" w:eastAsia="it-CH"/>
              </w:rPr>
            </w:pPr>
          </w:p>
        </w:tc>
      </w:tr>
      <w:tr w:rsidR="00B21A9A" w:rsidRPr="00E0094A" w:rsidTr="00B21A9A">
        <w:trPr>
          <w:trHeight w:val="300"/>
        </w:trPr>
        <w:tc>
          <w:tcPr>
            <w:tcW w:w="3843" w:type="dxa"/>
            <w:tcBorders>
              <w:top w:val="nil"/>
              <w:left w:val="single" w:sz="8" w:space="0" w:color="auto"/>
              <w:bottom w:val="single" w:sz="8" w:space="0" w:color="auto"/>
              <w:right w:val="single" w:sz="8" w:space="0" w:color="auto"/>
            </w:tcBorders>
            <w:shd w:val="clear" w:color="auto" w:fill="auto"/>
            <w:noWrap/>
            <w:vAlign w:val="bottom"/>
            <w:hideMark/>
          </w:tcPr>
          <w:p w:rsidR="00B21A9A" w:rsidRPr="00E0094A" w:rsidRDefault="00B21A9A" w:rsidP="00B21A9A">
            <w:pPr>
              <w:jc w:val="left"/>
              <w:rPr>
                <w:rFonts w:cs="Arial"/>
                <w:sz w:val="22"/>
                <w:szCs w:val="22"/>
                <w:lang w:val="it-CH" w:eastAsia="it-CH"/>
              </w:rPr>
            </w:pPr>
            <w:r w:rsidRPr="00E0094A">
              <w:rPr>
                <w:rFonts w:cs="Arial"/>
                <w:sz w:val="22"/>
                <w:szCs w:val="22"/>
                <w:lang w:val="it-CH" w:eastAsia="it-CH"/>
              </w:rPr>
              <w:t xml:space="preserve">Strutture carcerarie </w:t>
            </w:r>
            <w:r>
              <w:rPr>
                <w:rFonts w:cs="Arial"/>
                <w:sz w:val="22"/>
                <w:szCs w:val="22"/>
                <w:lang w:val="it-CH" w:eastAsia="it-CH"/>
              </w:rPr>
              <w:t>–</w:t>
            </w:r>
            <w:r w:rsidRPr="00E0094A">
              <w:rPr>
                <w:rFonts w:cs="Arial"/>
                <w:sz w:val="22"/>
                <w:szCs w:val="22"/>
                <w:lang w:val="it-CH" w:eastAsia="it-CH"/>
              </w:rPr>
              <w:t xml:space="preserve"> </w:t>
            </w:r>
            <w:r>
              <w:rPr>
                <w:rFonts w:cs="Arial"/>
                <w:sz w:val="22"/>
                <w:szCs w:val="22"/>
                <w:lang w:val="it-CH" w:eastAsia="it-CH"/>
              </w:rPr>
              <w:t>celle per carcerazione preventiva</w:t>
            </w:r>
          </w:p>
        </w:tc>
        <w:tc>
          <w:tcPr>
            <w:tcW w:w="2835" w:type="dxa"/>
            <w:tcBorders>
              <w:top w:val="nil"/>
              <w:left w:val="nil"/>
              <w:bottom w:val="single" w:sz="8" w:space="0" w:color="auto"/>
              <w:right w:val="single" w:sz="4" w:space="0" w:color="auto"/>
            </w:tcBorders>
            <w:shd w:val="clear" w:color="auto" w:fill="auto"/>
            <w:noWrap/>
            <w:vAlign w:val="center"/>
            <w:hideMark/>
          </w:tcPr>
          <w:p w:rsidR="00B21A9A" w:rsidRPr="00E0094A" w:rsidRDefault="00B21A9A" w:rsidP="00B21A9A">
            <w:pPr>
              <w:jc w:val="center"/>
              <w:rPr>
                <w:rFonts w:cs="Arial"/>
                <w:color w:val="000000"/>
                <w:sz w:val="22"/>
                <w:szCs w:val="22"/>
                <w:lang w:val="it-CH" w:eastAsia="it-CH"/>
              </w:rPr>
            </w:pPr>
            <w:r w:rsidRPr="00E0094A">
              <w:rPr>
                <w:rFonts w:cs="Arial"/>
                <w:color w:val="000000"/>
                <w:sz w:val="22"/>
                <w:szCs w:val="22"/>
                <w:lang w:val="it-CH" w:eastAsia="it-CH"/>
              </w:rPr>
              <w:t>-</w:t>
            </w:r>
          </w:p>
        </w:tc>
        <w:tc>
          <w:tcPr>
            <w:tcW w:w="1417" w:type="dxa"/>
            <w:vMerge/>
            <w:tcBorders>
              <w:top w:val="single" w:sz="8" w:space="0" w:color="auto"/>
              <w:left w:val="nil"/>
              <w:bottom w:val="single" w:sz="8" w:space="0" w:color="000000"/>
              <w:right w:val="single" w:sz="4" w:space="0" w:color="auto"/>
            </w:tcBorders>
            <w:vAlign w:val="center"/>
            <w:hideMark/>
          </w:tcPr>
          <w:p w:rsidR="00B21A9A" w:rsidRPr="00E0094A" w:rsidRDefault="00B21A9A" w:rsidP="00B21A9A">
            <w:pPr>
              <w:jc w:val="left"/>
              <w:rPr>
                <w:rFonts w:cs="Arial"/>
                <w:color w:val="000000"/>
                <w:sz w:val="22"/>
                <w:szCs w:val="22"/>
                <w:lang w:val="it-CH" w:eastAsia="it-CH"/>
              </w:rPr>
            </w:pPr>
          </w:p>
        </w:tc>
        <w:tc>
          <w:tcPr>
            <w:tcW w:w="1559" w:type="dxa"/>
            <w:vMerge/>
            <w:tcBorders>
              <w:top w:val="single" w:sz="8" w:space="0" w:color="auto"/>
              <w:left w:val="single" w:sz="4" w:space="0" w:color="auto"/>
              <w:bottom w:val="single" w:sz="8" w:space="0" w:color="000000"/>
              <w:right w:val="single" w:sz="8" w:space="0" w:color="auto"/>
            </w:tcBorders>
            <w:vAlign w:val="center"/>
            <w:hideMark/>
          </w:tcPr>
          <w:p w:rsidR="00B21A9A" w:rsidRPr="00E0094A" w:rsidRDefault="00B21A9A" w:rsidP="00B21A9A">
            <w:pPr>
              <w:jc w:val="left"/>
              <w:rPr>
                <w:rFonts w:cs="Arial"/>
                <w:color w:val="000000"/>
                <w:sz w:val="22"/>
                <w:szCs w:val="22"/>
                <w:lang w:val="it-CH" w:eastAsia="it-CH"/>
              </w:rPr>
            </w:pPr>
          </w:p>
        </w:tc>
      </w:tr>
    </w:tbl>
    <w:p w:rsidR="00B21A9A" w:rsidRDefault="00B21A9A" w:rsidP="00B21A9A">
      <w:pPr>
        <w:rPr>
          <w:rFonts w:cs="Arial"/>
          <w:lang w:eastAsia="it-CH"/>
        </w:rPr>
      </w:pPr>
    </w:p>
    <w:p w:rsidR="00B21A9A" w:rsidRDefault="00B21A9A" w:rsidP="00B21A9A">
      <w:pPr>
        <w:rPr>
          <w:rFonts w:cs="Arial"/>
          <w:lang w:eastAsia="it-CH"/>
        </w:rPr>
      </w:pPr>
      <w:r>
        <w:rPr>
          <w:rFonts w:cs="Arial"/>
          <w:lang w:eastAsia="it-CH"/>
        </w:rPr>
        <w:t>La Confederazione riconoscerà al Cantone il canone di locazione per gli spazi che saranno</w:t>
      </w:r>
      <w:r w:rsidRPr="00663588">
        <w:rPr>
          <w:rFonts w:cs="Arial"/>
          <w:lang w:eastAsia="it-CH"/>
        </w:rPr>
        <w:t xml:space="preserve"> </w:t>
      </w:r>
      <w:r>
        <w:rPr>
          <w:rFonts w:cs="Arial"/>
          <w:lang w:eastAsia="it-CH"/>
        </w:rPr>
        <w:t>assegnati all’Appello penale federale in base ai parametri definiti nella Convenzione del 2006, per mezzo di un contratto.</w:t>
      </w:r>
      <w:r w:rsidRPr="00663588">
        <w:rPr>
          <w:rFonts w:cs="Arial"/>
          <w:lang w:eastAsia="it-CH"/>
        </w:rPr>
        <w:t xml:space="preserve"> </w:t>
      </w:r>
    </w:p>
    <w:p w:rsidR="00B21A9A" w:rsidRDefault="00B21A9A" w:rsidP="00B21A9A">
      <w:pPr>
        <w:rPr>
          <w:rFonts w:cs="Arial"/>
          <w:lang w:eastAsia="it-CH"/>
        </w:rPr>
      </w:pPr>
    </w:p>
    <w:p w:rsidR="00B21A9A" w:rsidRDefault="00B21A9A" w:rsidP="00B21A9A">
      <w:pPr>
        <w:rPr>
          <w:szCs w:val="22"/>
        </w:rPr>
      </w:pPr>
      <w:r>
        <w:rPr>
          <w:szCs w:val="22"/>
        </w:rPr>
        <w:t>Altri dettagli inerenti agli accordi con la Confederazione e le spiegazioni più articolate circa le motivazioni, la ripartizione dei costi e i termini del contratto saranno illustrati nell’ambito del messaggio per la richiesta dei crediti di costruzione del Pretorio di Bellinzona in fase di allestimento.</w:t>
      </w:r>
    </w:p>
    <w:p w:rsidR="00B21A9A" w:rsidRDefault="00B21A9A" w:rsidP="00B21A9A">
      <w:pPr>
        <w:rPr>
          <w:szCs w:val="22"/>
        </w:rPr>
      </w:pPr>
    </w:p>
    <w:p w:rsidR="00B21A9A" w:rsidRPr="00FE634C" w:rsidRDefault="00B21A9A" w:rsidP="00B21A9A">
      <w:pPr>
        <w:pStyle w:val="Titolo3"/>
      </w:pPr>
      <w:r>
        <w:t>1.2.2</w:t>
      </w:r>
      <w:r>
        <w:tab/>
        <w:t>Pretorio di Locarno</w:t>
      </w:r>
    </w:p>
    <w:p w:rsidR="00B21A9A" w:rsidRDefault="00B21A9A" w:rsidP="00B21A9A">
      <w:pPr>
        <w:rPr>
          <w:rFonts w:cs="Arial"/>
          <w:szCs w:val="24"/>
        </w:rPr>
      </w:pPr>
      <w:r>
        <w:t xml:space="preserve">La ristrutturazione del Pretorio di Locarno è stata avviata per mezzo del </w:t>
      </w:r>
      <w:r w:rsidRPr="006F3AC0">
        <w:t xml:space="preserve">messaggio n. </w:t>
      </w:r>
      <w:r>
        <w:t xml:space="preserve">7604 </w:t>
      </w:r>
      <w:r w:rsidRPr="006F3AC0">
        <w:t xml:space="preserve">del </w:t>
      </w:r>
      <w:r>
        <w:t xml:space="preserve">5 dicembre 2018 riguardante la </w:t>
      </w:r>
      <w:r w:rsidRPr="00E92A5B">
        <w:t xml:space="preserve">richiesta </w:t>
      </w:r>
      <w:r w:rsidRPr="0042652C">
        <w:t>di un credito complessivo d</w:t>
      </w:r>
      <w:r>
        <w:t xml:space="preserve">’investimento di </w:t>
      </w:r>
      <w:r w:rsidRPr="0042652C">
        <w:t>fr</w:t>
      </w:r>
      <w:r>
        <w:t>anchi</w:t>
      </w:r>
      <w:r w:rsidRPr="0042652C">
        <w:t xml:space="preserve"> </w:t>
      </w:r>
      <w:r>
        <w:t xml:space="preserve">11.735 milioni </w:t>
      </w:r>
      <w:r w:rsidRPr="0042652C">
        <w:rPr>
          <w:rFonts w:cs="Arial"/>
          <w:szCs w:val="24"/>
        </w:rPr>
        <w:t>per la progettazione della ristrutturazione del Pretorio di Locarno</w:t>
      </w:r>
      <w:r>
        <w:rPr>
          <w:rFonts w:cs="Arial"/>
          <w:szCs w:val="24"/>
        </w:rPr>
        <w:t xml:space="preserve"> e per le sedi provvisorie. </w:t>
      </w:r>
    </w:p>
    <w:p w:rsidR="00B21A9A" w:rsidRDefault="00B21A9A" w:rsidP="00B21A9A"/>
    <w:p w:rsidR="00B21A9A" w:rsidRDefault="00B21A9A" w:rsidP="00B21A9A">
      <w:r>
        <w:t>I contenuti prospettati, a ristrutturazione ultimata, prevedono il mantenimento nell’immobile della Pretura di Locarno Campagna e Città e la presenza della Polizia cantonale (Gendarmeria e Polizia giudiziaria) come previsto nel masterplan logistico di questo settore.</w:t>
      </w:r>
    </w:p>
    <w:p w:rsidR="00B21A9A" w:rsidRDefault="00B21A9A" w:rsidP="00B21A9A"/>
    <w:p w:rsidR="00B21A9A" w:rsidRDefault="00B21A9A" w:rsidP="00B21A9A">
      <w:pPr>
        <w:rPr>
          <w:szCs w:val="22"/>
        </w:rPr>
      </w:pPr>
      <w:r>
        <w:t xml:space="preserve">Per contro, come disposto nell’ambito del messaggio n. 6304 del 25 novembre 2009 inerente allo stanziamento di un credito di </w:t>
      </w:r>
      <w:r w:rsidRPr="00F6067E">
        <w:t>1'250</w:t>
      </w:r>
      <w:r>
        <w:t>'</w:t>
      </w:r>
      <w:r w:rsidRPr="00F6067E">
        <w:t>000</w:t>
      </w:r>
      <w:r>
        <w:t>.- franchi per sistemare il Palazzo del Pretorio di Locarno per consentire l’avvio dell’attività della nuova Corte di appello e di revisione penale</w:t>
      </w:r>
      <w:r>
        <w:rPr>
          <w:szCs w:val="22"/>
        </w:rPr>
        <w:t>, quest’ultima sarà ricollocata presso la sede del Tribunale d’appello. Infatti la Legge sull’organizzazione giudiziaria del 10 maggio 2006 è stata modificata con l’introduzione di una norma transitoria dell’articolo 42 che prevede la temporaneità della sede della CARP a Locarno. L’occupazione del Pretorio di Locarno ristrutturato è quindi riassunta come segue.</w:t>
      </w:r>
    </w:p>
    <w:p w:rsidR="00B21A9A" w:rsidRDefault="00B21A9A" w:rsidP="00B21A9A">
      <w:pPr>
        <w:rPr>
          <w:szCs w:val="22"/>
        </w:rPr>
      </w:pPr>
    </w:p>
    <w:tbl>
      <w:tblPr>
        <w:tblW w:w="9500" w:type="dxa"/>
        <w:tblInd w:w="55" w:type="dxa"/>
        <w:tblCellMar>
          <w:left w:w="70" w:type="dxa"/>
          <w:right w:w="70" w:type="dxa"/>
        </w:tblCellMar>
        <w:tblLook w:val="04A0" w:firstRow="1" w:lastRow="0" w:firstColumn="1" w:lastColumn="0" w:noHBand="0" w:noVBand="1"/>
      </w:tblPr>
      <w:tblGrid>
        <w:gridCol w:w="3843"/>
        <w:gridCol w:w="2835"/>
        <w:gridCol w:w="1442"/>
        <w:gridCol w:w="1497"/>
      </w:tblGrid>
      <w:tr w:rsidR="00B21A9A" w:rsidRPr="00A80EAE" w:rsidTr="00B21A9A">
        <w:trPr>
          <w:trHeight w:val="656"/>
        </w:trPr>
        <w:tc>
          <w:tcPr>
            <w:tcW w:w="3843" w:type="dxa"/>
            <w:tcBorders>
              <w:top w:val="single" w:sz="4" w:space="0" w:color="auto"/>
              <w:left w:val="single" w:sz="4" w:space="0" w:color="auto"/>
              <w:bottom w:val="single" w:sz="8" w:space="0" w:color="000000"/>
              <w:right w:val="single" w:sz="8" w:space="0" w:color="000000"/>
            </w:tcBorders>
            <w:shd w:val="clear" w:color="000000" w:fill="BFBFBF"/>
            <w:noWrap/>
            <w:vAlign w:val="center"/>
            <w:hideMark/>
          </w:tcPr>
          <w:p w:rsidR="00B21A9A" w:rsidRPr="00A80EAE" w:rsidRDefault="00B21A9A" w:rsidP="00B21A9A">
            <w:pPr>
              <w:jc w:val="center"/>
              <w:rPr>
                <w:rFonts w:cs="Arial"/>
                <w:b/>
                <w:bCs/>
                <w:color w:val="000000"/>
                <w:sz w:val="22"/>
                <w:szCs w:val="22"/>
                <w:lang w:val="it-CH" w:eastAsia="it-CH"/>
              </w:rPr>
            </w:pPr>
            <w:r w:rsidRPr="00A80EAE">
              <w:rPr>
                <w:rFonts w:cs="Arial"/>
                <w:b/>
                <w:bCs/>
                <w:color w:val="000000"/>
                <w:sz w:val="22"/>
                <w:szCs w:val="22"/>
                <w:lang w:val="it-CH" w:eastAsia="it-CH"/>
              </w:rPr>
              <w:t xml:space="preserve">Servizio </w:t>
            </w:r>
          </w:p>
        </w:tc>
        <w:tc>
          <w:tcPr>
            <w:tcW w:w="2835" w:type="dxa"/>
            <w:tcBorders>
              <w:top w:val="single" w:sz="4" w:space="0" w:color="auto"/>
              <w:left w:val="nil"/>
              <w:right w:val="single" w:sz="4" w:space="0" w:color="auto"/>
            </w:tcBorders>
            <w:shd w:val="clear" w:color="000000" w:fill="BFBFBF"/>
            <w:noWrap/>
            <w:vAlign w:val="bottom"/>
            <w:hideMark/>
          </w:tcPr>
          <w:p w:rsidR="00B21A9A" w:rsidRPr="00A80EAE" w:rsidRDefault="00B21A9A" w:rsidP="00B21A9A">
            <w:pPr>
              <w:jc w:val="center"/>
              <w:rPr>
                <w:rFonts w:cs="Arial"/>
                <w:b/>
                <w:bCs/>
                <w:color w:val="000000"/>
                <w:sz w:val="22"/>
                <w:szCs w:val="22"/>
                <w:lang w:val="it-CH" w:eastAsia="it-CH"/>
              </w:rPr>
            </w:pPr>
            <w:r w:rsidRPr="00A80EAE">
              <w:rPr>
                <w:rFonts w:cs="Arial"/>
                <w:b/>
                <w:bCs/>
                <w:color w:val="000000"/>
                <w:sz w:val="22"/>
                <w:szCs w:val="22"/>
                <w:lang w:val="it-CH" w:eastAsia="it-CH"/>
              </w:rPr>
              <w:t>Collocazione</w:t>
            </w:r>
          </w:p>
          <w:p w:rsidR="00B21A9A" w:rsidRPr="00A80EAE" w:rsidRDefault="00B21A9A" w:rsidP="00B21A9A">
            <w:pPr>
              <w:jc w:val="center"/>
              <w:rPr>
                <w:rFonts w:cs="Arial"/>
                <w:b/>
                <w:bCs/>
                <w:color w:val="000000"/>
                <w:sz w:val="22"/>
                <w:szCs w:val="22"/>
                <w:lang w:val="it-CH" w:eastAsia="it-CH"/>
              </w:rPr>
            </w:pPr>
            <w:r w:rsidRPr="00A80EAE">
              <w:rPr>
                <w:rFonts w:cs="Arial"/>
                <w:b/>
                <w:bCs/>
                <w:color w:val="000000"/>
                <w:sz w:val="22"/>
                <w:szCs w:val="22"/>
                <w:lang w:val="it-CH" w:eastAsia="it-CH"/>
              </w:rPr>
              <w:t>attuale</w:t>
            </w:r>
          </w:p>
        </w:tc>
        <w:tc>
          <w:tcPr>
            <w:tcW w:w="1442" w:type="dxa"/>
            <w:tcBorders>
              <w:top w:val="single" w:sz="4" w:space="0" w:color="auto"/>
              <w:left w:val="nil"/>
              <w:bottom w:val="single" w:sz="8" w:space="0" w:color="000000"/>
              <w:right w:val="nil"/>
            </w:tcBorders>
            <w:shd w:val="clear" w:color="000000" w:fill="BFBFBF"/>
            <w:vAlign w:val="center"/>
            <w:hideMark/>
          </w:tcPr>
          <w:p w:rsidR="00B21A9A" w:rsidRPr="00A80EAE" w:rsidRDefault="00B21A9A" w:rsidP="00B21A9A">
            <w:pPr>
              <w:jc w:val="center"/>
              <w:rPr>
                <w:rFonts w:cs="Arial"/>
                <w:b/>
                <w:bCs/>
                <w:color w:val="000000"/>
                <w:sz w:val="22"/>
                <w:szCs w:val="22"/>
                <w:lang w:val="it-CH" w:eastAsia="it-CH"/>
              </w:rPr>
            </w:pPr>
            <w:r w:rsidRPr="00A80EAE">
              <w:rPr>
                <w:rFonts w:cs="Arial"/>
                <w:b/>
                <w:bCs/>
                <w:color w:val="000000"/>
                <w:sz w:val="22"/>
                <w:szCs w:val="22"/>
                <w:lang w:val="it-CH" w:eastAsia="it-CH"/>
              </w:rPr>
              <w:t>Orizzonte temporale</w:t>
            </w:r>
          </w:p>
        </w:tc>
        <w:tc>
          <w:tcPr>
            <w:tcW w:w="1380" w:type="dxa"/>
            <w:tcBorders>
              <w:top w:val="single" w:sz="4" w:space="0" w:color="auto"/>
              <w:left w:val="single" w:sz="4" w:space="0" w:color="auto"/>
              <w:bottom w:val="single" w:sz="8" w:space="0" w:color="000000"/>
              <w:right w:val="single" w:sz="4" w:space="0" w:color="auto"/>
            </w:tcBorders>
            <w:shd w:val="clear" w:color="000000" w:fill="BFBFBF"/>
            <w:vAlign w:val="center"/>
            <w:hideMark/>
          </w:tcPr>
          <w:p w:rsidR="00B21A9A" w:rsidRPr="00A80EAE" w:rsidRDefault="00B21A9A" w:rsidP="00B21A9A">
            <w:pPr>
              <w:jc w:val="center"/>
              <w:rPr>
                <w:rFonts w:cs="Arial"/>
                <w:b/>
                <w:bCs/>
                <w:color w:val="000000"/>
                <w:sz w:val="22"/>
                <w:szCs w:val="22"/>
                <w:lang w:val="it-CH" w:eastAsia="it-CH"/>
              </w:rPr>
            </w:pPr>
            <w:r w:rsidRPr="00A80EAE">
              <w:rPr>
                <w:rFonts w:cs="Arial"/>
                <w:b/>
                <w:bCs/>
                <w:color w:val="000000"/>
                <w:sz w:val="22"/>
                <w:szCs w:val="22"/>
                <w:lang w:val="it-CH" w:eastAsia="it-CH"/>
              </w:rPr>
              <w:t>Investimento</w:t>
            </w:r>
            <w:r w:rsidRPr="00A80EAE">
              <w:rPr>
                <w:rFonts w:cs="Arial"/>
                <w:b/>
                <w:bCs/>
                <w:color w:val="000000"/>
                <w:sz w:val="22"/>
                <w:szCs w:val="22"/>
                <w:lang w:val="it-CH" w:eastAsia="it-CH"/>
              </w:rPr>
              <w:br/>
            </w:r>
            <w:r w:rsidRPr="00A80EAE">
              <w:rPr>
                <w:rFonts w:cs="Arial"/>
                <w:color w:val="000000"/>
                <w:sz w:val="22"/>
                <w:szCs w:val="22"/>
                <w:lang w:val="it-CH" w:eastAsia="it-CH"/>
              </w:rPr>
              <w:t>(mio fr.)</w:t>
            </w:r>
          </w:p>
        </w:tc>
      </w:tr>
      <w:tr w:rsidR="00B21A9A" w:rsidRPr="00A80EAE" w:rsidTr="00B21A9A">
        <w:trPr>
          <w:trHeight w:val="288"/>
        </w:trPr>
        <w:tc>
          <w:tcPr>
            <w:tcW w:w="3843"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B21A9A" w:rsidRPr="00A80EAE" w:rsidRDefault="00B21A9A" w:rsidP="00B21A9A">
            <w:pPr>
              <w:jc w:val="left"/>
              <w:rPr>
                <w:rFonts w:cs="Arial"/>
                <w:sz w:val="22"/>
                <w:szCs w:val="22"/>
                <w:lang w:val="it-CH" w:eastAsia="it-CH"/>
              </w:rPr>
            </w:pPr>
            <w:r w:rsidRPr="00A80EAE">
              <w:rPr>
                <w:rFonts w:cs="Arial"/>
                <w:sz w:val="22"/>
                <w:szCs w:val="22"/>
                <w:lang w:val="it-CH" w:eastAsia="it-CH"/>
              </w:rPr>
              <w:t>Preture Locarno Campagna e Città</w:t>
            </w:r>
          </w:p>
        </w:tc>
        <w:tc>
          <w:tcPr>
            <w:tcW w:w="2835" w:type="dxa"/>
            <w:tcBorders>
              <w:top w:val="single" w:sz="8" w:space="0" w:color="auto"/>
              <w:left w:val="nil"/>
              <w:bottom w:val="single" w:sz="4" w:space="0" w:color="auto"/>
              <w:right w:val="single" w:sz="4" w:space="0" w:color="auto"/>
            </w:tcBorders>
            <w:shd w:val="clear" w:color="auto" w:fill="auto"/>
            <w:noWrap/>
            <w:vAlign w:val="bottom"/>
            <w:hideMark/>
          </w:tcPr>
          <w:p w:rsidR="00B21A9A" w:rsidRPr="00A80EAE" w:rsidRDefault="00B21A9A" w:rsidP="00B21A9A">
            <w:pPr>
              <w:jc w:val="left"/>
              <w:rPr>
                <w:rFonts w:cs="Arial"/>
                <w:color w:val="000000"/>
                <w:sz w:val="22"/>
                <w:szCs w:val="22"/>
                <w:lang w:val="it-CH" w:eastAsia="it-CH"/>
              </w:rPr>
            </w:pPr>
            <w:r w:rsidRPr="00A80EAE">
              <w:rPr>
                <w:rFonts w:cs="Arial"/>
                <w:color w:val="000000"/>
                <w:sz w:val="22"/>
                <w:szCs w:val="22"/>
                <w:lang w:val="it-CH" w:eastAsia="it-CH"/>
              </w:rPr>
              <w:t>Pretorio Locarno</w:t>
            </w:r>
          </w:p>
        </w:tc>
        <w:tc>
          <w:tcPr>
            <w:tcW w:w="1442" w:type="dxa"/>
            <w:vMerge w:val="restart"/>
            <w:tcBorders>
              <w:top w:val="single" w:sz="8" w:space="0" w:color="auto"/>
              <w:left w:val="nil"/>
              <w:bottom w:val="single" w:sz="8" w:space="0" w:color="000000"/>
              <w:right w:val="single" w:sz="4" w:space="0" w:color="auto"/>
            </w:tcBorders>
            <w:shd w:val="clear" w:color="auto" w:fill="auto"/>
            <w:noWrap/>
            <w:vAlign w:val="center"/>
            <w:hideMark/>
          </w:tcPr>
          <w:p w:rsidR="00B21A9A" w:rsidRPr="00A80EAE" w:rsidRDefault="00B21A9A" w:rsidP="00B21A9A">
            <w:pPr>
              <w:jc w:val="center"/>
              <w:rPr>
                <w:rFonts w:cs="Arial"/>
                <w:color w:val="000000"/>
                <w:sz w:val="22"/>
                <w:szCs w:val="22"/>
                <w:lang w:val="it-CH" w:eastAsia="it-CH"/>
              </w:rPr>
            </w:pPr>
            <w:r w:rsidRPr="00A80EAE">
              <w:rPr>
                <w:rFonts w:cs="Arial"/>
                <w:color w:val="000000"/>
                <w:sz w:val="22"/>
                <w:szCs w:val="22"/>
                <w:lang w:val="it-CH" w:eastAsia="it-CH"/>
              </w:rPr>
              <w:t>2023 - 2028</w:t>
            </w:r>
          </w:p>
        </w:tc>
        <w:tc>
          <w:tcPr>
            <w:tcW w:w="13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B21A9A" w:rsidRPr="00A80EAE" w:rsidRDefault="00B21A9A" w:rsidP="00B21A9A">
            <w:pPr>
              <w:jc w:val="center"/>
              <w:rPr>
                <w:rFonts w:cs="Arial"/>
                <w:color w:val="000000"/>
                <w:sz w:val="22"/>
                <w:szCs w:val="22"/>
                <w:lang w:val="it-CH" w:eastAsia="it-CH"/>
              </w:rPr>
            </w:pPr>
            <w:r w:rsidRPr="00A80EAE">
              <w:rPr>
                <w:rFonts w:cs="Arial"/>
                <w:color w:val="000000"/>
                <w:sz w:val="22"/>
                <w:szCs w:val="22"/>
                <w:lang w:val="it-CH" w:eastAsia="it-CH"/>
              </w:rPr>
              <w:t>35.16</w:t>
            </w:r>
          </w:p>
        </w:tc>
      </w:tr>
      <w:tr w:rsidR="00B21A9A" w:rsidRPr="00A80EAE" w:rsidTr="00B21A9A">
        <w:trPr>
          <w:trHeight w:val="288"/>
        </w:trPr>
        <w:tc>
          <w:tcPr>
            <w:tcW w:w="3843" w:type="dxa"/>
            <w:tcBorders>
              <w:top w:val="nil"/>
              <w:left w:val="single" w:sz="4" w:space="0" w:color="auto"/>
              <w:bottom w:val="single" w:sz="4" w:space="0" w:color="auto"/>
              <w:right w:val="single" w:sz="8" w:space="0" w:color="auto"/>
            </w:tcBorders>
            <w:shd w:val="clear" w:color="auto" w:fill="auto"/>
            <w:noWrap/>
            <w:vAlign w:val="bottom"/>
            <w:hideMark/>
          </w:tcPr>
          <w:p w:rsidR="00B21A9A" w:rsidRPr="00A80EAE" w:rsidRDefault="00B21A9A" w:rsidP="00B21A9A">
            <w:pPr>
              <w:jc w:val="left"/>
              <w:rPr>
                <w:rFonts w:cs="Arial"/>
                <w:sz w:val="22"/>
                <w:szCs w:val="22"/>
                <w:lang w:val="it-CH" w:eastAsia="it-CH"/>
              </w:rPr>
            </w:pPr>
            <w:r w:rsidRPr="00A80EAE">
              <w:rPr>
                <w:rFonts w:cs="Arial"/>
                <w:sz w:val="22"/>
                <w:szCs w:val="22"/>
                <w:lang w:val="it-CH" w:eastAsia="it-CH"/>
              </w:rPr>
              <w:t>Pol</w:t>
            </w:r>
            <w:r>
              <w:rPr>
                <w:rFonts w:cs="Arial"/>
                <w:sz w:val="22"/>
                <w:szCs w:val="22"/>
                <w:lang w:val="it-CH" w:eastAsia="it-CH"/>
              </w:rPr>
              <w:t>izia cantonale (Gendarmeria e Polizia giudiziaria</w:t>
            </w:r>
            <w:r w:rsidRPr="00A80EAE">
              <w:rPr>
                <w:rFonts w:cs="Arial"/>
                <w:sz w:val="22"/>
                <w:szCs w:val="22"/>
                <w:lang w:val="it-CH" w:eastAsia="it-CH"/>
              </w:rPr>
              <w:t>)</w:t>
            </w:r>
          </w:p>
        </w:tc>
        <w:tc>
          <w:tcPr>
            <w:tcW w:w="2835" w:type="dxa"/>
            <w:tcBorders>
              <w:top w:val="nil"/>
              <w:left w:val="nil"/>
              <w:bottom w:val="single" w:sz="4" w:space="0" w:color="auto"/>
              <w:right w:val="single" w:sz="4" w:space="0" w:color="auto"/>
            </w:tcBorders>
            <w:shd w:val="clear" w:color="auto" w:fill="auto"/>
            <w:noWrap/>
            <w:vAlign w:val="bottom"/>
            <w:hideMark/>
          </w:tcPr>
          <w:p w:rsidR="00B21A9A" w:rsidRPr="00A80EAE" w:rsidRDefault="00B21A9A" w:rsidP="00B21A9A">
            <w:pPr>
              <w:jc w:val="left"/>
              <w:rPr>
                <w:rFonts w:cs="Arial"/>
                <w:color w:val="000000"/>
                <w:sz w:val="22"/>
                <w:szCs w:val="22"/>
                <w:lang w:val="it-CH" w:eastAsia="it-CH"/>
              </w:rPr>
            </w:pPr>
            <w:r w:rsidRPr="00A80EAE">
              <w:rPr>
                <w:rFonts w:cs="Arial"/>
                <w:color w:val="000000"/>
                <w:sz w:val="22"/>
                <w:szCs w:val="22"/>
                <w:lang w:val="it-CH" w:eastAsia="it-CH"/>
              </w:rPr>
              <w:t>Pretorio Locarno</w:t>
            </w:r>
          </w:p>
        </w:tc>
        <w:tc>
          <w:tcPr>
            <w:tcW w:w="1442" w:type="dxa"/>
            <w:vMerge/>
            <w:tcBorders>
              <w:top w:val="single" w:sz="8" w:space="0" w:color="auto"/>
              <w:left w:val="nil"/>
              <w:bottom w:val="single" w:sz="4" w:space="0" w:color="auto"/>
              <w:right w:val="single" w:sz="4" w:space="0" w:color="auto"/>
            </w:tcBorders>
            <w:vAlign w:val="center"/>
            <w:hideMark/>
          </w:tcPr>
          <w:p w:rsidR="00B21A9A" w:rsidRPr="00A80EAE" w:rsidRDefault="00B21A9A" w:rsidP="00B21A9A">
            <w:pPr>
              <w:jc w:val="left"/>
              <w:rPr>
                <w:rFonts w:cs="Arial"/>
                <w:color w:val="000000"/>
                <w:sz w:val="22"/>
                <w:szCs w:val="22"/>
                <w:lang w:val="it-CH" w:eastAsia="it-CH"/>
              </w:rPr>
            </w:pPr>
          </w:p>
        </w:tc>
        <w:tc>
          <w:tcPr>
            <w:tcW w:w="1380" w:type="dxa"/>
            <w:vMerge/>
            <w:tcBorders>
              <w:top w:val="single" w:sz="8" w:space="0" w:color="auto"/>
              <w:left w:val="single" w:sz="4" w:space="0" w:color="auto"/>
              <w:bottom w:val="single" w:sz="4" w:space="0" w:color="auto"/>
              <w:right w:val="single" w:sz="4" w:space="0" w:color="auto"/>
            </w:tcBorders>
            <w:vAlign w:val="center"/>
            <w:hideMark/>
          </w:tcPr>
          <w:p w:rsidR="00B21A9A" w:rsidRPr="00A80EAE" w:rsidRDefault="00B21A9A" w:rsidP="00B21A9A">
            <w:pPr>
              <w:jc w:val="left"/>
              <w:rPr>
                <w:rFonts w:cs="Arial"/>
                <w:color w:val="000000"/>
                <w:sz w:val="22"/>
                <w:szCs w:val="22"/>
                <w:lang w:val="it-CH" w:eastAsia="it-CH"/>
              </w:rPr>
            </w:pPr>
          </w:p>
        </w:tc>
      </w:tr>
    </w:tbl>
    <w:p w:rsidR="00B21A9A" w:rsidRDefault="00B21A9A" w:rsidP="00B21A9A">
      <w:pPr>
        <w:rPr>
          <w:rFonts w:cs="Arial"/>
          <w:lang w:eastAsia="it-CH"/>
        </w:rPr>
      </w:pPr>
    </w:p>
    <w:p w:rsidR="00B21A9A" w:rsidRDefault="00B21A9A" w:rsidP="00B21A9A">
      <w:pPr>
        <w:rPr>
          <w:rFonts w:cs="Arial"/>
          <w:lang w:eastAsia="it-CH"/>
        </w:rPr>
      </w:pPr>
    </w:p>
    <w:p w:rsidR="00B21A9A" w:rsidRPr="00F874B2" w:rsidRDefault="00B21A9A" w:rsidP="00B21A9A">
      <w:pPr>
        <w:rPr>
          <w:szCs w:val="24"/>
          <w:lang w:eastAsia="it-CH"/>
        </w:rPr>
      </w:pPr>
    </w:p>
    <w:p w:rsidR="00B21A9A" w:rsidRPr="00803EEE" w:rsidRDefault="00B21A9A" w:rsidP="00B21A9A">
      <w:pPr>
        <w:pStyle w:val="Titolo1"/>
        <w:tabs>
          <w:tab w:val="clear" w:pos="567"/>
          <w:tab w:val="left" w:pos="709"/>
        </w:tabs>
        <w:rPr>
          <w:color w:val="000000" w:themeColor="text1"/>
        </w:rPr>
      </w:pPr>
      <w:r w:rsidRPr="00C421FD">
        <w:t>2.</w:t>
      </w:r>
      <w:r w:rsidRPr="00C421FD">
        <w:tab/>
        <w:t xml:space="preserve">SITUAZIONE </w:t>
      </w:r>
      <w:r w:rsidRPr="00803EEE">
        <w:rPr>
          <w:color w:val="000000" w:themeColor="text1"/>
        </w:rPr>
        <w:t xml:space="preserve">ATTUALE </w:t>
      </w:r>
    </w:p>
    <w:p w:rsidR="00B21A9A" w:rsidRDefault="00B21A9A" w:rsidP="00B21A9A">
      <w:r>
        <w:t xml:space="preserve">La città di Lugano ospita presso il Palazzo di giustizia la sede principale delle Autorità giudiziarie cantonali e il comparto che raggruppa la maggior parte dei servizi della Polizia cantonale. Oltre a questi due settori, nel medesimo immobile sono inseriti altri servizi dell’Amministrazione cantonale quali l’Ufficio di esecuzione, l’Ufficio del registro fondiario di Lugano e l’Autorità di prima istanza competente a decidere in materia di legge federale sull’acquisto di fondi da parte di persone all’estero (LAFE). </w:t>
      </w:r>
    </w:p>
    <w:p w:rsidR="00B21A9A" w:rsidRDefault="00B21A9A" w:rsidP="00B21A9A"/>
    <w:p w:rsidR="00B21A9A" w:rsidRDefault="00B21A9A" w:rsidP="00B21A9A">
      <w:r>
        <w:t>L’incremento di attività intercorso negli anni, con il conseguente adeguamento delle risorse umane, ha generato l’occupazione completa dell’immobile che non presenta altri margini di sviluppo, oltre ciò, l</w:t>
      </w:r>
      <w:r w:rsidRPr="00BA49D8">
        <w:t xml:space="preserve">e superfici disponibili </w:t>
      </w:r>
      <w:r>
        <w:t>negli edifici</w:t>
      </w:r>
      <w:r w:rsidRPr="00BA49D8">
        <w:t xml:space="preserve"> </w:t>
      </w:r>
      <w:r>
        <w:t>cantonali di Lugano non soddisfano più le esigenze a medio termine dei servizi giudiziari.</w:t>
      </w:r>
    </w:p>
    <w:p w:rsidR="00B21A9A" w:rsidRDefault="00B21A9A" w:rsidP="00B21A9A"/>
    <w:p w:rsidR="00B21A9A" w:rsidRDefault="00B21A9A" w:rsidP="00B21A9A">
      <w:r>
        <w:t>Nell’area del luganese sono inoltre insediati, in proprietà di terzi, altri servizi del Dipartimento delle istituzioni che potrebbero essere ricollocati in proprietà dello Stato.</w:t>
      </w:r>
    </w:p>
    <w:p w:rsidR="00B21A9A" w:rsidRDefault="00B21A9A" w:rsidP="00B21A9A"/>
    <w:p w:rsidR="00B21A9A" w:rsidRDefault="00B21A9A" w:rsidP="00B21A9A">
      <w:pPr>
        <w:rPr>
          <w:szCs w:val="24"/>
        </w:rPr>
      </w:pPr>
      <w:r>
        <w:rPr>
          <w:szCs w:val="24"/>
        </w:rPr>
        <w:t>L’attuale disposizione logistica delle Autorità giudiziarie e dei servizi amministrativi del Dipartimento delle istituzioni, relazionate all’area del luganese è riassunta nella tabella seguente.</w:t>
      </w:r>
    </w:p>
    <w:p w:rsidR="00B21A9A" w:rsidRDefault="00B21A9A" w:rsidP="00B21A9A">
      <w:pPr>
        <w:rPr>
          <w:szCs w:val="24"/>
        </w:rPr>
      </w:pPr>
    </w:p>
    <w:p w:rsidR="0051430C" w:rsidRDefault="0051430C">
      <w:r>
        <w:br w:type="page"/>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0"/>
        <w:gridCol w:w="4298"/>
        <w:gridCol w:w="4536"/>
      </w:tblGrid>
      <w:tr w:rsidR="00B21A9A" w:rsidRPr="004712BF" w:rsidTr="00B21A9A">
        <w:trPr>
          <w:trHeight w:val="178"/>
        </w:trPr>
        <w:tc>
          <w:tcPr>
            <w:tcW w:w="5118" w:type="dxa"/>
            <w:gridSpan w:val="2"/>
            <w:shd w:val="clear" w:color="000000" w:fill="BFBFBF"/>
            <w:noWrap/>
            <w:vAlign w:val="center"/>
            <w:hideMark/>
          </w:tcPr>
          <w:p w:rsidR="00B21A9A" w:rsidRPr="00A80EAE" w:rsidRDefault="00B21A9A" w:rsidP="00B21A9A">
            <w:pPr>
              <w:jc w:val="center"/>
              <w:rPr>
                <w:rFonts w:cs="Arial"/>
                <w:b/>
                <w:bCs/>
                <w:color w:val="000000"/>
                <w:sz w:val="22"/>
                <w:szCs w:val="22"/>
                <w:lang w:val="it-CH" w:eastAsia="it-CH"/>
              </w:rPr>
            </w:pPr>
            <w:r w:rsidRPr="00A80EAE">
              <w:rPr>
                <w:rFonts w:cs="Arial"/>
                <w:b/>
                <w:bCs/>
                <w:color w:val="000000"/>
                <w:sz w:val="22"/>
                <w:szCs w:val="22"/>
                <w:lang w:val="it-CH" w:eastAsia="it-CH"/>
              </w:rPr>
              <w:t xml:space="preserve">Servizio </w:t>
            </w:r>
          </w:p>
        </w:tc>
        <w:tc>
          <w:tcPr>
            <w:tcW w:w="4536" w:type="dxa"/>
            <w:shd w:val="clear" w:color="000000" w:fill="BFBFBF"/>
            <w:noWrap/>
            <w:vAlign w:val="bottom"/>
            <w:hideMark/>
          </w:tcPr>
          <w:p w:rsidR="00B21A9A" w:rsidRPr="00A80EAE" w:rsidRDefault="00B21A9A" w:rsidP="00B21A9A">
            <w:pPr>
              <w:jc w:val="center"/>
              <w:rPr>
                <w:rFonts w:cs="Arial"/>
                <w:b/>
                <w:bCs/>
                <w:color w:val="000000"/>
                <w:sz w:val="22"/>
                <w:szCs w:val="22"/>
                <w:lang w:val="it-CH" w:eastAsia="it-CH"/>
              </w:rPr>
            </w:pPr>
            <w:r w:rsidRPr="00A80EAE">
              <w:rPr>
                <w:rFonts w:cs="Arial"/>
                <w:b/>
                <w:bCs/>
                <w:color w:val="000000"/>
                <w:sz w:val="22"/>
                <w:szCs w:val="22"/>
                <w:lang w:val="it-CH" w:eastAsia="it-CH"/>
              </w:rPr>
              <w:t>Collocazione</w:t>
            </w:r>
          </w:p>
          <w:p w:rsidR="00B21A9A" w:rsidRPr="00A80EAE" w:rsidRDefault="00B21A9A" w:rsidP="00B21A9A">
            <w:pPr>
              <w:jc w:val="center"/>
              <w:rPr>
                <w:rFonts w:cs="Arial"/>
                <w:b/>
                <w:bCs/>
                <w:color w:val="000000"/>
                <w:sz w:val="22"/>
                <w:szCs w:val="22"/>
                <w:lang w:val="it-CH" w:eastAsia="it-CH"/>
              </w:rPr>
            </w:pPr>
            <w:r w:rsidRPr="00A80EAE">
              <w:rPr>
                <w:rFonts w:cs="Arial"/>
                <w:b/>
                <w:bCs/>
                <w:color w:val="000000"/>
                <w:sz w:val="22"/>
                <w:szCs w:val="22"/>
                <w:lang w:val="it-CH" w:eastAsia="it-CH"/>
              </w:rPr>
              <w:t>attuale</w:t>
            </w:r>
          </w:p>
        </w:tc>
      </w:tr>
      <w:tr w:rsidR="00B21A9A" w:rsidRPr="004712BF" w:rsidTr="00B21A9A">
        <w:trPr>
          <w:trHeight w:val="288"/>
        </w:trPr>
        <w:tc>
          <w:tcPr>
            <w:tcW w:w="820" w:type="dxa"/>
            <w:vMerge w:val="restart"/>
            <w:shd w:val="clear" w:color="auto" w:fill="auto"/>
            <w:textDirection w:val="btLr"/>
            <w:vAlign w:val="center"/>
            <w:hideMark/>
          </w:tcPr>
          <w:p w:rsidR="00B21A9A" w:rsidRPr="00A80EAE" w:rsidRDefault="00B21A9A" w:rsidP="00B21A9A">
            <w:pPr>
              <w:jc w:val="center"/>
              <w:rPr>
                <w:rFonts w:cs="Arial"/>
                <w:color w:val="000000"/>
                <w:sz w:val="18"/>
                <w:szCs w:val="18"/>
                <w:lang w:val="it-CH" w:eastAsia="it-CH"/>
              </w:rPr>
            </w:pPr>
            <w:r w:rsidRPr="00A80EAE">
              <w:rPr>
                <w:rFonts w:cs="Arial"/>
                <w:color w:val="000000"/>
                <w:sz w:val="18"/>
                <w:szCs w:val="18"/>
                <w:lang w:val="it-CH" w:eastAsia="it-CH"/>
              </w:rPr>
              <w:t xml:space="preserve">Autorità </w:t>
            </w:r>
            <w:r>
              <w:rPr>
                <w:rFonts w:cs="Arial"/>
                <w:color w:val="000000"/>
                <w:sz w:val="18"/>
                <w:szCs w:val="18"/>
                <w:lang w:val="it-CH" w:eastAsia="it-CH"/>
              </w:rPr>
              <w:t>giudiziarie</w:t>
            </w:r>
          </w:p>
        </w:tc>
        <w:tc>
          <w:tcPr>
            <w:tcW w:w="4298" w:type="dxa"/>
            <w:shd w:val="clear" w:color="auto" w:fill="auto"/>
            <w:noWrap/>
            <w:vAlign w:val="bottom"/>
            <w:hideMark/>
          </w:tcPr>
          <w:p w:rsidR="00B21A9A" w:rsidRPr="00A80EAE" w:rsidRDefault="00B21A9A" w:rsidP="00B21A9A">
            <w:pPr>
              <w:jc w:val="left"/>
              <w:rPr>
                <w:rFonts w:cs="Arial"/>
                <w:sz w:val="22"/>
                <w:szCs w:val="22"/>
                <w:lang w:val="it-CH" w:eastAsia="it-CH"/>
              </w:rPr>
            </w:pPr>
            <w:r w:rsidRPr="00A80EAE">
              <w:rPr>
                <w:rFonts w:cs="Arial"/>
                <w:sz w:val="22"/>
                <w:szCs w:val="22"/>
                <w:lang w:val="it-CH" w:eastAsia="it-CH"/>
              </w:rPr>
              <w:t xml:space="preserve">Tribunale d'appello </w:t>
            </w:r>
          </w:p>
        </w:tc>
        <w:tc>
          <w:tcPr>
            <w:tcW w:w="4536" w:type="dxa"/>
            <w:shd w:val="clear" w:color="auto" w:fill="auto"/>
            <w:noWrap/>
            <w:vAlign w:val="bottom"/>
            <w:hideMark/>
          </w:tcPr>
          <w:p w:rsidR="00B21A9A" w:rsidRPr="00A80EAE" w:rsidRDefault="00B21A9A" w:rsidP="00B21A9A">
            <w:pPr>
              <w:jc w:val="left"/>
              <w:rPr>
                <w:rFonts w:cs="Arial"/>
                <w:color w:val="000000"/>
                <w:sz w:val="22"/>
                <w:szCs w:val="22"/>
                <w:lang w:val="it-CH" w:eastAsia="it-CH"/>
              </w:rPr>
            </w:pPr>
            <w:r w:rsidRPr="00A80EAE">
              <w:rPr>
                <w:rFonts w:cs="Arial"/>
                <w:color w:val="000000"/>
                <w:sz w:val="22"/>
                <w:szCs w:val="22"/>
                <w:lang w:val="it-CH" w:eastAsia="it-CH"/>
              </w:rPr>
              <w:t>PGL</w:t>
            </w:r>
          </w:p>
        </w:tc>
      </w:tr>
      <w:tr w:rsidR="00B21A9A" w:rsidRPr="004712BF" w:rsidTr="00B21A9A">
        <w:trPr>
          <w:trHeight w:val="288"/>
        </w:trPr>
        <w:tc>
          <w:tcPr>
            <w:tcW w:w="820" w:type="dxa"/>
            <w:vMerge/>
            <w:vAlign w:val="center"/>
            <w:hideMark/>
          </w:tcPr>
          <w:p w:rsidR="00B21A9A" w:rsidRPr="00A80EAE" w:rsidRDefault="00B21A9A" w:rsidP="00B21A9A">
            <w:pPr>
              <w:jc w:val="left"/>
              <w:rPr>
                <w:rFonts w:cs="Arial"/>
                <w:color w:val="000000"/>
                <w:sz w:val="18"/>
                <w:szCs w:val="18"/>
                <w:lang w:val="it-CH" w:eastAsia="it-CH"/>
              </w:rPr>
            </w:pPr>
          </w:p>
        </w:tc>
        <w:tc>
          <w:tcPr>
            <w:tcW w:w="4298" w:type="dxa"/>
            <w:shd w:val="clear" w:color="auto" w:fill="auto"/>
            <w:noWrap/>
            <w:vAlign w:val="bottom"/>
            <w:hideMark/>
          </w:tcPr>
          <w:p w:rsidR="00B21A9A" w:rsidRPr="00A80EAE" w:rsidRDefault="00B21A9A" w:rsidP="00B21A9A">
            <w:pPr>
              <w:jc w:val="left"/>
              <w:rPr>
                <w:rFonts w:cs="Arial"/>
                <w:sz w:val="22"/>
                <w:szCs w:val="22"/>
                <w:lang w:val="it-CH" w:eastAsia="it-CH"/>
              </w:rPr>
            </w:pPr>
            <w:r w:rsidRPr="00A80EAE">
              <w:rPr>
                <w:rFonts w:cs="Arial"/>
                <w:sz w:val="22"/>
                <w:szCs w:val="22"/>
                <w:lang w:val="it-CH" w:eastAsia="it-CH"/>
              </w:rPr>
              <w:t>Tribunale penale cantonale</w:t>
            </w:r>
          </w:p>
        </w:tc>
        <w:tc>
          <w:tcPr>
            <w:tcW w:w="4536" w:type="dxa"/>
            <w:shd w:val="clear" w:color="auto" w:fill="auto"/>
            <w:noWrap/>
            <w:vAlign w:val="bottom"/>
            <w:hideMark/>
          </w:tcPr>
          <w:p w:rsidR="00B21A9A" w:rsidRPr="00A80EAE" w:rsidRDefault="00B21A9A" w:rsidP="00B21A9A">
            <w:pPr>
              <w:jc w:val="left"/>
              <w:rPr>
                <w:rFonts w:cs="Arial"/>
                <w:color w:val="000000"/>
                <w:sz w:val="22"/>
                <w:szCs w:val="22"/>
                <w:lang w:val="it-CH" w:eastAsia="it-CH"/>
              </w:rPr>
            </w:pPr>
            <w:r w:rsidRPr="00A80EAE">
              <w:rPr>
                <w:rFonts w:cs="Arial"/>
                <w:color w:val="000000"/>
                <w:sz w:val="22"/>
                <w:szCs w:val="22"/>
                <w:lang w:val="it-CH" w:eastAsia="it-CH"/>
              </w:rPr>
              <w:t>PGL</w:t>
            </w:r>
          </w:p>
        </w:tc>
      </w:tr>
      <w:tr w:rsidR="00B21A9A" w:rsidRPr="004712BF" w:rsidTr="00B21A9A">
        <w:trPr>
          <w:trHeight w:val="288"/>
        </w:trPr>
        <w:tc>
          <w:tcPr>
            <w:tcW w:w="820" w:type="dxa"/>
            <w:vMerge/>
            <w:vAlign w:val="center"/>
            <w:hideMark/>
          </w:tcPr>
          <w:p w:rsidR="00B21A9A" w:rsidRPr="00A80EAE" w:rsidRDefault="00B21A9A" w:rsidP="00B21A9A">
            <w:pPr>
              <w:jc w:val="left"/>
              <w:rPr>
                <w:rFonts w:cs="Arial"/>
                <w:color w:val="000000"/>
                <w:sz w:val="18"/>
                <w:szCs w:val="18"/>
                <w:lang w:val="it-CH" w:eastAsia="it-CH"/>
              </w:rPr>
            </w:pPr>
          </w:p>
        </w:tc>
        <w:tc>
          <w:tcPr>
            <w:tcW w:w="4298" w:type="dxa"/>
            <w:shd w:val="clear" w:color="auto" w:fill="auto"/>
            <w:noWrap/>
            <w:vAlign w:val="bottom"/>
            <w:hideMark/>
          </w:tcPr>
          <w:p w:rsidR="00B21A9A" w:rsidRPr="00A80EAE" w:rsidRDefault="00B21A9A" w:rsidP="00B21A9A">
            <w:pPr>
              <w:jc w:val="left"/>
              <w:rPr>
                <w:rFonts w:cs="Arial"/>
                <w:sz w:val="22"/>
                <w:szCs w:val="22"/>
                <w:lang w:val="it-CH" w:eastAsia="it-CH"/>
              </w:rPr>
            </w:pPr>
            <w:r w:rsidRPr="00A80EAE">
              <w:rPr>
                <w:rFonts w:cs="Arial"/>
                <w:sz w:val="22"/>
                <w:szCs w:val="22"/>
                <w:lang w:val="it-CH" w:eastAsia="it-CH"/>
              </w:rPr>
              <w:t>Pretura civile Lugano</w:t>
            </w:r>
          </w:p>
        </w:tc>
        <w:tc>
          <w:tcPr>
            <w:tcW w:w="4536" w:type="dxa"/>
            <w:shd w:val="clear" w:color="auto" w:fill="auto"/>
            <w:noWrap/>
            <w:vAlign w:val="bottom"/>
            <w:hideMark/>
          </w:tcPr>
          <w:p w:rsidR="00B21A9A" w:rsidRPr="00A80EAE" w:rsidRDefault="00B21A9A" w:rsidP="00B21A9A">
            <w:pPr>
              <w:jc w:val="left"/>
              <w:rPr>
                <w:rFonts w:cs="Arial"/>
                <w:color w:val="000000"/>
                <w:sz w:val="22"/>
                <w:szCs w:val="22"/>
                <w:lang w:val="it-CH" w:eastAsia="it-CH"/>
              </w:rPr>
            </w:pPr>
            <w:r w:rsidRPr="00A80EAE">
              <w:rPr>
                <w:rFonts w:cs="Arial"/>
                <w:color w:val="000000"/>
                <w:sz w:val="22"/>
                <w:szCs w:val="22"/>
                <w:lang w:val="it-CH" w:eastAsia="it-CH"/>
              </w:rPr>
              <w:t>Bossi</w:t>
            </w:r>
          </w:p>
        </w:tc>
      </w:tr>
      <w:tr w:rsidR="00B21A9A" w:rsidRPr="004712BF" w:rsidTr="00B21A9A">
        <w:trPr>
          <w:trHeight w:val="288"/>
        </w:trPr>
        <w:tc>
          <w:tcPr>
            <w:tcW w:w="820" w:type="dxa"/>
            <w:vMerge/>
            <w:vAlign w:val="center"/>
            <w:hideMark/>
          </w:tcPr>
          <w:p w:rsidR="00B21A9A" w:rsidRPr="00A80EAE" w:rsidRDefault="00B21A9A" w:rsidP="00B21A9A">
            <w:pPr>
              <w:jc w:val="left"/>
              <w:rPr>
                <w:rFonts w:cs="Arial"/>
                <w:color w:val="000000"/>
                <w:sz w:val="18"/>
                <w:szCs w:val="18"/>
                <w:lang w:val="it-CH" w:eastAsia="it-CH"/>
              </w:rPr>
            </w:pPr>
          </w:p>
        </w:tc>
        <w:tc>
          <w:tcPr>
            <w:tcW w:w="4298" w:type="dxa"/>
            <w:shd w:val="clear" w:color="auto" w:fill="auto"/>
            <w:noWrap/>
            <w:vAlign w:val="bottom"/>
            <w:hideMark/>
          </w:tcPr>
          <w:p w:rsidR="00B21A9A" w:rsidRPr="00A80EAE" w:rsidRDefault="00B21A9A" w:rsidP="00B21A9A">
            <w:pPr>
              <w:jc w:val="left"/>
              <w:rPr>
                <w:rFonts w:cs="Arial"/>
                <w:sz w:val="22"/>
                <w:szCs w:val="22"/>
                <w:lang w:val="it-CH" w:eastAsia="it-CH"/>
              </w:rPr>
            </w:pPr>
            <w:r w:rsidRPr="00A80EAE">
              <w:rPr>
                <w:rFonts w:cs="Arial"/>
                <w:sz w:val="22"/>
                <w:szCs w:val="22"/>
                <w:lang w:val="it-CH" w:eastAsia="it-CH"/>
              </w:rPr>
              <w:t>Tribunale d'espropriazione</w:t>
            </w:r>
          </w:p>
        </w:tc>
        <w:tc>
          <w:tcPr>
            <w:tcW w:w="4536" w:type="dxa"/>
            <w:shd w:val="clear" w:color="auto" w:fill="auto"/>
            <w:noWrap/>
            <w:vAlign w:val="bottom"/>
            <w:hideMark/>
          </w:tcPr>
          <w:p w:rsidR="00B21A9A" w:rsidRPr="00A80EAE" w:rsidRDefault="00B21A9A" w:rsidP="00B21A9A">
            <w:pPr>
              <w:jc w:val="left"/>
              <w:rPr>
                <w:rFonts w:cs="Arial"/>
                <w:color w:val="000000"/>
                <w:sz w:val="22"/>
                <w:szCs w:val="22"/>
                <w:lang w:val="it-CH" w:eastAsia="it-CH"/>
              </w:rPr>
            </w:pPr>
            <w:r w:rsidRPr="00A80EAE">
              <w:rPr>
                <w:rFonts w:cs="Arial"/>
                <w:color w:val="000000"/>
                <w:sz w:val="22"/>
                <w:szCs w:val="22"/>
                <w:lang w:val="it-CH" w:eastAsia="it-CH"/>
              </w:rPr>
              <w:t>Bossi</w:t>
            </w:r>
          </w:p>
        </w:tc>
      </w:tr>
      <w:tr w:rsidR="00B21A9A" w:rsidRPr="004712BF" w:rsidTr="00B21A9A">
        <w:trPr>
          <w:trHeight w:val="288"/>
        </w:trPr>
        <w:tc>
          <w:tcPr>
            <w:tcW w:w="820" w:type="dxa"/>
            <w:vMerge/>
            <w:vAlign w:val="center"/>
            <w:hideMark/>
          </w:tcPr>
          <w:p w:rsidR="00B21A9A" w:rsidRPr="00A80EAE" w:rsidRDefault="00B21A9A" w:rsidP="00B21A9A">
            <w:pPr>
              <w:jc w:val="left"/>
              <w:rPr>
                <w:rFonts w:cs="Arial"/>
                <w:color w:val="000000"/>
                <w:sz w:val="18"/>
                <w:szCs w:val="18"/>
                <w:lang w:val="it-CH" w:eastAsia="it-CH"/>
              </w:rPr>
            </w:pPr>
          </w:p>
        </w:tc>
        <w:tc>
          <w:tcPr>
            <w:tcW w:w="4298" w:type="dxa"/>
            <w:shd w:val="clear" w:color="auto" w:fill="auto"/>
            <w:noWrap/>
            <w:vAlign w:val="bottom"/>
            <w:hideMark/>
          </w:tcPr>
          <w:p w:rsidR="00B21A9A" w:rsidRPr="00A80EAE" w:rsidRDefault="00B21A9A" w:rsidP="00B21A9A">
            <w:pPr>
              <w:jc w:val="left"/>
              <w:rPr>
                <w:rFonts w:cs="Arial"/>
                <w:sz w:val="22"/>
                <w:szCs w:val="22"/>
                <w:lang w:val="it-CH" w:eastAsia="it-CH"/>
              </w:rPr>
            </w:pPr>
            <w:r>
              <w:rPr>
                <w:rFonts w:cs="Arial"/>
                <w:sz w:val="22"/>
                <w:szCs w:val="22"/>
                <w:lang w:val="it-CH" w:eastAsia="it-CH"/>
              </w:rPr>
              <w:t>Ufficio del g</w:t>
            </w:r>
            <w:r w:rsidRPr="00A80EAE">
              <w:rPr>
                <w:rFonts w:cs="Arial"/>
                <w:sz w:val="22"/>
                <w:szCs w:val="22"/>
                <w:lang w:val="it-CH" w:eastAsia="it-CH"/>
              </w:rPr>
              <w:t>iudice dei provvediment</w:t>
            </w:r>
            <w:r>
              <w:rPr>
                <w:rFonts w:cs="Arial"/>
                <w:sz w:val="22"/>
                <w:szCs w:val="22"/>
                <w:lang w:val="it-CH" w:eastAsia="it-CH"/>
              </w:rPr>
              <w:t>i</w:t>
            </w:r>
            <w:r w:rsidRPr="00A80EAE">
              <w:rPr>
                <w:rFonts w:cs="Arial"/>
                <w:sz w:val="22"/>
                <w:szCs w:val="22"/>
                <w:lang w:val="it-CH" w:eastAsia="it-CH"/>
              </w:rPr>
              <w:t xml:space="preserve"> coercitivi</w:t>
            </w:r>
          </w:p>
        </w:tc>
        <w:tc>
          <w:tcPr>
            <w:tcW w:w="4536" w:type="dxa"/>
            <w:shd w:val="clear" w:color="auto" w:fill="auto"/>
            <w:noWrap/>
            <w:vAlign w:val="bottom"/>
            <w:hideMark/>
          </w:tcPr>
          <w:p w:rsidR="00B21A9A" w:rsidRPr="00A80EAE" w:rsidRDefault="00B21A9A" w:rsidP="00B21A9A">
            <w:pPr>
              <w:jc w:val="left"/>
              <w:rPr>
                <w:rFonts w:cs="Arial"/>
                <w:color w:val="000000"/>
                <w:sz w:val="22"/>
                <w:szCs w:val="22"/>
                <w:lang w:val="it-CH" w:eastAsia="it-CH"/>
              </w:rPr>
            </w:pPr>
            <w:r w:rsidRPr="00A80EAE">
              <w:rPr>
                <w:rFonts w:cs="Arial"/>
                <w:color w:val="000000"/>
                <w:sz w:val="22"/>
                <w:szCs w:val="22"/>
                <w:lang w:val="it-CH" w:eastAsia="it-CH"/>
              </w:rPr>
              <w:t>Bossi</w:t>
            </w:r>
          </w:p>
        </w:tc>
      </w:tr>
      <w:tr w:rsidR="00B21A9A" w:rsidRPr="004712BF" w:rsidTr="00B21A9A">
        <w:trPr>
          <w:trHeight w:val="288"/>
        </w:trPr>
        <w:tc>
          <w:tcPr>
            <w:tcW w:w="820" w:type="dxa"/>
            <w:vMerge/>
            <w:vAlign w:val="center"/>
            <w:hideMark/>
          </w:tcPr>
          <w:p w:rsidR="00B21A9A" w:rsidRPr="00A80EAE" w:rsidRDefault="00B21A9A" w:rsidP="00B21A9A">
            <w:pPr>
              <w:jc w:val="left"/>
              <w:rPr>
                <w:rFonts w:cs="Arial"/>
                <w:color w:val="000000"/>
                <w:sz w:val="18"/>
                <w:szCs w:val="18"/>
                <w:lang w:val="it-CH" w:eastAsia="it-CH"/>
              </w:rPr>
            </w:pPr>
          </w:p>
        </w:tc>
        <w:tc>
          <w:tcPr>
            <w:tcW w:w="4298" w:type="dxa"/>
            <w:shd w:val="clear" w:color="auto" w:fill="auto"/>
            <w:noWrap/>
            <w:vAlign w:val="bottom"/>
            <w:hideMark/>
          </w:tcPr>
          <w:p w:rsidR="00B21A9A" w:rsidRPr="00A80EAE" w:rsidRDefault="00B21A9A" w:rsidP="00B21A9A">
            <w:pPr>
              <w:jc w:val="left"/>
              <w:rPr>
                <w:rFonts w:cs="Arial"/>
                <w:sz w:val="22"/>
                <w:szCs w:val="22"/>
                <w:lang w:val="it-CH" w:eastAsia="it-CH"/>
              </w:rPr>
            </w:pPr>
            <w:r w:rsidRPr="00A80EAE">
              <w:rPr>
                <w:rFonts w:cs="Arial"/>
                <w:sz w:val="22"/>
                <w:szCs w:val="22"/>
                <w:lang w:val="it-CH" w:eastAsia="it-CH"/>
              </w:rPr>
              <w:t>Corte d'appello e di revisione penale</w:t>
            </w:r>
          </w:p>
        </w:tc>
        <w:tc>
          <w:tcPr>
            <w:tcW w:w="4536" w:type="dxa"/>
            <w:shd w:val="clear" w:color="auto" w:fill="auto"/>
            <w:noWrap/>
            <w:vAlign w:val="bottom"/>
            <w:hideMark/>
          </w:tcPr>
          <w:p w:rsidR="00B21A9A" w:rsidRPr="00A80EAE" w:rsidRDefault="00B21A9A" w:rsidP="00B21A9A">
            <w:pPr>
              <w:jc w:val="left"/>
              <w:rPr>
                <w:rFonts w:cs="Arial"/>
                <w:color w:val="000000"/>
                <w:sz w:val="22"/>
                <w:szCs w:val="22"/>
                <w:lang w:val="it-CH" w:eastAsia="it-CH"/>
              </w:rPr>
            </w:pPr>
            <w:r w:rsidRPr="00A80EAE">
              <w:rPr>
                <w:rFonts w:cs="Arial"/>
                <w:color w:val="000000"/>
                <w:sz w:val="22"/>
                <w:szCs w:val="22"/>
                <w:lang w:val="it-CH" w:eastAsia="it-CH"/>
              </w:rPr>
              <w:t>Pretorio Locarno (sede temporanea)</w:t>
            </w:r>
          </w:p>
        </w:tc>
      </w:tr>
      <w:tr w:rsidR="00B21A9A" w:rsidRPr="004712BF" w:rsidTr="00B21A9A">
        <w:trPr>
          <w:trHeight w:val="288"/>
        </w:trPr>
        <w:tc>
          <w:tcPr>
            <w:tcW w:w="820" w:type="dxa"/>
            <w:vMerge/>
            <w:vAlign w:val="center"/>
            <w:hideMark/>
          </w:tcPr>
          <w:p w:rsidR="00B21A9A" w:rsidRPr="00B9423B" w:rsidRDefault="00B21A9A" w:rsidP="00B21A9A">
            <w:pPr>
              <w:jc w:val="left"/>
              <w:rPr>
                <w:rFonts w:cs="Arial"/>
                <w:color w:val="000000"/>
                <w:sz w:val="18"/>
                <w:szCs w:val="18"/>
                <w:lang w:val="it-CH" w:eastAsia="it-CH"/>
              </w:rPr>
            </w:pPr>
          </w:p>
        </w:tc>
        <w:tc>
          <w:tcPr>
            <w:tcW w:w="4298" w:type="dxa"/>
            <w:shd w:val="clear" w:color="auto" w:fill="auto"/>
            <w:noWrap/>
            <w:vAlign w:val="bottom"/>
            <w:hideMark/>
          </w:tcPr>
          <w:p w:rsidR="00B21A9A" w:rsidRPr="00B9423B" w:rsidRDefault="00B21A9A" w:rsidP="00B21A9A">
            <w:pPr>
              <w:jc w:val="left"/>
              <w:rPr>
                <w:rFonts w:cs="Arial"/>
                <w:sz w:val="22"/>
                <w:szCs w:val="22"/>
                <w:lang w:val="it-CH" w:eastAsia="it-CH"/>
              </w:rPr>
            </w:pPr>
            <w:r w:rsidRPr="00B9423B">
              <w:rPr>
                <w:rFonts w:cs="Arial"/>
                <w:sz w:val="22"/>
                <w:szCs w:val="22"/>
                <w:lang w:val="it-CH" w:eastAsia="it-CH"/>
              </w:rPr>
              <w:t>Pretura penale</w:t>
            </w:r>
          </w:p>
        </w:tc>
        <w:tc>
          <w:tcPr>
            <w:tcW w:w="4536" w:type="dxa"/>
            <w:shd w:val="clear" w:color="auto" w:fill="auto"/>
            <w:noWrap/>
            <w:vAlign w:val="bottom"/>
            <w:hideMark/>
          </w:tcPr>
          <w:p w:rsidR="00B21A9A" w:rsidRPr="00A80EAE" w:rsidRDefault="00B21A9A" w:rsidP="00B21A9A">
            <w:pPr>
              <w:jc w:val="left"/>
              <w:rPr>
                <w:rFonts w:cs="Arial"/>
                <w:color w:val="000000"/>
                <w:sz w:val="22"/>
                <w:szCs w:val="22"/>
                <w:lang w:val="it-CH" w:eastAsia="it-CH"/>
              </w:rPr>
            </w:pPr>
            <w:r w:rsidRPr="00A80EAE">
              <w:rPr>
                <w:rFonts w:cs="Arial"/>
                <w:color w:val="000000"/>
                <w:sz w:val="22"/>
                <w:szCs w:val="22"/>
                <w:lang w:val="it-CH" w:eastAsia="it-CH"/>
              </w:rPr>
              <w:t>Business center - Bellinzona</w:t>
            </w:r>
          </w:p>
        </w:tc>
      </w:tr>
      <w:tr w:rsidR="00B21A9A" w:rsidRPr="004712BF" w:rsidTr="00B21A9A">
        <w:trPr>
          <w:trHeight w:val="288"/>
        </w:trPr>
        <w:tc>
          <w:tcPr>
            <w:tcW w:w="820" w:type="dxa"/>
            <w:vMerge/>
            <w:vAlign w:val="center"/>
          </w:tcPr>
          <w:p w:rsidR="00B21A9A" w:rsidRPr="00B9423B" w:rsidRDefault="00B21A9A" w:rsidP="00B21A9A">
            <w:pPr>
              <w:jc w:val="left"/>
              <w:rPr>
                <w:rFonts w:cs="Arial"/>
                <w:color w:val="000000"/>
                <w:sz w:val="18"/>
                <w:szCs w:val="18"/>
                <w:lang w:val="it-CH" w:eastAsia="it-CH"/>
              </w:rPr>
            </w:pPr>
          </w:p>
        </w:tc>
        <w:tc>
          <w:tcPr>
            <w:tcW w:w="4298" w:type="dxa"/>
            <w:shd w:val="clear" w:color="auto" w:fill="auto"/>
            <w:noWrap/>
            <w:vAlign w:val="bottom"/>
          </w:tcPr>
          <w:p w:rsidR="00B21A9A" w:rsidRPr="00B9423B" w:rsidRDefault="00B21A9A" w:rsidP="00B21A9A">
            <w:pPr>
              <w:jc w:val="left"/>
              <w:rPr>
                <w:rFonts w:cs="Arial"/>
                <w:sz w:val="22"/>
                <w:szCs w:val="22"/>
                <w:lang w:val="it-CH" w:eastAsia="it-CH"/>
              </w:rPr>
            </w:pPr>
            <w:r w:rsidRPr="00B9423B">
              <w:rPr>
                <w:rFonts w:cs="Arial"/>
                <w:sz w:val="22"/>
                <w:szCs w:val="22"/>
                <w:lang w:val="it-CH" w:eastAsia="it-CH"/>
              </w:rPr>
              <w:t>Consiglio della Magistratura</w:t>
            </w:r>
          </w:p>
        </w:tc>
        <w:tc>
          <w:tcPr>
            <w:tcW w:w="4536" w:type="dxa"/>
            <w:shd w:val="clear" w:color="auto" w:fill="auto"/>
            <w:noWrap/>
            <w:vAlign w:val="bottom"/>
          </w:tcPr>
          <w:p w:rsidR="00B21A9A" w:rsidRPr="00A80EAE" w:rsidRDefault="00B21A9A" w:rsidP="00B21A9A">
            <w:pPr>
              <w:jc w:val="left"/>
              <w:rPr>
                <w:rFonts w:cs="Arial"/>
                <w:color w:val="000000"/>
                <w:sz w:val="22"/>
                <w:szCs w:val="22"/>
                <w:lang w:val="it-CH" w:eastAsia="it-CH"/>
              </w:rPr>
            </w:pPr>
            <w:r>
              <w:rPr>
                <w:rFonts w:cs="Arial"/>
                <w:color w:val="000000"/>
                <w:sz w:val="22"/>
                <w:szCs w:val="22"/>
                <w:lang w:val="it-CH" w:eastAsia="it-CH"/>
              </w:rPr>
              <w:t>PGL</w:t>
            </w:r>
          </w:p>
        </w:tc>
      </w:tr>
      <w:tr w:rsidR="00B21A9A" w:rsidRPr="004712BF" w:rsidTr="00B21A9A">
        <w:trPr>
          <w:trHeight w:val="288"/>
        </w:trPr>
        <w:tc>
          <w:tcPr>
            <w:tcW w:w="820" w:type="dxa"/>
            <w:vMerge w:val="restart"/>
            <w:shd w:val="clear" w:color="auto" w:fill="auto"/>
            <w:textDirection w:val="btLr"/>
            <w:vAlign w:val="center"/>
            <w:hideMark/>
          </w:tcPr>
          <w:p w:rsidR="00B21A9A" w:rsidRPr="00A80EAE" w:rsidRDefault="00B21A9A" w:rsidP="00B21A9A">
            <w:pPr>
              <w:jc w:val="center"/>
              <w:rPr>
                <w:rFonts w:cs="Arial"/>
                <w:color w:val="000000"/>
                <w:sz w:val="18"/>
                <w:szCs w:val="18"/>
                <w:lang w:val="it-CH" w:eastAsia="it-CH"/>
              </w:rPr>
            </w:pPr>
            <w:r>
              <w:br w:type="page"/>
            </w:r>
            <w:r w:rsidRPr="00A80EAE">
              <w:rPr>
                <w:rFonts w:cs="Arial"/>
                <w:color w:val="000000"/>
                <w:sz w:val="18"/>
                <w:szCs w:val="18"/>
                <w:lang w:val="it-CH" w:eastAsia="it-CH"/>
              </w:rPr>
              <w:t xml:space="preserve">Servizi amministrativi </w:t>
            </w:r>
            <w:r>
              <w:rPr>
                <w:rFonts w:cs="Arial"/>
                <w:color w:val="000000"/>
                <w:sz w:val="18"/>
                <w:szCs w:val="18"/>
                <w:lang w:val="it-CH" w:eastAsia="it-CH"/>
              </w:rPr>
              <w:t>l</w:t>
            </w:r>
            <w:r w:rsidRPr="00A80EAE">
              <w:rPr>
                <w:rFonts w:cs="Arial"/>
                <w:color w:val="000000"/>
                <w:sz w:val="18"/>
                <w:szCs w:val="18"/>
                <w:lang w:val="it-CH" w:eastAsia="it-CH"/>
              </w:rPr>
              <w:t>uganese</w:t>
            </w:r>
          </w:p>
        </w:tc>
        <w:tc>
          <w:tcPr>
            <w:tcW w:w="4298" w:type="dxa"/>
            <w:shd w:val="clear" w:color="auto" w:fill="auto"/>
            <w:noWrap/>
            <w:vAlign w:val="bottom"/>
            <w:hideMark/>
          </w:tcPr>
          <w:p w:rsidR="00B21A9A" w:rsidRPr="00A80EAE" w:rsidRDefault="00B21A9A" w:rsidP="00B21A9A">
            <w:pPr>
              <w:jc w:val="left"/>
              <w:rPr>
                <w:rFonts w:cs="Arial"/>
                <w:sz w:val="22"/>
                <w:szCs w:val="22"/>
                <w:lang w:val="it-CH" w:eastAsia="it-CH"/>
              </w:rPr>
            </w:pPr>
            <w:r w:rsidRPr="00A80EAE">
              <w:rPr>
                <w:rFonts w:cs="Arial"/>
                <w:sz w:val="22"/>
                <w:szCs w:val="22"/>
                <w:lang w:val="it-CH" w:eastAsia="it-CH"/>
              </w:rPr>
              <w:t xml:space="preserve">Ufficio del registro fondiario </w:t>
            </w:r>
          </w:p>
        </w:tc>
        <w:tc>
          <w:tcPr>
            <w:tcW w:w="4536" w:type="dxa"/>
            <w:shd w:val="clear" w:color="auto" w:fill="auto"/>
            <w:noWrap/>
            <w:vAlign w:val="bottom"/>
            <w:hideMark/>
          </w:tcPr>
          <w:p w:rsidR="00B21A9A" w:rsidRPr="00A80EAE" w:rsidRDefault="00B21A9A" w:rsidP="00B21A9A">
            <w:pPr>
              <w:jc w:val="left"/>
              <w:rPr>
                <w:rFonts w:cs="Arial"/>
                <w:color w:val="000000"/>
                <w:sz w:val="22"/>
                <w:szCs w:val="22"/>
                <w:lang w:val="it-CH" w:eastAsia="it-CH"/>
              </w:rPr>
            </w:pPr>
            <w:r w:rsidRPr="00A80EAE">
              <w:rPr>
                <w:rFonts w:cs="Arial"/>
                <w:color w:val="000000"/>
                <w:sz w:val="22"/>
                <w:szCs w:val="22"/>
                <w:lang w:val="it-CH" w:eastAsia="it-CH"/>
              </w:rPr>
              <w:t>PGL</w:t>
            </w:r>
          </w:p>
        </w:tc>
      </w:tr>
      <w:tr w:rsidR="00B21A9A" w:rsidRPr="004712BF" w:rsidTr="00B21A9A">
        <w:trPr>
          <w:trHeight w:val="288"/>
        </w:trPr>
        <w:tc>
          <w:tcPr>
            <w:tcW w:w="820" w:type="dxa"/>
            <w:vMerge/>
            <w:vAlign w:val="center"/>
            <w:hideMark/>
          </w:tcPr>
          <w:p w:rsidR="00B21A9A" w:rsidRPr="00A80EAE" w:rsidRDefault="00B21A9A" w:rsidP="00B21A9A">
            <w:pPr>
              <w:jc w:val="left"/>
              <w:rPr>
                <w:rFonts w:cs="Arial"/>
                <w:color w:val="000000"/>
                <w:sz w:val="18"/>
                <w:szCs w:val="18"/>
                <w:lang w:val="it-CH" w:eastAsia="it-CH"/>
              </w:rPr>
            </w:pPr>
          </w:p>
        </w:tc>
        <w:tc>
          <w:tcPr>
            <w:tcW w:w="4298" w:type="dxa"/>
            <w:shd w:val="clear" w:color="auto" w:fill="auto"/>
            <w:noWrap/>
            <w:vAlign w:val="bottom"/>
            <w:hideMark/>
          </w:tcPr>
          <w:p w:rsidR="00B21A9A" w:rsidRPr="00A80EAE" w:rsidRDefault="00B21A9A" w:rsidP="00B21A9A">
            <w:pPr>
              <w:jc w:val="left"/>
              <w:rPr>
                <w:rFonts w:cs="Arial"/>
                <w:sz w:val="22"/>
                <w:szCs w:val="22"/>
                <w:lang w:val="it-CH" w:eastAsia="it-CH"/>
              </w:rPr>
            </w:pPr>
            <w:r w:rsidRPr="00A80EAE">
              <w:rPr>
                <w:rFonts w:cs="Arial"/>
                <w:sz w:val="22"/>
                <w:szCs w:val="22"/>
                <w:lang w:val="it-CH" w:eastAsia="it-CH"/>
              </w:rPr>
              <w:t>Ufficio di esecuzione</w:t>
            </w:r>
          </w:p>
        </w:tc>
        <w:tc>
          <w:tcPr>
            <w:tcW w:w="4536" w:type="dxa"/>
            <w:shd w:val="clear" w:color="auto" w:fill="auto"/>
            <w:noWrap/>
            <w:vAlign w:val="bottom"/>
            <w:hideMark/>
          </w:tcPr>
          <w:p w:rsidR="00B21A9A" w:rsidRPr="00A80EAE" w:rsidRDefault="00B21A9A" w:rsidP="00B21A9A">
            <w:pPr>
              <w:jc w:val="left"/>
              <w:rPr>
                <w:rFonts w:cs="Arial"/>
                <w:color w:val="000000"/>
                <w:sz w:val="22"/>
                <w:szCs w:val="22"/>
                <w:lang w:val="it-CH" w:eastAsia="it-CH"/>
              </w:rPr>
            </w:pPr>
            <w:r w:rsidRPr="00A80EAE">
              <w:rPr>
                <w:rFonts w:cs="Arial"/>
                <w:color w:val="000000"/>
                <w:sz w:val="22"/>
                <w:szCs w:val="22"/>
                <w:lang w:val="it-CH" w:eastAsia="it-CH"/>
              </w:rPr>
              <w:t>PGL</w:t>
            </w:r>
          </w:p>
        </w:tc>
      </w:tr>
      <w:tr w:rsidR="00B21A9A" w:rsidRPr="004712BF" w:rsidTr="00B21A9A">
        <w:trPr>
          <w:trHeight w:val="288"/>
        </w:trPr>
        <w:tc>
          <w:tcPr>
            <w:tcW w:w="820" w:type="dxa"/>
            <w:vMerge/>
            <w:vAlign w:val="center"/>
            <w:hideMark/>
          </w:tcPr>
          <w:p w:rsidR="00B21A9A" w:rsidRPr="00A80EAE" w:rsidRDefault="00B21A9A" w:rsidP="00B21A9A">
            <w:pPr>
              <w:jc w:val="left"/>
              <w:rPr>
                <w:rFonts w:cs="Arial"/>
                <w:color w:val="000000"/>
                <w:sz w:val="18"/>
                <w:szCs w:val="18"/>
                <w:lang w:val="it-CH" w:eastAsia="it-CH"/>
              </w:rPr>
            </w:pPr>
          </w:p>
        </w:tc>
        <w:tc>
          <w:tcPr>
            <w:tcW w:w="4298" w:type="dxa"/>
            <w:shd w:val="clear" w:color="auto" w:fill="auto"/>
            <w:noWrap/>
            <w:vAlign w:val="bottom"/>
            <w:hideMark/>
          </w:tcPr>
          <w:p w:rsidR="00B21A9A" w:rsidRPr="00A80EAE" w:rsidRDefault="00B21A9A" w:rsidP="00B21A9A">
            <w:pPr>
              <w:jc w:val="left"/>
              <w:rPr>
                <w:rFonts w:cs="Arial"/>
                <w:sz w:val="22"/>
                <w:szCs w:val="22"/>
                <w:lang w:val="it-CH" w:eastAsia="it-CH"/>
              </w:rPr>
            </w:pPr>
            <w:r>
              <w:rPr>
                <w:rFonts w:cs="Arial"/>
                <w:sz w:val="22"/>
                <w:szCs w:val="22"/>
                <w:lang w:val="it-CH" w:eastAsia="it-CH"/>
              </w:rPr>
              <w:t xml:space="preserve">Autorità di prima istanza </w:t>
            </w:r>
            <w:r w:rsidRPr="00A80EAE">
              <w:rPr>
                <w:rFonts w:cs="Arial"/>
                <w:sz w:val="22"/>
                <w:szCs w:val="22"/>
                <w:lang w:val="it-CH" w:eastAsia="it-CH"/>
              </w:rPr>
              <w:t>LAFE</w:t>
            </w:r>
          </w:p>
        </w:tc>
        <w:tc>
          <w:tcPr>
            <w:tcW w:w="4536" w:type="dxa"/>
            <w:shd w:val="clear" w:color="auto" w:fill="auto"/>
            <w:noWrap/>
            <w:vAlign w:val="bottom"/>
            <w:hideMark/>
          </w:tcPr>
          <w:p w:rsidR="00B21A9A" w:rsidRPr="00A80EAE" w:rsidRDefault="00B21A9A" w:rsidP="00B21A9A">
            <w:pPr>
              <w:jc w:val="left"/>
              <w:rPr>
                <w:rFonts w:cs="Arial"/>
                <w:color w:val="000000"/>
                <w:sz w:val="22"/>
                <w:szCs w:val="22"/>
                <w:lang w:val="it-CH" w:eastAsia="it-CH"/>
              </w:rPr>
            </w:pPr>
            <w:r w:rsidRPr="00A80EAE">
              <w:rPr>
                <w:rFonts w:cs="Arial"/>
                <w:color w:val="000000"/>
                <w:sz w:val="22"/>
                <w:szCs w:val="22"/>
                <w:lang w:val="it-CH" w:eastAsia="it-CH"/>
              </w:rPr>
              <w:t>PGL</w:t>
            </w:r>
          </w:p>
        </w:tc>
      </w:tr>
      <w:tr w:rsidR="00B21A9A" w:rsidRPr="004712BF" w:rsidTr="00B21A9A">
        <w:trPr>
          <w:trHeight w:val="288"/>
        </w:trPr>
        <w:tc>
          <w:tcPr>
            <w:tcW w:w="820" w:type="dxa"/>
            <w:vMerge/>
            <w:vAlign w:val="center"/>
            <w:hideMark/>
          </w:tcPr>
          <w:p w:rsidR="00B21A9A" w:rsidRPr="00A80EAE" w:rsidRDefault="00B21A9A" w:rsidP="00B21A9A">
            <w:pPr>
              <w:jc w:val="left"/>
              <w:rPr>
                <w:rFonts w:cs="Arial"/>
                <w:color w:val="000000"/>
                <w:sz w:val="18"/>
                <w:szCs w:val="18"/>
                <w:lang w:val="it-CH" w:eastAsia="it-CH"/>
              </w:rPr>
            </w:pPr>
          </w:p>
        </w:tc>
        <w:tc>
          <w:tcPr>
            <w:tcW w:w="4298" w:type="dxa"/>
            <w:shd w:val="clear" w:color="auto" w:fill="auto"/>
            <w:noWrap/>
            <w:vAlign w:val="bottom"/>
            <w:hideMark/>
          </w:tcPr>
          <w:p w:rsidR="00B21A9A" w:rsidRPr="00A80EAE" w:rsidRDefault="00B21A9A" w:rsidP="00B21A9A">
            <w:pPr>
              <w:jc w:val="left"/>
              <w:rPr>
                <w:rFonts w:cs="Arial"/>
                <w:sz w:val="22"/>
                <w:szCs w:val="22"/>
                <w:lang w:val="it-CH" w:eastAsia="it-CH"/>
              </w:rPr>
            </w:pPr>
            <w:r w:rsidRPr="00A80EAE">
              <w:rPr>
                <w:rFonts w:cs="Arial"/>
                <w:sz w:val="22"/>
                <w:szCs w:val="22"/>
                <w:lang w:val="it-CH" w:eastAsia="it-CH"/>
              </w:rPr>
              <w:t>Messaggeria</w:t>
            </w:r>
          </w:p>
        </w:tc>
        <w:tc>
          <w:tcPr>
            <w:tcW w:w="4536" w:type="dxa"/>
            <w:shd w:val="clear" w:color="auto" w:fill="auto"/>
            <w:noWrap/>
            <w:vAlign w:val="bottom"/>
            <w:hideMark/>
          </w:tcPr>
          <w:p w:rsidR="00B21A9A" w:rsidRPr="00A80EAE" w:rsidRDefault="00B21A9A" w:rsidP="00B21A9A">
            <w:pPr>
              <w:jc w:val="left"/>
              <w:rPr>
                <w:rFonts w:cs="Arial"/>
                <w:color w:val="000000"/>
                <w:sz w:val="22"/>
                <w:szCs w:val="22"/>
                <w:lang w:val="it-CH" w:eastAsia="it-CH"/>
              </w:rPr>
            </w:pPr>
            <w:r w:rsidRPr="00A80EAE">
              <w:rPr>
                <w:rFonts w:cs="Arial"/>
                <w:color w:val="000000"/>
                <w:sz w:val="22"/>
                <w:szCs w:val="22"/>
                <w:lang w:val="it-CH" w:eastAsia="it-CH"/>
              </w:rPr>
              <w:t>PGL</w:t>
            </w:r>
          </w:p>
        </w:tc>
      </w:tr>
      <w:tr w:rsidR="00B21A9A" w:rsidRPr="004712BF" w:rsidTr="00B21A9A">
        <w:trPr>
          <w:trHeight w:val="288"/>
        </w:trPr>
        <w:tc>
          <w:tcPr>
            <w:tcW w:w="820" w:type="dxa"/>
            <w:vMerge/>
            <w:vAlign w:val="center"/>
            <w:hideMark/>
          </w:tcPr>
          <w:p w:rsidR="00B21A9A" w:rsidRPr="00A80EAE" w:rsidRDefault="00B21A9A" w:rsidP="00B21A9A">
            <w:pPr>
              <w:jc w:val="left"/>
              <w:rPr>
                <w:rFonts w:cs="Arial"/>
                <w:color w:val="000000"/>
                <w:sz w:val="18"/>
                <w:szCs w:val="18"/>
                <w:lang w:val="it-CH" w:eastAsia="it-CH"/>
              </w:rPr>
            </w:pPr>
          </w:p>
        </w:tc>
        <w:tc>
          <w:tcPr>
            <w:tcW w:w="4298" w:type="dxa"/>
            <w:shd w:val="clear" w:color="auto" w:fill="auto"/>
            <w:noWrap/>
            <w:vAlign w:val="bottom"/>
            <w:hideMark/>
          </w:tcPr>
          <w:p w:rsidR="00B21A9A" w:rsidRPr="00A80EAE" w:rsidRDefault="00B21A9A" w:rsidP="00B21A9A">
            <w:pPr>
              <w:jc w:val="left"/>
              <w:rPr>
                <w:rFonts w:cs="Arial"/>
                <w:sz w:val="22"/>
                <w:szCs w:val="22"/>
                <w:lang w:val="it-CH" w:eastAsia="it-CH"/>
              </w:rPr>
            </w:pPr>
            <w:r w:rsidRPr="00A80EAE">
              <w:rPr>
                <w:rFonts w:cs="Arial"/>
                <w:sz w:val="22"/>
                <w:szCs w:val="22"/>
                <w:lang w:val="it-CH" w:eastAsia="it-CH"/>
              </w:rPr>
              <w:t xml:space="preserve">Ufficio dei fallimenti </w:t>
            </w:r>
          </w:p>
        </w:tc>
        <w:tc>
          <w:tcPr>
            <w:tcW w:w="4536" w:type="dxa"/>
            <w:shd w:val="clear" w:color="auto" w:fill="auto"/>
            <w:noWrap/>
            <w:vAlign w:val="bottom"/>
            <w:hideMark/>
          </w:tcPr>
          <w:p w:rsidR="00B21A9A" w:rsidRPr="00A80EAE" w:rsidRDefault="00B21A9A" w:rsidP="00B21A9A">
            <w:pPr>
              <w:jc w:val="left"/>
              <w:rPr>
                <w:rFonts w:cs="Arial"/>
                <w:color w:val="000000"/>
                <w:sz w:val="22"/>
                <w:szCs w:val="22"/>
                <w:lang w:val="it-CH" w:eastAsia="it-CH"/>
              </w:rPr>
            </w:pPr>
            <w:r w:rsidRPr="00A80EAE">
              <w:rPr>
                <w:rFonts w:cs="Arial"/>
                <w:color w:val="000000"/>
                <w:sz w:val="22"/>
                <w:szCs w:val="22"/>
                <w:lang w:val="it-CH" w:eastAsia="it-CH"/>
              </w:rPr>
              <w:t>locazione terzi - Lugano</w:t>
            </w:r>
          </w:p>
        </w:tc>
      </w:tr>
      <w:tr w:rsidR="00B21A9A" w:rsidRPr="004712BF" w:rsidTr="00B21A9A">
        <w:trPr>
          <w:trHeight w:val="300"/>
        </w:trPr>
        <w:tc>
          <w:tcPr>
            <w:tcW w:w="820" w:type="dxa"/>
            <w:vMerge/>
            <w:vAlign w:val="center"/>
            <w:hideMark/>
          </w:tcPr>
          <w:p w:rsidR="00B21A9A" w:rsidRPr="00A80EAE" w:rsidRDefault="00B21A9A" w:rsidP="00B21A9A">
            <w:pPr>
              <w:jc w:val="left"/>
              <w:rPr>
                <w:rFonts w:cs="Arial"/>
                <w:color w:val="000000"/>
                <w:sz w:val="18"/>
                <w:szCs w:val="18"/>
                <w:lang w:val="it-CH" w:eastAsia="it-CH"/>
              </w:rPr>
            </w:pPr>
          </w:p>
        </w:tc>
        <w:tc>
          <w:tcPr>
            <w:tcW w:w="4298" w:type="dxa"/>
            <w:shd w:val="clear" w:color="auto" w:fill="auto"/>
            <w:noWrap/>
            <w:vAlign w:val="bottom"/>
            <w:hideMark/>
          </w:tcPr>
          <w:p w:rsidR="00B21A9A" w:rsidRPr="00A80EAE" w:rsidRDefault="00B21A9A" w:rsidP="00B21A9A">
            <w:pPr>
              <w:jc w:val="left"/>
              <w:rPr>
                <w:rFonts w:cs="Arial"/>
                <w:sz w:val="22"/>
                <w:szCs w:val="22"/>
                <w:lang w:val="it-CH" w:eastAsia="it-CH"/>
              </w:rPr>
            </w:pPr>
            <w:r w:rsidRPr="00A80EAE">
              <w:rPr>
                <w:rFonts w:cs="Arial"/>
                <w:sz w:val="22"/>
                <w:szCs w:val="22"/>
                <w:lang w:val="it-CH" w:eastAsia="it-CH"/>
              </w:rPr>
              <w:t xml:space="preserve">Ufficio dello Stato civile </w:t>
            </w:r>
          </w:p>
        </w:tc>
        <w:tc>
          <w:tcPr>
            <w:tcW w:w="4536" w:type="dxa"/>
            <w:shd w:val="clear" w:color="auto" w:fill="auto"/>
            <w:noWrap/>
            <w:vAlign w:val="bottom"/>
            <w:hideMark/>
          </w:tcPr>
          <w:p w:rsidR="00B21A9A" w:rsidRPr="00A80EAE" w:rsidRDefault="00B21A9A" w:rsidP="00B21A9A">
            <w:pPr>
              <w:jc w:val="left"/>
              <w:rPr>
                <w:rFonts w:cs="Arial"/>
                <w:color w:val="000000"/>
                <w:sz w:val="22"/>
                <w:szCs w:val="22"/>
                <w:lang w:val="it-CH" w:eastAsia="it-CH"/>
              </w:rPr>
            </w:pPr>
            <w:r w:rsidRPr="00A80EAE">
              <w:rPr>
                <w:rFonts w:cs="Arial"/>
                <w:color w:val="000000"/>
                <w:sz w:val="22"/>
                <w:szCs w:val="22"/>
                <w:lang w:val="it-CH" w:eastAsia="it-CH"/>
              </w:rPr>
              <w:t>locazione terzi - Lugano</w:t>
            </w:r>
          </w:p>
        </w:tc>
      </w:tr>
      <w:tr w:rsidR="00B21A9A" w:rsidRPr="004712BF" w:rsidTr="00B21A9A">
        <w:trPr>
          <w:trHeight w:val="288"/>
        </w:trPr>
        <w:tc>
          <w:tcPr>
            <w:tcW w:w="820" w:type="dxa"/>
            <w:vMerge w:val="restart"/>
            <w:shd w:val="clear" w:color="auto" w:fill="auto"/>
            <w:textDirection w:val="btLr"/>
            <w:vAlign w:val="center"/>
            <w:hideMark/>
          </w:tcPr>
          <w:p w:rsidR="00B21A9A" w:rsidRPr="00A80EAE" w:rsidRDefault="00B21A9A" w:rsidP="00B21A9A">
            <w:pPr>
              <w:jc w:val="center"/>
              <w:rPr>
                <w:rFonts w:cs="Arial"/>
                <w:color w:val="000000"/>
                <w:sz w:val="18"/>
                <w:szCs w:val="18"/>
                <w:lang w:val="it-CH" w:eastAsia="it-CH"/>
              </w:rPr>
            </w:pPr>
            <w:r w:rsidRPr="00A80EAE">
              <w:rPr>
                <w:rFonts w:cs="Arial"/>
                <w:color w:val="000000"/>
                <w:sz w:val="18"/>
                <w:szCs w:val="18"/>
                <w:lang w:val="it-CH" w:eastAsia="it-CH"/>
              </w:rPr>
              <w:t>Autorità inquirenti</w:t>
            </w:r>
          </w:p>
        </w:tc>
        <w:tc>
          <w:tcPr>
            <w:tcW w:w="4298" w:type="dxa"/>
            <w:shd w:val="clear" w:color="auto" w:fill="auto"/>
            <w:noWrap/>
            <w:vAlign w:val="bottom"/>
            <w:hideMark/>
          </w:tcPr>
          <w:p w:rsidR="00B21A9A" w:rsidRPr="00A80EAE" w:rsidRDefault="00B21A9A" w:rsidP="00B21A9A">
            <w:pPr>
              <w:jc w:val="left"/>
              <w:rPr>
                <w:rFonts w:cs="Arial"/>
                <w:sz w:val="22"/>
                <w:szCs w:val="22"/>
                <w:lang w:val="it-CH" w:eastAsia="it-CH"/>
              </w:rPr>
            </w:pPr>
            <w:r w:rsidRPr="00A80EAE">
              <w:rPr>
                <w:rFonts w:cs="Arial"/>
                <w:sz w:val="22"/>
                <w:szCs w:val="22"/>
                <w:lang w:val="it-CH" w:eastAsia="it-CH"/>
              </w:rPr>
              <w:t>Ministero pubblico Lugano</w:t>
            </w:r>
          </w:p>
        </w:tc>
        <w:tc>
          <w:tcPr>
            <w:tcW w:w="4536" w:type="dxa"/>
            <w:shd w:val="clear" w:color="auto" w:fill="auto"/>
            <w:noWrap/>
            <w:vAlign w:val="bottom"/>
            <w:hideMark/>
          </w:tcPr>
          <w:p w:rsidR="00B21A9A" w:rsidRPr="00A80EAE" w:rsidRDefault="00B21A9A" w:rsidP="00B21A9A">
            <w:pPr>
              <w:jc w:val="left"/>
              <w:rPr>
                <w:rFonts w:cs="Arial"/>
                <w:color w:val="000000"/>
                <w:sz w:val="22"/>
                <w:szCs w:val="22"/>
                <w:lang w:val="it-CH" w:eastAsia="it-CH"/>
              </w:rPr>
            </w:pPr>
            <w:r w:rsidRPr="00A80EAE">
              <w:rPr>
                <w:rFonts w:cs="Arial"/>
                <w:color w:val="000000"/>
                <w:sz w:val="22"/>
                <w:szCs w:val="22"/>
                <w:lang w:val="it-CH" w:eastAsia="it-CH"/>
              </w:rPr>
              <w:t>PGL</w:t>
            </w:r>
          </w:p>
        </w:tc>
      </w:tr>
      <w:tr w:rsidR="00B21A9A" w:rsidRPr="004712BF" w:rsidTr="00B21A9A">
        <w:trPr>
          <w:trHeight w:val="288"/>
        </w:trPr>
        <w:tc>
          <w:tcPr>
            <w:tcW w:w="820" w:type="dxa"/>
            <w:vMerge/>
            <w:vAlign w:val="center"/>
            <w:hideMark/>
          </w:tcPr>
          <w:p w:rsidR="00B21A9A" w:rsidRPr="00A80EAE" w:rsidRDefault="00B21A9A" w:rsidP="00B21A9A">
            <w:pPr>
              <w:jc w:val="left"/>
              <w:rPr>
                <w:rFonts w:cs="Arial"/>
                <w:color w:val="000000"/>
                <w:sz w:val="18"/>
                <w:szCs w:val="18"/>
                <w:lang w:val="it-CH" w:eastAsia="it-CH"/>
              </w:rPr>
            </w:pPr>
          </w:p>
        </w:tc>
        <w:tc>
          <w:tcPr>
            <w:tcW w:w="4298" w:type="dxa"/>
            <w:shd w:val="clear" w:color="auto" w:fill="auto"/>
            <w:noWrap/>
            <w:vAlign w:val="bottom"/>
            <w:hideMark/>
          </w:tcPr>
          <w:p w:rsidR="00B21A9A" w:rsidRPr="00A80EAE" w:rsidRDefault="00B21A9A" w:rsidP="00B21A9A">
            <w:pPr>
              <w:jc w:val="left"/>
              <w:rPr>
                <w:rFonts w:cs="Arial"/>
                <w:sz w:val="22"/>
                <w:szCs w:val="22"/>
                <w:lang w:val="it-CH" w:eastAsia="it-CH"/>
              </w:rPr>
            </w:pPr>
            <w:r w:rsidRPr="00A80EAE">
              <w:rPr>
                <w:rFonts w:cs="Arial"/>
                <w:sz w:val="22"/>
                <w:szCs w:val="22"/>
                <w:lang w:val="it-CH" w:eastAsia="it-CH"/>
              </w:rPr>
              <w:t>Ministero pubblico Bellinzona</w:t>
            </w:r>
          </w:p>
        </w:tc>
        <w:tc>
          <w:tcPr>
            <w:tcW w:w="4536" w:type="dxa"/>
            <w:shd w:val="clear" w:color="auto" w:fill="auto"/>
            <w:noWrap/>
            <w:vAlign w:val="bottom"/>
            <w:hideMark/>
          </w:tcPr>
          <w:p w:rsidR="00B21A9A" w:rsidRPr="00A80EAE" w:rsidRDefault="00B21A9A" w:rsidP="00B21A9A">
            <w:pPr>
              <w:jc w:val="left"/>
              <w:rPr>
                <w:rFonts w:cs="Arial"/>
                <w:color w:val="000000"/>
                <w:sz w:val="22"/>
                <w:szCs w:val="22"/>
                <w:lang w:val="it-CH" w:eastAsia="it-CH"/>
              </w:rPr>
            </w:pPr>
            <w:r w:rsidRPr="00A80EAE">
              <w:rPr>
                <w:rFonts w:cs="Arial"/>
                <w:color w:val="000000"/>
                <w:sz w:val="22"/>
                <w:szCs w:val="22"/>
                <w:lang w:val="it-CH" w:eastAsia="it-CH"/>
              </w:rPr>
              <w:t>SA2 - Bellinzona</w:t>
            </w:r>
          </w:p>
        </w:tc>
      </w:tr>
      <w:tr w:rsidR="00B21A9A" w:rsidRPr="004712BF" w:rsidTr="00B21A9A">
        <w:trPr>
          <w:trHeight w:val="288"/>
        </w:trPr>
        <w:tc>
          <w:tcPr>
            <w:tcW w:w="820" w:type="dxa"/>
            <w:vMerge/>
            <w:vAlign w:val="center"/>
            <w:hideMark/>
          </w:tcPr>
          <w:p w:rsidR="00B21A9A" w:rsidRPr="00A80EAE" w:rsidRDefault="00B21A9A" w:rsidP="00B21A9A">
            <w:pPr>
              <w:jc w:val="left"/>
              <w:rPr>
                <w:rFonts w:cs="Arial"/>
                <w:color w:val="000000"/>
                <w:sz w:val="18"/>
                <w:szCs w:val="18"/>
                <w:lang w:val="it-CH" w:eastAsia="it-CH"/>
              </w:rPr>
            </w:pPr>
          </w:p>
        </w:tc>
        <w:tc>
          <w:tcPr>
            <w:tcW w:w="4298" w:type="dxa"/>
            <w:shd w:val="clear" w:color="auto" w:fill="auto"/>
            <w:noWrap/>
            <w:vAlign w:val="bottom"/>
            <w:hideMark/>
          </w:tcPr>
          <w:p w:rsidR="00B21A9A" w:rsidRPr="00A80EAE" w:rsidRDefault="00B21A9A" w:rsidP="00B21A9A">
            <w:pPr>
              <w:jc w:val="left"/>
              <w:rPr>
                <w:rFonts w:cs="Arial"/>
                <w:sz w:val="22"/>
                <w:szCs w:val="22"/>
                <w:lang w:val="it-CH" w:eastAsia="it-CH"/>
              </w:rPr>
            </w:pPr>
            <w:r w:rsidRPr="00A80EAE">
              <w:rPr>
                <w:rFonts w:cs="Arial"/>
                <w:sz w:val="22"/>
                <w:szCs w:val="22"/>
                <w:lang w:val="it-CH" w:eastAsia="it-CH"/>
              </w:rPr>
              <w:t>Magistratura dei minorenni (e SEM)</w:t>
            </w:r>
          </w:p>
        </w:tc>
        <w:tc>
          <w:tcPr>
            <w:tcW w:w="4536" w:type="dxa"/>
            <w:shd w:val="clear" w:color="auto" w:fill="auto"/>
            <w:noWrap/>
            <w:vAlign w:val="bottom"/>
            <w:hideMark/>
          </w:tcPr>
          <w:p w:rsidR="00B21A9A" w:rsidRPr="00A80EAE" w:rsidRDefault="00B21A9A" w:rsidP="00B21A9A">
            <w:pPr>
              <w:jc w:val="left"/>
              <w:rPr>
                <w:rFonts w:cs="Arial"/>
                <w:color w:val="000000"/>
                <w:sz w:val="22"/>
                <w:szCs w:val="22"/>
                <w:lang w:val="it-CH" w:eastAsia="it-CH"/>
              </w:rPr>
            </w:pPr>
            <w:r w:rsidRPr="00A80EAE">
              <w:rPr>
                <w:rFonts w:cs="Arial"/>
                <w:color w:val="000000"/>
                <w:sz w:val="22"/>
                <w:szCs w:val="22"/>
                <w:lang w:val="it-CH" w:eastAsia="it-CH"/>
              </w:rPr>
              <w:t>PGL</w:t>
            </w:r>
          </w:p>
        </w:tc>
      </w:tr>
      <w:tr w:rsidR="00B21A9A" w:rsidRPr="004712BF" w:rsidTr="00B21A9A">
        <w:trPr>
          <w:trHeight w:val="288"/>
        </w:trPr>
        <w:tc>
          <w:tcPr>
            <w:tcW w:w="820" w:type="dxa"/>
            <w:vMerge/>
            <w:vAlign w:val="center"/>
            <w:hideMark/>
          </w:tcPr>
          <w:p w:rsidR="00B21A9A" w:rsidRPr="00A80EAE" w:rsidRDefault="00B21A9A" w:rsidP="00B21A9A">
            <w:pPr>
              <w:jc w:val="left"/>
              <w:rPr>
                <w:rFonts w:cs="Arial"/>
                <w:color w:val="000000"/>
                <w:sz w:val="18"/>
                <w:szCs w:val="18"/>
                <w:lang w:val="it-CH" w:eastAsia="it-CH"/>
              </w:rPr>
            </w:pPr>
          </w:p>
        </w:tc>
        <w:tc>
          <w:tcPr>
            <w:tcW w:w="4298" w:type="dxa"/>
            <w:shd w:val="clear" w:color="auto" w:fill="auto"/>
            <w:noWrap/>
            <w:vAlign w:val="bottom"/>
            <w:hideMark/>
          </w:tcPr>
          <w:p w:rsidR="00B21A9A" w:rsidRPr="00A80EAE" w:rsidRDefault="00B21A9A" w:rsidP="00B21A9A">
            <w:pPr>
              <w:jc w:val="left"/>
              <w:rPr>
                <w:rFonts w:cs="Arial"/>
                <w:sz w:val="22"/>
                <w:szCs w:val="22"/>
                <w:lang w:val="it-CH" w:eastAsia="it-CH"/>
              </w:rPr>
            </w:pPr>
            <w:r w:rsidRPr="00A80EAE">
              <w:rPr>
                <w:rFonts w:cs="Arial"/>
                <w:sz w:val="22"/>
                <w:szCs w:val="22"/>
                <w:lang w:val="it-CH" w:eastAsia="it-CH"/>
              </w:rPr>
              <w:t>Polizia cantonale (Gend. e PG) Lugano</w:t>
            </w:r>
          </w:p>
        </w:tc>
        <w:tc>
          <w:tcPr>
            <w:tcW w:w="4536" w:type="dxa"/>
            <w:shd w:val="clear" w:color="auto" w:fill="auto"/>
            <w:noWrap/>
            <w:vAlign w:val="bottom"/>
            <w:hideMark/>
          </w:tcPr>
          <w:p w:rsidR="00B21A9A" w:rsidRPr="00A80EAE" w:rsidRDefault="00B21A9A" w:rsidP="00B21A9A">
            <w:pPr>
              <w:jc w:val="left"/>
              <w:rPr>
                <w:rFonts w:cs="Arial"/>
                <w:color w:val="000000"/>
                <w:sz w:val="22"/>
                <w:szCs w:val="22"/>
                <w:lang w:val="it-CH" w:eastAsia="it-CH"/>
              </w:rPr>
            </w:pPr>
            <w:r w:rsidRPr="00A80EAE">
              <w:rPr>
                <w:rFonts w:cs="Arial"/>
                <w:color w:val="000000"/>
                <w:sz w:val="22"/>
                <w:szCs w:val="22"/>
                <w:lang w:val="it-CH" w:eastAsia="it-CH"/>
              </w:rPr>
              <w:t>PGL</w:t>
            </w:r>
          </w:p>
        </w:tc>
      </w:tr>
      <w:tr w:rsidR="00B21A9A" w:rsidRPr="004712BF" w:rsidTr="00B21A9A">
        <w:trPr>
          <w:trHeight w:val="288"/>
        </w:trPr>
        <w:tc>
          <w:tcPr>
            <w:tcW w:w="820" w:type="dxa"/>
            <w:vMerge w:val="restart"/>
            <w:shd w:val="clear" w:color="auto" w:fill="auto"/>
            <w:textDirection w:val="btLr"/>
            <w:vAlign w:val="center"/>
            <w:hideMark/>
          </w:tcPr>
          <w:p w:rsidR="00B21A9A" w:rsidRPr="00A80EAE" w:rsidRDefault="00B21A9A" w:rsidP="00B21A9A">
            <w:pPr>
              <w:jc w:val="center"/>
              <w:rPr>
                <w:rFonts w:cs="Arial"/>
                <w:color w:val="000000"/>
                <w:sz w:val="18"/>
                <w:szCs w:val="18"/>
                <w:lang w:val="it-CH" w:eastAsia="it-CH"/>
              </w:rPr>
            </w:pPr>
            <w:r w:rsidRPr="00A80EAE">
              <w:rPr>
                <w:rFonts w:cs="Arial"/>
                <w:color w:val="000000"/>
                <w:sz w:val="18"/>
                <w:szCs w:val="18"/>
                <w:lang w:val="it-CH" w:eastAsia="it-CH"/>
              </w:rPr>
              <w:t xml:space="preserve">Servizi </w:t>
            </w:r>
          </w:p>
          <w:p w:rsidR="00B21A9A" w:rsidRPr="00A80EAE" w:rsidRDefault="00B21A9A" w:rsidP="00B21A9A">
            <w:pPr>
              <w:jc w:val="center"/>
              <w:rPr>
                <w:rFonts w:cs="Arial"/>
                <w:color w:val="000000"/>
                <w:sz w:val="18"/>
                <w:szCs w:val="18"/>
                <w:lang w:val="it-CH" w:eastAsia="it-CH"/>
              </w:rPr>
            </w:pPr>
            <w:r w:rsidRPr="00A80EAE">
              <w:rPr>
                <w:rFonts w:cs="Arial"/>
                <w:color w:val="000000"/>
                <w:sz w:val="18"/>
                <w:szCs w:val="18"/>
                <w:lang w:val="it-CH" w:eastAsia="it-CH"/>
              </w:rPr>
              <w:t>Amministr.</w:t>
            </w:r>
          </w:p>
        </w:tc>
        <w:tc>
          <w:tcPr>
            <w:tcW w:w="4298" w:type="dxa"/>
            <w:shd w:val="clear" w:color="auto" w:fill="auto"/>
            <w:noWrap/>
            <w:vAlign w:val="bottom"/>
            <w:hideMark/>
          </w:tcPr>
          <w:p w:rsidR="00B21A9A" w:rsidRPr="00A80EAE" w:rsidRDefault="00B21A9A" w:rsidP="00B21A9A">
            <w:pPr>
              <w:jc w:val="left"/>
              <w:rPr>
                <w:rFonts w:cs="Arial"/>
                <w:sz w:val="22"/>
                <w:szCs w:val="22"/>
                <w:lang w:val="it-CH" w:eastAsia="it-CH"/>
              </w:rPr>
            </w:pPr>
            <w:r w:rsidRPr="00A80EAE">
              <w:rPr>
                <w:rFonts w:cs="Arial"/>
                <w:sz w:val="22"/>
                <w:szCs w:val="22"/>
                <w:lang w:val="it-CH" w:eastAsia="it-CH"/>
              </w:rPr>
              <w:t>Servizio nuove entrate UM</w:t>
            </w:r>
          </w:p>
        </w:tc>
        <w:tc>
          <w:tcPr>
            <w:tcW w:w="4536" w:type="dxa"/>
            <w:shd w:val="clear" w:color="auto" w:fill="auto"/>
            <w:noWrap/>
            <w:vAlign w:val="bottom"/>
            <w:hideMark/>
          </w:tcPr>
          <w:p w:rsidR="00B21A9A" w:rsidRPr="00A80EAE" w:rsidRDefault="00B21A9A" w:rsidP="00B21A9A">
            <w:pPr>
              <w:jc w:val="left"/>
              <w:rPr>
                <w:rFonts w:cs="Arial"/>
                <w:color w:val="000000"/>
                <w:sz w:val="22"/>
                <w:szCs w:val="22"/>
                <w:lang w:val="it-CH" w:eastAsia="it-CH"/>
              </w:rPr>
            </w:pPr>
            <w:r w:rsidRPr="00A80EAE">
              <w:rPr>
                <w:rFonts w:cs="Arial"/>
                <w:color w:val="000000"/>
                <w:sz w:val="22"/>
                <w:szCs w:val="22"/>
                <w:lang w:val="it-CH" w:eastAsia="it-CH"/>
              </w:rPr>
              <w:t>locazione a terzi - Lugano</w:t>
            </w:r>
          </w:p>
        </w:tc>
      </w:tr>
      <w:tr w:rsidR="00B21A9A" w:rsidRPr="004712BF" w:rsidTr="00B21A9A">
        <w:trPr>
          <w:trHeight w:val="288"/>
        </w:trPr>
        <w:tc>
          <w:tcPr>
            <w:tcW w:w="820" w:type="dxa"/>
            <w:vMerge/>
            <w:vAlign w:val="center"/>
            <w:hideMark/>
          </w:tcPr>
          <w:p w:rsidR="00B21A9A" w:rsidRPr="00A80EAE" w:rsidRDefault="00B21A9A" w:rsidP="00B21A9A">
            <w:pPr>
              <w:jc w:val="left"/>
              <w:rPr>
                <w:rFonts w:cs="Arial"/>
                <w:color w:val="000000"/>
                <w:sz w:val="18"/>
                <w:szCs w:val="18"/>
                <w:lang w:val="it-CH" w:eastAsia="it-CH"/>
              </w:rPr>
            </w:pPr>
          </w:p>
        </w:tc>
        <w:tc>
          <w:tcPr>
            <w:tcW w:w="4298" w:type="dxa"/>
            <w:shd w:val="clear" w:color="auto" w:fill="auto"/>
            <w:noWrap/>
            <w:vAlign w:val="bottom"/>
            <w:hideMark/>
          </w:tcPr>
          <w:p w:rsidR="00B21A9A" w:rsidRPr="00A80EAE" w:rsidRDefault="00B21A9A" w:rsidP="00B21A9A">
            <w:pPr>
              <w:jc w:val="left"/>
              <w:rPr>
                <w:rFonts w:cs="Arial"/>
                <w:sz w:val="22"/>
                <w:szCs w:val="22"/>
                <w:lang w:val="it-CH" w:eastAsia="it-CH"/>
              </w:rPr>
            </w:pPr>
            <w:r w:rsidRPr="00A80EAE">
              <w:rPr>
                <w:rFonts w:cs="Arial"/>
                <w:sz w:val="22"/>
                <w:szCs w:val="22"/>
                <w:lang w:val="it-CH" w:eastAsia="it-CH"/>
              </w:rPr>
              <w:t>Autorità regional</w:t>
            </w:r>
            <w:r>
              <w:rPr>
                <w:rFonts w:cs="Arial"/>
                <w:sz w:val="22"/>
                <w:szCs w:val="22"/>
                <w:lang w:val="it-CH" w:eastAsia="it-CH"/>
              </w:rPr>
              <w:t>i</w:t>
            </w:r>
            <w:r w:rsidRPr="00A80EAE">
              <w:rPr>
                <w:rFonts w:cs="Arial"/>
                <w:sz w:val="22"/>
                <w:szCs w:val="22"/>
                <w:lang w:val="it-CH" w:eastAsia="it-CH"/>
              </w:rPr>
              <w:t xml:space="preserve"> di protezione</w:t>
            </w:r>
          </w:p>
        </w:tc>
        <w:tc>
          <w:tcPr>
            <w:tcW w:w="4536" w:type="dxa"/>
            <w:shd w:val="clear" w:color="auto" w:fill="auto"/>
            <w:noWrap/>
            <w:vAlign w:val="bottom"/>
            <w:hideMark/>
          </w:tcPr>
          <w:p w:rsidR="00B21A9A" w:rsidRPr="00A80EAE" w:rsidRDefault="00B21A9A" w:rsidP="00B21A9A">
            <w:pPr>
              <w:jc w:val="left"/>
              <w:rPr>
                <w:rFonts w:cs="Arial"/>
                <w:color w:val="000000"/>
                <w:sz w:val="22"/>
                <w:szCs w:val="22"/>
                <w:lang w:val="it-CH" w:eastAsia="it-CH"/>
              </w:rPr>
            </w:pPr>
            <w:r w:rsidRPr="00A80EAE">
              <w:rPr>
                <w:rFonts w:cs="Arial"/>
                <w:color w:val="000000"/>
                <w:sz w:val="22"/>
                <w:szCs w:val="22"/>
                <w:lang w:val="it-CH" w:eastAsia="it-CH"/>
              </w:rPr>
              <w:t>varie sedi - Lugano</w:t>
            </w:r>
          </w:p>
        </w:tc>
      </w:tr>
      <w:tr w:rsidR="00B21A9A" w:rsidRPr="004712BF" w:rsidTr="00B21A9A">
        <w:trPr>
          <w:trHeight w:val="288"/>
        </w:trPr>
        <w:tc>
          <w:tcPr>
            <w:tcW w:w="820" w:type="dxa"/>
            <w:vMerge/>
            <w:vAlign w:val="center"/>
            <w:hideMark/>
          </w:tcPr>
          <w:p w:rsidR="00B21A9A" w:rsidRPr="00A80EAE" w:rsidRDefault="00B21A9A" w:rsidP="00B21A9A">
            <w:pPr>
              <w:jc w:val="left"/>
              <w:rPr>
                <w:rFonts w:cs="Arial"/>
                <w:color w:val="000000"/>
                <w:sz w:val="18"/>
                <w:szCs w:val="18"/>
                <w:lang w:val="it-CH" w:eastAsia="it-CH"/>
              </w:rPr>
            </w:pPr>
          </w:p>
        </w:tc>
        <w:tc>
          <w:tcPr>
            <w:tcW w:w="4298" w:type="dxa"/>
            <w:shd w:val="clear" w:color="auto" w:fill="auto"/>
            <w:noWrap/>
            <w:vAlign w:val="bottom"/>
            <w:hideMark/>
          </w:tcPr>
          <w:p w:rsidR="00B21A9A" w:rsidRPr="00A80EAE" w:rsidRDefault="00B21A9A" w:rsidP="00B21A9A">
            <w:pPr>
              <w:jc w:val="left"/>
              <w:rPr>
                <w:rFonts w:cs="Arial"/>
                <w:sz w:val="22"/>
                <w:szCs w:val="22"/>
                <w:lang w:val="it-CH" w:eastAsia="it-CH"/>
              </w:rPr>
            </w:pPr>
            <w:r w:rsidRPr="00A80EAE">
              <w:rPr>
                <w:rFonts w:cs="Arial"/>
                <w:sz w:val="22"/>
                <w:szCs w:val="22"/>
                <w:lang w:val="it-CH" w:eastAsia="it-CH"/>
              </w:rPr>
              <w:t>Ufficio assistenza riabilitativa</w:t>
            </w:r>
          </w:p>
        </w:tc>
        <w:tc>
          <w:tcPr>
            <w:tcW w:w="4536" w:type="dxa"/>
            <w:shd w:val="clear" w:color="auto" w:fill="auto"/>
            <w:noWrap/>
            <w:vAlign w:val="bottom"/>
            <w:hideMark/>
          </w:tcPr>
          <w:p w:rsidR="00B21A9A" w:rsidRPr="00A80EAE" w:rsidRDefault="00B21A9A" w:rsidP="00B21A9A">
            <w:pPr>
              <w:jc w:val="left"/>
              <w:rPr>
                <w:rFonts w:cs="Arial"/>
                <w:color w:val="000000"/>
                <w:sz w:val="22"/>
                <w:szCs w:val="22"/>
                <w:lang w:val="it-CH" w:eastAsia="it-CH"/>
              </w:rPr>
            </w:pPr>
            <w:r w:rsidRPr="00A80EAE">
              <w:rPr>
                <w:rFonts w:cs="Arial"/>
                <w:color w:val="000000"/>
                <w:sz w:val="22"/>
                <w:szCs w:val="22"/>
                <w:lang w:val="it-CH" w:eastAsia="it-CH"/>
              </w:rPr>
              <w:t>locazione a terzi - Lugano</w:t>
            </w:r>
          </w:p>
        </w:tc>
      </w:tr>
      <w:tr w:rsidR="00B21A9A" w:rsidRPr="004712BF" w:rsidTr="00B21A9A">
        <w:trPr>
          <w:trHeight w:val="149"/>
        </w:trPr>
        <w:tc>
          <w:tcPr>
            <w:tcW w:w="820" w:type="dxa"/>
            <w:vMerge/>
            <w:vAlign w:val="center"/>
            <w:hideMark/>
          </w:tcPr>
          <w:p w:rsidR="00B21A9A" w:rsidRPr="00A80EAE" w:rsidRDefault="00B21A9A" w:rsidP="00B21A9A">
            <w:pPr>
              <w:jc w:val="left"/>
              <w:rPr>
                <w:rFonts w:cs="Arial"/>
                <w:color w:val="000000"/>
                <w:sz w:val="18"/>
                <w:szCs w:val="18"/>
                <w:lang w:val="it-CH" w:eastAsia="it-CH"/>
              </w:rPr>
            </w:pPr>
          </w:p>
        </w:tc>
        <w:tc>
          <w:tcPr>
            <w:tcW w:w="4298" w:type="dxa"/>
            <w:shd w:val="clear" w:color="auto" w:fill="auto"/>
            <w:noWrap/>
            <w:vAlign w:val="bottom"/>
            <w:hideMark/>
          </w:tcPr>
          <w:p w:rsidR="00B21A9A" w:rsidRPr="00A80EAE" w:rsidRDefault="00B21A9A" w:rsidP="00B21A9A">
            <w:pPr>
              <w:jc w:val="left"/>
              <w:rPr>
                <w:rFonts w:cs="Arial"/>
                <w:sz w:val="22"/>
                <w:szCs w:val="22"/>
                <w:lang w:val="it-CH" w:eastAsia="it-CH"/>
              </w:rPr>
            </w:pPr>
            <w:r w:rsidRPr="00A80EAE">
              <w:rPr>
                <w:rFonts w:cs="Arial"/>
                <w:sz w:val="22"/>
                <w:szCs w:val="22"/>
                <w:lang w:val="it-CH" w:eastAsia="it-CH"/>
              </w:rPr>
              <w:t>Ufficio dell'incasso e delle pene alternative</w:t>
            </w:r>
          </w:p>
        </w:tc>
        <w:tc>
          <w:tcPr>
            <w:tcW w:w="4536" w:type="dxa"/>
            <w:shd w:val="clear" w:color="auto" w:fill="auto"/>
            <w:noWrap/>
            <w:vAlign w:val="bottom"/>
            <w:hideMark/>
          </w:tcPr>
          <w:p w:rsidR="00B21A9A" w:rsidRPr="00A80EAE" w:rsidRDefault="00B21A9A" w:rsidP="00B21A9A">
            <w:pPr>
              <w:jc w:val="left"/>
              <w:rPr>
                <w:rFonts w:cs="Arial"/>
                <w:color w:val="000000"/>
                <w:sz w:val="22"/>
                <w:szCs w:val="22"/>
                <w:lang w:val="it-CH" w:eastAsia="it-CH"/>
              </w:rPr>
            </w:pPr>
            <w:r w:rsidRPr="00A80EAE">
              <w:rPr>
                <w:rFonts w:cs="Arial"/>
                <w:color w:val="000000"/>
                <w:sz w:val="22"/>
                <w:szCs w:val="22"/>
                <w:lang w:val="it-CH" w:eastAsia="it-CH"/>
              </w:rPr>
              <w:t xml:space="preserve">Residenza governativa </w:t>
            </w:r>
            <w:r>
              <w:rPr>
                <w:rFonts w:cs="Arial"/>
                <w:color w:val="000000"/>
                <w:sz w:val="22"/>
                <w:szCs w:val="22"/>
                <w:lang w:val="it-CH" w:eastAsia="it-CH"/>
              </w:rPr>
              <w:t>- Bellinzona</w:t>
            </w:r>
          </w:p>
        </w:tc>
      </w:tr>
    </w:tbl>
    <w:p w:rsidR="00B21A9A" w:rsidRDefault="00B21A9A" w:rsidP="00B21A9A"/>
    <w:p w:rsidR="00B21A9A" w:rsidRDefault="00B21A9A" w:rsidP="00B21A9A"/>
    <w:p w:rsidR="00B21A9A" w:rsidRDefault="00B21A9A" w:rsidP="00B21A9A"/>
    <w:p w:rsidR="00B21A9A" w:rsidRPr="008D35F5" w:rsidRDefault="00B21A9A" w:rsidP="00B21A9A">
      <w:pPr>
        <w:pStyle w:val="Titolo1"/>
        <w:tabs>
          <w:tab w:val="clear" w:pos="567"/>
          <w:tab w:val="left" w:pos="709"/>
        </w:tabs>
      </w:pPr>
      <w:r w:rsidRPr="00233229">
        <w:t>3.</w:t>
      </w:r>
      <w:r w:rsidRPr="00233229">
        <w:tab/>
        <w:t xml:space="preserve">RICERCA DELLE SEDI per i servizi cantonali </w:t>
      </w:r>
    </w:p>
    <w:p w:rsidR="00B21A9A" w:rsidRDefault="00B21A9A" w:rsidP="00B21A9A">
      <w:pPr>
        <w:rPr>
          <w:rFonts w:cs="Arial"/>
          <w:szCs w:val="24"/>
          <w:lang w:val="it-CH"/>
        </w:rPr>
      </w:pPr>
      <w:r w:rsidRPr="00233229">
        <w:rPr>
          <w:rFonts w:cs="Arial"/>
          <w:szCs w:val="24"/>
          <w:lang w:val="it-CH"/>
        </w:rPr>
        <w:t>La ricerca di una soluzione che potesse soddisfare tutti i requisiti di qualità e funzionalità</w:t>
      </w:r>
      <w:r>
        <w:rPr>
          <w:rFonts w:cs="Arial"/>
          <w:szCs w:val="24"/>
          <w:lang w:val="it-CH"/>
        </w:rPr>
        <w:t xml:space="preserve"> dei s</w:t>
      </w:r>
      <w:r w:rsidRPr="00233229">
        <w:rPr>
          <w:rFonts w:cs="Arial"/>
          <w:szCs w:val="24"/>
          <w:lang w:val="it-CH"/>
        </w:rPr>
        <w:t>ervizi cantonali e le direttive del Dipartimento è risultata articolata. Sono infatti state valutate a più riprese, con alcuni aggiornamenti, quattro differenti piste d’azione che prevedevano</w:t>
      </w:r>
      <w:r>
        <w:rPr>
          <w:rFonts w:cs="Arial"/>
          <w:szCs w:val="24"/>
          <w:lang w:val="it-CH"/>
        </w:rPr>
        <w:t xml:space="preserve"> l’acquisizione di stabili di proprietà terzi come pure l’insediamento presso proprietà comunali. </w:t>
      </w:r>
    </w:p>
    <w:p w:rsidR="00B21A9A" w:rsidRDefault="00B21A9A" w:rsidP="00B21A9A">
      <w:pPr>
        <w:rPr>
          <w:rFonts w:cs="Arial"/>
          <w:szCs w:val="24"/>
          <w:lang w:val="it-CH"/>
        </w:rPr>
      </w:pPr>
    </w:p>
    <w:p w:rsidR="00B21A9A" w:rsidRDefault="00B21A9A" w:rsidP="00B21A9A">
      <w:pPr>
        <w:rPr>
          <w:rFonts w:cs="Arial"/>
          <w:szCs w:val="24"/>
          <w:lang w:val="it-CH"/>
        </w:rPr>
      </w:pPr>
      <w:r w:rsidRPr="00CE401F">
        <w:rPr>
          <w:rFonts w:cs="Arial"/>
          <w:szCs w:val="24"/>
          <w:lang w:val="it-CH"/>
        </w:rPr>
        <w:t xml:space="preserve">La soluzione </w:t>
      </w:r>
      <w:r>
        <w:rPr>
          <w:rFonts w:cs="Arial"/>
          <w:szCs w:val="24"/>
          <w:lang w:val="it-CH"/>
        </w:rPr>
        <w:t xml:space="preserve">proposta nel presente messaggio prevede, come enunciato in precedenza, la ristrutturazione dei Palazzo di giustizia e l’acquisizione dello stabile ex Banca del Gottardo. </w:t>
      </w:r>
    </w:p>
    <w:p w:rsidR="00B21A9A" w:rsidRDefault="00B21A9A" w:rsidP="00B21A9A">
      <w:pPr>
        <w:rPr>
          <w:rFonts w:cs="Arial"/>
          <w:szCs w:val="24"/>
          <w:lang w:val="it-CH"/>
        </w:rPr>
      </w:pPr>
    </w:p>
    <w:p w:rsidR="00B21A9A" w:rsidRPr="00CE401F" w:rsidRDefault="00B21A9A" w:rsidP="00B21A9A">
      <w:pPr>
        <w:spacing w:after="40"/>
      </w:pPr>
      <w:r>
        <w:rPr>
          <w:rFonts w:cs="Arial"/>
          <w:szCs w:val="24"/>
          <w:lang w:val="it-CH"/>
        </w:rPr>
        <w:t>Gli aspetti determinanti di questa pista d’azione sono riassunti di seguito:</w:t>
      </w:r>
    </w:p>
    <w:p w:rsidR="00B21A9A" w:rsidRPr="00B21A9A" w:rsidRDefault="00B21A9A" w:rsidP="00235850">
      <w:pPr>
        <w:numPr>
          <w:ilvl w:val="0"/>
          <w:numId w:val="1"/>
        </w:numPr>
        <w:autoSpaceDE w:val="0"/>
        <w:autoSpaceDN w:val="0"/>
        <w:adjustRightInd w:val="0"/>
        <w:spacing w:before="60"/>
        <w:ind w:left="284" w:hanging="284"/>
        <w:rPr>
          <w:rFonts w:cs="Arial"/>
          <w:szCs w:val="24"/>
          <w:lang w:val="it-CH" w:eastAsia="it-CH"/>
        </w:rPr>
      </w:pPr>
      <w:r w:rsidRPr="00B21A9A">
        <w:rPr>
          <w:rFonts w:cs="Arial"/>
          <w:szCs w:val="24"/>
          <w:lang w:val="it-CH" w:eastAsia="it-CH"/>
        </w:rPr>
        <w:t>l’adeguatezza degli spazi alle esigenze a medio lungo termine dei servizi;</w:t>
      </w:r>
    </w:p>
    <w:p w:rsidR="00B21A9A" w:rsidRPr="00B21A9A" w:rsidRDefault="00B21A9A" w:rsidP="00235850">
      <w:pPr>
        <w:numPr>
          <w:ilvl w:val="0"/>
          <w:numId w:val="1"/>
        </w:numPr>
        <w:autoSpaceDE w:val="0"/>
        <w:autoSpaceDN w:val="0"/>
        <w:adjustRightInd w:val="0"/>
        <w:spacing w:before="60"/>
        <w:ind w:left="284" w:hanging="284"/>
        <w:rPr>
          <w:rFonts w:cs="Arial"/>
          <w:szCs w:val="24"/>
          <w:lang w:val="it-CH" w:eastAsia="it-CH"/>
        </w:rPr>
      </w:pPr>
      <w:r w:rsidRPr="00B21A9A">
        <w:rPr>
          <w:rFonts w:cs="Arial"/>
          <w:szCs w:val="24"/>
          <w:lang w:val="it-CH" w:eastAsia="it-CH"/>
        </w:rPr>
        <w:t>la suddivisione funzionale tra autorità giudicante e inquirente;</w:t>
      </w:r>
    </w:p>
    <w:p w:rsidR="00B21A9A" w:rsidRPr="00B21A9A" w:rsidRDefault="00B21A9A" w:rsidP="00235850">
      <w:pPr>
        <w:numPr>
          <w:ilvl w:val="0"/>
          <w:numId w:val="1"/>
        </w:numPr>
        <w:autoSpaceDE w:val="0"/>
        <w:autoSpaceDN w:val="0"/>
        <w:adjustRightInd w:val="0"/>
        <w:spacing w:before="60"/>
        <w:ind w:left="284" w:hanging="284"/>
        <w:rPr>
          <w:rFonts w:cs="Arial"/>
          <w:szCs w:val="24"/>
          <w:lang w:val="it-CH" w:eastAsia="it-CH"/>
        </w:rPr>
      </w:pPr>
      <w:r w:rsidRPr="00B21A9A">
        <w:rPr>
          <w:rFonts w:cs="Arial"/>
          <w:szCs w:val="24"/>
          <w:lang w:val="it-CH" w:eastAsia="it-CH"/>
        </w:rPr>
        <w:t>l’elevata rappresentatività istituzionale presso entrambe le sedi (ex Banca del Gottardo + PGL);</w:t>
      </w:r>
    </w:p>
    <w:p w:rsidR="00B21A9A" w:rsidRPr="00B21A9A" w:rsidRDefault="00B21A9A" w:rsidP="00235850">
      <w:pPr>
        <w:numPr>
          <w:ilvl w:val="0"/>
          <w:numId w:val="1"/>
        </w:numPr>
        <w:autoSpaceDE w:val="0"/>
        <w:autoSpaceDN w:val="0"/>
        <w:adjustRightInd w:val="0"/>
        <w:spacing w:before="60"/>
        <w:ind w:left="284" w:hanging="284"/>
        <w:rPr>
          <w:rFonts w:cs="Arial"/>
          <w:szCs w:val="24"/>
          <w:lang w:val="it-CH" w:eastAsia="it-CH"/>
        </w:rPr>
      </w:pPr>
      <w:r w:rsidRPr="00B21A9A">
        <w:rPr>
          <w:rFonts w:cs="Arial"/>
          <w:szCs w:val="24"/>
          <w:lang w:val="it-CH" w:eastAsia="it-CH"/>
        </w:rPr>
        <w:t>l’ubicazione centrale nel tessuto urbano di Lugano;</w:t>
      </w:r>
    </w:p>
    <w:p w:rsidR="00B21A9A" w:rsidRPr="00B21A9A" w:rsidRDefault="00B21A9A" w:rsidP="00235850">
      <w:pPr>
        <w:numPr>
          <w:ilvl w:val="0"/>
          <w:numId w:val="1"/>
        </w:numPr>
        <w:autoSpaceDE w:val="0"/>
        <w:autoSpaceDN w:val="0"/>
        <w:adjustRightInd w:val="0"/>
        <w:spacing w:before="60"/>
        <w:ind w:left="284" w:hanging="284"/>
        <w:rPr>
          <w:rFonts w:cs="Arial"/>
          <w:szCs w:val="24"/>
          <w:lang w:val="it-CH" w:eastAsia="it-CH"/>
        </w:rPr>
      </w:pPr>
      <w:r w:rsidRPr="00B21A9A">
        <w:rPr>
          <w:rFonts w:cs="Arial"/>
          <w:szCs w:val="24"/>
          <w:lang w:val="it-CH" w:eastAsia="it-CH"/>
        </w:rPr>
        <w:t>la riqualifica e valorizzazione di un bene dello Stato con il mantenimento della sede storica di Palazzo di giustizia;</w:t>
      </w:r>
    </w:p>
    <w:p w:rsidR="00B21A9A" w:rsidRPr="00B21A9A" w:rsidRDefault="00B21A9A" w:rsidP="00235850">
      <w:pPr>
        <w:numPr>
          <w:ilvl w:val="0"/>
          <w:numId w:val="1"/>
        </w:numPr>
        <w:autoSpaceDE w:val="0"/>
        <w:autoSpaceDN w:val="0"/>
        <w:adjustRightInd w:val="0"/>
        <w:spacing w:before="60"/>
        <w:ind w:left="284" w:hanging="284"/>
        <w:rPr>
          <w:rFonts w:cs="Arial"/>
          <w:szCs w:val="24"/>
          <w:lang w:val="it-CH" w:eastAsia="it-CH"/>
        </w:rPr>
      </w:pPr>
      <w:r w:rsidRPr="00B21A9A">
        <w:rPr>
          <w:rFonts w:cs="Arial"/>
          <w:szCs w:val="24"/>
          <w:lang w:val="it-CH" w:eastAsia="it-CH"/>
        </w:rPr>
        <w:t>la pertinenza dello stabile Bossi quale sede provvisoria.</w:t>
      </w:r>
    </w:p>
    <w:p w:rsidR="00B21A9A" w:rsidRDefault="00B21A9A" w:rsidP="00B21A9A">
      <w:pPr>
        <w:rPr>
          <w:rFonts w:cs="Arial"/>
          <w:szCs w:val="24"/>
          <w:lang w:val="it-CH"/>
        </w:rPr>
      </w:pPr>
    </w:p>
    <w:p w:rsidR="00B21A9A" w:rsidRDefault="00B21A9A" w:rsidP="00B21A9A">
      <w:pPr>
        <w:rPr>
          <w:rFonts w:cs="Arial"/>
          <w:szCs w:val="24"/>
          <w:lang w:val="it-CH"/>
        </w:rPr>
      </w:pPr>
      <w:r>
        <w:rPr>
          <w:rFonts w:cs="Arial"/>
          <w:szCs w:val="24"/>
          <w:lang w:val="it-CH"/>
        </w:rPr>
        <w:t xml:space="preserve">Rispetto alla soluzione proposta, le altre piste d’azione si discostano, a livello finanziario, di circa +/- 5% dell’investimento complessivo, analogamente alle tempistiche di realizzazione e ricalcano quanto previsto per lo stabile ex Banca del Gottardo e per il PGL. </w:t>
      </w:r>
    </w:p>
    <w:p w:rsidR="00B21A9A" w:rsidRPr="0051430C" w:rsidRDefault="00B21A9A" w:rsidP="00B21A9A">
      <w:pPr>
        <w:rPr>
          <w:rFonts w:cs="Arial"/>
          <w:sz w:val="20"/>
          <w:lang w:val="it-CH"/>
        </w:rPr>
      </w:pPr>
    </w:p>
    <w:p w:rsidR="00B21A9A" w:rsidRPr="0051430C" w:rsidRDefault="00B21A9A" w:rsidP="00B21A9A">
      <w:pPr>
        <w:rPr>
          <w:rFonts w:cs="Arial"/>
          <w:sz w:val="20"/>
          <w:lang w:val="it-CH"/>
        </w:rPr>
      </w:pPr>
    </w:p>
    <w:p w:rsidR="00B21A9A" w:rsidRPr="0051430C" w:rsidRDefault="00B21A9A" w:rsidP="00B21A9A">
      <w:pPr>
        <w:rPr>
          <w:rFonts w:cs="Arial"/>
          <w:sz w:val="20"/>
          <w:lang w:val="it-CH"/>
        </w:rPr>
      </w:pPr>
    </w:p>
    <w:p w:rsidR="00B21A9A" w:rsidRPr="002E5975" w:rsidRDefault="00B21A9A" w:rsidP="00B21A9A">
      <w:pPr>
        <w:pStyle w:val="Titolo1"/>
        <w:tabs>
          <w:tab w:val="clear" w:pos="567"/>
          <w:tab w:val="left" w:pos="709"/>
        </w:tabs>
      </w:pPr>
      <w:r>
        <w:t>4</w:t>
      </w:r>
      <w:r w:rsidRPr="009A091F">
        <w:t>.</w:t>
      </w:r>
      <w:r w:rsidRPr="009A091F">
        <w:tab/>
      </w:r>
      <w:r w:rsidRPr="002E5975">
        <w:t xml:space="preserve">SITUAZIONE FUTURA </w:t>
      </w:r>
    </w:p>
    <w:p w:rsidR="00B21A9A" w:rsidRDefault="00B21A9A" w:rsidP="00B21A9A">
      <w:pPr>
        <w:rPr>
          <w:rFonts w:cs="Arial"/>
          <w:szCs w:val="24"/>
          <w:lang w:val="it-CH"/>
        </w:rPr>
      </w:pPr>
      <w:r>
        <w:rPr>
          <w:rFonts w:cs="Arial"/>
          <w:szCs w:val="24"/>
          <w:lang w:val="it-CH"/>
        </w:rPr>
        <w:t>La disponibilità delle due sedi permetterà di collocare in modo razionale i servizi cantonali secondo gli indirizzi strategici del Dipartimento delle istituzioni:</w:t>
      </w:r>
    </w:p>
    <w:p w:rsidR="00B21A9A" w:rsidRPr="00B21A9A" w:rsidRDefault="00B21A9A" w:rsidP="00235850">
      <w:pPr>
        <w:numPr>
          <w:ilvl w:val="0"/>
          <w:numId w:val="1"/>
        </w:numPr>
        <w:autoSpaceDE w:val="0"/>
        <w:autoSpaceDN w:val="0"/>
        <w:adjustRightInd w:val="0"/>
        <w:spacing w:before="60"/>
        <w:ind w:left="284" w:hanging="284"/>
        <w:rPr>
          <w:rFonts w:cs="Arial"/>
          <w:szCs w:val="24"/>
          <w:lang w:val="it-CH" w:eastAsia="it-CH"/>
        </w:rPr>
      </w:pPr>
      <w:r w:rsidRPr="00B21A9A">
        <w:rPr>
          <w:rFonts w:cs="Arial"/>
          <w:szCs w:val="24"/>
          <w:lang w:val="it-CH" w:eastAsia="it-CH"/>
        </w:rPr>
        <w:t>centralizzazione delle competenze per il perseguimento penale;</w:t>
      </w:r>
    </w:p>
    <w:p w:rsidR="00B21A9A" w:rsidRPr="00B21A9A" w:rsidRDefault="00B21A9A" w:rsidP="00235850">
      <w:pPr>
        <w:numPr>
          <w:ilvl w:val="0"/>
          <w:numId w:val="1"/>
        </w:numPr>
        <w:autoSpaceDE w:val="0"/>
        <w:autoSpaceDN w:val="0"/>
        <w:adjustRightInd w:val="0"/>
        <w:spacing w:before="60"/>
        <w:ind w:left="284" w:hanging="284"/>
        <w:rPr>
          <w:rFonts w:cs="Arial"/>
          <w:szCs w:val="24"/>
          <w:lang w:val="it-CH" w:eastAsia="it-CH"/>
        </w:rPr>
      </w:pPr>
      <w:r w:rsidRPr="00B21A9A">
        <w:rPr>
          <w:rFonts w:cs="Arial"/>
          <w:szCs w:val="24"/>
          <w:lang w:val="it-CH" w:eastAsia="it-CH"/>
        </w:rPr>
        <w:t>centralizzazione delle prime istanze penali (non a Bellinzona ma a Lugano);</w:t>
      </w:r>
    </w:p>
    <w:p w:rsidR="00B21A9A" w:rsidRPr="00B21A9A" w:rsidRDefault="00B21A9A" w:rsidP="00235850">
      <w:pPr>
        <w:numPr>
          <w:ilvl w:val="0"/>
          <w:numId w:val="1"/>
        </w:numPr>
        <w:autoSpaceDE w:val="0"/>
        <w:autoSpaceDN w:val="0"/>
        <w:adjustRightInd w:val="0"/>
        <w:spacing w:before="60"/>
        <w:ind w:left="284" w:hanging="284"/>
        <w:rPr>
          <w:rFonts w:cs="Arial"/>
          <w:szCs w:val="24"/>
          <w:lang w:val="it-CH" w:eastAsia="it-CH"/>
        </w:rPr>
      </w:pPr>
      <w:r w:rsidRPr="00B21A9A">
        <w:rPr>
          <w:rFonts w:cs="Arial"/>
          <w:szCs w:val="24"/>
          <w:lang w:val="it-CH" w:eastAsia="it-CH"/>
        </w:rPr>
        <w:t>mantenimento sul territorio delle Preture;</w:t>
      </w:r>
    </w:p>
    <w:p w:rsidR="00B21A9A" w:rsidRPr="00B21A9A" w:rsidRDefault="00B21A9A" w:rsidP="00235850">
      <w:pPr>
        <w:numPr>
          <w:ilvl w:val="0"/>
          <w:numId w:val="1"/>
        </w:numPr>
        <w:autoSpaceDE w:val="0"/>
        <w:autoSpaceDN w:val="0"/>
        <w:adjustRightInd w:val="0"/>
        <w:spacing w:before="60"/>
        <w:ind w:left="284" w:hanging="284"/>
        <w:rPr>
          <w:rFonts w:cs="Arial"/>
          <w:szCs w:val="24"/>
          <w:lang w:val="it-CH" w:eastAsia="it-CH"/>
        </w:rPr>
      </w:pPr>
      <w:r w:rsidRPr="00B21A9A">
        <w:rPr>
          <w:rFonts w:cs="Arial"/>
          <w:szCs w:val="24"/>
          <w:lang w:val="it-CH" w:eastAsia="it-CH"/>
        </w:rPr>
        <w:t>raggruppamento del Tribunale d’appello in una sola sede.</w:t>
      </w:r>
    </w:p>
    <w:p w:rsidR="00B21A9A" w:rsidRPr="0051430C" w:rsidRDefault="00B21A9A" w:rsidP="00B21A9A">
      <w:pPr>
        <w:rPr>
          <w:sz w:val="20"/>
        </w:rPr>
      </w:pPr>
    </w:p>
    <w:p w:rsidR="00B21A9A" w:rsidRDefault="00B21A9A" w:rsidP="00B21A9A">
      <w:pPr>
        <w:rPr>
          <w:szCs w:val="22"/>
        </w:rPr>
      </w:pPr>
      <w:r>
        <w:rPr>
          <w:szCs w:val="22"/>
        </w:rPr>
        <w:t>Sarà inoltre possibile raggruppare in un’unica sede il Ministero pubblico così come previsto dalla Legge sull’organizzazione giudiziaria e collocare in proprietà Stato tutti i servizi cantonali ora in locazione.</w:t>
      </w:r>
    </w:p>
    <w:p w:rsidR="00B21A9A" w:rsidRPr="0051430C" w:rsidRDefault="00B21A9A" w:rsidP="00B21A9A">
      <w:pPr>
        <w:rPr>
          <w:sz w:val="20"/>
        </w:rPr>
      </w:pPr>
    </w:p>
    <w:p w:rsidR="00B21A9A" w:rsidRPr="00F76CAC" w:rsidRDefault="00B21A9A" w:rsidP="00B21A9A">
      <w:pPr>
        <w:rPr>
          <w:szCs w:val="22"/>
        </w:rPr>
      </w:pPr>
      <w:r>
        <w:rPr>
          <w:szCs w:val="22"/>
        </w:rPr>
        <w:t>Contestualmente a quanto previsto dalla pianificazione logistica della Polizia cantonale, è confermata la realizzazione del comparto urbano di Lugano presso il PGL: i principali servizi della Gendarmeria e della Polizia giudiziaria saranno quindi raggruppati nella medesima sede del Ministero pubblico consolidando la realizzazione del Polo del perseguimento penale.</w:t>
      </w:r>
    </w:p>
    <w:p w:rsidR="00B21A9A" w:rsidRPr="0051430C" w:rsidRDefault="00B21A9A" w:rsidP="00B21A9A">
      <w:pPr>
        <w:rPr>
          <w:rFonts w:cs="Arial"/>
          <w:sz w:val="20"/>
        </w:rPr>
      </w:pPr>
    </w:p>
    <w:p w:rsidR="00B21A9A" w:rsidRDefault="00B21A9A" w:rsidP="00B21A9A">
      <w:pPr>
        <w:rPr>
          <w:rFonts w:cs="Arial"/>
          <w:szCs w:val="24"/>
          <w:lang w:val="it-CH"/>
        </w:rPr>
      </w:pPr>
      <w:r>
        <w:rPr>
          <w:rFonts w:cs="Arial"/>
          <w:szCs w:val="24"/>
          <w:lang w:val="it-CH"/>
        </w:rPr>
        <w:t>La logica ripartizione dei servizi è riassunta nella seguente tabella.</w:t>
      </w:r>
    </w:p>
    <w:p w:rsidR="00B21A9A" w:rsidRDefault="00B21A9A" w:rsidP="00B21A9A">
      <w:pPr>
        <w:rPr>
          <w:rFonts w:cs="Arial"/>
          <w:szCs w:val="24"/>
          <w:lang w:val="it-CH"/>
        </w:rPr>
      </w:pPr>
    </w:p>
    <w:tbl>
      <w:tblPr>
        <w:tblW w:w="9510" w:type="dxa"/>
        <w:jc w:val="center"/>
        <w:tblCellMar>
          <w:left w:w="70" w:type="dxa"/>
          <w:right w:w="70" w:type="dxa"/>
        </w:tblCellMar>
        <w:tblLook w:val="04A0" w:firstRow="1" w:lastRow="0" w:firstColumn="1" w:lastColumn="0" w:noHBand="0" w:noVBand="1"/>
      </w:tblPr>
      <w:tblGrid>
        <w:gridCol w:w="1856"/>
        <w:gridCol w:w="4541"/>
        <w:gridCol w:w="3113"/>
      </w:tblGrid>
      <w:tr w:rsidR="00B21A9A" w:rsidRPr="002D4C4C" w:rsidTr="00B21A9A">
        <w:trPr>
          <w:trHeight w:val="194"/>
          <w:jc w:val="center"/>
        </w:trPr>
        <w:tc>
          <w:tcPr>
            <w:tcW w:w="6397" w:type="dxa"/>
            <w:gridSpan w:val="2"/>
            <w:tcBorders>
              <w:top w:val="single" w:sz="8" w:space="0" w:color="auto"/>
              <w:left w:val="single" w:sz="8" w:space="0" w:color="auto"/>
              <w:bottom w:val="single" w:sz="8" w:space="0" w:color="000000"/>
              <w:right w:val="single" w:sz="8" w:space="0" w:color="000000"/>
            </w:tcBorders>
            <w:shd w:val="clear" w:color="auto" w:fill="BFBFBF" w:themeFill="background1" w:themeFillShade="BF"/>
            <w:noWrap/>
            <w:vAlign w:val="center"/>
            <w:hideMark/>
          </w:tcPr>
          <w:p w:rsidR="00B21A9A" w:rsidRPr="002D4C4C" w:rsidRDefault="00B21A9A" w:rsidP="00B21A9A">
            <w:pPr>
              <w:jc w:val="center"/>
              <w:rPr>
                <w:rFonts w:eastAsia="Dotum" w:cs="Arial"/>
                <w:b/>
                <w:bCs/>
                <w:color w:val="000000"/>
                <w:sz w:val="22"/>
                <w:szCs w:val="22"/>
                <w:lang w:val="it-CH" w:eastAsia="it-CH"/>
              </w:rPr>
            </w:pPr>
            <w:r w:rsidRPr="002D4C4C">
              <w:rPr>
                <w:rFonts w:eastAsia="Dotum" w:cs="Arial"/>
                <w:b/>
                <w:bCs/>
                <w:color w:val="000000"/>
                <w:sz w:val="22"/>
                <w:szCs w:val="22"/>
                <w:lang w:val="it-CH" w:eastAsia="it-CH"/>
              </w:rPr>
              <w:t xml:space="preserve">Servizio </w:t>
            </w:r>
          </w:p>
        </w:tc>
        <w:tc>
          <w:tcPr>
            <w:tcW w:w="3113" w:type="dxa"/>
            <w:tcBorders>
              <w:top w:val="single" w:sz="8" w:space="0" w:color="auto"/>
              <w:left w:val="single" w:sz="4" w:space="0" w:color="auto"/>
              <w:bottom w:val="single" w:sz="4" w:space="0" w:color="auto"/>
              <w:right w:val="single" w:sz="4" w:space="0" w:color="auto"/>
            </w:tcBorders>
            <w:shd w:val="clear" w:color="000000" w:fill="BFBFBF"/>
            <w:noWrap/>
            <w:vAlign w:val="bottom"/>
            <w:hideMark/>
          </w:tcPr>
          <w:p w:rsidR="00B21A9A" w:rsidRPr="002D4C4C" w:rsidRDefault="00B21A9A" w:rsidP="00B21A9A">
            <w:pPr>
              <w:jc w:val="center"/>
              <w:rPr>
                <w:rFonts w:cs="Arial"/>
                <w:b/>
                <w:bCs/>
                <w:color w:val="000000"/>
                <w:sz w:val="22"/>
                <w:szCs w:val="22"/>
                <w:lang w:val="it-CH" w:eastAsia="it-CH"/>
              </w:rPr>
            </w:pPr>
            <w:r w:rsidRPr="002D4C4C">
              <w:rPr>
                <w:rFonts w:cs="Arial"/>
                <w:b/>
                <w:bCs/>
                <w:color w:val="000000"/>
                <w:sz w:val="22"/>
                <w:szCs w:val="22"/>
                <w:lang w:val="it-CH" w:eastAsia="it-CH"/>
              </w:rPr>
              <w:t>Collocazione</w:t>
            </w:r>
          </w:p>
          <w:p w:rsidR="00B21A9A" w:rsidRPr="002D4C4C" w:rsidRDefault="00B21A9A" w:rsidP="00B21A9A">
            <w:pPr>
              <w:jc w:val="center"/>
              <w:rPr>
                <w:rFonts w:cs="Arial"/>
                <w:b/>
                <w:bCs/>
                <w:color w:val="000000"/>
                <w:sz w:val="22"/>
                <w:szCs w:val="22"/>
                <w:lang w:val="it-CH" w:eastAsia="it-CH"/>
              </w:rPr>
            </w:pPr>
            <w:r w:rsidRPr="002D4C4C">
              <w:rPr>
                <w:rFonts w:cs="Arial"/>
                <w:b/>
                <w:bCs/>
                <w:color w:val="000000"/>
                <w:sz w:val="22"/>
                <w:szCs w:val="22"/>
                <w:lang w:val="it-CH" w:eastAsia="it-CH"/>
              </w:rPr>
              <w:t>finale</w:t>
            </w:r>
          </w:p>
        </w:tc>
      </w:tr>
      <w:tr w:rsidR="00B21A9A" w:rsidRPr="002D4C4C" w:rsidTr="00B21A9A">
        <w:trPr>
          <w:trHeight w:val="288"/>
          <w:jc w:val="center"/>
        </w:trPr>
        <w:tc>
          <w:tcPr>
            <w:tcW w:w="1856" w:type="dxa"/>
            <w:vMerge w:val="restart"/>
            <w:tcBorders>
              <w:top w:val="nil"/>
              <w:left w:val="single" w:sz="8" w:space="0" w:color="auto"/>
              <w:bottom w:val="single" w:sz="4" w:space="0" w:color="auto"/>
              <w:right w:val="single" w:sz="4" w:space="0" w:color="auto"/>
            </w:tcBorders>
            <w:shd w:val="clear" w:color="auto" w:fill="auto"/>
            <w:vAlign w:val="center"/>
            <w:hideMark/>
          </w:tcPr>
          <w:p w:rsidR="00B21A9A" w:rsidRDefault="00B21A9A" w:rsidP="00B21A9A">
            <w:pPr>
              <w:jc w:val="center"/>
              <w:rPr>
                <w:rFonts w:eastAsia="Dotum" w:cs="Arial"/>
                <w:b/>
                <w:color w:val="000000"/>
                <w:sz w:val="22"/>
                <w:szCs w:val="22"/>
                <w:lang w:val="it-CH" w:eastAsia="it-CH"/>
              </w:rPr>
            </w:pPr>
            <w:r w:rsidRPr="002D4C4C">
              <w:rPr>
                <w:rFonts w:eastAsia="Dotum" w:cs="Arial"/>
                <w:b/>
                <w:color w:val="000000"/>
                <w:sz w:val="22"/>
                <w:szCs w:val="22"/>
                <w:lang w:val="it-CH" w:eastAsia="it-CH"/>
              </w:rPr>
              <w:t xml:space="preserve">Autorità </w:t>
            </w:r>
          </w:p>
          <w:p w:rsidR="00B21A9A" w:rsidRPr="002D4C4C" w:rsidRDefault="00B21A9A" w:rsidP="00B21A9A">
            <w:pPr>
              <w:jc w:val="center"/>
              <w:rPr>
                <w:rFonts w:eastAsia="Dotum" w:cs="Arial"/>
                <w:b/>
                <w:color w:val="000000"/>
                <w:sz w:val="22"/>
                <w:szCs w:val="22"/>
                <w:lang w:val="it-CH" w:eastAsia="it-CH"/>
              </w:rPr>
            </w:pPr>
            <w:r>
              <w:rPr>
                <w:rFonts w:eastAsia="Dotum" w:cs="Arial"/>
                <w:b/>
                <w:color w:val="000000"/>
                <w:sz w:val="22"/>
                <w:szCs w:val="22"/>
                <w:lang w:val="it-CH" w:eastAsia="it-CH"/>
              </w:rPr>
              <w:t>giudiziarie</w:t>
            </w:r>
          </w:p>
        </w:tc>
        <w:tc>
          <w:tcPr>
            <w:tcW w:w="4541" w:type="dxa"/>
            <w:tcBorders>
              <w:top w:val="nil"/>
              <w:left w:val="nil"/>
              <w:bottom w:val="single" w:sz="4" w:space="0" w:color="auto"/>
              <w:right w:val="single" w:sz="4" w:space="0" w:color="auto"/>
            </w:tcBorders>
            <w:shd w:val="clear" w:color="auto" w:fill="auto"/>
            <w:noWrap/>
            <w:vAlign w:val="bottom"/>
            <w:hideMark/>
          </w:tcPr>
          <w:p w:rsidR="00B21A9A" w:rsidRPr="002D4C4C" w:rsidRDefault="00B21A9A" w:rsidP="00B21A9A">
            <w:pPr>
              <w:jc w:val="left"/>
              <w:rPr>
                <w:rFonts w:eastAsia="Dotum" w:cs="Arial"/>
                <w:sz w:val="22"/>
                <w:szCs w:val="22"/>
                <w:lang w:val="it-CH" w:eastAsia="it-CH"/>
              </w:rPr>
            </w:pPr>
            <w:r w:rsidRPr="002D4C4C">
              <w:rPr>
                <w:rFonts w:eastAsia="Dotum" w:cs="Arial"/>
                <w:sz w:val="22"/>
                <w:szCs w:val="22"/>
                <w:lang w:val="it-CH" w:eastAsia="it-CH"/>
              </w:rPr>
              <w:t xml:space="preserve">Tribunale d'appello </w:t>
            </w:r>
          </w:p>
        </w:tc>
        <w:tc>
          <w:tcPr>
            <w:tcW w:w="31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A9A" w:rsidRPr="002D4C4C" w:rsidRDefault="00B21A9A" w:rsidP="00B21A9A">
            <w:pPr>
              <w:jc w:val="center"/>
              <w:rPr>
                <w:rFonts w:cs="Arial"/>
                <w:b/>
                <w:bCs/>
                <w:color w:val="000000"/>
                <w:sz w:val="22"/>
                <w:szCs w:val="22"/>
                <w:lang w:val="it-CH" w:eastAsia="it-CH"/>
              </w:rPr>
            </w:pPr>
            <w:r w:rsidRPr="002D4C4C">
              <w:rPr>
                <w:rFonts w:cs="Arial"/>
                <w:b/>
                <w:bCs/>
                <w:color w:val="000000"/>
                <w:sz w:val="22"/>
                <w:szCs w:val="22"/>
                <w:lang w:val="it-CH" w:eastAsia="it-CH"/>
              </w:rPr>
              <w:t>ex Banca del Gottardo</w:t>
            </w:r>
          </w:p>
        </w:tc>
      </w:tr>
      <w:tr w:rsidR="00B21A9A" w:rsidRPr="002D4C4C" w:rsidTr="00B21A9A">
        <w:trPr>
          <w:trHeight w:val="288"/>
          <w:jc w:val="center"/>
        </w:trPr>
        <w:tc>
          <w:tcPr>
            <w:tcW w:w="1856" w:type="dxa"/>
            <w:vMerge/>
            <w:tcBorders>
              <w:top w:val="nil"/>
              <w:left w:val="single" w:sz="8" w:space="0" w:color="auto"/>
              <w:bottom w:val="single" w:sz="4" w:space="0" w:color="auto"/>
              <w:right w:val="single" w:sz="4" w:space="0" w:color="auto"/>
            </w:tcBorders>
            <w:vAlign w:val="center"/>
            <w:hideMark/>
          </w:tcPr>
          <w:p w:rsidR="00B21A9A" w:rsidRPr="002D4C4C" w:rsidRDefault="00B21A9A" w:rsidP="00B21A9A">
            <w:pPr>
              <w:jc w:val="left"/>
              <w:rPr>
                <w:rFonts w:eastAsia="Dotum" w:cs="Arial"/>
                <w:b/>
                <w:color w:val="000000"/>
                <w:sz w:val="22"/>
                <w:szCs w:val="22"/>
                <w:lang w:val="it-CH" w:eastAsia="it-CH"/>
              </w:rPr>
            </w:pPr>
          </w:p>
        </w:tc>
        <w:tc>
          <w:tcPr>
            <w:tcW w:w="4541" w:type="dxa"/>
            <w:tcBorders>
              <w:top w:val="nil"/>
              <w:left w:val="nil"/>
              <w:bottom w:val="single" w:sz="4" w:space="0" w:color="auto"/>
              <w:right w:val="single" w:sz="4" w:space="0" w:color="auto"/>
            </w:tcBorders>
            <w:shd w:val="clear" w:color="auto" w:fill="auto"/>
            <w:noWrap/>
            <w:vAlign w:val="bottom"/>
            <w:hideMark/>
          </w:tcPr>
          <w:p w:rsidR="00B21A9A" w:rsidRPr="002D4C4C" w:rsidRDefault="00B21A9A" w:rsidP="00B21A9A">
            <w:pPr>
              <w:jc w:val="left"/>
              <w:rPr>
                <w:rFonts w:eastAsia="Dotum" w:cs="Arial"/>
                <w:sz w:val="22"/>
                <w:szCs w:val="22"/>
                <w:lang w:val="it-CH" w:eastAsia="it-CH"/>
              </w:rPr>
            </w:pPr>
            <w:r w:rsidRPr="002D4C4C">
              <w:rPr>
                <w:rFonts w:eastAsia="Dotum" w:cs="Arial"/>
                <w:sz w:val="22"/>
                <w:szCs w:val="22"/>
                <w:lang w:val="it-CH" w:eastAsia="it-CH"/>
              </w:rPr>
              <w:t>Tribunale penale cantonale</w:t>
            </w:r>
          </w:p>
        </w:tc>
        <w:tc>
          <w:tcPr>
            <w:tcW w:w="3113" w:type="dxa"/>
            <w:vMerge/>
            <w:tcBorders>
              <w:top w:val="single" w:sz="4" w:space="0" w:color="auto"/>
              <w:left w:val="single" w:sz="4" w:space="0" w:color="auto"/>
              <w:bottom w:val="single" w:sz="4" w:space="0" w:color="auto"/>
              <w:right w:val="single" w:sz="4" w:space="0" w:color="auto"/>
            </w:tcBorders>
            <w:vAlign w:val="center"/>
            <w:hideMark/>
          </w:tcPr>
          <w:p w:rsidR="00B21A9A" w:rsidRPr="002D4C4C" w:rsidRDefault="00B21A9A" w:rsidP="00B21A9A">
            <w:pPr>
              <w:jc w:val="left"/>
              <w:rPr>
                <w:rFonts w:cs="Arial"/>
                <w:b/>
                <w:bCs/>
                <w:color w:val="000000"/>
                <w:sz w:val="22"/>
                <w:szCs w:val="22"/>
                <w:lang w:val="it-CH" w:eastAsia="it-CH"/>
              </w:rPr>
            </w:pPr>
          </w:p>
        </w:tc>
      </w:tr>
      <w:tr w:rsidR="00B21A9A" w:rsidRPr="002D4C4C" w:rsidTr="00B21A9A">
        <w:trPr>
          <w:trHeight w:val="288"/>
          <w:jc w:val="center"/>
        </w:trPr>
        <w:tc>
          <w:tcPr>
            <w:tcW w:w="1856" w:type="dxa"/>
            <w:vMerge/>
            <w:tcBorders>
              <w:top w:val="nil"/>
              <w:left w:val="single" w:sz="8" w:space="0" w:color="auto"/>
              <w:bottom w:val="single" w:sz="4" w:space="0" w:color="auto"/>
              <w:right w:val="single" w:sz="4" w:space="0" w:color="auto"/>
            </w:tcBorders>
            <w:vAlign w:val="center"/>
            <w:hideMark/>
          </w:tcPr>
          <w:p w:rsidR="00B21A9A" w:rsidRPr="002D4C4C" w:rsidRDefault="00B21A9A" w:rsidP="00B21A9A">
            <w:pPr>
              <w:jc w:val="left"/>
              <w:rPr>
                <w:rFonts w:eastAsia="Dotum" w:cs="Arial"/>
                <w:b/>
                <w:color w:val="000000"/>
                <w:sz w:val="22"/>
                <w:szCs w:val="22"/>
                <w:lang w:val="it-CH" w:eastAsia="it-CH"/>
              </w:rPr>
            </w:pPr>
          </w:p>
        </w:tc>
        <w:tc>
          <w:tcPr>
            <w:tcW w:w="4541" w:type="dxa"/>
            <w:tcBorders>
              <w:top w:val="nil"/>
              <w:left w:val="nil"/>
              <w:bottom w:val="single" w:sz="4" w:space="0" w:color="auto"/>
              <w:right w:val="single" w:sz="4" w:space="0" w:color="auto"/>
            </w:tcBorders>
            <w:shd w:val="clear" w:color="auto" w:fill="auto"/>
            <w:noWrap/>
            <w:vAlign w:val="bottom"/>
            <w:hideMark/>
          </w:tcPr>
          <w:p w:rsidR="00B21A9A" w:rsidRPr="002D4C4C" w:rsidRDefault="00B21A9A" w:rsidP="00B21A9A">
            <w:pPr>
              <w:jc w:val="left"/>
              <w:rPr>
                <w:rFonts w:eastAsia="Dotum" w:cs="Arial"/>
                <w:sz w:val="22"/>
                <w:szCs w:val="22"/>
                <w:lang w:val="it-CH" w:eastAsia="it-CH"/>
              </w:rPr>
            </w:pPr>
            <w:r w:rsidRPr="002D4C4C">
              <w:rPr>
                <w:rFonts w:eastAsia="Dotum" w:cs="Arial"/>
                <w:sz w:val="22"/>
                <w:szCs w:val="22"/>
                <w:lang w:val="it-CH" w:eastAsia="it-CH"/>
              </w:rPr>
              <w:t>Pretura civile Lugano</w:t>
            </w:r>
          </w:p>
        </w:tc>
        <w:tc>
          <w:tcPr>
            <w:tcW w:w="3113" w:type="dxa"/>
            <w:vMerge/>
            <w:tcBorders>
              <w:top w:val="single" w:sz="4" w:space="0" w:color="auto"/>
              <w:left w:val="single" w:sz="4" w:space="0" w:color="auto"/>
              <w:bottom w:val="single" w:sz="4" w:space="0" w:color="auto"/>
              <w:right w:val="single" w:sz="4" w:space="0" w:color="auto"/>
            </w:tcBorders>
            <w:vAlign w:val="center"/>
            <w:hideMark/>
          </w:tcPr>
          <w:p w:rsidR="00B21A9A" w:rsidRPr="002D4C4C" w:rsidRDefault="00B21A9A" w:rsidP="00B21A9A">
            <w:pPr>
              <w:jc w:val="left"/>
              <w:rPr>
                <w:rFonts w:cs="Arial"/>
                <w:b/>
                <w:bCs/>
                <w:color w:val="000000"/>
                <w:sz w:val="22"/>
                <w:szCs w:val="22"/>
                <w:lang w:val="it-CH" w:eastAsia="it-CH"/>
              </w:rPr>
            </w:pPr>
          </w:p>
        </w:tc>
      </w:tr>
      <w:tr w:rsidR="00B21A9A" w:rsidRPr="002D4C4C" w:rsidTr="00B21A9A">
        <w:trPr>
          <w:trHeight w:val="288"/>
          <w:jc w:val="center"/>
        </w:trPr>
        <w:tc>
          <w:tcPr>
            <w:tcW w:w="1856" w:type="dxa"/>
            <w:vMerge/>
            <w:tcBorders>
              <w:top w:val="nil"/>
              <w:left w:val="single" w:sz="8" w:space="0" w:color="auto"/>
              <w:bottom w:val="single" w:sz="4" w:space="0" w:color="auto"/>
              <w:right w:val="single" w:sz="4" w:space="0" w:color="auto"/>
            </w:tcBorders>
            <w:vAlign w:val="center"/>
            <w:hideMark/>
          </w:tcPr>
          <w:p w:rsidR="00B21A9A" w:rsidRPr="002D4C4C" w:rsidRDefault="00B21A9A" w:rsidP="00B21A9A">
            <w:pPr>
              <w:jc w:val="left"/>
              <w:rPr>
                <w:rFonts w:eastAsia="Dotum" w:cs="Arial"/>
                <w:b/>
                <w:color w:val="000000"/>
                <w:sz w:val="22"/>
                <w:szCs w:val="22"/>
                <w:lang w:val="it-CH" w:eastAsia="it-CH"/>
              </w:rPr>
            </w:pPr>
          </w:p>
        </w:tc>
        <w:tc>
          <w:tcPr>
            <w:tcW w:w="4541" w:type="dxa"/>
            <w:tcBorders>
              <w:top w:val="nil"/>
              <w:left w:val="nil"/>
              <w:bottom w:val="single" w:sz="4" w:space="0" w:color="auto"/>
              <w:right w:val="single" w:sz="4" w:space="0" w:color="auto"/>
            </w:tcBorders>
            <w:shd w:val="clear" w:color="auto" w:fill="auto"/>
            <w:noWrap/>
            <w:vAlign w:val="bottom"/>
            <w:hideMark/>
          </w:tcPr>
          <w:p w:rsidR="00B21A9A" w:rsidRPr="002D4C4C" w:rsidRDefault="00B21A9A" w:rsidP="00B21A9A">
            <w:pPr>
              <w:jc w:val="left"/>
              <w:rPr>
                <w:rFonts w:eastAsia="Dotum" w:cs="Arial"/>
                <w:sz w:val="22"/>
                <w:szCs w:val="22"/>
                <w:lang w:val="it-CH" w:eastAsia="it-CH"/>
              </w:rPr>
            </w:pPr>
            <w:r w:rsidRPr="002D4C4C">
              <w:rPr>
                <w:rFonts w:eastAsia="Dotum" w:cs="Arial"/>
                <w:sz w:val="22"/>
                <w:szCs w:val="22"/>
                <w:lang w:val="it-CH" w:eastAsia="it-CH"/>
              </w:rPr>
              <w:t>Tribunale d'espropriazione</w:t>
            </w:r>
          </w:p>
        </w:tc>
        <w:tc>
          <w:tcPr>
            <w:tcW w:w="3113" w:type="dxa"/>
            <w:vMerge/>
            <w:tcBorders>
              <w:top w:val="single" w:sz="4" w:space="0" w:color="auto"/>
              <w:left w:val="single" w:sz="4" w:space="0" w:color="auto"/>
              <w:bottom w:val="single" w:sz="4" w:space="0" w:color="auto"/>
              <w:right w:val="single" w:sz="4" w:space="0" w:color="auto"/>
            </w:tcBorders>
            <w:vAlign w:val="center"/>
            <w:hideMark/>
          </w:tcPr>
          <w:p w:rsidR="00B21A9A" w:rsidRPr="002D4C4C" w:rsidRDefault="00B21A9A" w:rsidP="00B21A9A">
            <w:pPr>
              <w:jc w:val="left"/>
              <w:rPr>
                <w:rFonts w:cs="Arial"/>
                <w:b/>
                <w:bCs/>
                <w:color w:val="000000"/>
                <w:sz w:val="22"/>
                <w:szCs w:val="22"/>
                <w:lang w:val="it-CH" w:eastAsia="it-CH"/>
              </w:rPr>
            </w:pPr>
          </w:p>
        </w:tc>
      </w:tr>
      <w:tr w:rsidR="00B21A9A" w:rsidRPr="002D4C4C" w:rsidTr="00B21A9A">
        <w:trPr>
          <w:trHeight w:val="288"/>
          <w:jc w:val="center"/>
        </w:trPr>
        <w:tc>
          <w:tcPr>
            <w:tcW w:w="1856" w:type="dxa"/>
            <w:vMerge/>
            <w:tcBorders>
              <w:top w:val="nil"/>
              <w:left w:val="single" w:sz="8" w:space="0" w:color="auto"/>
              <w:bottom w:val="single" w:sz="4" w:space="0" w:color="auto"/>
              <w:right w:val="single" w:sz="4" w:space="0" w:color="auto"/>
            </w:tcBorders>
            <w:vAlign w:val="center"/>
            <w:hideMark/>
          </w:tcPr>
          <w:p w:rsidR="00B21A9A" w:rsidRPr="002D4C4C" w:rsidRDefault="00B21A9A" w:rsidP="00B21A9A">
            <w:pPr>
              <w:jc w:val="left"/>
              <w:rPr>
                <w:rFonts w:eastAsia="Dotum" w:cs="Arial"/>
                <w:b/>
                <w:color w:val="000000"/>
                <w:sz w:val="22"/>
                <w:szCs w:val="22"/>
                <w:lang w:val="it-CH" w:eastAsia="it-CH"/>
              </w:rPr>
            </w:pPr>
          </w:p>
        </w:tc>
        <w:tc>
          <w:tcPr>
            <w:tcW w:w="4541" w:type="dxa"/>
            <w:tcBorders>
              <w:top w:val="nil"/>
              <w:left w:val="nil"/>
              <w:bottom w:val="single" w:sz="4" w:space="0" w:color="auto"/>
              <w:right w:val="single" w:sz="4" w:space="0" w:color="auto"/>
            </w:tcBorders>
            <w:shd w:val="clear" w:color="auto" w:fill="auto"/>
            <w:noWrap/>
            <w:vAlign w:val="bottom"/>
            <w:hideMark/>
          </w:tcPr>
          <w:p w:rsidR="00B21A9A" w:rsidRPr="002D4C4C" w:rsidRDefault="00B21A9A" w:rsidP="00B21A9A">
            <w:pPr>
              <w:jc w:val="left"/>
              <w:rPr>
                <w:rFonts w:eastAsia="Dotum" w:cs="Arial"/>
                <w:sz w:val="22"/>
                <w:szCs w:val="22"/>
                <w:lang w:val="it-CH" w:eastAsia="it-CH"/>
              </w:rPr>
            </w:pPr>
            <w:r>
              <w:rPr>
                <w:rFonts w:eastAsia="Dotum" w:cs="Arial"/>
                <w:sz w:val="22"/>
                <w:szCs w:val="22"/>
                <w:lang w:val="it-CH" w:eastAsia="it-CH"/>
              </w:rPr>
              <w:t>Ufficio del g</w:t>
            </w:r>
            <w:r w:rsidRPr="002D4C4C">
              <w:rPr>
                <w:rFonts w:eastAsia="Dotum" w:cs="Arial"/>
                <w:sz w:val="22"/>
                <w:szCs w:val="22"/>
                <w:lang w:val="it-CH" w:eastAsia="it-CH"/>
              </w:rPr>
              <w:t>iudice dei provvediment</w:t>
            </w:r>
            <w:r>
              <w:rPr>
                <w:rFonts w:eastAsia="Dotum" w:cs="Arial"/>
                <w:sz w:val="22"/>
                <w:szCs w:val="22"/>
                <w:lang w:val="it-CH" w:eastAsia="it-CH"/>
              </w:rPr>
              <w:t>i</w:t>
            </w:r>
            <w:r w:rsidRPr="002D4C4C">
              <w:rPr>
                <w:rFonts w:eastAsia="Dotum" w:cs="Arial"/>
                <w:sz w:val="22"/>
                <w:szCs w:val="22"/>
                <w:lang w:val="it-CH" w:eastAsia="it-CH"/>
              </w:rPr>
              <w:t xml:space="preserve"> coercitivi</w:t>
            </w:r>
          </w:p>
        </w:tc>
        <w:tc>
          <w:tcPr>
            <w:tcW w:w="3113" w:type="dxa"/>
            <w:vMerge/>
            <w:tcBorders>
              <w:top w:val="single" w:sz="4" w:space="0" w:color="auto"/>
              <w:left w:val="single" w:sz="4" w:space="0" w:color="auto"/>
              <w:bottom w:val="single" w:sz="4" w:space="0" w:color="auto"/>
              <w:right w:val="single" w:sz="4" w:space="0" w:color="auto"/>
            </w:tcBorders>
            <w:vAlign w:val="center"/>
            <w:hideMark/>
          </w:tcPr>
          <w:p w:rsidR="00B21A9A" w:rsidRPr="002D4C4C" w:rsidRDefault="00B21A9A" w:rsidP="00B21A9A">
            <w:pPr>
              <w:jc w:val="left"/>
              <w:rPr>
                <w:rFonts w:cs="Arial"/>
                <w:b/>
                <w:bCs/>
                <w:color w:val="000000"/>
                <w:sz w:val="22"/>
                <w:szCs w:val="22"/>
                <w:lang w:val="it-CH" w:eastAsia="it-CH"/>
              </w:rPr>
            </w:pPr>
          </w:p>
        </w:tc>
      </w:tr>
      <w:tr w:rsidR="00B21A9A" w:rsidRPr="002D4C4C" w:rsidTr="00B21A9A">
        <w:trPr>
          <w:trHeight w:val="288"/>
          <w:jc w:val="center"/>
        </w:trPr>
        <w:tc>
          <w:tcPr>
            <w:tcW w:w="1856" w:type="dxa"/>
            <w:vMerge/>
            <w:tcBorders>
              <w:top w:val="nil"/>
              <w:left w:val="single" w:sz="8" w:space="0" w:color="auto"/>
              <w:bottom w:val="single" w:sz="4" w:space="0" w:color="auto"/>
              <w:right w:val="single" w:sz="4" w:space="0" w:color="auto"/>
            </w:tcBorders>
            <w:vAlign w:val="center"/>
            <w:hideMark/>
          </w:tcPr>
          <w:p w:rsidR="00B21A9A" w:rsidRPr="002D4C4C" w:rsidRDefault="00B21A9A" w:rsidP="00B21A9A">
            <w:pPr>
              <w:jc w:val="left"/>
              <w:rPr>
                <w:rFonts w:eastAsia="Dotum" w:cs="Arial"/>
                <w:b/>
                <w:color w:val="000000"/>
                <w:sz w:val="22"/>
                <w:szCs w:val="22"/>
                <w:lang w:val="it-CH" w:eastAsia="it-CH"/>
              </w:rPr>
            </w:pPr>
          </w:p>
        </w:tc>
        <w:tc>
          <w:tcPr>
            <w:tcW w:w="4541" w:type="dxa"/>
            <w:tcBorders>
              <w:top w:val="nil"/>
              <w:left w:val="nil"/>
              <w:bottom w:val="single" w:sz="4" w:space="0" w:color="auto"/>
              <w:right w:val="single" w:sz="4" w:space="0" w:color="auto"/>
            </w:tcBorders>
            <w:shd w:val="clear" w:color="auto" w:fill="auto"/>
            <w:noWrap/>
            <w:vAlign w:val="bottom"/>
            <w:hideMark/>
          </w:tcPr>
          <w:p w:rsidR="00B21A9A" w:rsidRPr="002D4C4C" w:rsidRDefault="00B21A9A" w:rsidP="00B21A9A">
            <w:pPr>
              <w:jc w:val="left"/>
              <w:rPr>
                <w:rFonts w:eastAsia="Dotum" w:cs="Arial"/>
                <w:sz w:val="22"/>
                <w:szCs w:val="22"/>
                <w:lang w:val="it-CH" w:eastAsia="it-CH"/>
              </w:rPr>
            </w:pPr>
            <w:r w:rsidRPr="002D4C4C">
              <w:rPr>
                <w:rFonts w:eastAsia="Dotum" w:cs="Arial"/>
                <w:sz w:val="22"/>
                <w:szCs w:val="22"/>
                <w:lang w:val="it-CH" w:eastAsia="it-CH"/>
              </w:rPr>
              <w:t>Corte d'appello e di revisione penale</w:t>
            </w:r>
          </w:p>
        </w:tc>
        <w:tc>
          <w:tcPr>
            <w:tcW w:w="3113" w:type="dxa"/>
            <w:vMerge/>
            <w:tcBorders>
              <w:top w:val="single" w:sz="4" w:space="0" w:color="auto"/>
              <w:left w:val="single" w:sz="4" w:space="0" w:color="auto"/>
              <w:bottom w:val="single" w:sz="4" w:space="0" w:color="auto"/>
              <w:right w:val="single" w:sz="4" w:space="0" w:color="auto"/>
            </w:tcBorders>
            <w:vAlign w:val="center"/>
            <w:hideMark/>
          </w:tcPr>
          <w:p w:rsidR="00B21A9A" w:rsidRPr="002D4C4C" w:rsidRDefault="00B21A9A" w:rsidP="00B21A9A">
            <w:pPr>
              <w:jc w:val="left"/>
              <w:rPr>
                <w:rFonts w:cs="Arial"/>
                <w:b/>
                <w:bCs/>
                <w:color w:val="000000"/>
                <w:sz w:val="22"/>
                <w:szCs w:val="22"/>
                <w:lang w:val="it-CH" w:eastAsia="it-CH"/>
              </w:rPr>
            </w:pPr>
          </w:p>
        </w:tc>
      </w:tr>
      <w:tr w:rsidR="00B21A9A" w:rsidRPr="002D4C4C" w:rsidTr="00B21A9A">
        <w:trPr>
          <w:trHeight w:val="288"/>
          <w:jc w:val="center"/>
        </w:trPr>
        <w:tc>
          <w:tcPr>
            <w:tcW w:w="1856" w:type="dxa"/>
            <w:vMerge/>
            <w:tcBorders>
              <w:top w:val="nil"/>
              <w:left w:val="single" w:sz="8" w:space="0" w:color="auto"/>
              <w:bottom w:val="single" w:sz="4" w:space="0" w:color="auto"/>
              <w:right w:val="single" w:sz="4" w:space="0" w:color="auto"/>
            </w:tcBorders>
            <w:vAlign w:val="center"/>
          </w:tcPr>
          <w:p w:rsidR="00B21A9A" w:rsidRPr="002D4C4C" w:rsidRDefault="00B21A9A" w:rsidP="00B21A9A">
            <w:pPr>
              <w:jc w:val="left"/>
              <w:rPr>
                <w:rFonts w:eastAsia="Dotum" w:cs="Arial"/>
                <w:b/>
                <w:color w:val="000000"/>
                <w:sz w:val="22"/>
                <w:szCs w:val="22"/>
                <w:lang w:val="it-CH" w:eastAsia="it-CH"/>
              </w:rPr>
            </w:pPr>
          </w:p>
        </w:tc>
        <w:tc>
          <w:tcPr>
            <w:tcW w:w="4541" w:type="dxa"/>
            <w:tcBorders>
              <w:top w:val="nil"/>
              <w:left w:val="nil"/>
              <w:bottom w:val="single" w:sz="4" w:space="0" w:color="auto"/>
              <w:right w:val="single" w:sz="4" w:space="0" w:color="auto"/>
            </w:tcBorders>
            <w:shd w:val="clear" w:color="auto" w:fill="auto"/>
            <w:noWrap/>
            <w:vAlign w:val="bottom"/>
          </w:tcPr>
          <w:p w:rsidR="00B21A9A" w:rsidRPr="002D4C4C" w:rsidRDefault="00B21A9A" w:rsidP="00B21A9A">
            <w:pPr>
              <w:jc w:val="left"/>
              <w:rPr>
                <w:rFonts w:eastAsia="Dotum" w:cs="Arial"/>
                <w:sz w:val="22"/>
                <w:szCs w:val="22"/>
                <w:lang w:val="it-CH" w:eastAsia="it-CH"/>
              </w:rPr>
            </w:pPr>
            <w:r w:rsidRPr="002D4C4C">
              <w:rPr>
                <w:rFonts w:eastAsia="Dotum" w:cs="Arial"/>
                <w:sz w:val="22"/>
                <w:szCs w:val="22"/>
                <w:lang w:val="it-CH" w:eastAsia="it-CH"/>
              </w:rPr>
              <w:t>Pretura penale</w:t>
            </w:r>
          </w:p>
        </w:tc>
        <w:tc>
          <w:tcPr>
            <w:tcW w:w="3113" w:type="dxa"/>
            <w:vMerge/>
            <w:tcBorders>
              <w:top w:val="single" w:sz="4" w:space="0" w:color="auto"/>
              <w:left w:val="single" w:sz="4" w:space="0" w:color="auto"/>
              <w:bottom w:val="single" w:sz="4" w:space="0" w:color="auto"/>
              <w:right w:val="single" w:sz="4" w:space="0" w:color="auto"/>
            </w:tcBorders>
            <w:vAlign w:val="center"/>
          </w:tcPr>
          <w:p w:rsidR="00B21A9A" w:rsidRPr="002D4C4C" w:rsidRDefault="00B21A9A" w:rsidP="00B21A9A">
            <w:pPr>
              <w:jc w:val="left"/>
              <w:rPr>
                <w:rFonts w:cs="Arial"/>
                <w:b/>
                <w:bCs/>
                <w:color w:val="000000"/>
                <w:sz w:val="22"/>
                <w:szCs w:val="22"/>
                <w:lang w:val="it-CH" w:eastAsia="it-CH"/>
              </w:rPr>
            </w:pPr>
          </w:p>
        </w:tc>
      </w:tr>
      <w:tr w:rsidR="00B21A9A" w:rsidRPr="002D4C4C" w:rsidTr="00B21A9A">
        <w:trPr>
          <w:trHeight w:val="288"/>
          <w:jc w:val="center"/>
        </w:trPr>
        <w:tc>
          <w:tcPr>
            <w:tcW w:w="1856" w:type="dxa"/>
            <w:vMerge/>
            <w:tcBorders>
              <w:top w:val="nil"/>
              <w:left w:val="single" w:sz="8" w:space="0" w:color="auto"/>
              <w:bottom w:val="single" w:sz="4" w:space="0" w:color="auto"/>
              <w:right w:val="single" w:sz="4" w:space="0" w:color="auto"/>
            </w:tcBorders>
            <w:vAlign w:val="center"/>
          </w:tcPr>
          <w:p w:rsidR="00B21A9A" w:rsidRPr="002D4C4C" w:rsidRDefault="00B21A9A" w:rsidP="00B21A9A">
            <w:pPr>
              <w:jc w:val="left"/>
              <w:rPr>
                <w:rFonts w:eastAsia="Dotum" w:cs="Arial"/>
                <w:b/>
                <w:color w:val="000000"/>
                <w:sz w:val="22"/>
                <w:szCs w:val="22"/>
                <w:lang w:val="it-CH" w:eastAsia="it-CH"/>
              </w:rPr>
            </w:pPr>
          </w:p>
        </w:tc>
        <w:tc>
          <w:tcPr>
            <w:tcW w:w="4541" w:type="dxa"/>
            <w:tcBorders>
              <w:top w:val="nil"/>
              <w:left w:val="nil"/>
              <w:bottom w:val="single" w:sz="4" w:space="0" w:color="auto"/>
              <w:right w:val="single" w:sz="4" w:space="0" w:color="auto"/>
            </w:tcBorders>
            <w:shd w:val="clear" w:color="auto" w:fill="auto"/>
            <w:noWrap/>
            <w:vAlign w:val="bottom"/>
          </w:tcPr>
          <w:p w:rsidR="00B21A9A" w:rsidRDefault="00B21A9A" w:rsidP="00B21A9A">
            <w:pPr>
              <w:jc w:val="left"/>
              <w:rPr>
                <w:rFonts w:eastAsia="Dotum" w:cs="Arial"/>
                <w:sz w:val="22"/>
                <w:szCs w:val="22"/>
                <w:lang w:val="it-CH" w:eastAsia="it-CH"/>
              </w:rPr>
            </w:pPr>
            <w:r w:rsidRPr="002D4C4C">
              <w:rPr>
                <w:rFonts w:eastAsia="Dotum" w:cs="Arial"/>
                <w:sz w:val="22"/>
                <w:szCs w:val="22"/>
                <w:lang w:val="it-CH" w:eastAsia="it-CH"/>
              </w:rPr>
              <w:t>Autorità regional</w:t>
            </w:r>
            <w:r>
              <w:rPr>
                <w:rFonts w:eastAsia="Dotum" w:cs="Arial"/>
                <w:sz w:val="22"/>
                <w:szCs w:val="22"/>
                <w:lang w:val="it-CH" w:eastAsia="it-CH"/>
              </w:rPr>
              <w:t>i</w:t>
            </w:r>
            <w:r w:rsidRPr="002D4C4C">
              <w:rPr>
                <w:rFonts w:eastAsia="Dotum" w:cs="Arial"/>
                <w:sz w:val="22"/>
                <w:szCs w:val="22"/>
                <w:lang w:val="it-CH" w:eastAsia="it-CH"/>
              </w:rPr>
              <w:t xml:space="preserve"> di protezione</w:t>
            </w:r>
          </w:p>
        </w:tc>
        <w:tc>
          <w:tcPr>
            <w:tcW w:w="3113" w:type="dxa"/>
            <w:vMerge/>
            <w:tcBorders>
              <w:top w:val="single" w:sz="4" w:space="0" w:color="auto"/>
              <w:left w:val="single" w:sz="4" w:space="0" w:color="auto"/>
              <w:bottom w:val="single" w:sz="4" w:space="0" w:color="auto"/>
              <w:right w:val="single" w:sz="4" w:space="0" w:color="auto"/>
            </w:tcBorders>
            <w:vAlign w:val="center"/>
          </w:tcPr>
          <w:p w:rsidR="00B21A9A" w:rsidRPr="002D4C4C" w:rsidRDefault="00B21A9A" w:rsidP="00B21A9A">
            <w:pPr>
              <w:jc w:val="left"/>
              <w:rPr>
                <w:rFonts w:cs="Arial"/>
                <w:b/>
                <w:bCs/>
                <w:color w:val="000000"/>
                <w:sz w:val="22"/>
                <w:szCs w:val="22"/>
                <w:lang w:val="it-CH" w:eastAsia="it-CH"/>
              </w:rPr>
            </w:pPr>
          </w:p>
        </w:tc>
      </w:tr>
      <w:tr w:rsidR="00B21A9A" w:rsidRPr="002D4C4C" w:rsidTr="00B21A9A">
        <w:trPr>
          <w:trHeight w:val="288"/>
          <w:jc w:val="center"/>
        </w:trPr>
        <w:tc>
          <w:tcPr>
            <w:tcW w:w="1856" w:type="dxa"/>
            <w:vMerge/>
            <w:tcBorders>
              <w:top w:val="nil"/>
              <w:left w:val="single" w:sz="8" w:space="0" w:color="auto"/>
              <w:bottom w:val="single" w:sz="4" w:space="0" w:color="auto"/>
              <w:right w:val="single" w:sz="4" w:space="0" w:color="auto"/>
            </w:tcBorders>
            <w:vAlign w:val="center"/>
            <w:hideMark/>
          </w:tcPr>
          <w:p w:rsidR="00B21A9A" w:rsidRPr="002D4C4C" w:rsidRDefault="00B21A9A" w:rsidP="00B21A9A">
            <w:pPr>
              <w:jc w:val="left"/>
              <w:rPr>
                <w:rFonts w:eastAsia="Dotum" w:cs="Arial"/>
                <w:b/>
                <w:color w:val="000000"/>
                <w:sz w:val="22"/>
                <w:szCs w:val="22"/>
                <w:lang w:val="it-CH" w:eastAsia="it-CH"/>
              </w:rPr>
            </w:pPr>
          </w:p>
        </w:tc>
        <w:tc>
          <w:tcPr>
            <w:tcW w:w="4541" w:type="dxa"/>
            <w:tcBorders>
              <w:top w:val="nil"/>
              <w:left w:val="nil"/>
              <w:bottom w:val="single" w:sz="4" w:space="0" w:color="auto"/>
              <w:right w:val="single" w:sz="4" w:space="0" w:color="auto"/>
            </w:tcBorders>
            <w:shd w:val="clear" w:color="auto" w:fill="auto"/>
            <w:noWrap/>
            <w:vAlign w:val="bottom"/>
            <w:hideMark/>
          </w:tcPr>
          <w:p w:rsidR="00B21A9A" w:rsidRPr="002D4C4C" w:rsidRDefault="00B21A9A" w:rsidP="00B21A9A">
            <w:pPr>
              <w:jc w:val="left"/>
              <w:rPr>
                <w:rFonts w:eastAsia="Dotum" w:cs="Arial"/>
                <w:sz w:val="22"/>
                <w:szCs w:val="22"/>
                <w:lang w:val="it-CH" w:eastAsia="it-CH"/>
              </w:rPr>
            </w:pPr>
            <w:r>
              <w:rPr>
                <w:rFonts w:eastAsia="Dotum" w:cs="Arial"/>
                <w:sz w:val="22"/>
                <w:szCs w:val="22"/>
                <w:lang w:val="it-CH" w:eastAsia="it-CH"/>
              </w:rPr>
              <w:t>Consiglio della Magistratura</w:t>
            </w:r>
          </w:p>
        </w:tc>
        <w:tc>
          <w:tcPr>
            <w:tcW w:w="3113" w:type="dxa"/>
            <w:vMerge/>
            <w:tcBorders>
              <w:top w:val="single" w:sz="4" w:space="0" w:color="auto"/>
              <w:left w:val="single" w:sz="4" w:space="0" w:color="auto"/>
              <w:bottom w:val="single" w:sz="4" w:space="0" w:color="auto"/>
              <w:right w:val="single" w:sz="4" w:space="0" w:color="auto"/>
            </w:tcBorders>
            <w:vAlign w:val="center"/>
            <w:hideMark/>
          </w:tcPr>
          <w:p w:rsidR="00B21A9A" w:rsidRPr="002D4C4C" w:rsidRDefault="00B21A9A" w:rsidP="00B21A9A">
            <w:pPr>
              <w:jc w:val="left"/>
              <w:rPr>
                <w:rFonts w:cs="Arial"/>
                <w:b/>
                <w:bCs/>
                <w:color w:val="000000"/>
                <w:sz w:val="22"/>
                <w:szCs w:val="22"/>
                <w:lang w:val="it-CH" w:eastAsia="it-CH"/>
              </w:rPr>
            </w:pPr>
          </w:p>
        </w:tc>
      </w:tr>
      <w:tr w:rsidR="00B21A9A" w:rsidRPr="002D4C4C" w:rsidTr="00B21A9A">
        <w:trPr>
          <w:trHeight w:val="288"/>
          <w:jc w:val="center"/>
        </w:trPr>
        <w:tc>
          <w:tcPr>
            <w:tcW w:w="1856" w:type="dxa"/>
            <w:vMerge w:val="restart"/>
            <w:tcBorders>
              <w:top w:val="nil"/>
              <w:left w:val="single" w:sz="8" w:space="0" w:color="auto"/>
              <w:bottom w:val="single" w:sz="8" w:space="0" w:color="000000"/>
              <w:right w:val="single" w:sz="4" w:space="0" w:color="auto"/>
            </w:tcBorders>
            <w:shd w:val="clear" w:color="auto" w:fill="auto"/>
            <w:vAlign w:val="center"/>
            <w:hideMark/>
          </w:tcPr>
          <w:p w:rsidR="00B21A9A" w:rsidRPr="002D4C4C" w:rsidRDefault="00B21A9A" w:rsidP="00B21A9A">
            <w:pPr>
              <w:jc w:val="center"/>
              <w:rPr>
                <w:rFonts w:eastAsia="Dotum" w:cs="Arial"/>
                <w:b/>
                <w:color w:val="000000"/>
                <w:sz w:val="22"/>
                <w:szCs w:val="22"/>
                <w:lang w:val="it-CH" w:eastAsia="it-CH"/>
              </w:rPr>
            </w:pPr>
            <w:r w:rsidRPr="002D4C4C">
              <w:rPr>
                <w:rFonts w:eastAsia="Dotum" w:cs="Arial"/>
                <w:b/>
                <w:color w:val="000000"/>
                <w:sz w:val="22"/>
                <w:szCs w:val="22"/>
                <w:lang w:val="it-CH" w:eastAsia="it-CH"/>
              </w:rPr>
              <w:t xml:space="preserve">Servizi amministrativi </w:t>
            </w:r>
            <w:r>
              <w:rPr>
                <w:rFonts w:eastAsia="Dotum" w:cs="Arial"/>
                <w:b/>
                <w:color w:val="000000"/>
                <w:sz w:val="22"/>
                <w:szCs w:val="22"/>
                <w:lang w:val="it-CH" w:eastAsia="it-CH"/>
              </w:rPr>
              <w:t>l</w:t>
            </w:r>
            <w:r w:rsidRPr="002D4C4C">
              <w:rPr>
                <w:rFonts w:eastAsia="Dotum" w:cs="Arial"/>
                <w:b/>
                <w:color w:val="000000"/>
                <w:sz w:val="22"/>
                <w:szCs w:val="22"/>
                <w:lang w:val="it-CH" w:eastAsia="it-CH"/>
              </w:rPr>
              <w:t>uganese</w:t>
            </w:r>
          </w:p>
        </w:tc>
        <w:tc>
          <w:tcPr>
            <w:tcW w:w="4541" w:type="dxa"/>
            <w:tcBorders>
              <w:top w:val="nil"/>
              <w:left w:val="nil"/>
              <w:bottom w:val="single" w:sz="4" w:space="0" w:color="auto"/>
              <w:right w:val="single" w:sz="4" w:space="0" w:color="auto"/>
            </w:tcBorders>
            <w:shd w:val="clear" w:color="auto" w:fill="auto"/>
            <w:noWrap/>
            <w:vAlign w:val="bottom"/>
            <w:hideMark/>
          </w:tcPr>
          <w:p w:rsidR="00B21A9A" w:rsidRPr="002D4C4C" w:rsidRDefault="00B21A9A" w:rsidP="00B21A9A">
            <w:pPr>
              <w:jc w:val="left"/>
              <w:rPr>
                <w:rFonts w:eastAsia="Dotum" w:cs="Arial"/>
                <w:sz w:val="22"/>
                <w:szCs w:val="22"/>
                <w:lang w:val="it-CH" w:eastAsia="it-CH"/>
              </w:rPr>
            </w:pPr>
            <w:r w:rsidRPr="002D4C4C">
              <w:rPr>
                <w:rFonts w:eastAsia="Dotum" w:cs="Arial"/>
                <w:sz w:val="22"/>
                <w:szCs w:val="22"/>
                <w:lang w:val="it-CH" w:eastAsia="it-CH"/>
              </w:rPr>
              <w:t>Ufficio dei fallimenti</w:t>
            </w:r>
          </w:p>
        </w:tc>
        <w:tc>
          <w:tcPr>
            <w:tcW w:w="3113" w:type="dxa"/>
            <w:vMerge/>
            <w:tcBorders>
              <w:top w:val="single" w:sz="4" w:space="0" w:color="auto"/>
              <w:left w:val="single" w:sz="4" w:space="0" w:color="auto"/>
              <w:bottom w:val="single" w:sz="4" w:space="0" w:color="auto"/>
              <w:right w:val="single" w:sz="4" w:space="0" w:color="auto"/>
            </w:tcBorders>
            <w:vAlign w:val="center"/>
            <w:hideMark/>
          </w:tcPr>
          <w:p w:rsidR="00B21A9A" w:rsidRPr="002D4C4C" w:rsidRDefault="00B21A9A" w:rsidP="00B21A9A">
            <w:pPr>
              <w:jc w:val="left"/>
              <w:rPr>
                <w:rFonts w:cs="Arial"/>
                <w:b/>
                <w:bCs/>
                <w:color w:val="000000"/>
                <w:sz w:val="22"/>
                <w:szCs w:val="22"/>
                <w:lang w:val="it-CH" w:eastAsia="it-CH"/>
              </w:rPr>
            </w:pPr>
          </w:p>
        </w:tc>
      </w:tr>
      <w:tr w:rsidR="00B21A9A" w:rsidRPr="002D4C4C" w:rsidTr="00B21A9A">
        <w:trPr>
          <w:trHeight w:val="288"/>
          <w:jc w:val="center"/>
        </w:trPr>
        <w:tc>
          <w:tcPr>
            <w:tcW w:w="1856" w:type="dxa"/>
            <w:vMerge/>
            <w:tcBorders>
              <w:top w:val="nil"/>
              <w:left w:val="single" w:sz="8" w:space="0" w:color="auto"/>
              <w:bottom w:val="single" w:sz="8" w:space="0" w:color="000000"/>
              <w:right w:val="single" w:sz="4" w:space="0" w:color="auto"/>
            </w:tcBorders>
            <w:vAlign w:val="center"/>
            <w:hideMark/>
          </w:tcPr>
          <w:p w:rsidR="00B21A9A" w:rsidRPr="002D4C4C" w:rsidRDefault="00B21A9A" w:rsidP="00B21A9A">
            <w:pPr>
              <w:jc w:val="left"/>
              <w:rPr>
                <w:rFonts w:eastAsia="Dotum" w:cs="Arial"/>
                <w:b/>
                <w:color w:val="000000"/>
                <w:sz w:val="22"/>
                <w:szCs w:val="22"/>
                <w:lang w:val="it-CH" w:eastAsia="it-CH"/>
              </w:rPr>
            </w:pPr>
          </w:p>
        </w:tc>
        <w:tc>
          <w:tcPr>
            <w:tcW w:w="4541" w:type="dxa"/>
            <w:tcBorders>
              <w:top w:val="nil"/>
              <w:left w:val="nil"/>
              <w:bottom w:val="single" w:sz="4" w:space="0" w:color="auto"/>
              <w:right w:val="single" w:sz="4" w:space="0" w:color="auto"/>
            </w:tcBorders>
            <w:shd w:val="clear" w:color="auto" w:fill="auto"/>
            <w:noWrap/>
            <w:vAlign w:val="bottom"/>
            <w:hideMark/>
          </w:tcPr>
          <w:p w:rsidR="00B21A9A" w:rsidRPr="002D4C4C" w:rsidRDefault="00B21A9A" w:rsidP="00B21A9A">
            <w:pPr>
              <w:jc w:val="left"/>
              <w:rPr>
                <w:rFonts w:eastAsia="Dotum" w:cs="Arial"/>
                <w:sz w:val="22"/>
                <w:szCs w:val="22"/>
                <w:lang w:val="it-CH" w:eastAsia="it-CH"/>
              </w:rPr>
            </w:pPr>
            <w:r w:rsidRPr="002D4C4C">
              <w:rPr>
                <w:rFonts w:eastAsia="Dotum" w:cs="Arial"/>
                <w:sz w:val="22"/>
                <w:szCs w:val="22"/>
                <w:lang w:val="it-CH" w:eastAsia="it-CH"/>
              </w:rPr>
              <w:t>Ufficio di esecuzione</w:t>
            </w:r>
          </w:p>
        </w:tc>
        <w:tc>
          <w:tcPr>
            <w:tcW w:w="3113" w:type="dxa"/>
            <w:vMerge/>
            <w:tcBorders>
              <w:top w:val="single" w:sz="4" w:space="0" w:color="auto"/>
              <w:left w:val="single" w:sz="4" w:space="0" w:color="auto"/>
              <w:bottom w:val="single" w:sz="4" w:space="0" w:color="auto"/>
              <w:right w:val="single" w:sz="4" w:space="0" w:color="auto"/>
            </w:tcBorders>
            <w:vAlign w:val="center"/>
            <w:hideMark/>
          </w:tcPr>
          <w:p w:rsidR="00B21A9A" w:rsidRPr="002D4C4C" w:rsidRDefault="00B21A9A" w:rsidP="00B21A9A">
            <w:pPr>
              <w:jc w:val="left"/>
              <w:rPr>
                <w:rFonts w:cs="Arial"/>
                <w:b/>
                <w:bCs/>
                <w:color w:val="000000"/>
                <w:sz w:val="22"/>
                <w:szCs w:val="22"/>
                <w:lang w:val="it-CH" w:eastAsia="it-CH"/>
              </w:rPr>
            </w:pPr>
          </w:p>
        </w:tc>
      </w:tr>
      <w:tr w:rsidR="00B21A9A" w:rsidRPr="002D4C4C" w:rsidTr="00B21A9A">
        <w:trPr>
          <w:trHeight w:val="288"/>
          <w:jc w:val="center"/>
        </w:trPr>
        <w:tc>
          <w:tcPr>
            <w:tcW w:w="1856" w:type="dxa"/>
            <w:vMerge/>
            <w:tcBorders>
              <w:top w:val="nil"/>
              <w:left w:val="single" w:sz="8" w:space="0" w:color="auto"/>
              <w:bottom w:val="single" w:sz="8" w:space="0" w:color="000000"/>
              <w:right w:val="single" w:sz="4" w:space="0" w:color="auto"/>
            </w:tcBorders>
            <w:vAlign w:val="center"/>
            <w:hideMark/>
          </w:tcPr>
          <w:p w:rsidR="00B21A9A" w:rsidRPr="002D4C4C" w:rsidRDefault="00B21A9A" w:rsidP="00B21A9A">
            <w:pPr>
              <w:jc w:val="left"/>
              <w:rPr>
                <w:rFonts w:eastAsia="Dotum" w:cs="Arial"/>
                <w:b/>
                <w:color w:val="000000"/>
                <w:sz w:val="22"/>
                <w:szCs w:val="22"/>
                <w:lang w:val="it-CH" w:eastAsia="it-CH"/>
              </w:rPr>
            </w:pPr>
          </w:p>
        </w:tc>
        <w:tc>
          <w:tcPr>
            <w:tcW w:w="4541" w:type="dxa"/>
            <w:tcBorders>
              <w:top w:val="nil"/>
              <w:left w:val="nil"/>
              <w:bottom w:val="single" w:sz="4" w:space="0" w:color="auto"/>
              <w:right w:val="single" w:sz="4" w:space="0" w:color="auto"/>
            </w:tcBorders>
            <w:shd w:val="clear" w:color="auto" w:fill="auto"/>
            <w:noWrap/>
            <w:vAlign w:val="bottom"/>
            <w:hideMark/>
          </w:tcPr>
          <w:p w:rsidR="00B21A9A" w:rsidRPr="002D4C4C" w:rsidRDefault="00B21A9A" w:rsidP="00B21A9A">
            <w:pPr>
              <w:jc w:val="left"/>
              <w:rPr>
                <w:rFonts w:eastAsia="Dotum" w:cs="Arial"/>
                <w:sz w:val="22"/>
                <w:szCs w:val="22"/>
                <w:lang w:val="it-CH" w:eastAsia="it-CH"/>
              </w:rPr>
            </w:pPr>
            <w:r>
              <w:rPr>
                <w:rFonts w:eastAsia="Dotum" w:cs="Arial"/>
                <w:sz w:val="22"/>
                <w:szCs w:val="22"/>
                <w:lang w:val="it-CH" w:eastAsia="it-CH"/>
              </w:rPr>
              <w:t xml:space="preserve">Autorità di prima istanza </w:t>
            </w:r>
            <w:r w:rsidRPr="002D4C4C">
              <w:rPr>
                <w:rFonts w:eastAsia="Dotum" w:cs="Arial"/>
                <w:sz w:val="22"/>
                <w:szCs w:val="22"/>
                <w:lang w:val="it-CH" w:eastAsia="it-CH"/>
              </w:rPr>
              <w:t>LAFE</w:t>
            </w:r>
          </w:p>
        </w:tc>
        <w:tc>
          <w:tcPr>
            <w:tcW w:w="3113" w:type="dxa"/>
            <w:vMerge/>
            <w:tcBorders>
              <w:top w:val="single" w:sz="4" w:space="0" w:color="auto"/>
              <w:left w:val="single" w:sz="4" w:space="0" w:color="auto"/>
              <w:bottom w:val="single" w:sz="4" w:space="0" w:color="auto"/>
              <w:right w:val="single" w:sz="4" w:space="0" w:color="auto"/>
            </w:tcBorders>
            <w:vAlign w:val="center"/>
            <w:hideMark/>
          </w:tcPr>
          <w:p w:rsidR="00B21A9A" w:rsidRPr="002D4C4C" w:rsidRDefault="00B21A9A" w:rsidP="00B21A9A">
            <w:pPr>
              <w:jc w:val="left"/>
              <w:rPr>
                <w:rFonts w:cs="Arial"/>
                <w:b/>
                <w:bCs/>
                <w:color w:val="000000"/>
                <w:sz w:val="22"/>
                <w:szCs w:val="22"/>
                <w:lang w:val="it-CH" w:eastAsia="it-CH"/>
              </w:rPr>
            </w:pPr>
          </w:p>
        </w:tc>
      </w:tr>
      <w:tr w:rsidR="00B21A9A" w:rsidRPr="002D4C4C" w:rsidTr="00B21A9A">
        <w:trPr>
          <w:trHeight w:val="288"/>
          <w:jc w:val="center"/>
        </w:trPr>
        <w:tc>
          <w:tcPr>
            <w:tcW w:w="1856" w:type="dxa"/>
            <w:vMerge/>
            <w:tcBorders>
              <w:top w:val="nil"/>
              <w:left w:val="single" w:sz="8" w:space="0" w:color="auto"/>
              <w:bottom w:val="single" w:sz="8" w:space="0" w:color="000000"/>
              <w:right w:val="single" w:sz="4" w:space="0" w:color="auto"/>
            </w:tcBorders>
            <w:vAlign w:val="center"/>
            <w:hideMark/>
          </w:tcPr>
          <w:p w:rsidR="00B21A9A" w:rsidRPr="002D4C4C" w:rsidRDefault="00B21A9A" w:rsidP="00B21A9A">
            <w:pPr>
              <w:jc w:val="left"/>
              <w:rPr>
                <w:rFonts w:eastAsia="Dotum" w:cs="Arial"/>
                <w:b/>
                <w:color w:val="000000"/>
                <w:sz w:val="22"/>
                <w:szCs w:val="22"/>
                <w:lang w:val="it-CH" w:eastAsia="it-CH"/>
              </w:rPr>
            </w:pPr>
          </w:p>
        </w:tc>
        <w:tc>
          <w:tcPr>
            <w:tcW w:w="4541" w:type="dxa"/>
            <w:tcBorders>
              <w:top w:val="nil"/>
              <w:left w:val="nil"/>
              <w:bottom w:val="single" w:sz="4" w:space="0" w:color="auto"/>
              <w:right w:val="single" w:sz="4" w:space="0" w:color="auto"/>
            </w:tcBorders>
            <w:shd w:val="clear" w:color="auto" w:fill="auto"/>
            <w:noWrap/>
            <w:vAlign w:val="bottom"/>
            <w:hideMark/>
          </w:tcPr>
          <w:p w:rsidR="00B21A9A" w:rsidRPr="002D4C4C" w:rsidRDefault="00B21A9A" w:rsidP="00B21A9A">
            <w:pPr>
              <w:jc w:val="left"/>
              <w:rPr>
                <w:rFonts w:eastAsia="Dotum" w:cs="Arial"/>
                <w:sz w:val="22"/>
                <w:szCs w:val="22"/>
                <w:lang w:val="it-CH" w:eastAsia="it-CH"/>
              </w:rPr>
            </w:pPr>
            <w:r w:rsidRPr="002D4C4C">
              <w:rPr>
                <w:rFonts w:eastAsia="Dotum" w:cs="Arial"/>
                <w:sz w:val="22"/>
                <w:szCs w:val="22"/>
                <w:lang w:val="it-CH" w:eastAsia="it-CH"/>
              </w:rPr>
              <w:t>Messaggeria</w:t>
            </w:r>
          </w:p>
        </w:tc>
        <w:tc>
          <w:tcPr>
            <w:tcW w:w="3113" w:type="dxa"/>
            <w:vMerge/>
            <w:tcBorders>
              <w:top w:val="single" w:sz="4" w:space="0" w:color="auto"/>
              <w:left w:val="single" w:sz="4" w:space="0" w:color="auto"/>
              <w:bottom w:val="single" w:sz="4" w:space="0" w:color="auto"/>
              <w:right w:val="single" w:sz="4" w:space="0" w:color="auto"/>
            </w:tcBorders>
            <w:vAlign w:val="center"/>
            <w:hideMark/>
          </w:tcPr>
          <w:p w:rsidR="00B21A9A" w:rsidRPr="002D4C4C" w:rsidRDefault="00B21A9A" w:rsidP="00B21A9A">
            <w:pPr>
              <w:jc w:val="left"/>
              <w:rPr>
                <w:rFonts w:cs="Arial"/>
                <w:b/>
                <w:bCs/>
                <w:color w:val="000000"/>
                <w:sz w:val="22"/>
                <w:szCs w:val="22"/>
                <w:lang w:val="it-CH" w:eastAsia="it-CH"/>
              </w:rPr>
            </w:pPr>
          </w:p>
        </w:tc>
      </w:tr>
      <w:tr w:rsidR="00B21A9A" w:rsidRPr="002D4C4C" w:rsidTr="00B21A9A">
        <w:trPr>
          <w:trHeight w:val="300"/>
          <w:jc w:val="center"/>
        </w:trPr>
        <w:tc>
          <w:tcPr>
            <w:tcW w:w="1856" w:type="dxa"/>
            <w:vMerge/>
            <w:tcBorders>
              <w:top w:val="nil"/>
              <w:left w:val="single" w:sz="8" w:space="0" w:color="auto"/>
              <w:bottom w:val="single" w:sz="8" w:space="0" w:color="000000"/>
              <w:right w:val="single" w:sz="4" w:space="0" w:color="auto"/>
            </w:tcBorders>
            <w:vAlign w:val="center"/>
            <w:hideMark/>
          </w:tcPr>
          <w:p w:rsidR="00B21A9A" w:rsidRPr="002D4C4C" w:rsidRDefault="00B21A9A" w:rsidP="00B21A9A">
            <w:pPr>
              <w:jc w:val="left"/>
              <w:rPr>
                <w:rFonts w:eastAsia="Dotum" w:cs="Arial"/>
                <w:b/>
                <w:color w:val="000000"/>
                <w:sz w:val="22"/>
                <w:szCs w:val="22"/>
                <w:lang w:val="it-CH" w:eastAsia="it-CH"/>
              </w:rPr>
            </w:pPr>
          </w:p>
        </w:tc>
        <w:tc>
          <w:tcPr>
            <w:tcW w:w="4541" w:type="dxa"/>
            <w:tcBorders>
              <w:top w:val="nil"/>
              <w:left w:val="nil"/>
              <w:bottom w:val="single" w:sz="8" w:space="0" w:color="auto"/>
              <w:right w:val="single" w:sz="4" w:space="0" w:color="auto"/>
            </w:tcBorders>
            <w:shd w:val="clear" w:color="auto" w:fill="auto"/>
            <w:noWrap/>
            <w:vAlign w:val="bottom"/>
            <w:hideMark/>
          </w:tcPr>
          <w:p w:rsidR="00B21A9A" w:rsidRPr="002D4C4C" w:rsidRDefault="00B21A9A" w:rsidP="00B21A9A">
            <w:pPr>
              <w:jc w:val="left"/>
              <w:rPr>
                <w:rFonts w:eastAsia="Dotum" w:cs="Arial"/>
                <w:sz w:val="22"/>
                <w:szCs w:val="22"/>
                <w:lang w:val="it-CH" w:eastAsia="it-CH"/>
              </w:rPr>
            </w:pPr>
            <w:r w:rsidRPr="002D4C4C">
              <w:rPr>
                <w:rFonts w:eastAsia="Dotum" w:cs="Arial"/>
                <w:sz w:val="22"/>
                <w:szCs w:val="22"/>
                <w:lang w:val="it-CH" w:eastAsia="it-CH"/>
              </w:rPr>
              <w:t>Ufficio dello Stato civile (ev. riserva)</w:t>
            </w:r>
          </w:p>
        </w:tc>
        <w:tc>
          <w:tcPr>
            <w:tcW w:w="3113" w:type="dxa"/>
            <w:vMerge/>
            <w:tcBorders>
              <w:top w:val="single" w:sz="4" w:space="0" w:color="auto"/>
              <w:left w:val="single" w:sz="4" w:space="0" w:color="auto"/>
              <w:bottom w:val="single" w:sz="4" w:space="0" w:color="auto"/>
              <w:right w:val="single" w:sz="4" w:space="0" w:color="auto"/>
            </w:tcBorders>
            <w:vAlign w:val="center"/>
            <w:hideMark/>
          </w:tcPr>
          <w:p w:rsidR="00B21A9A" w:rsidRPr="002D4C4C" w:rsidRDefault="00B21A9A" w:rsidP="00B21A9A">
            <w:pPr>
              <w:jc w:val="left"/>
              <w:rPr>
                <w:rFonts w:cs="Arial"/>
                <w:b/>
                <w:bCs/>
                <w:color w:val="000000"/>
                <w:sz w:val="22"/>
                <w:szCs w:val="22"/>
                <w:lang w:val="it-CH" w:eastAsia="it-CH"/>
              </w:rPr>
            </w:pPr>
          </w:p>
        </w:tc>
      </w:tr>
      <w:tr w:rsidR="00B21A9A" w:rsidRPr="002D4C4C" w:rsidTr="00B21A9A">
        <w:trPr>
          <w:trHeight w:val="288"/>
          <w:jc w:val="center"/>
        </w:trPr>
        <w:tc>
          <w:tcPr>
            <w:tcW w:w="1856"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B21A9A" w:rsidRPr="002D4C4C" w:rsidRDefault="00B21A9A" w:rsidP="00B21A9A">
            <w:pPr>
              <w:jc w:val="center"/>
              <w:rPr>
                <w:rFonts w:eastAsia="Dotum" w:cs="Arial"/>
                <w:b/>
                <w:color w:val="000000"/>
                <w:sz w:val="22"/>
                <w:szCs w:val="22"/>
                <w:lang w:val="it-CH" w:eastAsia="it-CH"/>
              </w:rPr>
            </w:pPr>
            <w:r w:rsidRPr="002D4C4C">
              <w:rPr>
                <w:rFonts w:eastAsia="Dotum" w:cs="Arial"/>
                <w:b/>
                <w:color w:val="000000"/>
                <w:sz w:val="22"/>
                <w:szCs w:val="22"/>
                <w:lang w:val="it-CH" w:eastAsia="it-CH"/>
              </w:rPr>
              <w:t>Autorità inquirenti</w:t>
            </w:r>
          </w:p>
        </w:tc>
        <w:tc>
          <w:tcPr>
            <w:tcW w:w="4541" w:type="dxa"/>
            <w:tcBorders>
              <w:top w:val="single" w:sz="4" w:space="0" w:color="auto"/>
              <w:left w:val="nil"/>
              <w:bottom w:val="single" w:sz="4" w:space="0" w:color="auto"/>
              <w:right w:val="single" w:sz="4" w:space="0" w:color="auto"/>
            </w:tcBorders>
            <w:shd w:val="clear" w:color="auto" w:fill="auto"/>
            <w:noWrap/>
            <w:vAlign w:val="bottom"/>
            <w:hideMark/>
          </w:tcPr>
          <w:p w:rsidR="00B21A9A" w:rsidRPr="002D4C4C" w:rsidRDefault="00B21A9A" w:rsidP="00B21A9A">
            <w:pPr>
              <w:jc w:val="left"/>
              <w:rPr>
                <w:rFonts w:eastAsia="Dotum" w:cs="Arial"/>
                <w:sz w:val="22"/>
                <w:szCs w:val="22"/>
                <w:lang w:val="it-CH" w:eastAsia="it-CH"/>
              </w:rPr>
            </w:pPr>
            <w:r w:rsidRPr="002D4C4C">
              <w:rPr>
                <w:rFonts w:eastAsia="Dotum" w:cs="Arial"/>
                <w:sz w:val="22"/>
                <w:szCs w:val="22"/>
                <w:lang w:val="it-CH" w:eastAsia="it-CH"/>
              </w:rPr>
              <w:t>Ministero pubblico Lugano</w:t>
            </w:r>
          </w:p>
        </w:tc>
        <w:tc>
          <w:tcPr>
            <w:tcW w:w="31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A9A" w:rsidRPr="002D4C4C" w:rsidRDefault="00B21A9A" w:rsidP="00B21A9A">
            <w:pPr>
              <w:jc w:val="center"/>
              <w:rPr>
                <w:rFonts w:cs="Arial"/>
                <w:b/>
                <w:bCs/>
                <w:color w:val="000000"/>
                <w:sz w:val="22"/>
                <w:szCs w:val="22"/>
                <w:lang w:val="it-CH" w:eastAsia="it-CH"/>
              </w:rPr>
            </w:pPr>
            <w:r w:rsidRPr="002D4C4C">
              <w:rPr>
                <w:rFonts w:cs="Arial"/>
                <w:b/>
                <w:bCs/>
                <w:color w:val="000000"/>
                <w:sz w:val="22"/>
                <w:szCs w:val="22"/>
                <w:lang w:val="it-CH" w:eastAsia="it-CH"/>
              </w:rPr>
              <w:t>PGL</w:t>
            </w:r>
          </w:p>
        </w:tc>
      </w:tr>
      <w:tr w:rsidR="00B21A9A" w:rsidRPr="002D4C4C" w:rsidTr="00B21A9A">
        <w:trPr>
          <w:trHeight w:val="288"/>
          <w:jc w:val="center"/>
        </w:trPr>
        <w:tc>
          <w:tcPr>
            <w:tcW w:w="1856" w:type="dxa"/>
            <w:vMerge/>
            <w:tcBorders>
              <w:top w:val="nil"/>
              <w:left w:val="single" w:sz="8" w:space="0" w:color="auto"/>
              <w:bottom w:val="single" w:sz="4" w:space="0" w:color="000000"/>
              <w:right w:val="single" w:sz="4" w:space="0" w:color="auto"/>
            </w:tcBorders>
            <w:vAlign w:val="center"/>
            <w:hideMark/>
          </w:tcPr>
          <w:p w:rsidR="00B21A9A" w:rsidRPr="002D4C4C" w:rsidRDefault="00B21A9A" w:rsidP="00B21A9A">
            <w:pPr>
              <w:jc w:val="left"/>
              <w:rPr>
                <w:rFonts w:eastAsia="Dotum" w:cs="Arial"/>
                <w:b/>
                <w:color w:val="000000"/>
                <w:sz w:val="22"/>
                <w:szCs w:val="22"/>
                <w:lang w:val="it-CH" w:eastAsia="it-CH"/>
              </w:rPr>
            </w:pPr>
          </w:p>
        </w:tc>
        <w:tc>
          <w:tcPr>
            <w:tcW w:w="4541" w:type="dxa"/>
            <w:tcBorders>
              <w:top w:val="nil"/>
              <w:left w:val="nil"/>
              <w:bottom w:val="single" w:sz="4" w:space="0" w:color="auto"/>
              <w:right w:val="single" w:sz="4" w:space="0" w:color="auto"/>
            </w:tcBorders>
            <w:shd w:val="clear" w:color="auto" w:fill="auto"/>
            <w:noWrap/>
            <w:vAlign w:val="bottom"/>
            <w:hideMark/>
          </w:tcPr>
          <w:p w:rsidR="00B21A9A" w:rsidRPr="002D4C4C" w:rsidRDefault="00B21A9A" w:rsidP="00B21A9A">
            <w:pPr>
              <w:jc w:val="left"/>
              <w:rPr>
                <w:rFonts w:eastAsia="Dotum" w:cs="Arial"/>
                <w:sz w:val="22"/>
                <w:szCs w:val="22"/>
                <w:lang w:val="it-CH" w:eastAsia="it-CH"/>
              </w:rPr>
            </w:pPr>
            <w:r w:rsidRPr="002D4C4C">
              <w:rPr>
                <w:rFonts w:eastAsia="Dotum" w:cs="Arial"/>
                <w:sz w:val="22"/>
                <w:szCs w:val="22"/>
                <w:lang w:val="it-CH" w:eastAsia="it-CH"/>
              </w:rPr>
              <w:t>Ministero pubblico Bellinzona</w:t>
            </w:r>
          </w:p>
        </w:tc>
        <w:tc>
          <w:tcPr>
            <w:tcW w:w="3113" w:type="dxa"/>
            <w:vMerge/>
            <w:tcBorders>
              <w:top w:val="single" w:sz="4" w:space="0" w:color="auto"/>
              <w:left w:val="single" w:sz="4" w:space="0" w:color="auto"/>
              <w:bottom w:val="single" w:sz="4" w:space="0" w:color="auto"/>
              <w:right w:val="single" w:sz="4" w:space="0" w:color="auto"/>
            </w:tcBorders>
            <w:vAlign w:val="center"/>
            <w:hideMark/>
          </w:tcPr>
          <w:p w:rsidR="00B21A9A" w:rsidRPr="002D4C4C" w:rsidRDefault="00B21A9A" w:rsidP="00B21A9A">
            <w:pPr>
              <w:jc w:val="left"/>
              <w:rPr>
                <w:rFonts w:cs="Arial"/>
                <w:b/>
                <w:bCs/>
                <w:color w:val="000000"/>
                <w:sz w:val="22"/>
                <w:szCs w:val="22"/>
                <w:lang w:val="it-CH" w:eastAsia="it-CH"/>
              </w:rPr>
            </w:pPr>
          </w:p>
        </w:tc>
      </w:tr>
      <w:tr w:rsidR="00B21A9A" w:rsidRPr="002D4C4C" w:rsidTr="00B21A9A">
        <w:trPr>
          <w:trHeight w:val="288"/>
          <w:jc w:val="center"/>
        </w:trPr>
        <w:tc>
          <w:tcPr>
            <w:tcW w:w="1856" w:type="dxa"/>
            <w:vMerge/>
            <w:tcBorders>
              <w:top w:val="nil"/>
              <w:left w:val="single" w:sz="8" w:space="0" w:color="auto"/>
              <w:bottom w:val="single" w:sz="4" w:space="0" w:color="000000"/>
              <w:right w:val="single" w:sz="4" w:space="0" w:color="auto"/>
            </w:tcBorders>
            <w:vAlign w:val="center"/>
            <w:hideMark/>
          </w:tcPr>
          <w:p w:rsidR="00B21A9A" w:rsidRPr="002D4C4C" w:rsidRDefault="00B21A9A" w:rsidP="00B21A9A">
            <w:pPr>
              <w:jc w:val="left"/>
              <w:rPr>
                <w:rFonts w:eastAsia="Dotum" w:cs="Arial"/>
                <w:b/>
                <w:color w:val="000000"/>
                <w:sz w:val="22"/>
                <w:szCs w:val="22"/>
                <w:lang w:val="it-CH" w:eastAsia="it-CH"/>
              </w:rPr>
            </w:pPr>
          </w:p>
        </w:tc>
        <w:tc>
          <w:tcPr>
            <w:tcW w:w="4541" w:type="dxa"/>
            <w:tcBorders>
              <w:top w:val="nil"/>
              <w:left w:val="nil"/>
              <w:bottom w:val="single" w:sz="4" w:space="0" w:color="auto"/>
              <w:right w:val="single" w:sz="4" w:space="0" w:color="auto"/>
            </w:tcBorders>
            <w:shd w:val="clear" w:color="auto" w:fill="auto"/>
            <w:noWrap/>
            <w:vAlign w:val="bottom"/>
            <w:hideMark/>
          </w:tcPr>
          <w:p w:rsidR="00B21A9A" w:rsidRPr="002D4C4C" w:rsidRDefault="00B21A9A" w:rsidP="00B21A9A">
            <w:pPr>
              <w:jc w:val="left"/>
              <w:rPr>
                <w:rFonts w:eastAsia="Dotum" w:cs="Arial"/>
                <w:sz w:val="22"/>
                <w:szCs w:val="22"/>
                <w:lang w:val="it-CH" w:eastAsia="it-CH"/>
              </w:rPr>
            </w:pPr>
            <w:r w:rsidRPr="002D4C4C">
              <w:rPr>
                <w:rFonts w:eastAsia="Dotum" w:cs="Arial"/>
                <w:sz w:val="22"/>
                <w:szCs w:val="22"/>
                <w:lang w:val="it-CH" w:eastAsia="it-CH"/>
              </w:rPr>
              <w:t>Magistratura dei minorenni (e SEM)</w:t>
            </w:r>
          </w:p>
        </w:tc>
        <w:tc>
          <w:tcPr>
            <w:tcW w:w="3113" w:type="dxa"/>
            <w:vMerge/>
            <w:tcBorders>
              <w:top w:val="single" w:sz="4" w:space="0" w:color="auto"/>
              <w:left w:val="single" w:sz="4" w:space="0" w:color="auto"/>
              <w:bottom w:val="single" w:sz="4" w:space="0" w:color="auto"/>
              <w:right w:val="single" w:sz="4" w:space="0" w:color="auto"/>
            </w:tcBorders>
            <w:vAlign w:val="center"/>
            <w:hideMark/>
          </w:tcPr>
          <w:p w:rsidR="00B21A9A" w:rsidRPr="002D4C4C" w:rsidRDefault="00B21A9A" w:rsidP="00B21A9A">
            <w:pPr>
              <w:jc w:val="left"/>
              <w:rPr>
                <w:rFonts w:cs="Arial"/>
                <w:b/>
                <w:bCs/>
                <w:color w:val="000000"/>
                <w:sz w:val="22"/>
                <w:szCs w:val="22"/>
                <w:lang w:val="it-CH" w:eastAsia="it-CH"/>
              </w:rPr>
            </w:pPr>
          </w:p>
        </w:tc>
      </w:tr>
      <w:tr w:rsidR="00B21A9A" w:rsidRPr="002D4C4C" w:rsidTr="00B21A9A">
        <w:trPr>
          <w:trHeight w:val="288"/>
          <w:jc w:val="center"/>
        </w:trPr>
        <w:tc>
          <w:tcPr>
            <w:tcW w:w="1856" w:type="dxa"/>
            <w:vMerge/>
            <w:tcBorders>
              <w:top w:val="nil"/>
              <w:left w:val="single" w:sz="8" w:space="0" w:color="auto"/>
              <w:bottom w:val="single" w:sz="4" w:space="0" w:color="auto"/>
              <w:right w:val="single" w:sz="4" w:space="0" w:color="auto"/>
            </w:tcBorders>
            <w:vAlign w:val="center"/>
            <w:hideMark/>
          </w:tcPr>
          <w:p w:rsidR="00B21A9A" w:rsidRPr="002D4C4C" w:rsidRDefault="00B21A9A" w:rsidP="00B21A9A">
            <w:pPr>
              <w:jc w:val="left"/>
              <w:rPr>
                <w:rFonts w:eastAsia="Dotum" w:cs="Arial"/>
                <w:b/>
                <w:color w:val="000000"/>
                <w:sz w:val="22"/>
                <w:szCs w:val="22"/>
                <w:lang w:val="it-CH" w:eastAsia="it-CH"/>
              </w:rPr>
            </w:pPr>
          </w:p>
        </w:tc>
        <w:tc>
          <w:tcPr>
            <w:tcW w:w="4541" w:type="dxa"/>
            <w:tcBorders>
              <w:top w:val="nil"/>
              <w:left w:val="nil"/>
              <w:bottom w:val="single" w:sz="4" w:space="0" w:color="auto"/>
              <w:right w:val="single" w:sz="4" w:space="0" w:color="auto"/>
            </w:tcBorders>
            <w:shd w:val="clear" w:color="auto" w:fill="auto"/>
            <w:noWrap/>
            <w:vAlign w:val="bottom"/>
            <w:hideMark/>
          </w:tcPr>
          <w:p w:rsidR="00B21A9A" w:rsidRPr="002D4C4C" w:rsidRDefault="00B21A9A" w:rsidP="00B21A9A">
            <w:pPr>
              <w:jc w:val="left"/>
              <w:rPr>
                <w:rFonts w:eastAsia="Dotum" w:cs="Arial"/>
                <w:sz w:val="22"/>
                <w:szCs w:val="22"/>
                <w:lang w:val="it-CH" w:eastAsia="it-CH"/>
              </w:rPr>
            </w:pPr>
            <w:r w:rsidRPr="002D4C4C">
              <w:rPr>
                <w:rFonts w:eastAsia="Dotum" w:cs="Arial"/>
                <w:sz w:val="22"/>
                <w:szCs w:val="22"/>
                <w:lang w:val="it-CH" w:eastAsia="it-CH"/>
              </w:rPr>
              <w:t>Polizia cantonale (Gend. e PG) Lugano</w:t>
            </w:r>
          </w:p>
        </w:tc>
        <w:tc>
          <w:tcPr>
            <w:tcW w:w="3113" w:type="dxa"/>
            <w:vMerge/>
            <w:tcBorders>
              <w:top w:val="single" w:sz="4" w:space="0" w:color="auto"/>
              <w:left w:val="single" w:sz="4" w:space="0" w:color="auto"/>
              <w:bottom w:val="single" w:sz="4" w:space="0" w:color="auto"/>
              <w:right w:val="single" w:sz="4" w:space="0" w:color="auto"/>
            </w:tcBorders>
            <w:vAlign w:val="center"/>
            <w:hideMark/>
          </w:tcPr>
          <w:p w:rsidR="00B21A9A" w:rsidRPr="002D4C4C" w:rsidRDefault="00B21A9A" w:rsidP="00B21A9A">
            <w:pPr>
              <w:jc w:val="left"/>
              <w:rPr>
                <w:rFonts w:cs="Arial"/>
                <w:b/>
                <w:bCs/>
                <w:color w:val="000000"/>
                <w:sz w:val="22"/>
                <w:szCs w:val="22"/>
                <w:lang w:val="it-CH" w:eastAsia="it-CH"/>
              </w:rPr>
            </w:pPr>
          </w:p>
        </w:tc>
      </w:tr>
      <w:tr w:rsidR="00B21A9A" w:rsidRPr="002D4C4C" w:rsidTr="00B21A9A">
        <w:trPr>
          <w:trHeight w:val="288"/>
          <w:jc w:val="center"/>
        </w:trPr>
        <w:tc>
          <w:tcPr>
            <w:tcW w:w="1856" w:type="dxa"/>
            <w:vMerge w:val="restart"/>
            <w:tcBorders>
              <w:top w:val="single" w:sz="4" w:space="0" w:color="auto"/>
              <w:left w:val="single" w:sz="4" w:space="0" w:color="auto"/>
              <w:right w:val="single" w:sz="4" w:space="0" w:color="auto"/>
            </w:tcBorders>
            <w:vAlign w:val="center"/>
          </w:tcPr>
          <w:p w:rsidR="00B21A9A" w:rsidRPr="002D4C4C" w:rsidRDefault="00B21A9A" w:rsidP="00B21A9A">
            <w:pPr>
              <w:jc w:val="center"/>
              <w:rPr>
                <w:rFonts w:eastAsia="Dotum" w:cs="Arial"/>
                <w:b/>
                <w:color w:val="000000"/>
                <w:sz w:val="22"/>
                <w:szCs w:val="22"/>
                <w:lang w:val="it-CH" w:eastAsia="it-CH"/>
              </w:rPr>
            </w:pPr>
            <w:r w:rsidRPr="002D4C4C">
              <w:rPr>
                <w:rFonts w:eastAsia="Dotum" w:cs="Arial"/>
                <w:b/>
                <w:color w:val="000000"/>
                <w:sz w:val="22"/>
                <w:szCs w:val="22"/>
                <w:lang w:val="it-CH" w:eastAsia="it-CH"/>
              </w:rPr>
              <w:t>Servizi ammin.</w:t>
            </w:r>
          </w:p>
        </w:tc>
        <w:tc>
          <w:tcPr>
            <w:tcW w:w="4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A9A" w:rsidRPr="002D4C4C" w:rsidRDefault="00B21A9A" w:rsidP="00B21A9A">
            <w:pPr>
              <w:jc w:val="left"/>
              <w:rPr>
                <w:rFonts w:eastAsia="Dotum" w:cs="Arial"/>
                <w:sz w:val="22"/>
                <w:szCs w:val="22"/>
                <w:lang w:val="it-CH" w:eastAsia="it-CH"/>
              </w:rPr>
            </w:pPr>
            <w:r w:rsidRPr="002D4C4C">
              <w:rPr>
                <w:rFonts w:eastAsia="Dotum" w:cs="Arial"/>
                <w:sz w:val="22"/>
                <w:szCs w:val="22"/>
                <w:lang w:val="it-CH" w:eastAsia="it-CH"/>
              </w:rPr>
              <w:t xml:space="preserve">Servizio nuove entrate </w:t>
            </w:r>
            <w:r>
              <w:rPr>
                <w:rFonts w:eastAsia="Dotum" w:cs="Arial"/>
                <w:sz w:val="22"/>
                <w:szCs w:val="22"/>
                <w:lang w:val="it-CH" w:eastAsia="it-CH"/>
              </w:rPr>
              <w:t>- Ufficio della migrazione</w:t>
            </w:r>
          </w:p>
        </w:tc>
        <w:tc>
          <w:tcPr>
            <w:tcW w:w="3113" w:type="dxa"/>
            <w:vMerge/>
            <w:tcBorders>
              <w:top w:val="single" w:sz="4" w:space="0" w:color="auto"/>
              <w:left w:val="single" w:sz="4" w:space="0" w:color="auto"/>
              <w:bottom w:val="single" w:sz="4" w:space="0" w:color="auto"/>
              <w:right w:val="single" w:sz="4" w:space="0" w:color="auto"/>
            </w:tcBorders>
            <w:vAlign w:val="center"/>
          </w:tcPr>
          <w:p w:rsidR="00B21A9A" w:rsidRPr="002D4C4C" w:rsidRDefault="00B21A9A" w:rsidP="00B21A9A">
            <w:pPr>
              <w:jc w:val="left"/>
              <w:rPr>
                <w:rFonts w:cs="Arial"/>
                <w:b/>
                <w:bCs/>
                <w:color w:val="000000"/>
                <w:sz w:val="22"/>
                <w:szCs w:val="22"/>
                <w:lang w:val="it-CH" w:eastAsia="it-CH"/>
              </w:rPr>
            </w:pPr>
          </w:p>
        </w:tc>
      </w:tr>
      <w:tr w:rsidR="00B21A9A" w:rsidRPr="002D4C4C" w:rsidTr="00B21A9A">
        <w:trPr>
          <w:trHeight w:val="288"/>
          <w:jc w:val="center"/>
        </w:trPr>
        <w:tc>
          <w:tcPr>
            <w:tcW w:w="1856" w:type="dxa"/>
            <w:vMerge/>
            <w:tcBorders>
              <w:left w:val="single" w:sz="4" w:space="0" w:color="auto"/>
              <w:right w:val="single" w:sz="4" w:space="0" w:color="auto"/>
            </w:tcBorders>
            <w:vAlign w:val="center"/>
          </w:tcPr>
          <w:p w:rsidR="00B21A9A" w:rsidRPr="002D4C4C" w:rsidRDefault="00B21A9A" w:rsidP="00B21A9A">
            <w:pPr>
              <w:jc w:val="left"/>
              <w:rPr>
                <w:rFonts w:eastAsia="Dotum" w:cs="Arial"/>
                <w:color w:val="000000"/>
                <w:sz w:val="22"/>
                <w:szCs w:val="22"/>
                <w:lang w:val="it-CH" w:eastAsia="it-CH"/>
              </w:rPr>
            </w:pPr>
          </w:p>
        </w:tc>
        <w:tc>
          <w:tcPr>
            <w:tcW w:w="4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A9A" w:rsidRPr="002D4C4C" w:rsidRDefault="00B21A9A" w:rsidP="00B21A9A">
            <w:pPr>
              <w:jc w:val="left"/>
              <w:rPr>
                <w:rFonts w:eastAsia="Dotum" w:cs="Arial"/>
                <w:sz w:val="22"/>
                <w:szCs w:val="22"/>
                <w:lang w:val="it-CH" w:eastAsia="it-CH"/>
              </w:rPr>
            </w:pPr>
            <w:r w:rsidRPr="002D4C4C">
              <w:rPr>
                <w:rFonts w:eastAsia="Dotum" w:cs="Arial"/>
                <w:sz w:val="22"/>
                <w:szCs w:val="22"/>
                <w:lang w:val="it-CH" w:eastAsia="it-CH"/>
              </w:rPr>
              <w:t>Ufficio del registro fondiario</w:t>
            </w:r>
          </w:p>
        </w:tc>
        <w:tc>
          <w:tcPr>
            <w:tcW w:w="3113" w:type="dxa"/>
            <w:vMerge/>
            <w:tcBorders>
              <w:top w:val="single" w:sz="4" w:space="0" w:color="auto"/>
              <w:left w:val="single" w:sz="4" w:space="0" w:color="auto"/>
              <w:bottom w:val="single" w:sz="4" w:space="0" w:color="auto"/>
              <w:right w:val="single" w:sz="4" w:space="0" w:color="auto"/>
            </w:tcBorders>
            <w:vAlign w:val="center"/>
          </w:tcPr>
          <w:p w:rsidR="00B21A9A" w:rsidRPr="002D4C4C" w:rsidRDefault="00B21A9A" w:rsidP="00B21A9A">
            <w:pPr>
              <w:jc w:val="left"/>
              <w:rPr>
                <w:rFonts w:cs="Arial"/>
                <w:b/>
                <w:bCs/>
                <w:color w:val="000000"/>
                <w:sz w:val="22"/>
                <w:szCs w:val="22"/>
                <w:lang w:val="it-CH" w:eastAsia="it-CH"/>
              </w:rPr>
            </w:pPr>
          </w:p>
        </w:tc>
      </w:tr>
      <w:tr w:rsidR="00B21A9A" w:rsidRPr="002D4C4C" w:rsidTr="00B21A9A">
        <w:trPr>
          <w:trHeight w:val="288"/>
          <w:jc w:val="center"/>
        </w:trPr>
        <w:tc>
          <w:tcPr>
            <w:tcW w:w="1856" w:type="dxa"/>
            <w:vMerge/>
            <w:tcBorders>
              <w:left w:val="single" w:sz="4" w:space="0" w:color="auto"/>
              <w:bottom w:val="single" w:sz="4" w:space="0" w:color="auto"/>
              <w:right w:val="single" w:sz="4" w:space="0" w:color="auto"/>
            </w:tcBorders>
            <w:vAlign w:val="center"/>
          </w:tcPr>
          <w:p w:rsidR="00B21A9A" w:rsidRPr="002D4C4C" w:rsidRDefault="00B21A9A" w:rsidP="00B21A9A">
            <w:pPr>
              <w:jc w:val="left"/>
              <w:rPr>
                <w:rFonts w:eastAsia="Dotum" w:cs="Arial"/>
                <w:color w:val="000000"/>
                <w:sz w:val="22"/>
                <w:szCs w:val="22"/>
                <w:lang w:val="it-CH" w:eastAsia="it-CH"/>
              </w:rPr>
            </w:pPr>
          </w:p>
        </w:tc>
        <w:tc>
          <w:tcPr>
            <w:tcW w:w="4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A9A" w:rsidRPr="002D4C4C" w:rsidRDefault="00B21A9A" w:rsidP="00B21A9A">
            <w:pPr>
              <w:jc w:val="left"/>
              <w:rPr>
                <w:rFonts w:eastAsia="Dotum" w:cs="Arial"/>
                <w:sz w:val="22"/>
                <w:szCs w:val="22"/>
                <w:lang w:val="it-CH" w:eastAsia="it-CH"/>
              </w:rPr>
            </w:pPr>
            <w:r w:rsidRPr="002D4C4C">
              <w:rPr>
                <w:rFonts w:eastAsia="Dotum" w:cs="Arial"/>
                <w:sz w:val="22"/>
                <w:szCs w:val="22"/>
                <w:lang w:val="it-CH" w:eastAsia="it-CH"/>
              </w:rPr>
              <w:t>Ufficio dell'incasso e delle pene alternative</w:t>
            </w:r>
          </w:p>
        </w:tc>
        <w:tc>
          <w:tcPr>
            <w:tcW w:w="3113" w:type="dxa"/>
            <w:vMerge/>
            <w:tcBorders>
              <w:top w:val="single" w:sz="4" w:space="0" w:color="auto"/>
              <w:left w:val="single" w:sz="4" w:space="0" w:color="auto"/>
              <w:bottom w:val="single" w:sz="4" w:space="0" w:color="auto"/>
              <w:right w:val="single" w:sz="4" w:space="0" w:color="auto"/>
            </w:tcBorders>
            <w:vAlign w:val="center"/>
          </w:tcPr>
          <w:p w:rsidR="00B21A9A" w:rsidRPr="002D4C4C" w:rsidRDefault="00B21A9A" w:rsidP="00B21A9A">
            <w:pPr>
              <w:jc w:val="left"/>
              <w:rPr>
                <w:rFonts w:cs="Arial"/>
                <w:b/>
                <w:bCs/>
                <w:color w:val="000000"/>
                <w:sz w:val="22"/>
                <w:szCs w:val="22"/>
                <w:lang w:val="it-CH" w:eastAsia="it-CH"/>
              </w:rPr>
            </w:pPr>
          </w:p>
        </w:tc>
      </w:tr>
    </w:tbl>
    <w:p w:rsidR="00B21A9A" w:rsidRDefault="00B21A9A" w:rsidP="00B21A9A">
      <w:pPr>
        <w:rPr>
          <w:rFonts w:cs="Arial"/>
          <w:szCs w:val="24"/>
          <w:lang w:val="it-CH"/>
        </w:rPr>
      </w:pPr>
    </w:p>
    <w:p w:rsidR="00B21A9A" w:rsidRDefault="00B21A9A" w:rsidP="00B21A9A">
      <w:pPr>
        <w:rPr>
          <w:rFonts w:cs="Arial"/>
          <w:szCs w:val="24"/>
          <w:lang w:val="it-CH"/>
        </w:rPr>
      </w:pPr>
      <w:r>
        <w:rPr>
          <w:rFonts w:cs="Arial"/>
          <w:szCs w:val="24"/>
          <w:lang w:val="it-CH"/>
        </w:rPr>
        <w:t>L’organizzazione interna degli spazi, le relazioni tra i servizi e l’estensione degli stessi saranno definiti in base all’aggiornamento puntuale delle esigenze che saranno discusse con i responsabili di ogni settore.</w:t>
      </w:r>
    </w:p>
    <w:p w:rsidR="00B21A9A" w:rsidRDefault="00B21A9A" w:rsidP="00B21A9A">
      <w:pPr>
        <w:rPr>
          <w:rFonts w:cs="Arial"/>
          <w:szCs w:val="24"/>
          <w:lang w:val="it-CH"/>
        </w:rPr>
      </w:pPr>
    </w:p>
    <w:p w:rsidR="00B21A9A" w:rsidRDefault="00B21A9A" w:rsidP="00B21A9A">
      <w:pPr>
        <w:rPr>
          <w:rFonts w:cs="Arial"/>
          <w:szCs w:val="24"/>
          <w:lang w:val="it-CH"/>
        </w:rPr>
      </w:pPr>
      <w:r>
        <w:rPr>
          <w:rFonts w:cs="Arial"/>
          <w:szCs w:val="24"/>
          <w:lang w:val="it-CH"/>
        </w:rPr>
        <w:t xml:space="preserve">Questo complesso di immobili permetterà l’eventuale inserimento di altri contenuti i quali avranno un’attinenza con le mansioni dei servizi citati poc’anzi, con particolare riferimento all’Ufficio dell’incasso e delle pene alternative e al Servizio nuove entrate dell’Ufficio della migrazione.  </w:t>
      </w:r>
    </w:p>
    <w:p w:rsidR="00B21A9A" w:rsidRDefault="00B21A9A" w:rsidP="00B21A9A">
      <w:pPr>
        <w:rPr>
          <w:rFonts w:cs="Arial"/>
          <w:szCs w:val="24"/>
          <w:lang w:val="it-CH"/>
        </w:rPr>
      </w:pPr>
    </w:p>
    <w:p w:rsidR="00B21A9A" w:rsidRDefault="00B21A9A" w:rsidP="00B21A9A">
      <w:pPr>
        <w:rPr>
          <w:rFonts w:cs="Arial"/>
          <w:szCs w:val="24"/>
          <w:lang w:val="it-CH"/>
        </w:rPr>
      </w:pPr>
      <w:r>
        <w:rPr>
          <w:rFonts w:cs="Arial"/>
          <w:szCs w:val="24"/>
          <w:lang w:val="it-CH"/>
        </w:rPr>
        <w:t xml:space="preserve">Lo stabile </w:t>
      </w:r>
      <w:r>
        <w:rPr>
          <w:rFonts w:cs="Arial"/>
          <w:szCs w:val="24"/>
          <w:lang w:val="it-CH" w:eastAsia="it-CH"/>
        </w:rPr>
        <w:t>ex Banca del Gottardo</w:t>
      </w:r>
      <w:r>
        <w:rPr>
          <w:rFonts w:cs="Arial"/>
          <w:szCs w:val="24"/>
          <w:lang w:val="it-CH"/>
        </w:rPr>
        <w:t>, per contro, sarà destinato in gran parte al Tribunale d’appello, nel quale saranno inseriti la Corte di appello e di revisione penale, il Tribunale penale cantonale e la Pretura penale, previsti originariamente nel Pretorio di Bellinzona.</w:t>
      </w:r>
    </w:p>
    <w:p w:rsidR="00B21A9A" w:rsidRDefault="00B21A9A" w:rsidP="00B21A9A">
      <w:pPr>
        <w:rPr>
          <w:rFonts w:cs="Arial"/>
          <w:szCs w:val="24"/>
          <w:lang w:val="it-CH"/>
        </w:rPr>
      </w:pPr>
    </w:p>
    <w:p w:rsidR="00B21A9A" w:rsidRDefault="00B21A9A" w:rsidP="00B21A9A">
      <w:pPr>
        <w:rPr>
          <w:rFonts w:cs="Arial"/>
          <w:szCs w:val="24"/>
          <w:lang w:val="it-CH"/>
        </w:rPr>
      </w:pPr>
      <w:r>
        <w:rPr>
          <w:rFonts w:cs="Arial"/>
          <w:szCs w:val="24"/>
          <w:lang w:val="it-CH"/>
        </w:rPr>
        <w:t xml:space="preserve">Oltre a questi contenuti principali, la volumetria dell’immobile e la geometria dello stesso, strutturata in torri parallele, permetteranno di integrare anche altri servizi dell’Amministrazione cantonale. </w:t>
      </w:r>
    </w:p>
    <w:p w:rsidR="00B21A9A" w:rsidRDefault="00B21A9A" w:rsidP="00B21A9A">
      <w:pPr>
        <w:rPr>
          <w:rFonts w:cs="Arial"/>
          <w:szCs w:val="24"/>
          <w:lang w:val="it-CH"/>
        </w:rPr>
      </w:pPr>
    </w:p>
    <w:p w:rsidR="00B21A9A" w:rsidRDefault="00B21A9A" w:rsidP="00B21A9A">
      <w:pPr>
        <w:rPr>
          <w:rFonts w:cs="Arial"/>
          <w:szCs w:val="24"/>
          <w:lang w:val="it-CH"/>
        </w:rPr>
      </w:pPr>
      <w:r>
        <w:rPr>
          <w:rFonts w:cs="Arial"/>
          <w:szCs w:val="24"/>
          <w:lang w:val="it-CH"/>
        </w:rPr>
        <w:t xml:space="preserve">Tutti i servizi del Dipartimento delle istituzioni della regione del luganese potranno quindi essere raggruppati presso i due immobili citati. La destinazione finale dello stabile Bossi, ora sede della Pretura di Lugano, del Tribunale di espropriazione e dell’Ufficio del giudice dei provvedimenti coercitivi, sarà stabilita in base a una valutazione complessiva delle esigenze di altri servizi dell’Amministrazione cantonale, esterni al Dipartimento delle istituzioni che potrebbero essere integrati in questa sede. </w:t>
      </w:r>
    </w:p>
    <w:p w:rsidR="00B21A9A" w:rsidRDefault="00B21A9A" w:rsidP="00B21A9A">
      <w:pPr>
        <w:rPr>
          <w:rFonts w:cs="Arial"/>
          <w:szCs w:val="24"/>
          <w:lang w:val="it-CH"/>
        </w:rPr>
      </w:pPr>
    </w:p>
    <w:p w:rsidR="00B21A9A" w:rsidRDefault="00B21A9A" w:rsidP="00B21A9A">
      <w:pPr>
        <w:rPr>
          <w:rFonts w:cs="Arial"/>
          <w:szCs w:val="24"/>
          <w:lang w:val="it-CH"/>
        </w:rPr>
      </w:pPr>
    </w:p>
    <w:p w:rsidR="00B21A9A" w:rsidRPr="00CF3A90" w:rsidRDefault="00B21A9A" w:rsidP="00B21A9A">
      <w:pPr>
        <w:rPr>
          <w:rFonts w:cs="Arial"/>
          <w:szCs w:val="24"/>
          <w:lang w:val="it-CH"/>
        </w:rPr>
      </w:pPr>
    </w:p>
    <w:p w:rsidR="00B21A9A" w:rsidRDefault="00B21A9A" w:rsidP="00B21A9A">
      <w:pPr>
        <w:pStyle w:val="Titolo1"/>
        <w:tabs>
          <w:tab w:val="clear" w:pos="567"/>
          <w:tab w:val="left" w:pos="709"/>
        </w:tabs>
      </w:pPr>
      <w:r>
        <w:t>5</w:t>
      </w:r>
      <w:r w:rsidRPr="00C421FD">
        <w:t>.</w:t>
      </w:r>
      <w:r w:rsidRPr="00C421FD">
        <w:tab/>
        <w:t>LA SOLUZIONE LOGISTICA</w:t>
      </w:r>
    </w:p>
    <w:p w:rsidR="00B21A9A" w:rsidRPr="008F6D1B" w:rsidRDefault="00B21A9A" w:rsidP="00B21A9A">
      <w:pPr>
        <w:pStyle w:val="Titolo2"/>
        <w:tabs>
          <w:tab w:val="clear" w:pos="567"/>
          <w:tab w:val="left" w:pos="709"/>
        </w:tabs>
      </w:pPr>
      <w:r>
        <w:t>5</w:t>
      </w:r>
      <w:r w:rsidRPr="00CF3A90">
        <w:t>.</w:t>
      </w:r>
      <w:r>
        <w:t>1</w:t>
      </w:r>
      <w:r w:rsidRPr="00CF3A90">
        <w:tab/>
      </w:r>
      <w:r>
        <w:t>Acquisto ex Banca del Gottardo</w:t>
      </w:r>
    </w:p>
    <w:p w:rsidR="00B21A9A" w:rsidRDefault="00B21A9A" w:rsidP="00B21A9A">
      <w:pPr>
        <w:pStyle w:val="Titolo3"/>
      </w:pPr>
      <w:r>
        <w:t>5.1.1</w:t>
      </w:r>
      <w:r>
        <w:tab/>
        <w:t>Descrizione</w:t>
      </w:r>
    </w:p>
    <w:p w:rsidR="00B21A9A" w:rsidRDefault="00B21A9A" w:rsidP="00B21A9A">
      <w:pPr>
        <w:rPr>
          <w:rFonts w:cs="Arial"/>
          <w:szCs w:val="24"/>
          <w:lang w:val="it-CH"/>
        </w:rPr>
      </w:pPr>
      <w:r w:rsidRPr="00671870">
        <w:rPr>
          <w:rFonts w:cs="Arial"/>
          <w:szCs w:val="24"/>
          <w:lang w:val="it-CH"/>
        </w:rPr>
        <w:t xml:space="preserve">Il fondo </w:t>
      </w:r>
      <w:r>
        <w:rPr>
          <w:rFonts w:cs="Arial"/>
          <w:szCs w:val="24"/>
          <w:lang w:val="it-CH"/>
        </w:rPr>
        <w:t>880</w:t>
      </w:r>
      <w:r w:rsidRPr="00671870">
        <w:rPr>
          <w:rFonts w:cs="Arial"/>
          <w:szCs w:val="24"/>
          <w:lang w:val="it-CH"/>
        </w:rPr>
        <w:t xml:space="preserve"> RFD nel Comune di </w:t>
      </w:r>
      <w:r>
        <w:rPr>
          <w:rFonts w:cs="Arial"/>
          <w:szCs w:val="24"/>
          <w:lang w:val="it-CH"/>
        </w:rPr>
        <w:t>Lugano di proprietà di EFG Bank SA è situato in centro città, a circa 300 m dal Palazzo di giustizia,</w:t>
      </w:r>
      <w:r w:rsidRPr="00671870">
        <w:rPr>
          <w:rFonts w:cs="Arial"/>
          <w:szCs w:val="24"/>
          <w:lang w:val="it-CH"/>
        </w:rPr>
        <w:t xml:space="preserve"> </w:t>
      </w:r>
      <w:r w:rsidRPr="00033924">
        <w:t xml:space="preserve">si affaccia su un importante </w:t>
      </w:r>
      <w:r>
        <w:t>asse</w:t>
      </w:r>
      <w:r w:rsidRPr="000A6D62">
        <w:t xml:space="preserve"> </w:t>
      </w:r>
      <w:r>
        <w:t xml:space="preserve">di collegamento </w:t>
      </w:r>
      <w:r w:rsidRPr="00671870">
        <w:rPr>
          <w:rFonts w:cs="Arial"/>
          <w:szCs w:val="24"/>
          <w:lang w:val="it-CH"/>
        </w:rPr>
        <w:t xml:space="preserve">ed è </w:t>
      </w:r>
      <w:r>
        <w:rPr>
          <w:rFonts w:cs="Arial"/>
          <w:szCs w:val="24"/>
          <w:lang w:val="it-CH"/>
        </w:rPr>
        <w:t>servito ottimamente dal trasposto pubblico cittadino.</w:t>
      </w:r>
      <w:r w:rsidRPr="00671870">
        <w:rPr>
          <w:rFonts w:cs="Arial"/>
          <w:szCs w:val="24"/>
          <w:lang w:val="it-CH"/>
        </w:rPr>
        <w:t xml:space="preserve"> </w:t>
      </w:r>
      <w:r>
        <w:rPr>
          <w:rFonts w:cs="Arial"/>
          <w:szCs w:val="24"/>
          <w:lang w:val="it-CH"/>
        </w:rPr>
        <w:t>A nord l’isolato confina con Via Giuseppe Curti a ovest con Viale Stefano Franscini.</w:t>
      </w:r>
    </w:p>
    <w:p w:rsidR="00B21A9A" w:rsidRPr="00033924" w:rsidRDefault="00B21A9A" w:rsidP="00B21A9A"/>
    <w:p w:rsidR="00B21A9A" w:rsidRDefault="00B21A9A" w:rsidP="00B21A9A">
      <w:pPr>
        <w:tabs>
          <w:tab w:val="left" w:pos="3420"/>
        </w:tabs>
        <w:rPr>
          <w:rFonts w:cs="Arial"/>
          <w:szCs w:val="24"/>
          <w:lang w:val="it-CH"/>
        </w:rPr>
      </w:pPr>
      <w:r>
        <w:t>Lo stabile, edificato tra il 1984 e il 1988,</w:t>
      </w:r>
      <w:r w:rsidRPr="00033924">
        <w:t xml:space="preserve"> </w:t>
      </w:r>
      <w:r>
        <w:t>ha caratteristiche rappresentative</w:t>
      </w:r>
      <w:r w:rsidRPr="00062AA1">
        <w:rPr>
          <w:rFonts w:cs="Arial"/>
          <w:szCs w:val="24"/>
          <w:lang w:val="it-CH"/>
        </w:rPr>
        <w:t xml:space="preserve"> </w:t>
      </w:r>
      <w:r>
        <w:t>di monumentalità</w:t>
      </w:r>
      <w:r w:rsidRPr="00033924">
        <w:t xml:space="preserve">, </w:t>
      </w:r>
      <w:r>
        <w:rPr>
          <w:rFonts w:cs="Arial"/>
          <w:szCs w:val="24"/>
          <w:lang w:val="it-CH"/>
        </w:rPr>
        <w:t>ed è censito dai beni culturali alla scheda n. 895 con grado di tutela di bene culturale d’interesse locale. Il complesso si articola in quattro imponenti volumi scanditi dalle torri dei corpi scala che separano le unità. La testata di ogni blocco è disposta verso il viale in modo da creare delle corti esterne che ritmano l’alternanza dei pieni e dei vuoti. Una fascia alberata separa la strada dal percorso pedonale parzialmente porticato, dove si trovano gli ingressi. Gli accessi pubblici avvengono da ovest, dal viale Stefano Franscini, mentre sul lato opposto, ad est, si trovano gli accessi di servizio e la rampa carrabile che porta all’autorimessa situata al primo piano interrato. Ciascun corpo edilizio si sviluppa attorno a una hall su cui si affacciano i percorsi distributivi, illuminati dalla luce zenitale; gli uffici ricevono luce dalle pareti vetrate esterne, caratterizzate in facciata dagli elementi frangisole.</w:t>
      </w:r>
    </w:p>
    <w:p w:rsidR="00B21A9A" w:rsidRDefault="00B21A9A" w:rsidP="00B21A9A">
      <w:pPr>
        <w:tabs>
          <w:tab w:val="left" w:pos="3420"/>
        </w:tabs>
        <w:rPr>
          <w:rFonts w:cs="Arial"/>
          <w:szCs w:val="24"/>
          <w:lang w:val="it-CH"/>
        </w:rPr>
      </w:pPr>
    </w:p>
    <w:p w:rsidR="00B21A9A" w:rsidRDefault="00B21A9A" w:rsidP="00B21A9A">
      <w:pPr>
        <w:pStyle w:val="Titolo3"/>
      </w:pPr>
      <w:r>
        <w:t>5</w:t>
      </w:r>
      <w:r w:rsidRPr="003A4A65">
        <w:t>.</w:t>
      </w:r>
      <w:r>
        <w:t>1.2</w:t>
      </w:r>
      <w:r>
        <w:tab/>
        <w:t xml:space="preserve">Dati e aspetti tecnici </w:t>
      </w:r>
    </w:p>
    <w:p w:rsidR="00B21A9A" w:rsidRPr="000A553C" w:rsidRDefault="00B21A9A" w:rsidP="00B21A9A">
      <w:pPr>
        <w:pStyle w:val="Titolo3"/>
        <w:rPr>
          <w:sz w:val="22"/>
          <w:szCs w:val="22"/>
        </w:rPr>
      </w:pPr>
      <w:r w:rsidRPr="000A553C">
        <w:rPr>
          <w:sz w:val="22"/>
          <w:szCs w:val="22"/>
        </w:rPr>
        <w:t>Dati censuari e di piano regolatore</w:t>
      </w:r>
    </w:p>
    <w:p w:rsidR="00B21A9A" w:rsidRPr="00B21A9A" w:rsidRDefault="00B21A9A" w:rsidP="00B21A9A">
      <w:pPr>
        <w:rPr>
          <w:sz w:val="22"/>
          <w:szCs w:val="22"/>
        </w:rPr>
      </w:pPr>
      <w:r w:rsidRPr="00B21A9A">
        <w:rPr>
          <w:sz w:val="22"/>
          <w:szCs w:val="22"/>
        </w:rPr>
        <w:t>Estratto censuario del mappale RFD 880 del Comune di Lugano:</w:t>
      </w:r>
    </w:p>
    <w:p w:rsidR="00B21A9A" w:rsidRPr="00B21A9A" w:rsidRDefault="00B21A9A" w:rsidP="00B21A9A">
      <w:pPr>
        <w:rPr>
          <w:sz w:val="22"/>
          <w:szCs w:val="22"/>
        </w:rPr>
      </w:pPr>
      <w:r w:rsidRPr="00B21A9A">
        <w:rPr>
          <w:sz w:val="22"/>
          <w:szCs w:val="22"/>
        </w:rPr>
        <w:t>Comune: Lugano</w:t>
      </w:r>
    </w:p>
    <w:p w:rsidR="00B21A9A" w:rsidRPr="00B21A9A" w:rsidRDefault="00B21A9A" w:rsidP="00B21A9A">
      <w:pPr>
        <w:rPr>
          <w:sz w:val="22"/>
          <w:szCs w:val="22"/>
        </w:rPr>
      </w:pPr>
      <w:r w:rsidRPr="00B21A9A">
        <w:rPr>
          <w:sz w:val="22"/>
          <w:szCs w:val="22"/>
        </w:rPr>
        <w:t>Numero fondo: 880</w:t>
      </w:r>
    </w:p>
    <w:p w:rsidR="00B21A9A" w:rsidRPr="00B21A9A" w:rsidRDefault="00B21A9A" w:rsidP="00B21A9A">
      <w:pPr>
        <w:rPr>
          <w:sz w:val="22"/>
          <w:szCs w:val="22"/>
        </w:rPr>
      </w:pPr>
      <w:r w:rsidRPr="00B21A9A">
        <w:rPr>
          <w:sz w:val="22"/>
          <w:szCs w:val="22"/>
        </w:rPr>
        <w:t>Superficie RF: 8’876 mq</w:t>
      </w:r>
    </w:p>
    <w:p w:rsidR="00B21A9A" w:rsidRPr="00B21A9A" w:rsidRDefault="00B21A9A" w:rsidP="00B21A9A">
      <w:pPr>
        <w:rPr>
          <w:sz w:val="22"/>
          <w:szCs w:val="22"/>
        </w:rPr>
      </w:pPr>
    </w:p>
    <w:p w:rsidR="00B21A9A" w:rsidRPr="00B21A9A" w:rsidRDefault="00B21A9A" w:rsidP="00B21A9A">
      <w:pPr>
        <w:spacing w:after="40"/>
        <w:rPr>
          <w:sz w:val="22"/>
          <w:szCs w:val="22"/>
        </w:rPr>
      </w:pPr>
      <w:r w:rsidRPr="00B21A9A">
        <w:rPr>
          <w:sz w:val="22"/>
          <w:szCs w:val="22"/>
        </w:rPr>
        <w:t>Dati di PR del Comune di Lugano:</w:t>
      </w:r>
    </w:p>
    <w:p w:rsidR="00B21A9A" w:rsidRPr="00B21A9A" w:rsidRDefault="00B21A9A" w:rsidP="00B21A9A">
      <w:pPr>
        <w:rPr>
          <w:sz w:val="22"/>
          <w:szCs w:val="22"/>
        </w:rPr>
      </w:pPr>
      <w:r w:rsidRPr="00B21A9A">
        <w:rPr>
          <w:sz w:val="22"/>
          <w:szCs w:val="22"/>
        </w:rPr>
        <w:t>Parametri di PR – mappale RFD 880</w:t>
      </w:r>
    </w:p>
    <w:p w:rsidR="00B21A9A" w:rsidRPr="00B21A9A" w:rsidRDefault="00B21A9A" w:rsidP="00B21A9A">
      <w:pPr>
        <w:rPr>
          <w:sz w:val="22"/>
          <w:szCs w:val="22"/>
        </w:rPr>
      </w:pPr>
      <w:r w:rsidRPr="00B21A9A">
        <w:rPr>
          <w:sz w:val="22"/>
          <w:szCs w:val="22"/>
        </w:rPr>
        <w:t>I.S. = 1.6</w:t>
      </w:r>
    </w:p>
    <w:p w:rsidR="00B21A9A" w:rsidRPr="00B21A9A" w:rsidRDefault="00B21A9A" w:rsidP="00B21A9A">
      <w:pPr>
        <w:rPr>
          <w:sz w:val="22"/>
          <w:szCs w:val="22"/>
        </w:rPr>
      </w:pPr>
      <w:r w:rsidRPr="00B21A9A">
        <w:rPr>
          <w:sz w:val="22"/>
          <w:szCs w:val="22"/>
        </w:rPr>
        <w:t>SUL massima = 14'200 mq</w:t>
      </w:r>
    </w:p>
    <w:p w:rsidR="00B21A9A" w:rsidRPr="00B21A9A" w:rsidRDefault="00B21A9A" w:rsidP="00B21A9A">
      <w:pPr>
        <w:rPr>
          <w:sz w:val="22"/>
          <w:szCs w:val="22"/>
        </w:rPr>
      </w:pPr>
      <w:r w:rsidRPr="00B21A9A">
        <w:rPr>
          <w:sz w:val="22"/>
          <w:szCs w:val="22"/>
        </w:rPr>
        <w:t>I.O. = 40%</w:t>
      </w:r>
    </w:p>
    <w:p w:rsidR="00B21A9A" w:rsidRPr="00B21A9A" w:rsidRDefault="00B21A9A" w:rsidP="00B21A9A">
      <w:pPr>
        <w:rPr>
          <w:sz w:val="22"/>
          <w:szCs w:val="22"/>
        </w:rPr>
      </w:pPr>
      <w:r w:rsidRPr="00B21A9A">
        <w:rPr>
          <w:sz w:val="22"/>
          <w:szCs w:val="22"/>
        </w:rPr>
        <w:t xml:space="preserve">Area Verde = al minimo 30% della SEN </w:t>
      </w:r>
    </w:p>
    <w:p w:rsidR="00B21A9A" w:rsidRPr="00B21A9A" w:rsidRDefault="00B21A9A" w:rsidP="00B21A9A">
      <w:pPr>
        <w:rPr>
          <w:sz w:val="22"/>
          <w:szCs w:val="22"/>
        </w:rPr>
      </w:pPr>
      <w:r w:rsidRPr="00B21A9A">
        <w:rPr>
          <w:sz w:val="22"/>
          <w:szCs w:val="22"/>
        </w:rPr>
        <w:t>Altezza massima = 22.70 m</w:t>
      </w:r>
    </w:p>
    <w:p w:rsidR="00B21A9A" w:rsidRPr="00B21A9A" w:rsidRDefault="00B21A9A" w:rsidP="00B21A9A">
      <w:pPr>
        <w:rPr>
          <w:sz w:val="22"/>
          <w:szCs w:val="22"/>
        </w:rPr>
      </w:pPr>
      <w:r w:rsidRPr="00B21A9A">
        <w:rPr>
          <w:sz w:val="22"/>
          <w:szCs w:val="22"/>
        </w:rPr>
        <w:t>Distanza minima dal confine = 7 m</w:t>
      </w:r>
    </w:p>
    <w:p w:rsidR="00B21A9A" w:rsidRPr="00B21A9A" w:rsidRDefault="00B21A9A" w:rsidP="00235850">
      <w:pPr>
        <w:numPr>
          <w:ilvl w:val="0"/>
          <w:numId w:val="1"/>
        </w:numPr>
        <w:autoSpaceDE w:val="0"/>
        <w:autoSpaceDN w:val="0"/>
        <w:adjustRightInd w:val="0"/>
        <w:spacing w:before="60"/>
        <w:ind w:left="284" w:hanging="284"/>
        <w:rPr>
          <w:rFonts w:cs="Arial"/>
          <w:sz w:val="22"/>
          <w:szCs w:val="22"/>
          <w:lang w:val="it-CH" w:eastAsia="it-CH"/>
        </w:rPr>
      </w:pPr>
      <w:r w:rsidRPr="00B21A9A">
        <w:rPr>
          <w:rFonts w:cs="Arial"/>
          <w:sz w:val="22"/>
          <w:szCs w:val="22"/>
          <w:lang w:val="it-CH" w:eastAsia="it-CH"/>
        </w:rPr>
        <w:t>6 m qualora l’altezza dell’edificio non superi i 19.70 m</w:t>
      </w:r>
    </w:p>
    <w:p w:rsidR="00B21A9A" w:rsidRPr="00B21A9A" w:rsidRDefault="00B21A9A" w:rsidP="00235850">
      <w:pPr>
        <w:numPr>
          <w:ilvl w:val="0"/>
          <w:numId w:val="1"/>
        </w:numPr>
        <w:autoSpaceDE w:val="0"/>
        <w:autoSpaceDN w:val="0"/>
        <w:adjustRightInd w:val="0"/>
        <w:spacing w:before="60"/>
        <w:ind w:left="284" w:hanging="284"/>
        <w:rPr>
          <w:rFonts w:cs="Arial"/>
          <w:sz w:val="22"/>
          <w:szCs w:val="22"/>
          <w:lang w:val="it-CH" w:eastAsia="it-CH"/>
        </w:rPr>
      </w:pPr>
      <w:r w:rsidRPr="00B21A9A">
        <w:rPr>
          <w:rFonts w:cs="Arial"/>
          <w:sz w:val="22"/>
          <w:szCs w:val="22"/>
          <w:lang w:val="it-CH" w:eastAsia="it-CH"/>
        </w:rPr>
        <w:t>8 m qualora sul fondo altrui esistano edifici costruiti antecedentemente all’entrata in vigore del P.R. 9.2.1979, eccettuate le costruzioni accessorie, a distanze inferiori a quelle di cui sopra.</w:t>
      </w:r>
    </w:p>
    <w:p w:rsidR="00B21A9A" w:rsidRPr="00B21A9A" w:rsidRDefault="00B21A9A" w:rsidP="00B21A9A">
      <w:pPr>
        <w:autoSpaceDE w:val="0"/>
        <w:autoSpaceDN w:val="0"/>
        <w:adjustRightInd w:val="0"/>
        <w:spacing w:before="60"/>
        <w:rPr>
          <w:rFonts w:cs="Arial"/>
          <w:sz w:val="22"/>
          <w:szCs w:val="22"/>
          <w:lang w:val="it-CH" w:eastAsia="it-CH"/>
        </w:rPr>
      </w:pPr>
    </w:p>
    <w:p w:rsidR="00B21A9A" w:rsidRPr="000A553C" w:rsidRDefault="00B21A9A" w:rsidP="00B21A9A">
      <w:pPr>
        <w:pStyle w:val="Titolo3"/>
        <w:spacing w:before="0"/>
        <w:rPr>
          <w:sz w:val="22"/>
          <w:szCs w:val="22"/>
        </w:rPr>
      </w:pPr>
      <w:r w:rsidRPr="000A553C">
        <w:rPr>
          <w:sz w:val="22"/>
          <w:szCs w:val="22"/>
        </w:rPr>
        <w:t>Calcolo degli indici</w:t>
      </w:r>
    </w:p>
    <w:p w:rsidR="00B21A9A" w:rsidRPr="00B21A9A" w:rsidRDefault="00B21A9A" w:rsidP="00B21A9A">
      <w:pPr>
        <w:rPr>
          <w:sz w:val="22"/>
          <w:szCs w:val="22"/>
        </w:rPr>
      </w:pPr>
      <w:r w:rsidRPr="00B21A9A">
        <w:rPr>
          <w:sz w:val="22"/>
          <w:szCs w:val="22"/>
        </w:rPr>
        <w:t>SUL edificata = 13'484 mq</w:t>
      </w:r>
    </w:p>
    <w:p w:rsidR="00B21A9A" w:rsidRPr="00B21A9A" w:rsidRDefault="00B21A9A" w:rsidP="00B21A9A">
      <w:pPr>
        <w:rPr>
          <w:sz w:val="22"/>
          <w:szCs w:val="22"/>
        </w:rPr>
      </w:pPr>
      <w:r w:rsidRPr="00B21A9A">
        <w:rPr>
          <w:sz w:val="22"/>
          <w:szCs w:val="22"/>
        </w:rPr>
        <w:t>I.S.= SUL / Superficie RF = 1.51 &lt; 1.6 (ammesso)</w:t>
      </w:r>
    </w:p>
    <w:p w:rsidR="00B21A9A" w:rsidRPr="00B21A9A" w:rsidRDefault="00B21A9A" w:rsidP="00B21A9A">
      <w:pPr>
        <w:rPr>
          <w:sz w:val="22"/>
          <w:szCs w:val="22"/>
        </w:rPr>
      </w:pPr>
      <w:r w:rsidRPr="00B21A9A">
        <w:rPr>
          <w:sz w:val="22"/>
          <w:szCs w:val="22"/>
        </w:rPr>
        <w:t>SE (Superficie edificata) = 2'992 mq</w:t>
      </w:r>
    </w:p>
    <w:p w:rsidR="00B21A9A" w:rsidRPr="00B21A9A" w:rsidRDefault="00B21A9A" w:rsidP="00B21A9A">
      <w:pPr>
        <w:rPr>
          <w:sz w:val="22"/>
          <w:szCs w:val="22"/>
        </w:rPr>
      </w:pPr>
      <w:r w:rsidRPr="00B21A9A">
        <w:rPr>
          <w:sz w:val="22"/>
          <w:szCs w:val="22"/>
        </w:rPr>
        <w:t>I.O. = SE / Superficie RF = 33.7% &lt; 40% (ammesso)</w:t>
      </w:r>
    </w:p>
    <w:p w:rsidR="00B21A9A" w:rsidRPr="00B21A9A" w:rsidRDefault="00B21A9A" w:rsidP="00B21A9A">
      <w:pPr>
        <w:rPr>
          <w:sz w:val="22"/>
          <w:szCs w:val="22"/>
        </w:rPr>
      </w:pPr>
    </w:p>
    <w:p w:rsidR="00B21A9A" w:rsidRPr="000A553C" w:rsidRDefault="00B21A9A" w:rsidP="00B21A9A">
      <w:pPr>
        <w:pStyle w:val="Titolo3"/>
        <w:spacing w:before="0"/>
        <w:rPr>
          <w:sz w:val="22"/>
          <w:szCs w:val="22"/>
        </w:rPr>
      </w:pPr>
      <w:r w:rsidRPr="000A553C">
        <w:rPr>
          <w:sz w:val="22"/>
          <w:szCs w:val="22"/>
        </w:rPr>
        <w:t>Potenziale edificatorio dell’edificio</w:t>
      </w:r>
    </w:p>
    <w:p w:rsidR="00B21A9A" w:rsidRPr="00B21A9A" w:rsidRDefault="00B21A9A" w:rsidP="00B21A9A">
      <w:pPr>
        <w:rPr>
          <w:sz w:val="22"/>
          <w:szCs w:val="22"/>
        </w:rPr>
      </w:pPr>
      <w:r w:rsidRPr="00B21A9A">
        <w:rPr>
          <w:sz w:val="22"/>
          <w:szCs w:val="22"/>
        </w:rPr>
        <w:t>SUL edificabile = 716 mq</w:t>
      </w:r>
    </w:p>
    <w:p w:rsidR="00B21A9A" w:rsidRPr="00B21A9A" w:rsidRDefault="00B21A9A" w:rsidP="00B21A9A">
      <w:pPr>
        <w:rPr>
          <w:sz w:val="22"/>
          <w:szCs w:val="22"/>
        </w:rPr>
      </w:pPr>
      <w:r w:rsidRPr="00B21A9A">
        <w:rPr>
          <w:sz w:val="22"/>
          <w:szCs w:val="22"/>
        </w:rPr>
        <w:t>Superficie non ancora edificata = 658 mq</w:t>
      </w:r>
    </w:p>
    <w:p w:rsidR="00B21A9A" w:rsidRPr="00B21A9A" w:rsidRDefault="00B21A9A" w:rsidP="00B21A9A">
      <w:pPr>
        <w:rPr>
          <w:sz w:val="22"/>
          <w:szCs w:val="22"/>
        </w:rPr>
      </w:pPr>
    </w:p>
    <w:p w:rsidR="00B21A9A" w:rsidRPr="000A553C" w:rsidRDefault="00B21A9A" w:rsidP="00B21A9A">
      <w:pPr>
        <w:pStyle w:val="Titolo3"/>
        <w:spacing w:before="0"/>
        <w:rPr>
          <w:sz w:val="22"/>
          <w:szCs w:val="22"/>
        </w:rPr>
      </w:pPr>
      <w:r w:rsidRPr="000A553C">
        <w:rPr>
          <w:sz w:val="22"/>
          <w:szCs w:val="22"/>
        </w:rPr>
        <w:t>Superfici SE e volume VE (Sia 416_2003)</w:t>
      </w:r>
    </w:p>
    <w:p w:rsidR="00B21A9A" w:rsidRPr="00B21A9A" w:rsidRDefault="00B21A9A" w:rsidP="00B21A9A">
      <w:pPr>
        <w:rPr>
          <w:sz w:val="22"/>
          <w:szCs w:val="22"/>
        </w:rPr>
      </w:pPr>
      <w:r w:rsidRPr="00B21A9A">
        <w:rPr>
          <w:sz w:val="22"/>
          <w:szCs w:val="22"/>
        </w:rPr>
        <w:t>SE = 2992 mq</w:t>
      </w:r>
    </w:p>
    <w:p w:rsidR="00B21A9A" w:rsidRPr="00B21A9A" w:rsidRDefault="00B21A9A" w:rsidP="00B21A9A">
      <w:pPr>
        <w:rPr>
          <w:sz w:val="22"/>
          <w:szCs w:val="22"/>
        </w:rPr>
      </w:pPr>
      <w:r w:rsidRPr="00B21A9A">
        <w:rPr>
          <w:sz w:val="22"/>
          <w:szCs w:val="22"/>
        </w:rPr>
        <w:t>VE = 2992 mq x 22.0 m (h. media) = 65’484 mc</w:t>
      </w:r>
    </w:p>
    <w:p w:rsidR="00B21A9A" w:rsidRPr="00B21A9A" w:rsidRDefault="00B21A9A" w:rsidP="00B21A9A">
      <w:pPr>
        <w:rPr>
          <w:sz w:val="22"/>
          <w:szCs w:val="22"/>
        </w:rPr>
      </w:pPr>
      <w:r w:rsidRPr="00B21A9A">
        <w:rPr>
          <w:sz w:val="22"/>
          <w:szCs w:val="22"/>
        </w:rPr>
        <w:t>Volume edificato interrato= 56'166 mc</w:t>
      </w:r>
    </w:p>
    <w:p w:rsidR="00B21A9A" w:rsidRPr="00B21A9A" w:rsidRDefault="00B21A9A" w:rsidP="00B21A9A">
      <w:pPr>
        <w:rPr>
          <w:sz w:val="22"/>
          <w:szCs w:val="22"/>
        </w:rPr>
      </w:pPr>
    </w:p>
    <w:p w:rsidR="00B21A9A" w:rsidRPr="000A553C" w:rsidRDefault="00B21A9A" w:rsidP="00B21A9A">
      <w:pPr>
        <w:pStyle w:val="Titolo3"/>
        <w:spacing w:before="0"/>
        <w:rPr>
          <w:sz w:val="22"/>
          <w:szCs w:val="22"/>
        </w:rPr>
      </w:pPr>
      <w:r w:rsidRPr="000A553C">
        <w:rPr>
          <w:sz w:val="22"/>
          <w:szCs w:val="22"/>
        </w:rPr>
        <w:t>Superfici lorde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384"/>
        <w:gridCol w:w="1417"/>
      </w:tblGrid>
      <w:tr w:rsidR="00B21A9A" w:rsidTr="00B21A9A">
        <w:tc>
          <w:tcPr>
            <w:tcW w:w="6946" w:type="dxa"/>
          </w:tcPr>
          <w:p w:rsidR="00B21A9A" w:rsidRPr="000D0291" w:rsidRDefault="00B21A9A" w:rsidP="00B21A9A">
            <w:pPr>
              <w:rPr>
                <w:sz w:val="22"/>
              </w:rPr>
            </w:pPr>
            <w:r w:rsidRPr="000D0291">
              <w:rPr>
                <w:sz w:val="22"/>
              </w:rPr>
              <w:t>Superficie lorda ad uso uffici</w:t>
            </w:r>
          </w:p>
        </w:tc>
        <w:tc>
          <w:tcPr>
            <w:tcW w:w="1384" w:type="dxa"/>
          </w:tcPr>
          <w:p w:rsidR="00B21A9A" w:rsidRPr="000D0291" w:rsidRDefault="00B21A9A" w:rsidP="00B21A9A">
            <w:pPr>
              <w:jc w:val="right"/>
              <w:rPr>
                <w:sz w:val="22"/>
              </w:rPr>
            </w:pPr>
          </w:p>
        </w:tc>
        <w:tc>
          <w:tcPr>
            <w:tcW w:w="1417" w:type="dxa"/>
          </w:tcPr>
          <w:p w:rsidR="00B21A9A" w:rsidRPr="000D0291" w:rsidRDefault="00B21A9A" w:rsidP="00B21A9A">
            <w:pPr>
              <w:jc w:val="right"/>
              <w:rPr>
                <w:sz w:val="22"/>
              </w:rPr>
            </w:pPr>
            <w:r w:rsidRPr="000D0291">
              <w:rPr>
                <w:sz w:val="22"/>
              </w:rPr>
              <w:t>8'933</w:t>
            </w:r>
          </w:p>
        </w:tc>
      </w:tr>
      <w:tr w:rsidR="00B21A9A" w:rsidTr="00B21A9A">
        <w:tc>
          <w:tcPr>
            <w:tcW w:w="6946" w:type="dxa"/>
          </w:tcPr>
          <w:p w:rsidR="00B21A9A" w:rsidRPr="000D0291" w:rsidRDefault="00B21A9A" w:rsidP="00B21A9A">
            <w:pPr>
              <w:rPr>
                <w:sz w:val="22"/>
              </w:rPr>
            </w:pPr>
            <w:r w:rsidRPr="000D0291">
              <w:rPr>
                <w:sz w:val="22"/>
              </w:rPr>
              <w:t>Superficie lorda ad uso servizi</w:t>
            </w:r>
          </w:p>
        </w:tc>
        <w:tc>
          <w:tcPr>
            <w:tcW w:w="1384" w:type="dxa"/>
          </w:tcPr>
          <w:p w:rsidR="00B21A9A" w:rsidRPr="000D0291" w:rsidRDefault="00B21A9A" w:rsidP="00B21A9A">
            <w:pPr>
              <w:jc w:val="right"/>
              <w:rPr>
                <w:sz w:val="22"/>
              </w:rPr>
            </w:pPr>
          </w:p>
        </w:tc>
        <w:tc>
          <w:tcPr>
            <w:tcW w:w="1417" w:type="dxa"/>
          </w:tcPr>
          <w:p w:rsidR="00B21A9A" w:rsidRPr="000D0291" w:rsidRDefault="00B21A9A" w:rsidP="00B21A9A">
            <w:pPr>
              <w:jc w:val="right"/>
              <w:rPr>
                <w:sz w:val="22"/>
              </w:rPr>
            </w:pPr>
            <w:r w:rsidRPr="000D0291">
              <w:rPr>
                <w:sz w:val="22"/>
              </w:rPr>
              <w:t>337</w:t>
            </w:r>
          </w:p>
        </w:tc>
      </w:tr>
      <w:tr w:rsidR="00B21A9A" w:rsidTr="00B21A9A">
        <w:tc>
          <w:tcPr>
            <w:tcW w:w="6946" w:type="dxa"/>
            <w:tcBorders>
              <w:bottom w:val="single" w:sz="4" w:space="0" w:color="auto"/>
            </w:tcBorders>
          </w:tcPr>
          <w:p w:rsidR="00B21A9A" w:rsidRPr="000D0291" w:rsidRDefault="00B21A9A" w:rsidP="00B21A9A">
            <w:pPr>
              <w:rPr>
                <w:sz w:val="22"/>
              </w:rPr>
            </w:pPr>
            <w:r w:rsidRPr="000D0291">
              <w:rPr>
                <w:sz w:val="22"/>
              </w:rPr>
              <w:t>Superficie lorda ad uso circolazione</w:t>
            </w:r>
          </w:p>
        </w:tc>
        <w:tc>
          <w:tcPr>
            <w:tcW w:w="1384" w:type="dxa"/>
            <w:tcBorders>
              <w:bottom w:val="single" w:sz="4" w:space="0" w:color="auto"/>
            </w:tcBorders>
          </w:tcPr>
          <w:p w:rsidR="00B21A9A" w:rsidRPr="000D0291" w:rsidRDefault="00B21A9A" w:rsidP="00B21A9A">
            <w:pPr>
              <w:jc w:val="right"/>
              <w:rPr>
                <w:sz w:val="22"/>
              </w:rPr>
            </w:pPr>
          </w:p>
        </w:tc>
        <w:tc>
          <w:tcPr>
            <w:tcW w:w="1417" w:type="dxa"/>
            <w:tcBorders>
              <w:bottom w:val="single" w:sz="4" w:space="0" w:color="auto"/>
            </w:tcBorders>
          </w:tcPr>
          <w:p w:rsidR="00B21A9A" w:rsidRPr="000D0291" w:rsidRDefault="00B21A9A" w:rsidP="00B21A9A">
            <w:pPr>
              <w:jc w:val="right"/>
              <w:rPr>
                <w:sz w:val="22"/>
              </w:rPr>
            </w:pPr>
            <w:r w:rsidRPr="000D0291">
              <w:rPr>
                <w:sz w:val="22"/>
              </w:rPr>
              <w:t>4'214</w:t>
            </w:r>
          </w:p>
        </w:tc>
      </w:tr>
      <w:tr w:rsidR="00B21A9A" w:rsidRPr="000D0291" w:rsidTr="00B21A9A">
        <w:tc>
          <w:tcPr>
            <w:tcW w:w="6946" w:type="dxa"/>
            <w:tcBorders>
              <w:top w:val="single" w:sz="4" w:space="0" w:color="auto"/>
            </w:tcBorders>
            <w:shd w:val="clear" w:color="auto" w:fill="auto"/>
          </w:tcPr>
          <w:p w:rsidR="00B21A9A" w:rsidRPr="000D0291" w:rsidRDefault="00B21A9A" w:rsidP="00B21A9A">
            <w:pPr>
              <w:rPr>
                <w:b/>
                <w:sz w:val="22"/>
              </w:rPr>
            </w:pPr>
            <w:r w:rsidRPr="000D0291">
              <w:rPr>
                <w:b/>
                <w:sz w:val="22"/>
              </w:rPr>
              <w:t>TOTALE superficie piani fuori terra</w:t>
            </w:r>
          </w:p>
        </w:tc>
        <w:tc>
          <w:tcPr>
            <w:tcW w:w="1384" w:type="dxa"/>
            <w:tcBorders>
              <w:top w:val="single" w:sz="4" w:space="0" w:color="auto"/>
            </w:tcBorders>
            <w:shd w:val="clear" w:color="auto" w:fill="auto"/>
          </w:tcPr>
          <w:p w:rsidR="00B21A9A" w:rsidRPr="000D0291" w:rsidRDefault="00B21A9A" w:rsidP="00B21A9A">
            <w:pPr>
              <w:jc w:val="right"/>
              <w:rPr>
                <w:b/>
                <w:sz w:val="22"/>
              </w:rPr>
            </w:pPr>
            <w:r w:rsidRPr="000D0291">
              <w:rPr>
                <w:b/>
                <w:sz w:val="22"/>
              </w:rPr>
              <w:t>mq</w:t>
            </w:r>
          </w:p>
        </w:tc>
        <w:tc>
          <w:tcPr>
            <w:tcW w:w="1417" w:type="dxa"/>
            <w:tcBorders>
              <w:top w:val="single" w:sz="4" w:space="0" w:color="auto"/>
            </w:tcBorders>
            <w:shd w:val="clear" w:color="auto" w:fill="auto"/>
          </w:tcPr>
          <w:p w:rsidR="00B21A9A" w:rsidRPr="000D0291" w:rsidRDefault="00B21A9A" w:rsidP="00B21A9A">
            <w:pPr>
              <w:jc w:val="right"/>
              <w:rPr>
                <w:b/>
                <w:sz w:val="22"/>
              </w:rPr>
            </w:pPr>
            <w:r w:rsidRPr="000D0291">
              <w:rPr>
                <w:b/>
                <w:sz w:val="22"/>
              </w:rPr>
              <w:t>13'484</w:t>
            </w:r>
          </w:p>
        </w:tc>
      </w:tr>
      <w:tr w:rsidR="00B21A9A" w:rsidTr="00B21A9A">
        <w:tc>
          <w:tcPr>
            <w:tcW w:w="6946" w:type="dxa"/>
          </w:tcPr>
          <w:p w:rsidR="00B21A9A" w:rsidRPr="000D0291" w:rsidRDefault="00B21A9A" w:rsidP="00B21A9A">
            <w:pPr>
              <w:rPr>
                <w:sz w:val="22"/>
              </w:rPr>
            </w:pPr>
          </w:p>
        </w:tc>
        <w:tc>
          <w:tcPr>
            <w:tcW w:w="1384" w:type="dxa"/>
          </w:tcPr>
          <w:p w:rsidR="00B21A9A" w:rsidRPr="000D0291" w:rsidRDefault="00B21A9A" w:rsidP="00B21A9A">
            <w:pPr>
              <w:jc w:val="right"/>
              <w:rPr>
                <w:sz w:val="22"/>
              </w:rPr>
            </w:pPr>
          </w:p>
        </w:tc>
        <w:tc>
          <w:tcPr>
            <w:tcW w:w="1417" w:type="dxa"/>
          </w:tcPr>
          <w:p w:rsidR="00B21A9A" w:rsidRPr="000D0291" w:rsidRDefault="00B21A9A" w:rsidP="00B21A9A">
            <w:pPr>
              <w:jc w:val="right"/>
              <w:rPr>
                <w:sz w:val="22"/>
              </w:rPr>
            </w:pPr>
          </w:p>
        </w:tc>
      </w:tr>
      <w:tr w:rsidR="00B21A9A" w:rsidTr="00B21A9A">
        <w:tc>
          <w:tcPr>
            <w:tcW w:w="6946" w:type="dxa"/>
          </w:tcPr>
          <w:p w:rsidR="00B21A9A" w:rsidRPr="000D0291" w:rsidRDefault="00B21A9A" w:rsidP="00B21A9A">
            <w:pPr>
              <w:rPr>
                <w:sz w:val="22"/>
              </w:rPr>
            </w:pPr>
            <w:r w:rsidRPr="000D0291">
              <w:rPr>
                <w:sz w:val="22"/>
              </w:rPr>
              <w:t>Superficie lorda ad uso archivi e depositi</w:t>
            </w:r>
          </w:p>
        </w:tc>
        <w:tc>
          <w:tcPr>
            <w:tcW w:w="1384" w:type="dxa"/>
          </w:tcPr>
          <w:p w:rsidR="00B21A9A" w:rsidRPr="000D0291" w:rsidRDefault="00B21A9A" w:rsidP="00B21A9A">
            <w:pPr>
              <w:jc w:val="right"/>
              <w:rPr>
                <w:sz w:val="22"/>
              </w:rPr>
            </w:pPr>
          </w:p>
        </w:tc>
        <w:tc>
          <w:tcPr>
            <w:tcW w:w="1417" w:type="dxa"/>
          </w:tcPr>
          <w:p w:rsidR="00B21A9A" w:rsidRPr="000D0291" w:rsidRDefault="00B21A9A" w:rsidP="00B21A9A">
            <w:pPr>
              <w:jc w:val="right"/>
              <w:rPr>
                <w:sz w:val="22"/>
              </w:rPr>
            </w:pPr>
            <w:r w:rsidRPr="000D0291">
              <w:rPr>
                <w:sz w:val="22"/>
              </w:rPr>
              <w:t>4'816</w:t>
            </w:r>
          </w:p>
        </w:tc>
      </w:tr>
      <w:tr w:rsidR="00B21A9A" w:rsidTr="00B21A9A">
        <w:tc>
          <w:tcPr>
            <w:tcW w:w="6946" w:type="dxa"/>
          </w:tcPr>
          <w:p w:rsidR="00B21A9A" w:rsidRPr="000D0291" w:rsidRDefault="00B21A9A" w:rsidP="00B21A9A">
            <w:pPr>
              <w:rPr>
                <w:sz w:val="22"/>
              </w:rPr>
            </w:pPr>
            <w:r w:rsidRPr="000D0291">
              <w:rPr>
                <w:sz w:val="22"/>
              </w:rPr>
              <w:t>Superficie lorda ad uso autorimessa (n. 106 posti auto)</w:t>
            </w:r>
          </w:p>
        </w:tc>
        <w:tc>
          <w:tcPr>
            <w:tcW w:w="1384" w:type="dxa"/>
          </w:tcPr>
          <w:p w:rsidR="00B21A9A" w:rsidRPr="000D0291" w:rsidRDefault="00B21A9A" w:rsidP="00B21A9A">
            <w:pPr>
              <w:jc w:val="right"/>
              <w:rPr>
                <w:sz w:val="22"/>
              </w:rPr>
            </w:pPr>
          </w:p>
        </w:tc>
        <w:tc>
          <w:tcPr>
            <w:tcW w:w="1417" w:type="dxa"/>
          </w:tcPr>
          <w:p w:rsidR="00B21A9A" w:rsidRPr="000D0291" w:rsidRDefault="00B21A9A" w:rsidP="00B21A9A">
            <w:pPr>
              <w:jc w:val="right"/>
              <w:rPr>
                <w:sz w:val="22"/>
              </w:rPr>
            </w:pPr>
            <w:r w:rsidRPr="000D0291">
              <w:rPr>
                <w:sz w:val="22"/>
              </w:rPr>
              <w:t>2'989</w:t>
            </w:r>
          </w:p>
        </w:tc>
      </w:tr>
      <w:tr w:rsidR="00B21A9A" w:rsidTr="00B21A9A">
        <w:tc>
          <w:tcPr>
            <w:tcW w:w="6946" w:type="dxa"/>
          </w:tcPr>
          <w:p w:rsidR="00B21A9A" w:rsidRPr="000D0291" w:rsidRDefault="00B21A9A" w:rsidP="00B21A9A">
            <w:pPr>
              <w:rPr>
                <w:sz w:val="22"/>
              </w:rPr>
            </w:pPr>
            <w:r w:rsidRPr="000D0291">
              <w:rPr>
                <w:sz w:val="22"/>
              </w:rPr>
              <w:t>Superficie lorda ad uso tecnica</w:t>
            </w:r>
          </w:p>
        </w:tc>
        <w:tc>
          <w:tcPr>
            <w:tcW w:w="1384" w:type="dxa"/>
          </w:tcPr>
          <w:p w:rsidR="00B21A9A" w:rsidRPr="000D0291" w:rsidRDefault="00B21A9A" w:rsidP="00B21A9A">
            <w:pPr>
              <w:jc w:val="right"/>
              <w:rPr>
                <w:sz w:val="22"/>
              </w:rPr>
            </w:pPr>
          </w:p>
        </w:tc>
        <w:tc>
          <w:tcPr>
            <w:tcW w:w="1417" w:type="dxa"/>
          </w:tcPr>
          <w:p w:rsidR="00B21A9A" w:rsidRPr="000D0291" w:rsidRDefault="00B21A9A" w:rsidP="00B21A9A">
            <w:pPr>
              <w:jc w:val="right"/>
              <w:rPr>
                <w:sz w:val="22"/>
              </w:rPr>
            </w:pPr>
            <w:r w:rsidRPr="000D0291">
              <w:rPr>
                <w:sz w:val="22"/>
              </w:rPr>
              <w:t>2'033</w:t>
            </w:r>
          </w:p>
        </w:tc>
      </w:tr>
      <w:tr w:rsidR="00B21A9A" w:rsidTr="00B21A9A">
        <w:tc>
          <w:tcPr>
            <w:tcW w:w="6946" w:type="dxa"/>
          </w:tcPr>
          <w:p w:rsidR="00B21A9A" w:rsidRPr="000D0291" w:rsidRDefault="00B21A9A" w:rsidP="00B21A9A">
            <w:pPr>
              <w:rPr>
                <w:sz w:val="22"/>
              </w:rPr>
            </w:pPr>
            <w:r w:rsidRPr="000D0291">
              <w:rPr>
                <w:sz w:val="22"/>
              </w:rPr>
              <w:t>Superficie lorda disponibile</w:t>
            </w:r>
          </w:p>
        </w:tc>
        <w:tc>
          <w:tcPr>
            <w:tcW w:w="1384" w:type="dxa"/>
          </w:tcPr>
          <w:p w:rsidR="00B21A9A" w:rsidRPr="000D0291" w:rsidRDefault="00B21A9A" w:rsidP="00B21A9A">
            <w:pPr>
              <w:jc w:val="right"/>
              <w:rPr>
                <w:sz w:val="22"/>
              </w:rPr>
            </w:pPr>
          </w:p>
        </w:tc>
        <w:tc>
          <w:tcPr>
            <w:tcW w:w="1417" w:type="dxa"/>
          </w:tcPr>
          <w:p w:rsidR="00B21A9A" w:rsidRPr="000D0291" w:rsidRDefault="00B21A9A" w:rsidP="00B21A9A">
            <w:pPr>
              <w:jc w:val="right"/>
              <w:rPr>
                <w:sz w:val="22"/>
              </w:rPr>
            </w:pPr>
            <w:r w:rsidRPr="000D0291">
              <w:rPr>
                <w:sz w:val="22"/>
              </w:rPr>
              <w:t>694</w:t>
            </w:r>
          </w:p>
        </w:tc>
      </w:tr>
      <w:tr w:rsidR="00B21A9A" w:rsidTr="00B21A9A">
        <w:tc>
          <w:tcPr>
            <w:tcW w:w="6946" w:type="dxa"/>
          </w:tcPr>
          <w:p w:rsidR="00B21A9A" w:rsidRPr="000D0291" w:rsidRDefault="00B21A9A" w:rsidP="00B21A9A">
            <w:pPr>
              <w:rPr>
                <w:sz w:val="22"/>
              </w:rPr>
            </w:pPr>
            <w:r w:rsidRPr="000D0291">
              <w:rPr>
                <w:sz w:val="22"/>
              </w:rPr>
              <w:t>Superficie lorda ad uso circolazione</w:t>
            </w:r>
          </w:p>
        </w:tc>
        <w:tc>
          <w:tcPr>
            <w:tcW w:w="1384" w:type="dxa"/>
          </w:tcPr>
          <w:p w:rsidR="00B21A9A" w:rsidRPr="000D0291" w:rsidRDefault="00B21A9A" w:rsidP="00B21A9A">
            <w:pPr>
              <w:jc w:val="right"/>
              <w:rPr>
                <w:sz w:val="22"/>
              </w:rPr>
            </w:pPr>
          </w:p>
        </w:tc>
        <w:tc>
          <w:tcPr>
            <w:tcW w:w="1417" w:type="dxa"/>
          </w:tcPr>
          <w:p w:rsidR="00B21A9A" w:rsidRPr="000D0291" w:rsidRDefault="00B21A9A" w:rsidP="00B21A9A">
            <w:pPr>
              <w:jc w:val="right"/>
              <w:rPr>
                <w:sz w:val="22"/>
              </w:rPr>
            </w:pPr>
            <w:r w:rsidRPr="000D0291">
              <w:rPr>
                <w:sz w:val="22"/>
              </w:rPr>
              <w:t>805</w:t>
            </w:r>
          </w:p>
        </w:tc>
      </w:tr>
      <w:tr w:rsidR="00B21A9A" w:rsidTr="00B21A9A">
        <w:tc>
          <w:tcPr>
            <w:tcW w:w="6946" w:type="dxa"/>
            <w:tcBorders>
              <w:bottom w:val="single" w:sz="4" w:space="0" w:color="auto"/>
            </w:tcBorders>
          </w:tcPr>
          <w:p w:rsidR="00B21A9A" w:rsidRPr="000D0291" w:rsidRDefault="00B21A9A" w:rsidP="00B21A9A">
            <w:pPr>
              <w:rPr>
                <w:sz w:val="22"/>
              </w:rPr>
            </w:pPr>
            <w:r w:rsidRPr="000D0291">
              <w:rPr>
                <w:sz w:val="22"/>
              </w:rPr>
              <w:t>Superficie lorda ad uso servizi</w:t>
            </w:r>
          </w:p>
        </w:tc>
        <w:tc>
          <w:tcPr>
            <w:tcW w:w="1384" w:type="dxa"/>
            <w:tcBorders>
              <w:bottom w:val="single" w:sz="4" w:space="0" w:color="auto"/>
            </w:tcBorders>
          </w:tcPr>
          <w:p w:rsidR="00B21A9A" w:rsidRPr="000D0291" w:rsidRDefault="00B21A9A" w:rsidP="00B21A9A">
            <w:pPr>
              <w:jc w:val="right"/>
              <w:rPr>
                <w:sz w:val="22"/>
              </w:rPr>
            </w:pPr>
          </w:p>
        </w:tc>
        <w:tc>
          <w:tcPr>
            <w:tcW w:w="1417" w:type="dxa"/>
            <w:tcBorders>
              <w:bottom w:val="single" w:sz="4" w:space="0" w:color="auto"/>
            </w:tcBorders>
          </w:tcPr>
          <w:p w:rsidR="00B21A9A" w:rsidRPr="000D0291" w:rsidRDefault="00B21A9A" w:rsidP="00B21A9A">
            <w:pPr>
              <w:jc w:val="right"/>
              <w:rPr>
                <w:sz w:val="22"/>
              </w:rPr>
            </w:pPr>
            <w:r w:rsidRPr="000D0291">
              <w:rPr>
                <w:sz w:val="22"/>
              </w:rPr>
              <w:t>41</w:t>
            </w:r>
          </w:p>
        </w:tc>
      </w:tr>
      <w:tr w:rsidR="00B21A9A" w:rsidRPr="000D0291" w:rsidTr="00B21A9A">
        <w:tc>
          <w:tcPr>
            <w:tcW w:w="6946" w:type="dxa"/>
            <w:tcBorders>
              <w:top w:val="single" w:sz="4" w:space="0" w:color="auto"/>
            </w:tcBorders>
            <w:shd w:val="clear" w:color="auto" w:fill="auto"/>
          </w:tcPr>
          <w:p w:rsidR="00B21A9A" w:rsidRPr="000D0291" w:rsidRDefault="00B21A9A" w:rsidP="00B21A9A">
            <w:pPr>
              <w:tabs>
                <w:tab w:val="left" w:pos="3695"/>
              </w:tabs>
              <w:rPr>
                <w:b/>
                <w:sz w:val="22"/>
              </w:rPr>
            </w:pPr>
            <w:r w:rsidRPr="000D0291">
              <w:rPr>
                <w:b/>
                <w:sz w:val="22"/>
              </w:rPr>
              <w:t>TOTALE Superficie piani interrati</w:t>
            </w:r>
            <w:r w:rsidRPr="000D0291">
              <w:rPr>
                <w:b/>
                <w:sz w:val="22"/>
              </w:rPr>
              <w:tab/>
            </w:r>
          </w:p>
        </w:tc>
        <w:tc>
          <w:tcPr>
            <w:tcW w:w="1384" w:type="dxa"/>
            <w:tcBorders>
              <w:top w:val="single" w:sz="4" w:space="0" w:color="auto"/>
            </w:tcBorders>
            <w:shd w:val="clear" w:color="auto" w:fill="auto"/>
          </w:tcPr>
          <w:p w:rsidR="00B21A9A" w:rsidRPr="000D0291" w:rsidRDefault="00B21A9A" w:rsidP="00B21A9A">
            <w:pPr>
              <w:jc w:val="right"/>
              <w:rPr>
                <w:b/>
                <w:sz w:val="22"/>
              </w:rPr>
            </w:pPr>
            <w:r w:rsidRPr="000D0291">
              <w:rPr>
                <w:b/>
                <w:sz w:val="22"/>
              </w:rPr>
              <w:t>mq</w:t>
            </w:r>
          </w:p>
        </w:tc>
        <w:tc>
          <w:tcPr>
            <w:tcW w:w="1417" w:type="dxa"/>
            <w:tcBorders>
              <w:top w:val="single" w:sz="4" w:space="0" w:color="auto"/>
            </w:tcBorders>
            <w:shd w:val="clear" w:color="auto" w:fill="auto"/>
          </w:tcPr>
          <w:p w:rsidR="00B21A9A" w:rsidRPr="000D0291" w:rsidRDefault="00B21A9A" w:rsidP="00B21A9A">
            <w:pPr>
              <w:jc w:val="right"/>
              <w:rPr>
                <w:b/>
                <w:sz w:val="22"/>
              </w:rPr>
            </w:pPr>
            <w:r w:rsidRPr="000D0291">
              <w:rPr>
                <w:b/>
                <w:sz w:val="22"/>
              </w:rPr>
              <w:t>11'378</w:t>
            </w:r>
          </w:p>
        </w:tc>
      </w:tr>
      <w:tr w:rsidR="00B21A9A" w:rsidTr="00B21A9A">
        <w:tc>
          <w:tcPr>
            <w:tcW w:w="6946" w:type="dxa"/>
          </w:tcPr>
          <w:p w:rsidR="00B21A9A" w:rsidRPr="000D0291" w:rsidRDefault="00B21A9A" w:rsidP="00B21A9A">
            <w:pPr>
              <w:rPr>
                <w:sz w:val="22"/>
              </w:rPr>
            </w:pPr>
          </w:p>
        </w:tc>
        <w:tc>
          <w:tcPr>
            <w:tcW w:w="1384" w:type="dxa"/>
          </w:tcPr>
          <w:p w:rsidR="00B21A9A" w:rsidRPr="000D0291" w:rsidRDefault="00B21A9A" w:rsidP="00B21A9A">
            <w:pPr>
              <w:jc w:val="right"/>
              <w:rPr>
                <w:sz w:val="22"/>
              </w:rPr>
            </w:pPr>
          </w:p>
        </w:tc>
        <w:tc>
          <w:tcPr>
            <w:tcW w:w="1417" w:type="dxa"/>
          </w:tcPr>
          <w:p w:rsidR="00B21A9A" w:rsidRPr="000D0291" w:rsidRDefault="00B21A9A" w:rsidP="00B21A9A">
            <w:pPr>
              <w:jc w:val="right"/>
              <w:rPr>
                <w:sz w:val="22"/>
              </w:rPr>
            </w:pPr>
          </w:p>
        </w:tc>
      </w:tr>
      <w:tr w:rsidR="00B21A9A" w:rsidTr="00B21A9A">
        <w:tc>
          <w:tcPr>
            <w:tcW w:w="6946" w:type="dxa"/>
          </w:tcPr>
          <w:p w:rsidR="00B21A9A" w:rsidRPr="000D0291" w:rsidRDefault="00B21A9A" w:rsidP="00B21A9A">
            <w:pPr>
              <w:rPr>
                <w:sz w:val="22"/>
              </w:rPr>
            </w:pPr>
            <w:r w:rsidRPr="000D0291">
              <w:rPr>
                <w:sz w:val="22"/>
              </w:rPr>
              <w:t>TOTALE Superficie piani fuori terra</w:t>
            </w:r>
          </w:p>
        </w:tc>
        <w:tc>
          <w:tcPr>
            <w:tcW w:w="1384" w:type="dxa"/>
          </w:tcPr>
          <w:p w:rsidR="00B21A9A" w:rsidRPr="000D0291" w:rsidRDefault="00B21A9A" w:rsidP="00B21A9A">
            <w:pPr>
              <w:jc w:val="right"/>
              <w:rPr>
                <w:sz w:val="22"/>
              </w:rPr>
            </w:pPr>
          </w:p>
        </w:tc>
        <w:tc>
          <w:tcPr>
            <w:tcW w:w="1417" w:type="dxa"/>
          </w:tcPr>
          <w:p w:rsidR="00B21A9A" w:rsidRPr="000D0291" w:rsidRDefault="00B21A9A" w:rsidP="00B21A9A">
            <w:pPr>
              <w:jc w:val="right"/>
              <w:rPr>
                <w:sz w:val="22"/>
              </w:rPr>
            </w:pPr>
            <w:r w:rsidRPr="000D0291">
              <w:rPr>
                <w:sz w:val="22"/>
              </w:rPr>
              <w:t>13'484</w:t>
            </w:r>
          </w:p>
        </w:tc>
      </w:tr>
      <w:tr w:rsidR="00B21A9A" w:rsidTr="00B21A9A">
        <w:tc>
          <w:tcPr>
            <w:tcW w:w="6946" w:type="dxa"/>
            <w:tcBorders>
              <w:bottom w:val="single" w:sz="4" w:space="0" w:color="auto"/>
            </w:tcBorders>
          </w:tcPr>
          <w:p w:rsidR="00B21A9A" w:rsidRPr="000D0291" w:rsidRDefault="00B21A9A" w:rsidP="00B21A9A">
            <w:pPr>
              <w:rPr>
                <w:sz w:val="22"/>
              </w:rPr>
            </w:pPr>
            <w:r w:rsidRPr="000D0291">
              <w:rPr>
                <w:sz w:val="22"/>
              </w:rPr>
              <w:t>TOTALE Superficie piani interrati</w:t>
            </w:r>
          </w:p>
        </w:tc>
        <w:tc>
          <w:tcPr>
            <w:tcW w:w="1384" w:type="dxa"/>
            <w:tcBorders>
              <w:bottom w:val="single" w:sz="4" w:space="0" w:color="auto"/>
            </w:tcBorders>
          </w:tcPr>
          <w:p w:rsidR="00B21A9A" w:rsidRPr="000D0291" w:rsidRDefault="00B21A9A" w:rsidP="00B21A9A">
            <w:pPr>
              <w:jc w:val="right"/>
              <w:rPr>
                <w:sz w:val="22"/>
              </w:rPr>
            </w:pPr>
          </w:p>
        </w:tc>
        <w:tc>
          <w:tcPr>
            <w:tcW w:w="1417" w:type="dxa"/>
            <w:tcBorders>
              <w:bottom w:val="single" w:sz="4" w:space="0" w:color="auto"/>
            </w:tcBorders>
          </w:tcPr>
          <w:p w:rsidR="00B21A9A" w:rsidRPr="000D0291" w:rsidRDefault="00B21A9A" w:rsidP="00B21A9A">
            <w:pPr>
              <w:jc w:val="right"/>
              <w:rPr>
                <w:sz w:val="22"/>
              </w:rPr>
            </w:pPr>
            <w:r w:rsidRPr="000D0291">
              <w:rPr>
                <w:sz w:val="22"/>
              </w:rPr>
              <w:t>11'378</w:t>
            </w:r>
          </w:p>
        </w:tc>
      </w:tr>
      <w:tr w:rsidR="00B21A9A" w:rsidTr="00B21A9A">
        <w:tc>
          <w:tcPr>
            <w:tcW w:w="6946" w:type="dxa"/>
            <w:tcBorders>
              <w:top w:val="single" w:sz="4" w:space="0" w:color="auto"/>
            </w:tcBorders>
            <w:shd w:val="clear" w:color="auto" w:fill="BFBFBF" w:themeFill="background1" w:themeFillShade="BF"/>
          </w:tcPr>
          <w:p w:rsidR="00B21A9A" w:rsidRPr="000D0291" w:rsidRDefault="00B21A9A" w:rsidP="00B21A9A">
            <w:pPr>
              <w:rPr>
                <w:b/>
                <w:sz w:val="22"/>
              </w:rPr>
            </w:pPr>
            <w:r w:rsidRPr="000D0291">
              <w:rPr>
                <w:b/>
                <w:sz w:val="22"/>
              </w:rPr>
              <w:t>TOTALE Superfici</w:t>
            </w:r>
          </w:p>
        </w:tc>
        <w:tc>
          <w:tcPr>
            <w:tcW w:w="1384" w:type="dxa"/>
            <w:tcBorders>
              <w:top w:val="single" w:sz="4" w:space="0" w:color="auto"/>
            </w:tcBorders>
            <w:shd w:val="clear" w:color="auto" w:fill="BFBFBF" w:themeFill="background1" w:themeFillShade="BF"/>
          </w:tcPr>
          <w:p w:rsidR="00B21A9A" w:rsidRPr="000D0291" w:rsidRDefault="00B21A9A" w:rsidP="00B21A9A">
            <w:pPr>
              <w:jc w:val="right"/>
              <w:rPr>
                <w:b/>
                <w:sz w:val="22"/>
              </w:rPr>
            </w:pPr>
            <w:r w:rsidRPr="000D0291">
              <w:rPr>
                <w:b/>
                <w:sz w:val="22"/>
              </w:rPr>
              <w:t>mq</w:t>
            </w:r>
          </w:p>
        </w:tc>
        <w:tc>
          <w:tcPr>
            <w:tcW w:w="1417" w:type="dxa"/>
            <w:tcBorders>
              <w:top w:val="single" w:sz="4" w:space="0" w:color="auto"/>
            </w:tcBorders>
            <w:shd w:val="clear" w:color="auto" w:fill="BFBFBF" w:themeFill="background1" w:themeFillShade="BF"/>
          </w:tcPr>
          <w:p w:rsidR="00B21A9A" w:rsidRPr="000D0291" w:rsidRDefault="00B21A9A" w:rsidP="00B21A9A">
            <w:pPr>
              <w:jc w:val="right"/>
              <w:rPr>
                <w:b/>
                <w:sz w:val="22"/>
              </w:rPr>
            </w:pPr>
            <w:r w:rsidRPr="000D0291">
              <w:rPr>
                <w:b/>
                <w:sz w:val="22"/>
              </w:rPr>
              <w:t>24'862</w:t>
            </w:r>
          </w:p>
        </w:tc>
      </w:tr>
    </w:tbl>
    <w:p w:rsidR="00B21A9A" w:rsidRPr="008D4CBE" w:rsidRDefault="00B21A9A" w:rsidP="00B21A9A">
      <w:pPr>
        <w:rPr>
          <w:i/>
          <w:szCs w:val="24"/>
        </w:rPr>
      </w:pPr>
    </w:p>
    <w:p w:rsidR="00B21A9A" w:rsidRPr="000A553C" w:rsidRDefault="00B21A9A" w:rsidP="00B21A9A">
      <w:pPr>
        <w:pStyle w:val="Titolo3"/>
        <w:spacing w:before="0"/>
        <w:rPr>
          <w:sz w:val="22"/>
          <w:szCs w:val="22"/>
        </w:rPr>
      </w:pPr>
      <w:r w:rsidRPr="000A553C">
        <w:rPr>
          <w:sz w:val="22"/>
          <w:szCs w:val="22"/>
        </w:rPr>
        <w:t>Aspetti tecnici</w:t>
      </w:r>
    </w:p>
    <w:p w:rsidR="00B21A9A" w:rsidRDefault="00B21A9A" w:rsidP="00B21A9A">
      <w:pPr>
        <w:tabs>
          <w:tab w:val="left" w:pos="3420"/>
        </w:tabs>
        <w:rPr>
          <w:lang w:val="it-CH"/>
        </w:rPr>
      </w:pPr>
      <w:r>
        <w:rPr>
          <w:lang w:val="it-CH"/>
        </w:rPr>
        <w:t>L’edificio, composto da 6 piani fuori terra e da 3 piani interrati, è suddiviso in quattro blocchi intervallati da elementi di risalita verticale e si avvale di una struttura portante in pilastri di cemento armato che permettono un’ampia flessibilità interna. Il passo dei serramenti e dei corpi riscaldanti delle zone di lavoro, ritmato a cadenza di 110 cm, è stato concepito per permettere il libero posizionamento e spostamento delle pareti divisorie interne.</w:t>
      </w:r>
    </w:p>
    <w:p w:rsidR="00B21A9A" w:rsidRPr="00B21A9A" w:rsidRDefault="00B21A9A" w:rsidP="00B21A9A">
      <w:pPr>
        <w:tabs>
          <w:tab w:val="left" w:pos="3420"/>
        </w:tabs>
        <w:rPr>
          <w:rFonts w:cs="Arial"/>
          <w:sz w:val="12"/>
          <w:szCs w:val="12"/>
          <w:lang w:val="it-CH"/>
        </w:rPr>
      </w:pPr>
    </w:p>
    <w:p w:rsidR="00B21A9A" w:rsidRDefault="00B21A9A" w:rsidP="00B21A9A">
      <w:pPr>
        <w:tabs>
          <w:tab w:val="left" w:pos="3420"/>
        </w:tabs>
        <w:rPr>
          <w:rFonts w:cs="Arial"/>
          <w:szCs w:val="24"/>
          <w:lang w:val="it-CH"/>
        </w:rPr>
      </w:pPr>
      <w:r w:rsidRPr="00033924">
        <w:t>Le facciate</w:t>
      </w:r>
      <w:r>
        <w:t xml:space="preserve"> sono caratterizzate da un rivestimento lapideo, da </w:t>
      </w:r>
      <w:r w:rsidRPr="00033924">
        <w:t>vetrate continue</w:t>
      </w:r>
      <w:r>
        <w:t xml:space="preserve"> e da un isolamento in lana di vetro, con serramenti con doppi vetri. Quest’ultime</w:t>
      </w:r>
      <w:r w:rsidRPr="00033924">
        <w:t xml:space="preserve"> sono orientate est-ovest </w:t>
      </w:r>
      <w:r>
        <w:t xml:space="preserve">e permettono lungo </w:t>
      </w:r>
      <w:r w:rsidRPr="00033924">
        <w:t xml:space="preserve">tutto il perimetro zone di lavoro </w:t>
      </w:r>
      <w:r>
        <w:t>ben areate e ben illuminate.</w:t>
      </w:r>
      <w:r>
        <w:rPr>
          <w:rFonts w:cs="Arial"/>
          <w:szCs w:val="24"/>
          <w:lang w:val="it-CH"/>
        </w:rPr>
        <w:t xml:space="preserve"> </w:t>
      </w:r>
    </w:p>
    <w:p w:rsidR="00B21A9A" w:rsidRDefault="00B21A9A" w:rsidP="00B21A9A">
      <w:pPr>
        <w:tabs>
          <w:tab w:val="left" w:pos="3420"/>
        </w:tabs>
        <w:rPr>
          <w:rFonts w:cs="Arial"/>
          <w:szCs w:val="24"/>
          <w:lang w:val="it-CH"/>
        </w:rPr>
      </w:pPr>
    </w:p>
    <w:p w:rsidR="00B21A9A" w:rsidRPr="00AB1C2B" w:rsidRDefault="00B21A9A" w:rsidP="00B21A9A">
      <w:pPr>
        <w:pStyle w:val="Titolo2"/>
        <w:spacing w:before="120"/>
        <w:rPr>
          <w:i/>
          <w:sz w:val="23"/>
          <w:szCs w:val="23"/>
        </w:rPr>
      </w:pPr>
      <w:r w:rsidRPr="000B47C0">
        <w:rPr>
          <w:i/>
          <w:sz w:val="23"/>
          <w:szCs w:val="23"/>
        </w:rPr>
        <w:t>5.</w:t>
      </w:r>
      <w:r>
        <w:rPr>
          <w:i/>
          <w:sz w:val="23"/>
          <w:szCs w:val="23"/>
        </w:rPr>
        <w:t>1</w:t>
      </w:r>
      <w:r w:rsidRPr="000B47C0">
        <w:rPr>
          <w:i/>
          <w:sz w:val="23"/>
          <w:szCs w:val="23"/>
        </w:rPr>
        <w:t>.3</w:t>
      </w:r>
      <w:r w:rsidR="00A85314">
        <w:rPr>
          <w:i/>
          <w:sz w:val="23"/>
          <w:szCs w:val="23"/>
        </w:rPr>
        <w:tab/>
      </w:r>
      <w:r w:rsidRPr="000B47C0">
        <w:rPr>
          <w:i/>
          <w:sz w:val="23"/>
          <w:szCs w:val="23"/>
        </w:rPr>
        <w:t xml:space="preserve">La proposta </w:t>
      </w:r>
      <w:r w:rsidRPr="00AB1C2B">
        <w:rPr>
          <w:i/>
          <w:sz w:val="23"/>
          <w:szCs w:val="23"/>
        </w:rPr>
        <w:t xml:space="preserve">immobiliare </w:t>
      </w:r>
    </w:p>
    <w:p w:rsidR="00B21A9A" w:rsidRDefault="00A85314" w:rsidP="00A85314">
      <w:pPr>
        <w:pStyle w:val="Titolo4"/>
        <w:tabs>
          <w:tab w:val="clear" w:pos="709"/>
          <w:tab w:val="left" w:pos="567"/>
        </w:tabs>
        <w:rPr>
          <w:lang w:eastAsia="it-CH"/>
        </w:rPr>
      </w:pPr>
      <w:r>
        <w:rPr>
          <w:lang w:eastAsia="it-CH"/>
        </w:rPr>
        <w:t>a)</w:t>
      </w:r>
      <w:r>
        <w:rPr>
          <w:lang w:eastAsia="it-CH"/>
        </w:rPr>
        <w:tab/>
      </w:r>
      <w:r w:rsidR="00B21A9A">
        <w:rPr>
          <w:lang w:eastAsia="it-CH"/>
        </w:rPr>
        <w:t>La trattativa</w:t>
      </w:r>
    </w:p>
    <w:p w:rsidR="00B21A9A" w:rsidRPr="00DD7C9E" w:rsidRDefault="00B21A9A" w:rsidP="00B21A9A">
      <w:pPr>
        <w:rPr>
          <w:rFonts w:cs="Arial"/>
          <w:szCs w:val="24"/>
          <w:lang w:val="it-CH" w:eastAsia="it-CH"/>
        </w:rPr>
      </w:pPr>
      <w:r w:rsidRPr="00DD7C9E">
        <w:rPr>
          <w:rFonts w:cs="Arial"/>
          <w:szCs w:val="24"/>
          <w:lang w:val="it-CH" w:eastAsia="it-CH"/>
        </w:rPr>
        <w:t xml:space="preserve">Nel corso delle trattative per l’acquisto dello stabile S. Anna, </w:t>
      </w:r>
      <w:r>
        <w:rPr>
          <w:rFonts w:cs="Arial"/>
          <w:szCs w:val="24"/>
          <w:lang w:val="it-CH" w:eastAsia="it-CH"/>
        </w:rPr>
        <w:t xml:space="preserve">come indicato nella cronistoria del progetto (punto 1.1), </w:t>
      </w:r>
      <w:r w:rsidRPr="00DD7C9E">
        <w:rPr>
          <w:rFonts w:cs="Arial"/>
          <w:szCs w:val="24"/>
          <w:lang w:val="it-CH" w:eastAsia="it-CH"/>
        </w:rPr>
        <w:t>vista la riduzione della superficie a disposizione, è emersa la possibilità di acquistare l</w:t>
      </w:r>
      <w:r>
        <w:rPr>
          <w:rFonts w:cs="Arial"/>
          <w:szCs w:val="24"/>
          <w:lang w:val="it-CH" w:eastAsia="it-CH"/>
        </w:rPr>
        <w:t>’e</w:t>
      </w:r>
      <w:r w:rsidRPr="00DD7C9E">
        <w:rPr>
          <w:rFonts w:cs="Arial"/>
          <w:szCs w:val="24"/>
          <w:lang w:val="it-CH" w:eastAsia="it-CH"/>
        </w:rPr>
        <w:t xml:space="preserve">x Banca del Gottardo anch’essa di proprietà dell’EFG Bank SA. Lo stabile si trova a poca distanza dal PGL, dispone delle superfici adeguate alle necessità funzionali dell’utente, ha un’immagine rappresentativa e si trova in uno </w:t>
      </w:r>
      <w:r w:rsidRPr="00576CD2">
        <w:rPr>
          <w:rFonts w:cs="Arial"/>
          <w:szCs w:val="24"/>
          <w:lang w:val="it-CH" w:eastAsia="it-CH"/>
        </w:rPr>
        <w:t>stato conservativo buono.</w:t>
      </w:r>
    </w:p>
    <w:p w:rsidR="00B21A9A" w:rsidRDefault="00B21A9A" w:rsidP="00B21A9A">
      <w:pPr>
        <w:rPr>
          <w:rFonts w:cs="Arial"/>
          <w:szCs w:val="24"/>
          <w:u w:val="single"/>
          <w:lang w:val="it-CH" w:eastAsia="it-CH"/>
        </w:rPr>
      </w:pPr>
    </w:p>
    <w:p w:rsidR="00B21A9A" w:rsidRDefault="00B21A9A" w:rsidP="00A85314">
      <w:pPr>
        <w:pStyle w:val="Titolo4"/>
        <w:tabs>
          <w:tab w:val="clear" w:pos="709"/>
          <w:tab w:val="left" w:pos="567"/>
        </w:tabs>
        <w:rPr>
          <w:lang w:eastAsia="it-CH"/>
        </w:rPr>
      </w:pPr>
      <w:r>
        <w:rPr>
          <w:lang w:eastAsia="it-CH"/>
        </w:rPr>
        <w:t>b</w:t>
      </w:r>
      <w:r w:rsidR="00A85314">
        <w:rPr>
          <w:lang w:eastAsia="it-CH"/>
        </w:rPr>
        <w:t>)</w:t>
      </w:r>
      <w:r w:rsidR="00A85314">
        <w:rPr>
          <w:lang w:eastAsia="it-CH"/>
        </w:rPr>
        <w:tab/>
      </w:r>
      <w:r>
        <w:rPr>
          <w:lang w:eastAsia="it-CH"/>
        </w:rPr>
        <w:t>Valutazioni dell’immobile</w:t>
      </w:r>
    </w:p>
    <w:p w:rsidR="00B21A9A" w:rsidRDefault="00B21A9A" w:rsidP="00B21A9A">
      <w:pPr>
        <w:rPr>
          <w:rFonts w:cs="Arial"/>
          <w:szCs w:val="24"/>
          <w:lang w:val="it-CH" w:eastAsia="it-CH"/>
        </w:rPr>
      </w:pPr>
      <w:r w:rsidRPr="00DD7C9E">
        <w:rPr>
          <w:rFonts w:cs="Arial"/>
          <w:szCs w:val="24"/>
          <w:lang w:val="it-CH" w:eastAsia="it-CH"/>
        </w:rPr>
        <w:t>La valutazione tecnica e finanziaria dell’immobile si è sviluppata attraverso i seguenti studi:</w:t>
      </w:r>
    </w:p>
    <w:p w:rsidR="00B21A9A" w:rsidRPr="006D3287" w:rsidRDefault="00B21A9A" w:rsidP="00A85314">
      <w:pPr>
        <w:numPr>
          <w:ilvl w:val="0"/>
          <w:numId w:val="4"/>
        </w:numPr>
        <w:spacing w:before="120"/>
        <w:ind w:left="425" w:hanging="425"/>
        <w:rPr>
          <w:rFonts w:cs="Arial"/>
          <w:szCs w:val="24"/>
          <w:lang w:val="it-CH" w:eastAsia="it-CH"/>
        </w:rPr>
      </w:pPr>
      <w:r w:rsidRPr="00DD7C9E">
        <w:rPr>
          <w:rFonts w:cs="Arial"/>
          <w:szCs w:val="24"/>
          <w:lang w:val="it-CH" w:eastAsia="it-CH"/>
        </w:rPr>
        <w:t xml:space="preserve">Nell’ottobre 2017 lo studio Mario Botta Architetti, su richiesta della Sezione della logistica, nell’ambito del progetto di ristrutturazione del </w:t>
      </w:r>
      <w:r>
        <w:rPr>
          <w:rFonts w:cs="Arial"/>
          <w:szCs w:val="24"/>
          <w:lang w:val="it-CH" w:eastAsia="it-CH"/>
        </w:rPr>
        <w:t>P</w:t>
      </w:r>
      <w:r w:rsidRPr="00DD7C9E">
        <w:rPr>
          <w:rFonts w:cs="Arial"/>
          <w:szCs w:val="24"/>
          <w:lang w:val="it-CH" w:eastAsia="it-CH"/>
        </w:rPr>
        <w:t xml:space="preserve">alazzo di </w:t>
      </w:r>
      <w:r>
        <w:rPr>
          <w:rFonts w:cs="Arial"/>
          <w:szCs w:val="24"/>
          <w:lang w:val="it-CH" w:eastAsia="it-CH"/>
        </w:rPr>
        <w:t>g</w:t>
      </w:r>
      <w:r w:rsidRPr="00DD7C9E">
        <w:rPr>
          <w:rFonts w:cs="Arial"/>
          <w:szCs w:val="24"/>
          <w:lang w:val="it-CH" w:eastAsia="it-CH"/>
        </w:rPr>
        <w:t xml:space="preserve">iustizia, fornisce uno studio di fattibilità dello </w:t>
      </w:r>
      <w:r>
        <w:rPr>
          <w:rFonts w:cs="Arial"/>
          <w:szCs w:val="24"/>
          <w:lang w:val="it-CH" w:eastAsia="it-CH"/>
        </w:rPr>
        <w:t>stabile e</w:t>
      </w:r>
      <w:r w:rsidRPr="00DD7C9E">
        <w:rPr>
          <w:rFonts w:cs="Arial"/>
          <w:szCs w:val="24"/>
          <w:lang w:val="it-CH" w:eastAsia="it-CH"/>
        </w:rPr>
        <w:t>x Banca del Gottardo</w:t>
      </w:r>
      <w:r>
        <w:rPr>
          <w:rFonts w:cs="Arial"/>
          <w:szCs w:val="24"/>
          <w:lang w:val="it-CH" w:eastAsia="it-CH"/>
        </w:rPr>
        <w:t xml:space="preserve"> che analizza le superfici in rapporto alle necessità dell’utenza e fornisce un preventivo di costi d’investimento per l’adeguamento interno pari a franchi 15.00 milioni di franchi (IVA e onorari compresi), oltre a una stima per la sostituzione dei serramenti calcolata in circa franchi 15.00 milioni di franchi (IVA e onorari compresi).</w:t>
      </w:r>
    </w:p>
    <w:p w:rsidR="00B21A9A" w:rsidRPr="006D3287" w:rsidRDefault="00B21A9A" w:rsidP="00A85314">
      <w:pPr>
        <w:numPr>
          <w:ilvl w:val="0"/>
          <w:numId w:val="4"/>
        </w:numPr>
        <w:spacing w:before="120"/>
        <w:ind w:left="425" w:hanging="425"/>
        <w:rPr>
          <w:rFonts w:cs="Arial"/>
          <w:szCs w:val="24"/>
          <w:lang w:val="it-CH" w:eastAsia="it-CH"/>
        </w:rPr>
      </w:pPr>
      <w:r w:rsidRPr="00F83AD1">
        <w:rPr>
          <w:rFonts w:cs="Arial"/>
          <w:szCs w:val="24"/>
          <w:lang w:val="it-CH" w:eastAsia="it-CH"/>
        </w:rPr>
        <w:t>Nel giugno 2018 la Wüest Partner</w:t>
      </w:r>
      <w:r>
        <w:rPr>
          <w:rFonts w:cs="Arial"/>
          <w:szCs w:val="24"/>
          <w:lang w:val="it-CH" w:eastAsia="it-CH"/>
        </w:rPr>
        <w:t xml:space="preserve"> SA</w:t>
      </w:r>
      <w:r w:rsidRPr="00F83AD1">
        <w:rPr>
          <w:rFonts w:cs="Arial"/>
          <w:szCs w:val="24"/>
          <w:lang w:val="it-CH" w:eastAsia="it-CH"/>
        </w:rPr>
        <w:t xml:space="preserve"> fornisce un primo rapporto di valutazione orientativa immobiliare intitolato “</w:t>
      </w:r>
      <w:r>
        <w:rPr>
          <w:rFonts w:cs="Arial"/>
          <w:szCs w:val="24"/>
          <w:lang w:val="it-CH" w:eastAsia="it-CH"/>
        </w:rPr>
        <w:t>s</w:t>
      </w:r>
      <w:r w:rsidRPr="00F83AD1">
        <w:rPr>
          <w:rFonts w:cs="Arial"/>
          <w:szCs w:val="24"/>
          <w:lang w:val="it-CH" w:eastAsia="it-CH"/>
        </w:rPr>
        <w:t xml:space="preserve">tabile Botta” (880 RFD) – Via Stefano Franscini 8 – Lugano. La valutazione orientativa, basata su benchmark del settore, indica che il valore di riferimento per lo scenario d’insediamento dei </w:t>
      </w:r>
      <w:r>
        <w:rPr>
          <w:rFonts w:cs="Arial"/>
          <w:szCs w:val="24"/>
          <w:lang w:val="it-CH" w:eastAsia="it-CH"/>
        </w:rPr>
        <w:t>s</w:t>
      </w:r>
      <w:r w:rsidRPr="00F83AD1">
        <w:rPr>
          <w:rFonts w:cs="Arial"/>
          <w:szCs w:val="24"/>
          <w:lang w:val="it-CH" w:eastAsia="it-CH"/>
        </w:rPr>
        <w:t xml:space="preserve">ervizi dell’Amministrazione </w:t>
      </w:r>
      <w:r>
        <w:rPr>
          <w:rFonts w:cs="Arial"/>
          <w:szCs w:val="24"/>
          <w:lang w:val="it-CH" w:eastAsia="it-CH"/>
        </w:rPr>
        <w:t xml:space="preserve">cantonale ammonta al 01.01.2019 a circa </w:t>
      </w:r>
      <w:r w:rsidRPr="00F83AD1">
        <w:rPr>
          <w:rFonts w:cs="Arial"/>
          <w:szCs w:val="24"/>
          <w:lang w:val="it-CH" w:eastAsia="it-CH"/>
        </w:rPr>
        <w:t>79.8</w:t>
      </w:r>
      <w:r>
        <w:rPr>
          <w:rFonts w:cs="Arial"/>
          <w:szCs w:val="24"/>
          <w:lang w:val="it-CH" w:eastAsia="it-CH"/>
        </w:rPr>
        <w:t>0</w:t>
      </w:r>
      <w:r w:rsidRPr="00F83AD1">
        <w:rPr>
          <w:rFonts w:cs="Arial"/>
          <w:szCs w:val="24"/>
          <w:lang w:val="it-CH" w:eastAsia="it-CH"/>
        </w:rPr>
        <w:t xml:space="preserve"> mi</w:t>
      </w:r>
      <w:r>
        <w:rPr>
          <w:rFonts w:cs="Arial"/>
          <w:szCs w:val="24"/>
          <w:lang w:val="it-CH" w:eastAsia="it-CH"/>
        </w:rPr>
        <w:t>lioni di franchi</w:t>
      </w:r>
      <w:r w:rsidRPr="00F83AD1">
        <w:rPr>
          <w:rFonts w:cs="Arial"/>
          <w:szCs w:val="24"/>
          <w:lang w:val="it-CH" w:eastAsia="it-CH"/>
        </w:rPr>
        <w:t xml:space="preserve">, esclusi i costi di adattamento. Il valore di riferimento di </w:t>
      </w:r>
      <w:r>
        <w:rPr>
          <w:rFonts w:cs="Arial"/>
          <w:szCs w:val="24"/>
          <w:lang w:val="it-CH" w:eastAsia="it-CH"/>
        </w:rPr>
        <w:t>franchi</w:t>
      </w:r>
      <w:r w:rsidRPr="00F83AD1">
        <w:rPr>
          <w:rFonts w:cs="Arial"/>
          <w:szCs w:val="24"/>
          <w:lang w:val="it-CH" w:eastAsia="it-CH"/>
        </w:rPr>
        <w:t xml:space="preserve"> 79.8</w:t>
      </w:r>
      <w:r>
        <w:rPr>
          <w:rFonts w:cs="Arial"/>
          <w:szCs w:val="24"/>
          <w:lang w:val="it-CH" w:eastAsia="it-CH"/>
        </w:rPr>
        <w:t>0</w:t>
      </w:r>
      <w:r w:rsidRPr="00F83AD1">
        <w:rPr>
          <w:rFonts w:cs="Arial"/>
          <w:szCs w:val="24"/>
          <w:lang w:val="it-CH" w:eastAsia="it-CH"/>
        </w:rPr>
        <w:t xml:space="preserve"> mi</w:t>
      </w:r>
      <w:r>
        <w:rPr>
          <w:rFonts w:cs="Arial"/>
          <w:szCs w:val="24"/>
          <w:lang w:val="it-CH" w:eastAsia="it-CH"/>
        </w:rPr>
        <w:t>lioni</w:t>
      </w:r>
      <w:r w:rsidRPr="00F83AD1">
        <w:rPr>
          <w:rFonts w:cs="Arial"/>
          <w:szCs w:val="24"/>
          <w:lang w:val="it-CH" w:eastAsia="it-CH"/>
        </w:rPr>
        <w:t xml:space="preserve"> corrisponde al prezzo stimato che un investitore sarebbe disposto a pagare nel caso in cui lo stabile fosse affittato così come all’attesa dei proprietari nel caso essi non avessero necessità/volontà di vendere in tempi brevi. </w:t>
      </w:r>
    </w:p>
    <w:p w:rsidR="00B21A9A" w:rsidRPr="00FD57F0" w:rsidRDefault="00B21A9A" w:rsidP="00A85314">
      <w:pPr>
        <w:numPr>
          <w:ilvl w:val="0"/>
          <w:numId w:val="4"/>
        </w:numPr>
        <w:spacing w:before="120"/>
        <w:ind w:left="425" w:hanging="425"/>
        <w:rPr>
          <w:strike/>
          <w:color w:val="000000" w:themeColor="text1"/>
        </w:rPr>
      </w:pPr>
      <w:r w:rsidRPr="006D3287">
        <w:rPr>
          <w:rFonts w:cs="Arial"/>
          <w:szCs w:val="24"/>
          <w:lang w:val="it-CH" w:eastAsia="it-CH"/>
        </w:rPr>
        <w:t>In seguito la Wüest Partner</w:t>
      </w:r>
      <w:r>
        <w:rPr>
          <w:rFonts w:cs="Arial"/>
          <w:szCs w:val="24"/>
          <w:lang w:val="it-CH" w:eastAsia="it-CH"/>
        </w:rPr>
        <w:t xml:space="preserve"> SA</w:t>
      </w:r>
      <w:r w:rsidRPr="006D3287">
        <w:rPr>
          <w:rFonts w:cs="Arial"/>
          <w:szCs w:val="24"/>
          <w:lang w:val="it-CH" w:eastAsia="it-CH"/>
        </w:rPr>
        <w:t xml:space="preserve"> fornisce un secondo rapporto relativo a un</w:t>
      </w:r>
      <w:r>
        <w:rPr>
          <w:rFonts w:cs="Arial"/>
          <w:szCs w:val="24"/>
          <w:lang w:val="it-CH" w:eastAsia="it-CH"/>
        </w:rPr>
        <w:t>’</w:t>
      </w:r>
      <w:r w:rsidRPr="006D3287">
        <w:rPr>
          <w:rFonts w:cs="Arial"/>
          <w:szCs w:val="24"/>
          <w:lang w:val="it-CH" w:eastAsia="it-CH"/>
        </w:rPr>
        <w:t xml:space="preserve">analisi tecnica che definisce gli interventi di risanamento, i relativi costi (stima di massima) e la proiezione temporale di attuazione al fine di poter consolidare una decisione di strategia. </w:t>
      </w:r>
      <w:r w:rsidRPr="006D3287">
        <w:rPr>
          <w:lang w:val="it-CH" w:eastAsia="it-CH"/>
        </w:rPr>
        <w:t xml:space="preserve">Con il rapporto “Ipotesi di risanamento </w:t>
      </w:r>
      <w:r>
        <w:rPr>
          <w:lang w:val="it-CH" w:eastAsia="it-CH"/>
        </w:rPr>
        <w:t>s</w:t>
      </w:r>
      <w:r w:rsidRPr="006D3287">
        <w:rPr>
          <w:lang w:val="it-CH" w:eastAsia="it-CH"/>
        </w:rPr>
        <w:t>tabile Botta” del 29 novembre 2018 la Wüest Partner</w:t>
      </w:r>
      <w:r>
        <w:rPr>
          <w:lang w:val="it-CH" w:eastAsia="it-CH"/>
        </w:rPr>
        <w:t xml:space="preserve"> SA</w:t>
      </w:r>
      <w:r w:rsidRPr="006D3287">
        <w:rPr>
          <w:lang w:val="it-CH" w:eastAsia="it-CH"/>
        </w:rPr>
        <w:t xml:space="preserve"> evidenzia i risultati delle analisi sopra descritte concludendo che lo stato di manutenzione attuale </w:t>
      </w:r>
      <w:r>
        <w:rPr>
          <w:lang w:val="it-CH" w:eastAsia="it-CH"/>
        </w:rPr>
        <w:t>è</w:t>
      </w:r>
      <w:r w:rsidRPr="006D3287">
        <w:rPr>
          <w:lang w:val="it-CH" w:eastAsia="it-CH"/>
        </w:rPr>
        <w:t xml:space="preserve"> da ritenere molto buono. Ciononostante, lo stabile denota una vetustà tecnica avanzata (corrispondente all’età dell’edificio, 1988) dell’impianto di raffreddamento, della ventilazione e climatizzazione, dell’impianto di distribuzione acqua, gas e aria, dell’impianto di trasporto, e degli infissi di facciata. Le facciate ventilate, si presentano ancora in ottimo stato così come il tetto che peraltro è stato risanato nel 2014. L</w:t>
      </w:r>
      <w:r>
        <w:t xml:space="preserve">a riflessione condotta ha concluso che </w:t>
      </w:r>
      <w:r w:rsidRPr="006D3287">
        <w:t>un risanamento parziale dell’edificio nell’ottica di un suo utilizzo a lungo termine, permette di ottenere il val</w:t>
      </w:r>
      <w:r>
        <w:t xml:space="preserve">ore attuale maggiore, pari a </w:t>
      </w:r>
      <w:r w:rsidRPr="006D3287">
        <w:t>79.64</w:t>
      </w:r>
      <w:r>
        <w:t xml:space="preserve"> milioni di franchi</w:t>
      </w:r>
      <w:r w:rsidRPr="006D3287">
        <w:t xml:space="preserve">. </w:t>
      </w:r>
    </w:p>
    <w:p w:rsidR="00B21A9A" w:rsidRDefault="00B21A9A" w:rsidP="00A85314">
      <w:pPr>
        <w:numPr>
          <w:ilvl w:val="0"/>
          <w:numId w:val="4"/>
        </w:numPr>
        <w:spacing w:before="120"/>
        <w:ind w:left="425" w:hanging="425"/>
      </w:pPr>
      <w:r w:rsidRPr="006D3287">
        <w:rPr>
          <w:rFonts w:cs="Arial"/>
          <w:szCs w:val="24"/>
        </w:rPr>
        <w:t xml:space="preserve">Parallelamente </w:t>
      </w:r>
      <w:r>
        <w:rPr>
          <w:rFonts w:cs="Arial"/>
          <w:szCs w:val="24"/>
        </w:rPr>
        <w:t>è</w:t>
      </w:r>
      <w:r w:rsidRPr="006D3287">
        <w:rPr>
          <w:rFonts w:cs="Arial"/>
          <w:szCs w:val="24"/>
        </w:rPr>
        <w:t xml:space="preserve"> demandata dalla Sezione della logistica un’analisi termografica dell’edificio alla ditta Oblivion Aerial SA. La termografia effettuata il 26 novembre 2018 </w:t>
      </w:r>
      <w:r>
        <w:rPr>
          <w:rFonts w:cs="Arial"/>
          <w:szCs w:val="24"/>
        </w:rPr>
        <w:t>mostra</w:t>
      </w:r>
      <w:r w:rsidRPr="006D3287">
        <w:rPr>
          <w:rFonts w:cs="Arial"/>
          <w:szCs w:val="24"/>
        </w:rPr>
        <w:t xml:space="preserve"> che</w:t>
      </w:r>
      <w:r w:rsidRPr="006D3287">
        <w:t xml:space="preserve"> </w:t>
      </w:r>
      <w:r>
        <w:t>l</w:t>
      </w:r>
      <w:r w:rsidRPr="00C26CFE">
        <w:t>'edificio si presenta in condizioni generali buone dal punto di vista di scansione agli infrarossi, tuttavia risultano in alcune zone delle perdite di calore sui serramenti delle finestre ribaltabili</w:t>
      </w:r>
      <w:r>
        <w:t xml:space="preserve"> e</w:t>
      </w:r>
      <w:r w:rsidRPr="00C26CFE">
        <w:t xml:space="preserve"> delle importanti esposizioni lungo le </w:t>
      </w:r>
      <w:r>
        <w:t>tre</w:t>
      </w:r>
      <w:r w:rsidRPr="00C26CFE">
        <w:t xml:space="preserve"> colonne</w:t>
      </w:r>
      <w:r>
        <w:t xml:space="preserve"> dei lift.</w:t>
      </w:r>
      <w:r w:rsidRPr="00C26CFE">
        <w:t xml:space="preserve"> Il tetto appare ben isolato nella struttura principale, i condotti di areazione presentano a tratti piccole perdite e i tetti piani più elevati mostrano una lieve differenza di temperatura nelle zone visibilmente usurate. Per gli aloni e le zone umide visibili a occhio su tutte le facciate non vi sono riscontri con le immagini all'infrarosso.</w:t>
      </w:r>
    </w:p>
    <w:p w:rsidR="00B21A9A" w:rsidRPr="006D3287" w:rsidRDefault="00B21A9A" w:rsidP="00A85314">
      <w:pPr>
        <w:numPr>
          <w:ilvl w:val="0"/>
          <w:numId w:val="4"/>
        </w:numPr>
        <w:spacing w:before="120"/>
        <w:ind w:left="425" w:hanging="425"/>
      </w:pPr>
      <w:r>
        <w:t>A giugno 2019, su richiesta della Sezione della logistica, lo studio Mario Botta Architetti fornisce indicazioni sulla ristrutturazione di alcuni elementi costruttivi, in particolare i serramenti, gli impianti e il sistema informatico. Lo studio di architettura conferma il preventivo allestito nel 2017 di 15.00 milioni di franchi. Per quanto concerne gli impianti, rileva che gli stessi sono in ottimo stato e che vi sono delle ridondanze, permettendo delle manutenzioni parziali senza l’interruzione delle attività lavorative. Infine, il sistema informatico è stato interamente ammodernato nel 2017 con le più recenti tecnologie.</w:t>
      </w:r>
    </w:p>
    <w:p w:rsidR="00B21A9A" w:rsidRPr="00FC5188" w:rsidRDefault="00B21A9A" w:rsidP="00A85314">
      <w:pPr>
        <w:numPr>
          <w:ilvl w:val="0"/>
          <w:numId w:val="4"/>
        </w:numPr>
        <w:tabs>
          <w:tab w:val="left" w:pos="3420"/>
        </w:tabs>
        <w:spacing w:before="120"/>
        <w:ind w:left="425" w:hanging="425"/>
        <w:rPr>
          <w:spacing w:val="-2"/>
        </w:rPr>
      </w:pPr>
      <w:r>
        <w:rPr>
          <w:spacing w:val="-2"/>
        </w:rPr>
        <w:t>Il 21 agosto 2019 il Consiglio di Stato, accorda a Wüest Partner SA il compito di completare le valutazioni ai fini di allestire una Due diligence tecnica completa. Il 25</w:t>
      </w:r>
      <w:r w:rsidRPr="00FC5188">
        <w:rPr>
          <w:spacing w:val="-2"/>
        </w:rPr>
        <w:t xml:space="preserve"> settembre 2019 la Wüest Partner</w:t>
      </w:r>
      <w:r>
        <w:rPr>
          <w:spacing w:val="-2"/>
        </w:rPr>
        <w:t xml:space="preserve"> SA</w:t>
      </w:r>
      <w:r w:rsidRPr="00FC5188">
        <w:rPr>
          <w:spacing w:val="-2"/>
        </w:rPr>
        <w:t xml:space="preserve"> fornisce </w:t>
      </w:r>
      <w:r>
        <w:rPr>
          <w:spacing w:val="-2"/>
        </w:rPr>
        <w:t xml:space="preserve">i risultati della </w:t>
      </w:r>
      <w:r w:rsidRPr="00FC5188">
        <w:rPr>
          <w:spacing w:val="-2"/>
        </w:rPr>
        <w:t xml:space="preserve">Due </w:t>
      </w:r>
      <w:r>
        <w:rPr>
          <w:spacing w:val="-2"/>
        </w:rPr>
        <w:t>d</w:t>
      </w:r>
      <w:r w:rsidRPr="00FC5188">
        <w:rPr>
          <w:spacing w:val="-2"/>
        </w:rPr>
        <w:t xml:space="preserve">iligence </w:t>
      </w:r>
      <w:r>
        <w:rPr>
          <w:spacing w:val="-2"/>
        </w:rPr>
        <w:t xml:space="preserve">confermando il valore immobiliare e l’ottimo stato dell’edificio, evidenziando gli interventi necessari in base alla durata di vita residua dei vari elementi costruttivi e i relativi costi di risanamento tenuto con un indice di precisione del </w:t>
      </w:r>
      <w:r>
        <w:rPr>
          <w:rFonts w:cs="Arial"/>
          <w:spacing w:val="-2"/>
        </w:rPr>
        <w:t>±</w:t>
      </w:r>
      <w:r>
        <w:rPr>
          <w:spacing w:val="-2"/>
        </w:rPr>
        <w:t>25%.</w:t>
      </w:r>
      <w:r w:rsidRPr="00FC5188">
        <w:rPr>
          <w:spacing w:val="-2"/>
        </w:rPr>
        <w:t xml:space="preserve"> </w:t>
      </w:r>
    </w:p>
    <w:p w:rsidR="00B21A9A" w:rsidRDefault="00B21A9A" w:rsidP="00B21A9A">
      <w:pPr>
        <w:rPr>
          <w:rFonts w:cs="Arial"/>
          <w:szCs w:val="24"/>
          <w:lang w:val="it-CH" w:eastAsia="it-CH"/>
        </w:rPr>
      </w:pPr>
    </w:p>
    <w:p w:rsidR="00B21A9A" w:rsidRPr="00BC2021" w:rsidRDefault="00A85314" w:rsidP="00A85314">
      <w:pPr>
        <w:pStyle w:val="Titolo4"/>
        <w:tabs>
          <w:tab w:val="clear" w:pos="709"/>
          <w:tab w:val="left" w:pos="567"/>
        </w:tabs>
        <w:rPr>
          <w:lang w:eastAsia="it-CH"/>
        </w:rPr>
      </w:pPr>
      <w:r>
        <w:rPr>
          <w:lang w:eastAsia="it-CH"/>
        </w:rPr>
        <w:t>c)</w:t>
      </w:r>
      <w:r>
        <w:rPr>
          <w:lang w:eastAsia="it-CH"/>
        </w:rPr>
        <w:tab/>
      </w:r>
      <w:r w:rsidR="00B21A9A" w:rsidRPr="00BC2021">
        <w:rPr>
          <w:lang w:eastAsia="it-CH"/>
        </w:rPr>
        <w:t>Offerta del Cantone</w:t>
      </w:r>
    </w:p>
    <w:p w:rsidR="00B21A9A" w:rsidRPr="00F43D53" w:rsidRDefault="00B21A9A" w:rsidP="00B21A9A">
      <w:pPr>
        <w:rPr>
          <w:rFonts w:cs="Arial"/>
          <w:szCs w:val="24"/>
          <w:lang w:val="it-CH" w:eastAsia="it-CH"/>
        </w:rPr>
      </w:pPr>
      <w:r>
        <w:rPr>
          <w:rFonts w:cs="Arial"/>
          <w:szCs w:val="24"/>
          <w:lang w:val="it-CH" w:eastAsia="it-CH"/>
        </w:rPr>
        <w:t>Come indicato in precedenza, nel</w:t>
      </w:r>
      <w:r w:rsidRPr="00F43D53">
        <w:rPr>
          <w:rFonts w:cs="Arial"/>
          <w:szCs w:val="24"/>
          <w:lang w:val="it-CH" w:eastAsia="it-CH"/>
        </w:rPr>
        <w:t xml:space="preserve"> giugno 2018 è </w:t>
      </w:r>
      <w:r>
        <w:rPr>
          <w:rFonts w:cs="Arial"/>
          <w:szCs w:val="24"/>
          <w:lang w:val="it-CH" w:eastAsia="it-CH"/>
        </w:rPr>
        <w:t xml:space="preserve">stata </w:t>
      </w:r>
      <w:r w:rsidRPr="00F43D53">
        <w:rPr>
          <w:rFonts w:cs="Arial"/>
          <w:szCs w:val="24"/>
          <w:lang w:val="it-CH" w:eastAsia="it-CH"/>
        </w:rPr>
        <w:t xml:space="preserve">allestita </w:t>
      </w:r>
      <w:r>
        <w:rPr>
          <w:rFonts w:cs="Arial"/>
          <w:szCs w:val="24"/>
          <w:lang w:val="it-CH" w:eastAsia="it-CH"/>
        </w:rPr>
        <w:t xml:space="preserve">una valutazione </w:t>
      </w:r>
      <w:r w:rsidRPr="00F43D53">
        <w:rPr>
          <w:rFonts w:cs="Arial"/>
          <w:szCs w:val="24"/>
          <w:lang w:val="it-CH" w:eastAsia="it-CH"/>
        </w:rPr>
        <w:t xml:space="preserve">dello stabile ex Banca del Gottardo da parte </w:t>
      </w:r>
      <w:r>
        <w:rPr>
          <w:rFonts w:cs="Arial"/>
          <w:szCs w:val="24"/>
          <w:lang w:val="it-CH" w:eastAsia="it-CH"/>
        </w:rPr>
        <w:t>di Wüest Partner SA (vedi rapporto del 7 giugno 2018).</w:t>
      </w:r>
      <w:r w:rsidRPr="00F43D53">
        <w:rPr>
          <w:rFonts w:cs="Arial"/>
          <w:szCs w:val="24"/>
          <w:lang w:val="it-CH" w:eastAsia="it-CH"/>
        </w:rPr>
        <w:t xml:space="preserve"> </w:t>
      </w:r>
      <w:r>
        <w:rPr>
          <w:rFonts w:cs="Arial"/>
          <w:szCs w:val="24"/>
          <w:lang w:val="it-CH" w:eastAsia="it-CH"/>
        </w:rPr>
        <w:t>I risultati di questo rapporto sono stati utilizzati quale base per la proposta immobiliare.</w:t>
      </w:r>
    </w:p>
    <w:p w:rsidR="00B21A9A" w:rsidRPr="00A85314" w:rsidRDefault="00B21A9A" w:rsidP="00B21A9A">
      <w:pPr>
        <w:rPr>
          <w:sz w:val="12"/>
          <w:szCs w:val="12"/>
          <w:lang w:val="it-CH"/>
        </w:rPr>
      </w:pPr>
    </w:p>
    <w:p w:rsidR="00B21A9A" w:rsidRPr="004A48A9" w:rsidRDefault="00B21A9A" w:rsidP="00B21A9A">
      <w:pPr>
        <w:rPr>
          <w:rFonts w:cs="Arial"/>
          <w:szCs w:val="24"/>
        </w:rPr>
      </w:pPr>
      <w:r w:rsidRPr="004A48A9">
        <w:rPr>
          <w:rFonts w:cs="Arial"/>
          <w:szCs w:val="24"/>
        </w:rPr>
        <w:t xml:space="preserve">Il Consiglio di Stato con lettera del 17 aprile 2019 indirizzata alla EFG Bank </w:t>
      </w:r>
      <w:r>
        <w:rPr>
          <w:rFonts w:cs="Arial"/>
          <w:szCs w:val="24"/>
        </w:rPr>
        <w:t>SA</w:t>
      </w:r>
      <w:r w:rsidRPr="004A48A9">
        <w:rPr>
          <w:rFonts w:cs="Arial"/>
          <w:szCs w:val="24"/>
        </w:rPr>
        <w:t xml:space="preserve">, </w:t>
      </w:r>
      <w:r>
        <w:rPr>
          <w:rFonts w:cs="Arial"/>
          <w:szCs w:val="24"/>
        </w:rPr>
        <w:t>ha proposto, riservate evidentemente le competenze del Parlamento,</w:t>
      </w:r>
      <w:r w:rsidRPr="004A48A9">
        <w:rPr>
          <w:rFonts w:cs="Arial"/>
          <w:szCs w:val="24"/>
        </w:rPr>
        <w:t xml:space="preserve"> l’acquisto dell’immobile alle seguenti condizioni:</w:t>
      </w:r>
    </w:p>
    <w:p w:rsidR="00B21A9A" w:rsidRPr="00B21A9A" w:rsidRDefault="00B21A9A" w:rsidP="00235850">
      <w:pPr>
        <w:numPr>
          <w:ilvl w:val="0"/>
          <w:numId w:val="1"/>
        </w:numPr>
        <w:autoSpaceDE w:val="0"/>
        <w:autoSpaceDN w:val="0"/>
        <w:adjustRightInd w:val="0"/>
        <w:spacing w:before="60"/>
        <w:ind w:left="284" w:hanging="284"/>
        <w:rPr>
          <w:rFonts w:cs="Arial"/>
          <w:szCs w:val="24"/>
          <w:lang w:val="it-CH" w:eastAsia="it-CH"/>
        </w:rPr>
      </w:pPr>
      <w:r w:rsidRPr="00B21A9A">
        <w:rPr>
          <w:rFonts w:cs="Arial"/>
          <w:szCs w:val="24"/>
          <w:lang w:val="it-CH" w:eastAsia="it-CH"/>
        </w:rPr>
        <w:t>prezzo di acquisto: franchi 80.00 milioni;</w:t>
      </w:r>
    </w:p>
    <w:p w:rsidR="00B21A9A" w:rsidRPr="00B21A9A" w:rsidRDefault="00B21A9A" w:rsidP="00235850">
      <w:pPr>
        <w:numPr>
          <w:ilvl w:val="0"/>
          <w:numId w:val="1"/>
        </w:numPr>
        <w:autoSpaceDE w:val="0"/>
        <w:autoSpaceDN w:val="0"/>
        <w:adjustRightInd w:val="0"/>
        <w:spacing w:before="60"/>
        <w:ind w:left="284" w:hanging="284"/>
        <w:rPr>
          <w:rFonts w:cs="Arial"/>
          <w:szCs w:val="24"/>
          <w:lang w:val="it-CH" w:eastAsia="it-CH"/>
        </w:rPr>
      </w:pPr>
      <w:r w:rsidRPr="00B21A9A">
        <w:rPr>
          <w:rFonts w:cs="Arial"/>
          <w:szCs w:val="24"/>
          <w:lang w:val="it-CH" w:eastAsia="it-CH"/>
        </w:rPr>
        <w:t>soluzione transitoria: possibilità per EFG di rimanere nello stabile per un periodo indicativo di tre anni dal momento dell’acquisto;</w:t>
      </w:r>
    </w:p>
    <w:p w:rsidR="00B21A9A" w:rsidRPr="00B21A9A" w:rsidRDefault="00B21A9A" w:rsidP="00235850">
      <w:pPr>
        <w:numPr>
          <w:ilvl w:val="0"/>
          <w:numId w:val="1"/>
        </w:numPr>
        <w:autoSpaceDE w:val="0"/>
        <w:autoSpaceDN w:val="0"/>
        <w:adjustRightInd w:val="0"/>
        <w:spacing w:before="60"/>
        <w:ind w:left="284" w:hanging="284"/>
        <w:rPr>
          <w:rFonts w:cs="Arial"/>
          <w:szCs w:val="24"/>
          <w:lang w:val="it-CH" w:eastAsia="it-CH"/>
        </w:rPr>
      </w:pPr>
      <w:r w:rsidRPr="00B21A9A">
        <w:rPr>
          <w:rFonts w:cs="Arial"/>
          <w:szCs w:val="24"/>
          <w:lang w:val="it-CH" w:eastAsia="it-CH"/>
        </w:rPr>
        <w:t xml:space="preserve">modalità di pagamento: 10.00 milioni di franchi sarebbero pagati al momento dell'iscrizione della compravendita, i restanti 70.00 milioni dopo tre anni, ossia al momento in cui gli spazi saranno a disposizione del Cantone; </w:t>
      </w:r>
    </w:p>
    <w:p w:rsidR="00B21A9A" w:rsidRPr="00B21A9A" w:rsidRDefault="00B21A9A" w:rsidP="00235850">
      <w:pPr>
        <w:numPr>
          <w:ilvl w:val="0"/>
          <w:numId w:val="1"/>
        </w:numPr>
        <w:autoSpaceDE w:val="0"/>
        <w:autoSpaceDN w:val="0"/>
        <w:adjustRightInd w:val="0"/>
        <w:spacing w:before="60"/>
        <w:ind w:left="284" w:hanging="284"/>
        <w:rPr>
          <w:rFonts w:cs="Arial"/>
          <w:szCs w:val="24"/>
          <w:lang w:val="it-CH" w:eastAsia="it-CH"/>
        </w:rPr>
      </w:pPr>
      <w:r w:rsidRPr="00B21A9A">
        <w:rPr>
          <w:rFonts w:cs="Arial"/>
          <w:szCs w:val="24"/>
          <w:lang w:val="it-CH" w:eastAsia="it-CH"/>
        </w:rPr>
        <w:t xml:space="preserve">oneri finanziari: nel periodo transitorio di tre anni, EFG Bank SA versa al Cantone a copertura degli oneri finanziari sostenuti l'equivalente del 2.0 % sul versamento di 10.00 milioni di franchi effettuato al momento della compravendita; </w:t>
      </w:r>
    </w:p>
    <w:p w:rsidR="00B21A9A" w:rsidRPr="00B21A9A" w:rsidRDefault="00B21A9A" w:rsidP="00235850">
      <w:pPr>
        <w:numPr>
          <w:ilvl w:val="0"/>
          <w:numId w:val="1"/>
        </w:numPr>
        <w:autoSpaceDE w:val="0"/>
        <w:autoSpaceDN w:val="0"/>
        <w:adjustRightInd w:val="0"/>
        <w:spacing w:before="60"/>
        <w:ind w:left="284" w:hanging="284"/>
        <w:rPr>
          <w:rFonts w:cs="Arial"/>
          <w:szCs w:val="24"/>
          <w:lang w:val="it-CH" w:eastAsia="it-CH"/>
        </w:rPr>
      </w:pPr>
      <w:r w:rsidRPr="00B21A9A">
        <w:rPr>
          <w:rFonts w:cs="Arial"/>
          <w:szCs w:val="24"/>
          <w:lang w:val="it-CH" w:eastAsia="it-CH"/>
        </w:rPr>
        <w:t>manutenzione ordinaria: EFG Bank SA si impegna a garantire a sue spese l'ordinaria manutenzione dello stabile, dei suoi impianti e del sedime nel periodo transitorio;</w:t>
      </w:r>
    </w:p>
    <w:p w:rsidR="00B21A9A" w:rsidRPr="00B21A9A" w:rsidRDefault="00B21A9A" w:rsidP="00235850">
      <w:pPr>
        <w:numPr>
          <w:ilvl w:val="0"/>
          <w:numId w:val="1"/>
        </w:numPr>
        <w:autoSpaceDE w:val="0"/>
        <w:autoSpaceDN w:val="0"/>
        <w:adjustRightInd w:val="0"/>
        <w:spacing w:before="60"/>
        <w:ind w:left="284" w:hanging="284"/>
        <w:rPr>
          <w:rFonts w:cs="Arial"/>
          <w:szCs w:val="24"/>
          <w:lang w:val="it-CH" w:eastAsia="it-CH"/>
        </w:rPr>
      </w:pPr>
      <w:r w:rsidRPr="00B21A9A">
        <w:rPr>
          <w:rFonts w:cs="Arial"/>
          <w:szCs w:val="24"/>
          <w:lang w:val="it-CH" w:eastAsia="it-CH"/>
        </w:rPr>
        <w:t>manutenzione straordinaria: eventuali interventi di manutenzione straordinaria nel periodo transitorio dovranno essere concordati tra EFG Bank SA e i responsabili della gestione immobiliare del Cantone.</w:t>
      </w:r>
    </w:p>
    <w:p w:rsidR="00B21A9A" w:rsidRPr="00A85314" w:rsidRDefault="00B21A9A" w:rsidP="00B21A9A">
      <w:pPr>
        <w:rPr>
          <w:sz w:val="12"/>
          <w:szCs w:val="12"/>
        </w:rPr>
      </w:pPr>
    </w:p>
    <w:p w:rsidR="00B21A9A" w:rsidRDefault="00B21A9A" w:rsidP="00B21A9A">
      <w:r w:rsidRPr="007B539F">
        <w:t>Il Consiglio di amministrazione della banca EFG</w:t>
      </w:r>
      <w:r>
        <w:t xml:space="preserve"> Bank SA</w:t>
      </w:r>
      <w:r w:rsidRPr="007B539F">
        <w:t xml:space="preserve"> ha confermato in data</w:t>
      </w:r>
      <w:r>
        <w:t xml:space="preserve"> 29 luglio 2019 la volontà di vendere la sua proprietà del fondo n. 880 RFD di Lugano alla Repubblica e Cantone Ticino inviando una lettera d’intenti. La stessa è stata poi perfezionata dalle parti definendo le condizioni di acquisto tenendo in considerazione i risultati della Due diligence del 25 settembre 2019. La stessa è stata firmata dalle parti, riservate le competenze del Parlamento, in data 22 novembre 2019.</w:t>
      </w:r>
    </w:p>
    <w:p w:rsidR="00A85314" w:rsidRPr="00C26CFE" w:rsidRDefault="00A85314" w:rsidP="00B21A9A"/>
    <w:p w:rsidR="00B21A9A" w:rsidRPr="00BC2021" w:rsidRDefault="00A85314" w:rsidP="00A85314">
      <w:pPr>
        <w:pStyle w:val="Titolo4"/>
        <w:tabs>
          <w:tab w:val="clear" w:pos="709"/>
          <w:tab w:val="left" w:pos="567"/>
        </w:tabs>
      </w:pPr>
      <w:r>
        <w:t>d)</w:t>
      </w:r>
      <w:r>
        <w:tab/>
      </w:r>
      <w:r w:rsidR="00B21A9A" w:rsidRPr="00BC2021">
        <w:t>Lettera d’intenti</w:t>
      </w:r>
    </w:p>
    <w:p w:rsidR="00B21A9A" w:rsidRDefault="00B21A9A" w:rsidP="00B21A9A">
      <w:r>
        <w:t xml:space="preserve">EFG ha accolto sostanzialmente le condizioni poste dal Consiglio di Stato, salvo la quantificazione degli oneri finanziari richiesti dal Cantone sul versamento di 10.00 milioni al momento della compravendita. Su questo aspetto, EFG Bank SA ha dapprima proposto il versamento di 200'000.- franchi per il periodo di tre anni durante i quali la Banca continuerà a utilizzare lo stabile. In seguito ad alcune trattative, è stato fissato il pagamento di un equivalente </w:t>
      </w:r>
      <w:r w:rsidRPr="00EF5E29">
        <w:t>dell’1.0%</w:t>
      </w:r>
      <w:r>
        <w:t xml:space="preserve"> annuale sull’importo di 10.00 milioni di franchi.</w:t>
      </w:r>
    </w:p>
    <w:p w:rsidR="00B21A9A" w:rsidRPr="00A85314" w:rsidRDefault="00B21A9A" w:rsidP="00B21A9A">
      <w:pPr>
        <w:rPr>
          <w:sz w:val="12"/>
          <w:szCs w:val="12"/>
        </w:rPr>
      </w:pPr>
    </w:p>
    <w:p w:rsidR="00B21A9A" w:rsidRDefault="00B21A9A" w:rsidP="00B21A9A">
      <w:r>
        <w:t>La lettera d’intenti fissa il prezzo di acquisto a 80'000'000.- di franchi. L’importo verrà soluto versando 10'000'000.- franchi sul conto del notaio rogante al momento della sottoscrizione dell’atto di compravendita e successivamente liberati a favore della EFG Bank SA ad avvenuta iscrizione a RFD del passaggio di proprietà a nome della Repubblica e Cantone Ticino; i restanti 70'000'000.- franchi saranno versati alla venditrice al momento della consegna dello stabile indicativamente dopo tre anni dall’operazione di compravendita.</w:t>
      </w:r>
    </w:p>
    <w:p w:rsidR="00B21A9A" w:rsidRPr="00A85314" w:rsidRDefault="00B21A9A" w:rsidP="00B21A9A">
      <w:pPr>
        <w:rPr>
          <w:sz w:val="12"/>
          <w:szCs w:val="12"/>
        </w:rPr>
      </w:pPr>
    </w:p>
    <w:p w:rsidR="00B21A9A" w:rsidRDefault="00B21A9A" w:rsidP="00B21A9A">
      <w:r>
        <w:t xml:space="preserve">La EFG Bank SA mantiene il diritto di disporre senza limitazioni dell’intero stabile per la durata </w:t>
      </w:r>
      <w:r w:rsidRPr="001079BB">
        <w:t>indicativa</w:t>
      </w:r>
      <w:r>
        <w:t xml:space="preserve"> di tre anni, eventualmente modificabili con accordo delle parti. Quale corrispettivo per il diritto di disporre del fondo la venditrice verserà, a copertura degli oneri finanziari sostenuti, un importo pari al 1.0% di 10'000'000.- di franchi .</w:t>
      </w:r>
    </w:p>
    <w:p w:rsidR="00B21A9A" w:rsidRPr="00A85314" w:rsidRDefault="00B21A9A" w:rsidP="00B21A9A">
      <w:pPr>
        <w:rPr>
          <w:sz w:val="12"/>
          <w:szCs w:val="12"/>
        </w:rPr>
      </w:pPr>
    </w:p>
    <w:p w:rsidR="00B21A9A" w:rsidRDefault="00B21A9A" w:rsidP="00B21A9A">
      <w:r>
        <w:t>Durante il periodo in cui EFG Bank SA disporrà dello stabile, quest’ultima dovrà garantire la manutenzione ordinaria di tutta la proprietà, eventuali manutenzioni straordinarie dovranno essere concordate con la Repubblica e Cantone Ticino, per il tramite dei responsabili della gestione immobiliare.</w:t>
      </w:r>
    </w:p>
    <w:p w:rsidR="00A85314" w:rsidRDefault="00A85314" w:rsidP="00B21A9A"/>
    <w:p w:rsidR="00B21A9A" w:rsidRPr="000B47C0" w:rsidRDefault="00B21A9A" w:rsidP="00B21A9A">
      <w:pPr>
        <w:pStyle w:val="Titolo2"/>
        <w:tabs>
          <w:tab w:val="clear" w:pos="567"/>
          <w:tab w:val="left" w:pos="709"/>
        </w:tabs>
        <w:spacing w:before="120"/>
        <w:rPr>
          <w:i/>
          <w:sz w:val="23"/>
          <w:szCs w:val="23"/>
        </w:rPr>
      </w:pPr>
      <w:r w:rsidRPr="000B47C0">
        <w:rPr>
          <w:i/>
          <w:sz w:val="23"/>
          <w:szCs w:val="23"/>
        </w:rPr>
        <w:t>5.</w:t>
      </w:r>
      <w:r>
        <w:rPr>
          <w:i/>
          <w:sz w:val="23"/>
          <w:szCs w:val="23"/>
        </w:rPr>
        <w:t>1</w:t>
      </w:r>
      <w:r w:rsidRPr="000B47C0">
        <w:rPr>
          <w:i/>
          <w:sz w:val="23"/>
          <w:szCs w:val="23"/>
        </w:rPr>
        <w:t>.4</w:t>
      </w:r>
      <w:r>
        <w:rPr>
          <w:i/>
          <w:sz w:val="23"/>
          <w:szCs w:val="23"/>
        </w:rPr>
        <w:tab/>
      </w:r>
      <w:r w:rsidRPr="000B47C0">
        <w:rPr>
          <w:i/>
          <w:sz w:val="23"/>
          <w:szCs w:val="23"/>
        </w:rPr>
        <w:t>Ristrutturazione</w:t>
      </w:r>
    </w:p>
    <w:p w:rsidR="00B21A9A" w:rsidRDefault="00B21A9A" w:rsidP="00B21A9A">
      <w:pPr>
        <w:tabs>
          <w:tab w:val="left" w:pos="3420"/>
        </w:tabs>
      </w:pPr>
      <w:r w:rsidRPr="009D3106">
        <w:rPr>
          <w:spacing w:val="-2"/>
        </w:rPr>
        <w:t>Lo stabile si presenta in ottime condizioni</w:t>
      </w:r>
      <w:r>
        <w:rPr>
          <w:spacing w:val="-2"/>
        </w:rPr>
        <w:t xml:space="preserve"> come lo attesta anche la Due diligence tecnica esperita da Wüest Partner SA. L’edificio, </w:t>
      </w:r>
      <w:r w:rsidRPr="009D3106">
        <w:rPr>
          <w:spacing w:val="-2"/>
        </w:rPr>
        <w:t xml:space="preserve">è </w:t>
      </w:r>
      <w:r>
        <w:rPr>
          <w:spacing w:val="-2"/>
        </w:rPr>
        <w:t xml:space="preserve">infatti </w:t>
      </w:r>
      <w:r w:rsidRPr="009D3106">
        <w:rPr>
          <w:spacing w:val="-2"/>
        </w:rPr>
        <w:t xml:space="preserve">stato mantenuto negli anni con estrema cura. Nonostante non risponda agli standard energetici attuali e/o Minergie, la sostenibilità dell’involucro esterno è garantita da </w:t>
      </w:r>
      <w:r>
        <w:rPr>
          <w:spacing w:val="-2"/>
        </w:rPr>
        <w:t>una coibentazione</w:t>
      </w:r>
      <w:r w:rsidRPr="009D3106">
        <w:rPr>
          <w:spacing w:val="-2"/>
        </w:rPr>
        <w:t xml:space="preserve"> in lastre di fibre organiche a base di lana di vetro</w:t>
      </w:r>
      <w:r>
        <w:rPr>
          <w:spacing w:val="-2"/>
        </w:rPr>
        <w:t xml:space="preserve">, </w:t>
      </w:r>
      <w:r w:rsidRPr="009D3106">
        <w:rPr>
          <w:spacing w:val="-2"/>
        </w:rPr>
        <w:t>dal rivestimento lapideo e da</w:t>
      </w:r>
      <w:r>
        <w:rPr>
          <w:spacing w:val="-2"/>
        </w:rPr>
        <w:t>i</w:t>
      </w:r>
      <w:r w:rsidRPr="009D3106">
        <w:rPr>
          <w:spacing w:val="-2"/>
        </w:rPr>
        <w:t xml:space="preserve"> serramenti con doppi vetri. Le componenti che costituiscono l’impiantistica sono state rinnovate ciclicamente, </w:t>
      </w:r>
      <w:r w:rsidRPr="009D3106">
        <w:t xml:space="preserve">a cadenza regolare, con un’incidenza finanziaria a titolo informativo di </w:t>
      </w:r>
      <w:r>
        <w:t>franchi</w:t>
      </w:r>
      <w:r w:rsidRPr="009D3106">
        <w:t xml:space="preserve"> 5.04 mi</w:t>
      </w:r>
      <w:r>
        <w:t>lioni</w:t>
      </w:r>
      <w:r w:rsidRPr="009D3106">
        <w:t xml:space="preserve"> sull’arco di 7 anni, cioè di circa </w:t>
      </w:r>
      <w:r>
        <w:t>franchi</w:t>
      </w:r>
      <w:r w:rsidRPr="009D3106">
        <w:t xml:space="preserve"> 720'000.- annui.</w:t>
      </w:r>
    </w:p>
    <w:p w:rsidR="00B21A9A" w:rsidRPr="009D3106" w:rsidRDefault="00B21A9A" w:rsidP="00B21A9A">
      <w:pPr>
        <w:tabs>
          <w:tab w:val="left" w:pos="3420"/>
        </w:tabs>
        <w:rPr>
          <w:spacing w:val="-2"/>
        </w:rPr>
      </w:pPr>
    </w:p>
    <w:p w:rsidR="00B21A9A" w:rsidRDefault="00B21A9A" w:rsidP="00B21A9A">
      <w:r w:rsidRPr="009D3106">
        <w:t>Già ora EFG</w:t>
      </w:r>
      <w:r>
        <w:t xml:space="preserve"> Bank SA</w:t>
      </w:r>
      <w:r w:rsidRPr="009D3106">
        <w:t xml:space="preserve"> prevede un budget per la manutenzione straordinaria (sistemazione esterna, impianti e impianto di sicurezza) per il biennio 2019/2020 di </w:t>
      </w:r>
      <w:r>
        <w:t>franchi</w:t>
      </w:r>
      <w:r w:rsidRPr="009D3106">
        <w:t xml:space="preserve"> 2.13 mi</w:t>
      </w:r>
      <w:r>
        <w:t>lioni</w:t>
      </w:r>
      <w:r w:rsidRPr="009D3106">
        <w:t xml:space="preserve"> e un budget di manutenzione ordinaria</w:t>
      </w:r>
      <w:r>
        <w:t>, per il 2019</w:t>
      </w:r>
      <w:r w:rsidRPr="009D3106">
        <w:t xml:space="preserve"> (impianti di produzione caldo freddo, impianto elettrico, sicurezza, immobile e sistemazione esterna) di </w:t>
      </w:r>
      <w:r>
        <w:t>franchi</w:t>
      </w:r>
      <w:r w:rsidRPr="009D3106">
        <w:t xml:space="preserve"> </w:t>
      </w:r>
      <w:r>
        <w:t>2.696</w:t>
      </w:r>
      <w:r w:rsidRPr="009D3106">
        <w:t xml:space="preserve"> mi</w:t>
      </w:r>
      <w:r>
        <w:t>lioni</w:t>
      </w:r>
      <w:r w:rsidRPr="009D3106">
        <w:t xml:space="preserve">. </w:t>
      </w:r>
    </w:p>
    <w:p w:rsidR="00B21A9A" w:rsidRPr="009D3106" w:rsidRDefault="00B21A9A" w:rsidP="00B21A9A"/>
    <w:p w:rsidR="00B21A9A" w:rsidRPr="00691BC9" w:rsidRDefault="00B21A9A" w:rsidP="00B21A9A">
      <w:r>
        <w:t xml:space="preserve">Cionondimeno l’edificio, costruito oramai 31 anni fa, richiede degli interventi per ripristinare la situazione e allungarne il ciclo di vita. </w:t>
      </w:r>
    </w:p>
    <w:p w:rsidR="00B21A9A" w:rsidRDefault="00B21A9A" w:rsidP="00B21A9A"/>
    <w:p w:rsidR="00B21A9A" w:rsidRDefault="00B21A9A" w:rsidP="00B21A9A">
      <w:pPr>
        <w:rPr>
          <w:szCs w:val="24"/>
        </w:rPr>
      </w:pPr>
      <w:r>
        <w:rPr>
          <w:spacing w:val="-2"/>
        </w:rPr>
        <w:t>I</w:t>
      </w:r>
      <w:r w:rsidRPr="005E5D2F">
        <w:rPr>
          <w:spacing w:val="-2"/>
        </w:rPr>
        <w:t xml:space="preserve">l rapporto </w:t>
      </w:r>
      <w:r w:rsidRPr="005E5D2F">
        <w:t xml:space="preserve">di Due diligence pre-acquisitoria del 25 settembre 2019 </w:t>
      </w:r>
      <w:r>
        <w:t xml:space="preserve">elaborato </w:t>
      </w:r>
      <w:r w:rsidRPr="005E5D2F">
        <w:t>da Wüest Partner</w:t>
      </w:r>
      <w:r>
        <w:t xml:space="preserve"> SA </w:t>
      </w:r>
      <w:r w:rsidRPr="005E5D2F">
        <w:rPr>
          <w:spacing w:val="-2"/>
        </w:rPr>
        <w:t xml:space="preserve">prevede </w:t>
      </w:r>
      <w:r>
        <w:rPr>
          <w:spacing w:val="-2"/>
        </w:rPr>
        <w:t xml:space="preserve">come prioritario </w:t>
      </w:r>
      <w:r w:rsidRPr="005E5D2F">
        <w:rPr>
          <w:spacing w:val="-2"/>
        </w:rPr>
        <w:t>un intervento sugli impianti che consiste nella sostituzione del sistema di gestione e regolazione impiantistica (BMS)</w:t>
      </w:r>
      <w:r>
        <w:rPr>
          <w:spacing w:val="-2"/>
        </w:rPr>
        <w:t xml:space="preserve">. La Due diligence rileva anche la necessità </w:t>
      </w:r>
      <w:r>
        <w:rPr>
          <w:szCs w:val="24"/>
        </w:rPr>
        <w:t>di</w:t>
      </w:r>
      <w:r w:rsidRPr="005E5D2F">
        <w:rPr>
          <w:szCs w:val="24"/>
        </w:rPr>
        <w:t xml:space="preserve"> ripensare </w:t>
      </w:r>
      <w:r>
        <w:rPr>
          <w:szCs w:val="24"/>
        </w:rPr>
        <w:t>il</w:t>
      </w:r>
      <w:r w:rsidRPr="005E5D2F">
        <w:rPr>
          <w:szCs w:val="24"/>
        </w:rPr>
        <w:t xml:space="preserve"> concetto di resa del calore/freddo in ambiente per adeguarlo alla nuova utenza. </w:t>
      </w:r>
      <w:r>
        <w:rPr>
          <w:szCs w:val="24"/>
        </w:rPr>
        <w:t>P</w:t>
      </w:r>
      <w:r w:rsidRPr="005E5D2F">
        <w:rPr>
          <w:szCs w:val="24"/>
        </w:rPr>
        <w:t>ropone</w:t>
      </w:r>
      <w:r>
        <w:rPr>
          <w:szCs w:val="24"/>
        </w:rPr>
        <w:t>,</w:t>
      </w:r>
      <w:r w:rsidRPr="005E5D2F">
        <w:rPr>
          <w:szCs w:val="24"/>
        </w:rPr>
        <w:t xml:space="preserve"> </w:t>
      </w:r>
      <w:r>
        <w:rPr>
          <w:szCs w:val="24"/>
        </w:rPr>
        <w:t>q</w:t>
      </w:r>
      <w:r w:rsidRPr="005E5D2F">
        <w:rPr>
          <w:szCs w:val="24"/>
        </w:rPr>
        <w:t>uindi</w:t>
      </w:r>
      <w:r>
        <w:rPr>
          <w:szCs w:val="24"/>
        </w:rPr>
        <w:t>,</w:t>
      </w:r>
      <w:r w:rsidRPr="005E5D2F">
        <w:rPr>
          <w:szCs w:val="24"/>
        </w:rPr>
        <w:t xml:space="preserve"> di modificare il concetto RCV</w:t>
      </w:r>
      <w:r>
        <w:rPr>
          <w:szCs w:val="24"/>
        </w:rPr>
        <w:t xml:space="preserve"> (sistema attuale di emissione)</w:t>
      </w:r>
      <w:r w:rsidRPr="005E5D2F">
        <w:rPr>
          <w:szCs w:val="24"/>
        </w:rPr>
        <w:t xml:space="preserve"> e installare</w:t>
      </w:r>
      <w:r>
        <w:rPr>
          <w:szCs w:val="24"/>
        </w:rPr>
        <w:t xml:space="preserve"> </w:t>
      </w:r>
      <w:r w:rsidRPr="005E5D2F">
        <w:rPr>
          <w:szCs w:val="24"/>
        </w:rPr>
        <w:t>un impianto a travi fredde a soffitto per</w:t>
      </w:r>
      <w:r>
        <w:rPr>
          <w:szCs w:val="24"/>
        </w:rPr>
        <w:t xml:space="preserve"> il </w:t>
      </w:r>
      <w:r w:rsidRPr="005E5D2F">
        <w:rPr>
          <w:szCs w:val="24"/>
        </w:rPr>
        <w:t>funzionamento caldo e freddo</w:t>
      </w:r>
      <w:r>
        <w:rPr>
          <w:szCs w:val="24"/>
        </w:rPr>
        <w:t xml:space="preserve">, adattando </w:t>
      </w:r>
      <w:r w:rsidRPr="005E5D2F">
        <w:rPr>
          <w:szCs w:val="24"/>
        </w:rPr>
        <w:t xml:space="preserve">la distribuzione orizzontale. </w:t>
      </w:r>
      <w:r>
        <w:rPr>
          <w:szCs w:val="24"/>
        </w:rPr>
        <w:t>Il rapporto consiglia pure la</w:t>
      </w:r>
      <w:r w:rsidRPr="005E5D2F">
        <w:rPr>
          <w:szCs w:val="24"/>
        </w:rPr>
        <w:t xml:space="preserve"> sostituzione</w:t>
      </w:r>
      <w:r>
        <w:rPr>
          <w:szCs w:val="24"/>
        </w:rPr>
        <w:t xml:space="preserve"> a breve termine</w:t>
      </w:r>
      <w:r w:rsidRPr="005E5D2F">
        <w:rPr>
          <w:szCs w:val="24"/>
        </w:rPr>
        <w:t xml:space="preserve"> dei serramenti in considerazione </w:t>
      </w:r>
      <w:r>
        <w:rPr>
          <w:szCs w:val="24"/>
        </w:rPr>
        <w:t>de</w:t>
      </w:r>
      <w:r w:rsidRPr="005E5D2F">
        <w:rPr>
          <w:szCs w:val="24"/>
        </w:rPr>
        <w:t xml:space="preserve">lla loro durata di vita utile. </w:t>
      </w:r>
    </w:p>
    <w:p w:rsidR="00B21A9A" w:rsidRPr="005E5D2F" w:rsidRDefault="00B21A9A" w:rsidP="00B21A9A">
      <w:pPr>
        <w:rPr>
          <w:szCs w:val="24"/>
        </w:rPr>
      </w:pPr>
      <w:r>
        <w:rPr>
          <w:szCs w:val="24"/>
        </w:rPr>
        <w:t xml:space="preserve">Per quanto concerne gli impianti di produzione e stoccaggio caldo/freddo, il risanamento della facciata ventilata e della copertura, il rapporto rileva che questi interventi </w:t>
      </w:r>
      <w:r w:rsidRPr="005E5D2F">
        <w:rPr>
          <w:szCs w:val="24"/>
        </w:rPr>
        <w:t>possono essere eseguiti in una seconda fase (a 20 anni) grazie al buono stato conservativo (manutenzione ordinaria e straordinaria eseguita a regola d’arte). Inoltre la facciata non presenta alcun problema strutturale e prevedendo interventi puntuali di manutenzione si garantisce un ciclo di vita con scadenza a lungo termine.</w:t>
      </w:r>
    </w:p>
    <w:p w:rsidR="00B21A9A" w:rsidRPr="005E5D2F" w:rsidRDefault="00B21A9A" w:rsidP="00B21A9A">
      <w:pPr>
        <w:tabs>
          <w:tab w:val="left" w:pos="3420"/>
        </w:tabs>
        <w:rPr>
          <w:spacing w:val="-2"/>
        </w:rPr>
      </w:pPr>
    </w:p>
    <w:p w:rsidR="00B21A9A" w:rsidRDefault="00B21A9A" w:rsidP="00B21A9A">
      <w:pPr>
        <w:tabs>
          <w:tab w:val="left" w:pos="3420"/>
        </w:tabs>
        <w:rPr>
          <w:spacing w:val="-2"/>
        </w:rPr>
      </w:pPr>
      <w:r w:rsidRPr="005E5D2F">
        <w:rPr>
          <w:szCs w:val="24"/>
        </w:rPr>
        <w:t>I costi di risanamento</w:t>
      </w:r>
      <w:r w:rsidRPr="005E5D2F">
        <w:rPr>
          <w:spacing w:val="-2"/>
        </w:rPr>
        <w:t xml:space="preserve"> associati agli interventi parziali </w:t>
      </w:r>
      <w:r>
        <w:rPr>
          <w:spacing w:val="-2"/>
        </w:rPr>
        <w:t>e prioritari da eseguire a corto termine</w:t>
      </w:r>
      <w:r w:rsidRPr="005E5D2F">
        <w:rPr>
          <w:spacing w:val="-2"/>
        </w:rPr>
        <w:t xml:space="preserve"> (nuova distribuzione, a vettore acqua, con sistema a travi fredde a soffitto per funzionamento caldo e freddo, nuovo sistema di controllo e di regolazione e sostituzione dei serramenti)</w:t>
      </w:r>
      <w:r>
        <w:rPr>
          <w:spacing w:val="-2"/>
        </w:rPr>
        <w:t xml:space="preserve"> sono stimati</w:t>
      </w:r>
      <w:r w:rsidRPr="005E5D2F">
        <w:rPr>
          <w:spacing w:val="-2"/>
        </w:rPr>
        <w:t xml:space="preserve"> a </w:t>
      </w:r>
      <w:r>
        <w:rPr>
          <w:spacing w:val="-2"/>
        </w:rPr>
        <w:t>19.62</w:t>
      </w:r>
      <w:r w:rsidRPr="005E5D2F">
        <w:rPr>
          <w:spacing w:val="-2"/>
        </w:rPr>
        <w:t xml:space="preserve"> </w:t>
      </w:r>
      <w:r>
        <w:rPr>
          <w:spacing w:val="-2"/>
        </w:rPr>
        <w:t>milioni di franchi. Gli interventi previsti a più lungo termine (orizzonte 2040) relativi al</w:t>
      </w:r>
      <w:r w:rsidRPr="005E5D2F">
        <w:rPr>
          <w:spacing w:val="-2"/>
        </w:rPr>
        <w:t xml:space="preserve"> risanamento completo</w:t>
      </w:r>
      <w:r>
        <w:rPr>
          <w:spacing w:val="-2"/>
        </w:rPr>
        <w:t xml:space="preserve"> (sostituzione impianto di produzione e stoccaggio caldo/freddo, elementi impiantistici relativi a sicurezza, protezione antincendio, distribuzione acqua/gas, risanamento della facciata ventilata dell’edificio e copertura)</w:t>
      </w:r>
      <w:r w:rsidRPr="005E5D2F">
        <w:rPr>
          <w:spacing w:val="-2"/>
        </w:rPr>
        <w:t xml:space="preserve"> </w:t>
      </w:r>
      <w:r>
        <w:rPr>
          <w:spacing w:val="-2"/>
        </w:rPr>
        <w:t xml:space="preserve">sono stimati </w:t>
      </w:r>
      <w:r w:rsidRPr="005E5D2F">
        <w:rPr>
          <w:spacing w:val="-2"/>
        </w:rPr>
        <w:t>a franchi 21.3 mi</w:t>
      </w:r>
      <w:r>
        <w:rPr>
          <w:spacing w:val="-2"/>
        </w:rPr>
        <w:t>li</w:t>
      </w:r>
      <w:r w:rsidRPr="005E5D2F">
        <w:rPr>
          <w:spacing w:val="-2"/>
        </w:rPr>
        <w:t>o</w:t>
      </w:r>
      <w:r>
        <w:rPr>
          <w:spacing w:val="-2"/>
        </w:rPr>
        <w:t>ni</w:t>
      </w:r>
      <w:r w:rsidRPr="005E5D2F">
        <w:rPr>
          <w:spacing w:val="-2"/>
        </w:rPr>
        <w:t xml:space="preserve">. </w:t>
      </w:r>
    </w:p>
    <w:p w:rsidR="00B21A9A" w:rsidRDefault="00B21A9A" w:rsidP="00B21A9A">
      <w:pPr>
        <w:tabs>
          <w:tab w:val="left" w:pos="3420"/>
        </w:tabs>
        <w:rPr>
          <w:spacing w:val="-2"/>
        </w:rPr>
      </w:pPr>
    </w:p>
    <w:p w:rsidR="00B21A9A" w:rsidRDefault="00B21A9A" w:rsidP="00B21A9A">
      <w:pPr>
        <w:tabs>
          <w:tab w:val="left" w:pos="3420"/>
        </w:tabs>
        <w:rPr>
          <w:spacing w:val="-2"/>
        </w:rPr>
      </w:pPr>
      <w:r w:rsidRPr="005E5D2F">
        <w:rPr>
          <w:spacing w:val="-2"/>
        </w:rPr>
        <w:t>Per opportunità tecnica, temporale e finanziaria</w:t>
      </w:r>
      <w:r>
        <w:rPr>
          <w:spacing w:val="-2"/>
        </w:rPr>
        <w:t xml:space="preserve"> si prevede di anticipare la sostituzione dell’impianto di produzione e stoccaggio caldo/freddo contemporaneamente agli interventi parziali sugli impianti previsti a corto termine; questi costi sono stimati a 9.00 milioni di franchi.</w:t>
      </w:r>
    </w:p>
    <w:p w:rsidR="00B21A9A" w:rsidRPr="00A85314" w:rsidRDefault="00B21A9A" w:rsidP="00B21A9A">
      <w:pPr>
        <w:tabs>
          <w:tab w:val="left" w:pos="3420"/>
        </w:tabs>
        <w:rPr>
          <w:spacing w:val="-2"/>
        </w:rPr>
      </w:pPr>
    </w:p>
    <w:p w:rsidR="00B21A9A" w:rsidRDefault="00B21A9A" w:rsidP="00B21A9A">
      <w:pPr>
        <w:tabs>
          <w:tab w:val="left" w:pos="3420"/>
        </w:tabs>
        <w:rPr>
          <w:spacing w:val="-2"/>
        </w:rPr>
      </w:pPr>
      <w:r>
        <w:rPr>
          <w:spacing w:val="-2"/>
        </w:rPr>
        <w:t xml:space="preserve">A completamento del calcolo dell’onere d’investimento destinato alla ristrutturazione dell’immobile lo studio Mario Botta Architetti ha quantificato i lavori di adattamento degli spazi alle esigenze future stimando un costo di 15.00 milioni di franchi. Questi costi riguardano la demolizione e la costruzione di pareti, la realizzazione di nuove porte d’accesso ai locali e l’adattamento di tutte le porte alla normativa della protezione antincendio, nonché la messa in opera della sicurezza dello stabile e, infine, la realizzazione di 2 aule penali.  </w:t>
      </w:r>
    </w:p>
    <w:p w:rsidR="00B21A9A" w:rsidRDefault="00B21A9A" w:rsidP="00B21A9A">
      <w:pPr>
        <w:tabs>
          <w:tab w:val="left" w:pos="3420"/>
        </w:tabs>
        <w:rPr>
          <w:spacing w:val="-2"/>
        </w:rPr>
      </w:pPr>
    </w:p>
    <w:p w:rsidR="00B21A9A" w:rsidRDefault="00B21A9A" w:rsidP="00B21A9A">
      <w:pPr>
        <w:tabs>
          <w:tab w:val="left" w:pos="3420"/>
        </w:tabs>
        <w:rPr>
          <w:spacing w:val="-2"/>
        </w:rPr>
      </w:pPr>
      <w:r>
        <w:rPr>
          <w:spacing w:val="-2"/>
        </w:rPr>
        <w:t>Lo stabile è inserito nell’inventario dei beni culturali con grado di tutela d’interesse locale. In base alle NAPR del Comune di Lugano questo significa che ogni intervento di modifica deve essere sottoposto preventivamente al Municipio, tramite una domanda di costruzione preliminare, riservando l’obbligo di notifica all’Ufficio dei beni culturali.</w:t>
      </w:r>
    </w:p>
    <w:p w:rsidR="0051430C" w:rsidRDefault="0051430C" w:rsidP="00B21A9A">
      <w:pPr>
        <w:tabs>
          <w:tab w:val="left" w:pos="3420"/>
        </w:tabs>
        <w:rPr>
          <w:spacing w:val="-2"/>
        </w:rPr>
      </w:pPr>
    </w:p>
    <w:p w:rsidR="00B21A9A" w:rsidRPr="000B47C0" w:rsidRDefault="00B21A9A" w:rsidP="00B21A9A">
      <w:pPr>
        <w:pStyle w:val="Titolo2"/>
        <w:tabs>
          <w:tab w:val="clear" w:pos="567"/>
          <w:tab w:val="left" w:pos="709"/>
        </w:tabs>
        <w:spacing w:before="120"/>
        <w:rPr>
          <w:i/>
          <w:sz w:val="23"/>
          <w:szCs w:val="23"/>
        </w:rPr>
      </w:pPr>
      <w:r w:rsidRPr="000B47C0">
        <w:rPr>
          <w:i/>
          <w:sz w:val="23"/>
          <w:szCs w:val="23"/>
        </w:rPr>
        <w:t>5.</w:t>
      </w:r>
      <w:r>
        <w:rPr>
          <w:i/>
          <w:sz w:val="23"/>
          <w:szCs w:val="23"/>
        </w:rPr>
        <w:t>1</w:t>
      </w:r>
      <w:r w:rsidRPr="000B47C0">
        <w:rPr>
          <w:i/>
          <w:sz w:val="23"/>
          <w:szCs w:val="23"/>
        </w:rPr>
        <w:t>.5</w:t>
      </w:r>
      <w:r>
        <w:rPr>
          <w:i/>
          <w:sz w:val="23"/>
          <w:szCs w:val="23"/>
        </w:rPr>
        <w:tab/>
      </w:r>
      <w:r w:rsidRPr="000B47C0">
        <w:rPr>
          <w:i/>
          <w:sz w:val="23"/>
          <w:szCs w:val="23"/>
        </w:rPr>
        <w:t>Il programma spazi</w:t>
      </w:r>
    </w:p>
    <w:p w:rsidR="00B21A9A" w:rsidRDefault="00B21A9A" w:rsidP="00B21A9A">
      <w:r>
        <w:t>È stata eseguita una proiezione d’insediamento presso lo stabile ex Banca del Gottardo che ha considerato le suddivisioni funzionali tra i servizi. Questa ha dimostrato che l</w:t>
      </w:r>
      <w:r w:rsidRPr="00380BCF">
        <w:t xml:space="preserve">o stabile </w:t>
      </w:r>
      <w:r>
        <w:t>e</w:t>
      </w:r>
      <w:r w:rsidRPr="00D07311">
        <w:t>x Banca del Gottardo</w:t>
      </w:r>
      <w:r w:rsidRPr="00380BCF">
        <w:t xml:space="preserve"> ha una superfic</w:t>
      </w:r>
      <w:r>
        <w:t>i</w:t>
      </w:r>
      <w:r w:rsidRPr="00380BCF">
        <w:t>e</w:t>
      </w:r>
      <w:r>
        <w:t xml:space="preserve"> amministrativa netta</w:t>
      </w:r>
      <w:r w:rsidRPr="00380BCF">
        <w:t xml:space="preserve"> sufficiente ad accogliere </w:t>
      </w:r>
      <w:r>
        <w:t>le Autorità giudiziarie e parte dei servizi amministrativi per un totale di circa 8'000 mq netti</w:t>
      </w:r>
      <w:r w:rsidRPr="00380BCF">
        <w:t xml:space="preserve">. </w:t>
      </w:r>
    </w:p>
    <w:p w:rsidR="00B21A9A" w:rsidRDefault="00B21A9A" w:rsidP="00B21A9A"/>
    <w:p w:rsidR="00B21A9A" w:rsidRDefault="00B21A9A" w:rsidP="00B21A9A">
      <w:r>
        <w:t xml:space="preserve">La progettazione di dettaglio permetterà di definire con precisione la ripartizione delle superfici, l’organizzazione funzionale interna, le sinergie tra i settori e tutti gli aspetti legati alla sicurezza, come pure l’integrazione degli eventuali adattamenti delle esigenze.  </w:t>
      </w:r>
    </w:p>
    <w:p w:rsidR="00B21A9A" w:rsidRDefault="00B21A9A" w:rsidP="00B21A9A"/>
    <w:p w:rsidR="00A85314" w:rsidRDefault="00A85314" w:rsidP="00B21A9A"/>
    <w:p w:rsidR="00B21A9A" w:rsidRDefault="00B21A9A" w:rsidP="00B21A9A">
      <w:pPr>
        <w:pStyle w:val="Titolo2"/>
        <w:tabs>
          <w:tab w:val="clear" w:pos="567"/>
          <w:tab w:val="left" w:pos="709"/>
        </w:tabs>
      </w:pPr>
      <w:r>
        <w:t>5</w:t>
      </w:r>
      <w:r w:rsidRPr="00CF3A90">
        <w:t>.</w:t>
      </w:r>
      <w:r>
        <w:t>2</w:t>
      </w:r>
      <w:r w:rsidRPr="00CF3A90">
        <w:tab/>
      </w:r>
      <w:r>
        <w:t xml:space="preserve">Palazzo di giustizia </w:t>
      </w:r>
    </w:p>
    <w:p w:rsidR="00B21A9A" w:rsidRDefault="00B21A9A" w:rsidP="00B21A9A">
      <w:pPr>
        <w:pStyle w:val="Titolo3"/>
      </w:pPr>
      <w:r>
        <w:t>5.2.1</w:t>
      </w:r>
      <w:r>
        <w:tab/>
      </w:r>
      <w:r w:rsidRPr="00305CF7">
        <w:t>Descrizione</w:t>
      </w:r>
    </w:p>
    <w:p w:rsidR="00B21A9A" w:rsidRDefault="00B21A9A" w:rsidP="00B21A9A">
      <w:pPr>
        <w:rPr>
          <w:rFonts w:cs="Arial"/>
          <w:szCs w:val="24"/>
          <w:lang w:val="it-CH"/>
        </w:rPr>
      </w:pPr>
      <w:r>
        <w:rPr>
          <w:rFonts w:cs="Arial"/>
          <w:szCs w:val="24"/>
          <w:lang w:val="it-CH"/>
        </w:rPr>
        <w:t>P</w:t>
      </w:r>
      <w:r w:rsidRPr="00306F8B">
        <w:rPr>
          <w:rFonts w:cs="Arial"/>
          <w:szCs w:val="24"/>
          <w:lang w:val="it-CH"/>
        </w:rPr>
        <w:t xml:space="preserve">resso </w:t>
      </w:r>
      <w:r>
        <w:rPr>
          <w:rFonts w:cs="Arial"/>
          <w:szCs w:val="24"/>
          <w:lang w:val="it-CH"/>
        </w:rPr>
        <w:t xml:space="preserve">il </w:t>
      </w:r>
      <w:r w:rsidRPr="00306F8B">
        <w:rPr>
          <w:rFonts w:cs="Arial"/>
          <w:szCs w:val="24"/>
          <w:lang w:val="it-CH"/>
        </w:rPr>
        <w:t>Palazzo di giustizia</w:t>
      </w:r>
      <w:r>
        <w:rPr>
          <w:rFonts w:cs="Arial"/>
          <w:szCs w:val="24"/>
          <w:lang w:val="it-CH"/>
        </w:rPr>
        <w:t>,</w:t>
      </w:r>
      <w:r w:rsidRPr="002926D2">
        <w:rPr>
          <w:rFonts w:cs="Arial"/>
          <w:szCs w:val="24"/>
          <w:lang w:val="it-CH"/>
        </w:rPr>
        <w:t xml:space="preserve"> </w:t>
      </w:r>
      <w:r w:rsidRPr="00306F8B">
        <w:rPr>
          <w:rFonts w:cs="Arial"/>
          <w:szCs w:val="24"/>
          <w:lang w:val="it-CH"/>
        </w:rPr>
        <w:t>sarà</w:t>
      </w:r>
      <w:r>
        <w:rPr>
          <w:rFonts w:cs="Arial"/>
          <w:szCs w:val="24"/>
          <w:lang w:val="it-CH"/>
        </w:rPr>
        <w:t xml:space="preserve"> </w:t>
      </w:r>
      <w:r w:rsidRPr="00306F8B">
        <w:rPr>
          <w:rFonts w:cs="Arial"/>
          <w:szCs w:val="24"/>
          <w:lang w:val="it-CH"/>
        </w:rPr>
        <w:t>realizzata</w:t>
      </w:r>
      <w:r w:rsidRPr="002926D2">
        <w:rPr>
          <w:rFonts w:cs="Arial"/>
          <w:szCs w:val="24"/>
          <w:lang w:val="it-CH"/>
        </w:rPr>
        <w:t xml:space="preserve"> </w:t>
      </w:r>
      <w:r>
        <w:rPr>
          <w:rFonts w:cs="Arial"/>
          <w:szCs w:val="24"/>
          <w:lang w:val="it-CH"/>
        </w:rPr>
        <w:t>l</w:t>
      </w:r>
      <w:r w:rsidRPr="00306F8B">
        <w:rPr>
          <w:rFonts w:cs="Arial"/>
          <w:szCs w:val="24"/>
          <w:lang w:val="it-CH"/>
        </w:rPr>
        <w:t xml:space="preserve">a suddivisione tra Autorità </w:t>
      </w:r>
      <w:r>
        <w:rPr>
          <w:rFonts w:cs="Arial"/>
          <w:szCs w:val="24"/>
          <w:lang w:val="it-CH"/>
        </w:rPr>
        <w:t xml:space="preserve">giudiziarie </w:t>
      </w:r>
      <w:r w:rsidRPr="00306F8B">
        <w:rPr>
          <w:rFonts w:cs="Arial"/>
          <w:szCs w:val="24"/>
          <w:lang w:val="it-CH"/>
        </w:rPr>
        <w:t>giudicanti e inquirenti</w:t>
      </w:r>
      <w:r>
        <w:rPr>
          <w:rFonts w:cs="Arial"/>
          <w:szCs w:val="24"/>
          <w:lang w:val="it-CH"/>
        </w:rPr>
        <w:t xml:space="preserve"> </w:t>
      </w:r>
      <w:r w:rsidRPr="00306F8B">
        <w:rPr>
          <w:rFonts w:cs="Arial"/>
          <w:szCs w:val="24"/>
          <w:lang w:val="it-CH"/>
        </w:rPr>
        <w:t xml:space="preserve">con il mantenimento del Ministero pubblico unificato, della Polizia cantonale e della Magistratura dei minorenni. </w:t>
      </w:r>
      <w:r>
        <w:rPr>
          <w:rFonts w:cs="Arial"/>
          <w:szCs w:val="24"/>
          <w:lang w:val="it-CH"/>
        </w:rPr>
        <w:t>Presso questo complesso di immobili sarà inoltre valutato il collocamento del Servizio nuove entrate dell’Ufficio della migrazione, l’Ufficio dell’incasso e delle pene alternative e l’integrazione di un servizio amministrativo quale l’Ufficio del registro fondiario.</w:t>
      </w:r>
    </w:p>
    <w:p w:rsidR="00A85314" w:rsidRDefault="00A85314" w:rsidP="00B21A9A">
      <w:pPr>
        <w:rPr>
          <w:rFonts w:cs="Arial"/>
          <w:szCs w:val="24"/>
          <w:lang w:val="it-CH" w:eastAsia="it-CH"/>
        </w:rPr>
      </w:pPr>
    </w:p>
    <w:p w:rsidR="00B21A9A" w:rsidRDefault="00B21A9A" w:rsidP="00B21A9A">
      <w:pPr>
        <w:pStyle w:val="Titolo3"/>
      </w:pPr>
      <w:r>
        <w:t>5.2.2</w:t>
      </w:r>
      <w:r>
        <w:tab/>
      </w:r>
      <w:r w:rsidRPr="00305CF7">
        <w:t>Attuazione</w:t>
      </w:r>
    </w:p>
    <w:p w:rsidR="00B21A9A" w:rsidRDefault="00B21A9A" w:rsidP="00B21A9A">
      <w:r>
        <w:t>Il progetto di massima per la ristrutturazione del Palazzo di giustizia considera nel suo insieme i 4 edifici che compongono la sostanza immobiliare (blocchi A – B – C – D) e prevede un’esecuzione a tappe che possa garantire la possibilità di mantenere in loco la Gendarmeria e la Polizia giudiziaria.</w:t>
      </w:r>
    </w:p>
    <w:p w:rsidR="00B21A9A" w:rsidRDefault="00B21A9A" w:rsidP="00B21A9A"/>
    <w:p w:rsidR="00B21A9A" w:rsidRDefault="00B21A9A" w:rsidP="00B21A9A">
      <w:r>
        <w:t xml:space="preserve">Il cantiere sarà organizzato secondo le tre fasi principali in sequenza: </w:t>
      </w:r>
    </w:p>
    <w:p w:rsidR="00B21A9A" w:rsidRPr="00B21A9A" w:rsidRDefault="00B21A9A" w:rsidP="00235850">
      <w:pPr>
        <w:numPr>
          <w:ilvl w:val="0"/>
          <w:numId w:val="1"/>
        </w:numPr>
        <w:autoSpaceDE w:val="0"/>
        <w:autoSpaceDN w:val="0"/>
        <w:adjustRightInd w:val="0"/>
        <w:spacing w:before="60"/>
        <w:ind w:left="284" w:hanging="284"/>
        <w:rPr>
          <w:rFonts w:cs="Arial"/>
          <w:szCs w:val="24"/>
          <w:lang w:val="it-CH" w:eastAsia="it-CH"/>
        </w:rPr>
      </w:pPr>
      <w:r w:rsidRPr="00B21A9A">
        <w:rPr>
          <w:rFonts w:cs="Arial"/>
          <w:szCs w:val="24"/>
          <w:lang w:val="it-CH" w:eastAsia="it-CH"/>
        </w:rPr>
        <w:t xml:space="preserve">l’installazione della Gendarmeria, della Polizia giudiziaria e della Magistratura dei minorenni in provvisorio nei blocchi A e B (edifici con accesso da via Pretorio); </w:t>
      </w:r>
    </w:p>
    <w:p w:rsidR="00B21A9A" w:rsidRPr="00B21A9A" w:rsidRDefault="00B21A9A" w:rsidP="00235850">
      <w:pPr>
        <w:numPr>
          <w:ilvl w:val="0"/>
          <w:numId w:val="1"/>
        </w:numPr>
        <w:autoSpaceDE w:val="0"/>
        <w:autoSpaceDN w:val="0"/>
        <w:adjustRightInd w:val="0"/>
        <w:spacing w:before="60"/>
        <w:ind w:left="284" w:hanging="284"/>
        <w:rPr>
          <w:rFonts w:cs="Arial"/>
          <w:szCs w:val="24"/>
          <w:lang w:val="it-CH" w:eastAsia="it-CH"/>
        </w:rPr>
      </w:pPr>
      <w:r w:rsidRPr="00B21A9A">
        <w:rPr>
          <w:rFonts w:cs="Arial"/>
          <w:szCs w:val="24"/>
          <w:lang w:val="it-CH" w:eastAsia="it-CH"/>
        </w:rPr>
        <w:t xml:space="preserve">la ristrutturazione dei blocchi C e D (edifici con accesso da via Emilio Bossi), dell’autorimessa e le relative opere esterne; </w:t>
      </w:r>
    </w:p>
    <w:p w:rsidR="00B21A9A" w:rsidRDefault="00B21A9A" w:rsidP="00235850">
      <w:pPr>
        <w:numPr>
          <w:ilvl w:val="0"/>
          <w:numId w:val="1"/>
        </w:numPr>
        <w:autoSpaceDE w:val="0"/>
        <w:autoSpaceDN w:val="0"/>
        <w:adjustRightInd w:val="0"/>
        <w:spacing w:before="60"/>
        <w:ind w:left="284" w:hanging="284"/>
        <w:rPr>
          <w:rFonts w:cs="Arial"/>
          <w:szCs w:val="24"/>
          <w:lang w:val="it-CH" w:eastAsia="it-CH"/>
        </w:rPr>
      </w:pPr>
      <w:r w:rsidRPr="00B21A9A">
        <w:rPr>
          <w:rFonts w:cs="Arial"/>
          <w:szCs w:val="24"/>
          <w:lang w:val="it-CH" w:eastAsia="it-CH"/>
        </w:rPr>
        <w:t>il trasferimento della Gendarmeria, della Polizia giudiziaria e della Magistratura dei minorenni per permettere la ristrutturazione dei blocchi A e B e le relative opere esterne.</w:t>
      </w:r>
    </w:p>
    <w:p w:rsidR="00A85314" w:rsidRPr="00B21A9A" w:rsidRDefault="00A85314" w:rsidP="00A85314">
      <w:pPr>
        <w:autoSpaceDE w:val="0"/>
        <w:autoSpaceDN w:val="0"/>
        <w:adjustRightInd w:val="0"/>
        <w:spacing w:before="60"/>
        <w:rPr>
          <w:rFonts w:cs="Arial"/>
          <w:szCs w:val="24"/>
          <w:lang w:val="it-CH" w:eastAsia="it-CH"/>
        </w:rPr>
      </w:pPr>
    </w:p>
    <w:p w:rsidR="00B21A9A" w:rsidRDefault="00B21A9A" w:rsidP="00B21A9A">
      <w:pPr>
        <w:pStyle w:val="Titolo3"/>
      </w:pPr>
      <w:r>
        <w:t>5.2.3</w:t>
      </w:r>
      <w:r>
        <w:tab/>
      </w:r>
      <w:r w:rsidRPr="00305CF7">
        <w:t>Sede provvisoria</w:t>
      </w:r>
    </w:p>
    <w:p w:rsidR="00B21A9A" w:rsidRDefault="00B21A9A" w:rsidP="00B21A9A">
      <w:r>
        <w:t>L’attuazione degli intenti così come esposti al punto 4</w:t>
      </w:r>
      <w:r w:rsidDel="005B5538">
        <w:t xml:space="preserve"> </w:t>
      </w:r>
      <w:r>
        <w:t>rende necessaria la realizzazione di una sede provvisoria destinata al Ministero pubblico presso lo stabile Bossi (E2009) e la revisione del progetto per la fase d’insediamento provvisorio della Magistratura dei minorenni nei blocchi A e B del PGL.</w:t>
      </w:r>
    </w:p>
    <w:p w:rsidR="00B21A9A" w:rsidRDefault="00B21A9A" w:rsidP="00B21A9A"/>
    <w:p w:rsidR="00B21A9A" w:rsidRDefault="00B21A9A" w:rsidP="00B21A9A">
      <w:r w:rsidRPr="006A54BA">
        <w:t>Il trasferimento della Pretura civile di Lugano</w:t>
      </w:r>
      <w:r>
        <w:t xml:space="preserve">, del </w:t>
      </w:r>
      <w:r>
        <w:rPr>
          <w:rFonts w:cs="Arial"/>
          <w:szCs w:val="24"/>
          <w:lang w:val="it-CH"/>
        </w:rPr>
        <w:t>Tribunale di espropriazione</w:t>
      </w:r>
      <w:r w:rsidRPr="006A54BA">
        <w:t xml:space="preserve"> </w:t>
      </w:r>
      <w:r>
        <w:t>e dell’Ufficio del giudice dei provvedimenti coercitivi</w:t>
      </w:r>
      <w:r w:rsidRPr="006A54BA" w:rsidDel="00233930">
        <w:t xml:space="preserve"> </w:t>
      </w:r>
      <w:r>
        <w:t>presso lo</w:t>
      </w:r>
      <w:r w:rsidRPr="006A54BA">
        <w:t xml:space="preserve"> stabile </w:t>
      </w:r>
      <w:r>
        <w:t xml:space="preserve">ex Banca del Gottardo </w:t>
      </w:r>
      <w:r w:rsidRPr="006A54BA">
        <w:t>permette</w:t>
      </w:r>
      <w:r>
        <w:t xml:space="preserve">rà di </w:t>
      </w:r>
      <w:r w:rsidRPr="006A54BA">
        <w:t>utilizz</w:t>
      </w:r>
      <w:r>
        <w:t xml:space="preserve">are </w:t>
      </w:r>
      <w:r w:rsidRPr="006A54BA">
        <w:t>lo stabile Bossi (1</w:t>
      </w:r>
      <w:r>
        <w:t>'</w:t>
      </w:r>
      <w:r w:rsidRPr="006A54BA">
        <w:t>240</w:t>
      </w:r>
      <w:r>
        <w:t xml:space="preserve"> </w:t>
      </w:r>
      <w:r w:rsidRPr="006A54BA">
        <w:t>mq) quale sede temporanea per il Ministero pubblico</w:t>
      </w:r>
      <w:r>
        <w:t xml:space="preserve">. L’edificio dispone infatti </w:t>
      </w:r>
      <w:r>
        <w:rPr>
          <w:bCs/>
        </w:rPr>
        <w:t>di un</w:t>
      </w:r>
      <w:r w:rsidRPr="00FB37F2">
        <w:rPr>
          <w:bCs/>
        </w:rPr>
        <w:t xml:space="preserve"> numero </w:t>
      </w:r>
      <w:r>
        <w:rPr>
          <w:bCs/>
        </w:rPr>
        <w:t xml:space="preserve">sufficiente di locali ma ha una superficie totale inferiore all’attuale dotazione </w:t>
      </w:r>
      <w:r w:rsidRPr="00FB37F2">
        <w:rPr>
          <w:bCs/>
        </w:rPr>
        <w:t xml:space="preserve">di spazi del </w:t>
      </w:r>
      <w:r>
        <w:rPr>
          <w:bCs/>
        </w:rPr>
        <w:t>Ministero pubblico</w:t>
      </w:r>
      <w:r w:rsidRPr="00FB37F2">
        <w:rPr>
          <w:bCs/>
        </w:rPr>
        <w:t xml:space="preserve"> a</w:t>
      </w:r>
      <w:r>
        <w:rPr>
          <w:bCs/>
        </w:rPr>
        <w:t xml:space="preserve">l Palazzo di </w:t>
      </w:r>
      <w:r w:rsidRPr="00E13155">
        <w:rPr>
          <w:bCs/>
        </w:rPr>
        <w:t xml:space="preserve">giustizia </w:t>
      </w:r>
      <w:r w:rsidRPr="00E13155">
        <w:t>(1’570 mq)</w:t>
      </w:r>
      <w:r w:rsidRPr="00E13155">
        <w:rPr>
          <w:bCs/>
        </w:rPr>
        <w:t>.</w:t>
      </w:r>
      <w:r w:rsidRPr="00FB37F2">
        <w:rPr>
          <w:bCs/>
        </w:rPr>
        <w:t xml:space="preserve"> </w:t>
      </w:r>
      <w:r>
        <w:rPr>
          <w:bCs/>
        </w:rPr>
        <w:t>Saranno quindi da adottare le necessarie ottimizzazioni,</w:t>
      </w:r>
      <w:r>
        <w:t xml:space="preserve"> in materia di attribuzione degli spazi, poiché lo stabile Bossi è ritenuto la migliore opportunità logistica a livello finanziario e temporale. Tuttavia sarà lo studio di fattibilità che legittimerà questo edificio quale sede provvisoria e di conseguenza, l’adeguamento logistico della ex Banca del Gottardo dovrà prevedere dapprima il trasferimento della Pretura civile di Lugano e dell’Ufficio del giudice dei provvedimenti coercitivi.</w:t>
      </w:r>
    </w:p>
    <w:p w:rsidR="00A85314" w:rsidRDefault="00A85314" w:rsidP="00B21A9A"/>
    <w:p w:rsidR="0051430C" w:rsidRDefault="0051430C">
      <w:pPr>
        <w:jc w:val="left"/>
        <w:rPr>
          <w:b/>
          <w:i/>
          <w:sz w:val="23"/>
          <w:szCs w:val="23"/>
        </w:rPr>
      </w:pPr>
      <w:r>
        <w:br w:type="page"/>
      </w:r>
    </w:p>
    <w:p w:rsidR="00B21A9A" w:rsidRDefault="00B21A9A" w:rsidP="00B21A9A">
      <w:pPr>
        <w:pStyle w:val="Titolo3"/>
      </w:pPr>
      <w:r>
        <w:t>5.2.4</w:t>
      </w:r>
      <w:r>
        <w:tab/>
        <w:t>Programma spazi</w:t>
      </w:r>
    </w:p>
    <w:p w:rsidR="00B21A9A" w:rsidRDefault="00B21A9A" w:rsidP="00B21A9A">
      <w:r>
        <w:t>Il progetto di massima considera l’insediamento delle Autorità di perseguimento penale composto da Ministero pubblico unificato (mq 2'220), dalla Magistratura dei minorenni (mq 400) e dalla Polizia cantonale (mq 3'760), nonché di altri uffici del Dipartimento delle istituzioni quali il Servizio nuove entrate dell’Ufficio della migrazione (mq  170), l’Ufficio del registro fondiario (mq 450) e l’Ufficio dell’incasso e delle pene alternative (mq 300), per un totale di circa 7’800 mq, compreso gli archivi.</w:t>
      </w:r>
    </w:p>
    <w:p w:rsidR="00A85314" w:rsidRPr="008D4CBE" w:rsidRDefault="00A85314" w:rsidP="00B21A9A"/>
    <w:p w:rsidR="00B21A9A" w:rsidRDefault="00B21A9A" w:rsidP="00B21A9A">
      <w:pPr>
        <w:pStyle w:val="Titolo3"/>
      </w:pPr>
      <w:r>
        <w:t>5.2.5</w:t>
      </w:r>
      <w:r>
        <w:tab/>
        <w:t>Adeguamento del tetto massimo di spesa</w:t>
      </w:r>
    </w:p>
    <w:p w:rsidR="00B21A9A" w:rsidRDefault="00B21A9A" w:rsidP="00B21A9A">
      <w:pPr>
        <w:autoSpaceDE w:val="0"/>
        <w:autoSpaceDN w:val="0"/>
        <w:adjustRightInd w:val="0"/>
        <w:rPr>
          <w:rFonts w:cs="Arial"/>
          <w:szCs w:val="24"/>
          <w:lang w:val="it-CH" w:eastAsia="it-CH"/>
        </w:rPr>
      </w:pPr>
      <w:r>
        <w:rPr>
          <w:szCs w:val="24"/>
          <w:lang w:val="it-CH"/>
        </w:rPr>
        <w:t xml:space="preserve">Come già riportato al punto 1.1 “Cronistoria del progetto”, il </w:t>
      </w:r>
      <w:r>
        <w:rPr>
          <w:rFonts w:cs="Arial"/>
          <w:szCs w:val="24"/>
          <w:lang w:val="it-CH" w:eastAsia="it-CH"/>
        </w:rPr>
        <w:t>messaggio n. 6028 del 30 gennaio 2008 presentava la richiesta dei crediti per la progettazione della ristrutturazione del Palazzo di giustizia, con l’obiettivo di insediare in questo comparto tutti i servizi giudiziari. Il tetto massimo di spesa era allora stabilito a franchi 40.00 milioni.</w:t>
      </w:r>
    </w:p>
    <w:p w:rsidR="00B21A9A" w:rsidRPr="0098092D" w:rsidRDefault="00B21A9A" w:rsidP="00B21A9A">
      <w:pPr>
        <w:autoSpaceDE w:val="0"/>
        <w:autoSpaceDN w:val="0"/>
        <w:adjustRightInd w:val="0"/>
        <w:rPr>
          <w:lang w:val="it-CH"/>
        </w:rPr>
      </w:pPr>
    </w:p>
    <w:p w:rsidR="00B21A9A" w:rsidRDefault="00B21A9A" w:rsidP="00B21A9A">
      <w:pPr>
        <w:autoSpaceDE w:val="0"/>
        <w:autoSpaceDN w:val="0"/>
        <w:adjustRightInd w:val="0"/>
        <w:rPr>
          <w:rFonts w:cs="Arial"/>
          <w:szCs w:val="24"/>
          <w:lang w:val="it-CH" w:eastAsia="it-CH"/>
        </w:rPr>
      </w:pPr>
      <w:r>
        <w:rPr>
          <w:rFonts w:cs="Arial"/>
          <w:szCs w:val="24"/>
          <w:lang w:val="it-CH" w:eastAsia="it-CH"/>
        </w:rPr>
        <w:t xml:space="preserve">In seguito, </w:t>
      </w:r>
      <w:r>
        <w:rPr>
          <w:szCs w:val="24"/>
        </w:rPr>
        <w:t>i</w:t>
      </w:r>
      <w:r w:rsidRPr="00F43D53">
        <w:rPr>
          <w:szCs w:val="24"/>
        </w:rPr>
        <w:t xml:space="preserve">l 14 aprile 2015 il Consiglio di Stato </w:t>
      </w:r>
      <w:r>
        <w:rPr>
          <w:szCs w:val="24"/>
        </w:rPr>
        <w:t xml:space="preserve">ha licenziato il messaggio </w:t>
      </w:r>
      <w:r w:rsidRPr="00F43D53">
        <w:rPr>
          <w:szCs w:val="24"/>
        </w:rPr>
        <w:t xml:space="preserve">n. 7080 </w:t>
      </w:r>
      <w:r>
        <w:rPr>
          <w:szCs w:val="24"/>
        </w:rPr>
        <w:t xml:space="preserve">concernente, in particolare, </w:t>
      </w:r>
      <w:r w:rsidRPr="00F43D53">
        <w:rPr>
          <w:rFonts w:cs="Arial"/>
          <w:szCs w:val="24"/>
          <w:lang w:val="it-CH" w:eastAsia="it-CH"/>
        </w:rPr>
        <w:t xml:space="preserve">un credito supplementare di franchi 3'700'000.- per la progettazione del </w:t>
      </w:r>
      <w:r>
        <w:rPr>
          <w:rFonts w:cs="Arial"/>
          <w:szCs w:val="24"/>
          <w:lang w:val="it-CH" w:eastAsia="it-CH"/>
        </w:rPr>
        <w:t>Palazzo di giustizia di Lugano e di franchi 200'000.- per la ricerca di una sede esterna dei servizi giudiziari. L’adeguamento dei crediti di progettazione era dovuto a</w:t>
      </w:r>
      <w:r w:rsidRPr="00F43D53">
        <w:rPr>
          <w:rFonts w:cs="Arial"/>
          <w:szCs w:val="24"/>
          <w:lang w:val="it-CH" w:eastAsia="it-CH"/>
        </w:rPr>
        <w:t xml:space="preserve"> un aumento del tetto massimo di spesa dell’opera, che passa</w:t>
      </w:r>
      <w:r>
        <w:rPr>
          <w:rFonts w:cs="Arial"/>
          <w:szCs w:val="24"/>
          <w:lang w:val="it-CH" w:eastAsia="it-CH"/>
        </w:rPr>
        <w:t>va</w:t>
      </w:r>
      <w:r w:rsidRPr="00F43D53">
        <w:rPr>
          <w:rFonts w:cs="Arial"/>
          <w:szCs w:val="24"/>
          <w:lang w:val="it-CH" w:eastAsia="it-CH"/>
        </w:rPr>
        <w:t xml:space="preserve"> da</w:t>
      </w:r>
      <w:r>
        <w:rPr>
          <w:rFonts w:cs="Arial"/>
          <w:szCs w:val="24"/>
          <w:lang w:val="it-CH" w:eastAsia="it-CH"/>
        </w:rPr>
        <w:t>i precedenti</w:t>
      </w:r>
      <w:r w:rsidRPr="00F43D53">
        <w:rPr>
          <w:rFonts w:cs="Arial"/>
          <w:szCs w:val="24"/>
          <w:lang w:val="it-CH" w:eastAsia="it-CH"/>
        </w:rPr>
        <w:t xml:space="preserve"> 40</w:t>
      </w:r>
      <w:r>
        <w:rPr>
          <w:rFonts w:cs="Arial"/>
          <w:szCs w:val="24"/>
          <w:lang w:val="it-CH" w:eastAsia="it-CH"/>
        </w:rPr>
        <w:t>.00</w:t>
      </w:r>
      <w:r w:rsidRPr="00F43D53">
        <w:rPr>
          <w:rFonts w:cs="Arial"/>
          <w:szCs w:val="24"/>
          <w:lang w:val="it-CH" w:eastAsia="it-CH"/>
        </w:rPr>
        <w:t xml:space="preserve"> mil</w:t>
      </w:r>
      <w:r>
        <w:rPr>
          <w:rFonts w:cs="Arial"/>
          <w:szCs w:val="24"/>
          <w:lang w:val="it-CH" w:eastAsia="it-CH"/>
        </w:rPr>
        <w:t>ioni di franchi ai successivi 60.15 milioni</w:t>
      </w:r>
      <w:r w:rsidRPr="00660475">
        <w:rPr>
          <w:rFonts w:cs="Arial"/>
          <w:szCs w:val="24"/>
          <w:lang w:val="it-CH" w:eastAsia="it-CH"/>
        </w:rPr>
        <w:t xml:space="preserve"> </w:t>
      </w:r>
      <w:r>
        <w:rPr>
          <w:rFonts w:cs="Arial"/>
          <w:szCs w:val="24"/>
          <w:lang w:val="it-CH" w:eastAsia="it-CH"/>
        </w:rPr>
        <w:t>di franchi.</w:t>
      </w:r>
    </w:p>
    <w:p w:rsidR="00B21A9A" w:rsidRDefault="00B21A9A" w:rsidP="00B21A9A">
      <w:pPr>
        <w:autoSpaceDE w:val="0"/>
        <w:autoSpaceDN w:val="0"/>
        <w:adjustRightInd w:val="0"/>
        <w:rPr>
          <w:szCs w:val="24"/>
          <w:lang w:val="it-CH"/>
        </w:rPr>
      </w:pPr>
    </w:p>
    <w:p w:rsidR="00B21A9A" w:rsidRDefault="00B21A9A" w:rsidP="00B21A9A">
      <w:pPr>
        <w:autoSpaceDE w:val="0"/>
        <w:autoSpaceDN w:val="0"/>
        <w:adjustRightInd w:val="0"/>
        <w:rPr>
          <w:rFonts w:cs="Arial"/>
          <w:szCs w:val="24"/>
          <w:lang w:val="it-CH" w:eastAsia="it-CH"/>
        </w:rPr>
      </w:pPr>
      <w:r>
        <w:rPr>
          <w:szCs w:val="24"/>
          <w:lang w:val="it-CH"/>
        </w:rPr>
        <w:t xml:space="preserve">Il 22 giugno 2015 il Gran Consiglio ha approvato i crediti per lo studio di fattibilità per una sede esterna ma ha sospeso, per altri approfondimenti da parte della </w:t>
      </w:r>
      <w:r>
        <w:rPr>
          <w:rFonts w:cs="Arial"/>
          <w:szCs w:val="24"/>
          <w:lang w:val="it-CH" w:eastAsia="it-CH"/>
        </w:rPr>
        <w:t>Commissione della gestione e delle finanze, la concessione del</w:t>
      </w:r>
      <w:r>
        <w:rPr>
          <w:szCs w:val="24"/>
          <w:lang w:val="it-CH"/>
        </w:rPr>
        <w:t xml:space="preserve"> credito supplementare per la progettazione del Palazzo di giustizia. </w:t>
      </w:r>
    </w:p>
    <w:p w:rsidR="00B21A9A" w:rsidRDefault="00B21A9A" w:rsidP="00B21A9A">
      <w:pPr>
        <w:autoSpaceDE w:val="0"/>
        <w:autoSpaceDN w:val="0"/>
        <w:adjustRightInd w:val="0"/>
        <w:jc w:val="left"/>
        <w:rPr>
          <w:rFonts w:cs="Arial"/>
          <w:szCs w:val="24"/>
          <w:lang w:val="it-CH" w:eastAsia="it-CH"/>
        </w:rPr>
      </w:pPr>
    </w:p>
    <w:p w:rsidR="00B21A9A" w:rsidRDefault="00B21A9A" w:rsidP="00B21A9A">
      <w:pPr>
        <w:tabs>
          <w:tab w:val="left" w:pos="5529"/>
        </w:tabs>
        <w:rPr>
          <w:rFonts w:cs="Arial"/>
          <w:szCs w:val="24"/>
          <w:lang w:val="it-CH" w:eastAsia="it-CH"/>
        </w:rPr>
      </w:pPr>
      <w:r>
        <w:rPr>
          <w:rFonts w:cs="Arial"/>
          <w:szCs w:val="24"/>
          <w:lang w:val="it-CH" w:eastAsia="it-CH"/>
        </w:rPr>
        <w:t>Come concordato con la Commissione della gestione e delle finanze, nel 2016 è stato approfondito il progetto di massima considerando in particolare gli aspetti legati alla sicurezza dell’immobile. Sulla base di questo nuovo studio, datato 30 settembre 2016, il preventivo è stato ulteriormente aggiornato risultando di oltre 80.00 milioni di franchi, con un grado di precisione del +/- 10% (lettera del Consiglio di Stato del 9 novembre 2016).</w:t>
      </w:r>
    </w:p>
    <w:p w:rsidR="00B21A9A" w:rsidRDefault="00B21A9A" w:rsidP="00B21A9A">
      <w:pPr>
        <w:rPr>
          <w:rFonts w:cs="Arial"/>
          <w:szCs w:val="24"/>
          <w:lang w:val="it-CH" w:eastAsia="it-CH"/>
        </w:rPr>
      </w:pPr>
    </w:p>
    <w:p w:rsidR="00B21A9A" w:rsidRDefault="00B21A9A" w:rsidP="00B21A9A">
      <w:pPr>
        <w:rPr>
          <w:rFonts w:cs="Arial"/>
          <w:szCs w:val="24"/>
          <w:lang w:val="it-CH" w:eastAsia="it-CH"/>
        </w:rPr>
      </w:pPr>
      <w:r>
        <w:rPr>
          <w:rFonts w:cs="Arial"/>
          <w:szCs w:val="24"/>
          <w:lang w:val="it-CH" w:eastAsia="it-CH"/>
        </w:rPr>
        <w:t>Per queste ragioni lo scrivente Consiglio di Stato ha deciso di riconsiderare la richiesta di adeguamento del credito di progettazione per la ristrutturazione del Palazzo di giustizia in una fase successiva, contestualmente alla richiesta dei crediti</w:t>
      </w:r>
      <w:r w:rsidRPr="00CE3059">
        <w:rPr>
          <w:rFonts w:cs="Arial"/>
          <w:szCs w:val="24"/>
          <w:lang w:val="it-CH" w:eastAsia="it-CH"/>
        </w:rPr>
        <w:t xml:space="preserve"> di costruzione </w:t>
      </w:r>
      <w:r>
        <w:rPr>
          <w:rFonts w:cs="Arial"/>
          <w:szCs w:val="24"/>
          <w:lang w:val="it-CH" w:eastAsia="it-CH"/>
        </w:rPr>
        <w:t xml:space="preserve">per la ristrutturazione </w:t>
      </w:r>
      <w:r w:rsidRPr="004E5FCD">
        <w:rPr>
          <w:rFonts w:cs="Arial"/>
          <w:szCs w:val="24"/>
          <w:lang w:val="it-CH" w:eastAsia="it-CH"/>
        </w:rPr>
        <w:t xml:space="preserve">dello stabile </w:t>
      </w:r>
      <w:r>
        <w:rPr>
          <w:rFonts w:cs="Arial"/>
          <w:szCs w:val="24"/>
          <w:lang w:val="it-CH" w:eastAsia="it-CH"/>
        </w:rPr>
        <w:t>e</w:t>
      </w:r>
      <w:r w:rsidRPr="004E5FCD">
        <w:rPr>
          <w:rFonts w:cs="Arial"/>
          <w:szCs w:val="24"/>
          <w:lang w:val="it-CH" w:eastAsia="it-CH"/>
        </w:rPr>
        <w:t>x Banca del Gottardo</w:t>
      </w:r>
      <w:r>
        <w:rPr>
          <w:rFonts w:cs="Arial"/>
          <w:szCs w:val="24"/>
          <w:lang w:val="it-CH" w:eastAsia="it-CH"/>
        </w:rPr>
        <w:t xml:space="preserve"> e per la progettazione e adeguamento della sede provvisoria presso lo stabile Bossi. </w:t>
      </w:r>
    </w:p>
    <w:p w:rsidR="00B21A9A" w:rsidRDefault="00B21A9A" w:rsidP="00B21A9A">
      <w:pPr>
        <w:rPr>
          <w:rFonts w:cs="Arial"/>
          <w:color w:val="000000"/>
          <w:szCs w:val="24"/>
          <w:lang w:val="it-CH" w:eastAsia="it-CH"/>
        </w:rPr>
      </w:pPr>
    </w:p>
    <w:p w:rsidR="00A85314" w:rsidRDefault="00A85314" w:rsidP="00B21A9A">
      <w:pPr>
        <w:rPr>
          <w:rFonts w:cs="Arial"/>
          <w:color w:val="000000"/>
          <w:szCs w:val="24"/>
          <w:lang w:val="it-CH" w:eastAsia="it-CH"/>
        </w:rPr>
      </w:pPr>
    </w:p>
    <w:p w:rsidR="00B21A9A" w:rsidRDefault="00B21A9A" w:rsidP="00B21A9A">
      <w:pPr>
        <w:rPr>
          <w:rFonts w:cs="Arial"/>
          <w:color w:val="000000"/>
          <w:szCs w:val="24"/>
          <w:lang w:val="it-CH" w:eastAsia="it-CH"/>
        </w:rPr>
      </w:pPr>
    </w:p>
    <w:p w:rsidR="00B21A9A" w:rsidRDefault="00B21A9A" w:rsidP="00B21A9A">
      <w:pPr>
        <w:pStyle w:val="Titolo1"/>
        <w:tabs>
          <w:tab w:val="clear" w:pos="567"/>
          <w:tab w:val="left" w:pos="709"/>
        </w:tabs>
      </w:pPr>
      <w:r>
        <w:t>6</w:t>
      </w:r>
      <w:r w:rsidRPr="00D75202">
        <w:t>.</w:t>
      </w:r>
      <w:r w:rsidRPr="00D75202">
        <w:tab/>
        <w:t>aspetti finanziari</w:t>
      </w:r>
    </w:p>
    <w:p w:rsidR="00B21A9A" w:rsidRDefault="00B21A9A" w:rsidP="00B21A9A">
      <w:pPr>
        <w:pStyle w:val="Titolo2"/>
        <w:tabs>
          <w:tab w:val="clear" w:pos="567"/>
          <w:tab w:val="left" w:pos="709"/>
        </w:tabs>
        <w:rPr>
          <w:lang w:val="it-CH" w:eastAsia="it-CH"/>
        </w:rPr>
      </w:pPr>
      <w:r>
        <w:rPr>
          <w:lang w:val="it-CH" w:eastAsia="it-CH"/>
        </w:rPr>
        <w:t>6.1</w:t>
      </w:r>
      <w:r>
        <w:rPr>
          <w:lang w:val="it-CH" w:eastAsia="it-CH"/>
        </w:rPr>
        <w:tab/>
        <w:t>Aspetti procedurali</w:t>
      </w:r>
    </w:p>
    <w:p w:rsidR="00B21A9A" w:rsidRDefault="00B21A9A" w:rsidP="00B21A9A">
      <w:pPr>
        <w:spacing w:after="40"/>
      </w:pPr>
      <w:r>
        <w:t>La pianificazione logistica e finanziaria delle sedi delle Autorità giudiziarie del comparto luganese dovrà essere attuata attraverso le seguenti procedure governative:</w:t>
      </w:r>
    </w:p>
    <w:p w:rsidR="00B21A9A" w:rsidRPr="00B260F8" w:rsidRDefault="00B21A9A" w:rsidP="00B260F8">
      <w:pPr>
        <w:numPr>
          <w:ilvl w:val="0"/>
          <w:numId w:val="3"/>
        </w:numPr>
        <w:tabs>
          <w:tab w:val="clear" w:pos="720"/>
          <w:tab w:val="num" w:pos="426"/>
        </w:tabs>
        <w:spacing w:before="120"/>
        <w:ind w:left="425" w:hanging="425"/>
        <w:rPr>
          <w:lang w:val="it-CH"/>
        </w:rPr>
      </w:pPr>
      <w:r w:rsidRPr="00B260F8">
        <w:rPr>
          <w:lang w:val="it-CH"/>
        </w:rPr>
        <w:t>presentazione del presente messaggio per la richiesta di:</w:t>
      </w:r>
    </w:p>
    <w:p w:rsidR="00B21A9A" w:rsidRDefault="00B21A9A" w:rsidP="00B260F8">
      <w:pPr>
        <w:numPr>
          <w:ilvl w:val="0"/>
          <w:numId w:val="2"/>
        </w:numPr>
        <w:autoSpaceDE w:val="0"/>
        <w:autoSpaceDN w:val="0"/>
        <w:adjustRightInd w:val="0"/>
        <w:spacing w:before="40"/>
        <w:ind w:left="850" w:hanging="425"/>
        <w:rPr>
          <w:rFonts w:cs="Arial"/>
          <w:szCs w:val="24"/>
          <w:lang w:val="it-CH" w:eastAsia="it-CH"/>
        </w:rPr>
      </w:pPr>
      <w:r w:rsidRPr="00466FB8">
        <w:rPr>
          <w:rFonts w:cs="Arial"/>
          <w:szCs w:val="24"/>
          <w:lang w:val="it-CH" w:eastAsia="it-CH"/>
        </w:rPr>
        <w:t xml:space="preserve">un credito destinato all’acquisto e alla progettazione (fino alla fase </w:t>
      </w:r>
      <w:r>
        <w:rPr>
          <w:rFonts w:cs="Arial"/>
          <w:szCs w:val="24"/>
          <w:lang w:val="it-CH" w:eastAsia="it-CH"/>
        </w:rPr>
        <w:t>della procedura d’</w:t>
      </w:r>
      <w:r w:rsidRPr="00466FB8">
        <w:rPr>
          <w:rFonts w:cs="Arial"/>
          <w:szCs w:val="24"/>
          <w:lang w:val="it-CH" w:eastAsia="it-CH"/>
        </w:rPr>
        <w:t>appalt</w:t>
      </w:r>
      <w:r>
        <w:rPr>
          <w:rFonts w:cs="Arial"/>
          <w:szCs w:val="24"/>
          <w:lang w:val="it-CH" w:eastAsia="it-CH"/>
        </w:rPr>
        <w:t>o compreso</w:t>
      </w:r>
      <w:r w:rsidRPr="00466FB8">
        <w:rPr>
          <w:rFonts w:cs="Arial"/>
          <w:szCs w:val="24"/>
          <w:lang w:val="it-CH" w:eastAsia="it-CH"/>
        </w:rPr>
        <w:t xml:space="preserve">) della ristrutturazione e dell’adeguamento logistico dello stabile ex </w:t>
      </w:r>
      <w:r>
        <w:rPr>
          <w:rFonts w:cs="Arial"/>
          <w:szCs w:val="24"/>
          <w:lang w:val="it-CH" w:eastAsia="it-CH"/>
        </w:rPr>
        <w:t>Banca del Gottardo;</w:t>
      </w:r>
    </w:p>
    <w:p w:rsidR="00B21A9A" w:rsidRPr="00466FB8" w:rsidRDefault="00B21A9A" w:rsidP="00B260F8">
      <w:pPr>
        <w:numPr>
          <w:ilvl w:val="0"/>
          <w:numId w:val="2"/>
        </w:numPr>
        <w:autoSpaceDE w:val="0"/>
        <w:autoSpaceDN w:val="0"/>
        <w:adjustRightInd w:val="0"/>
        <w:spacing w:before="40"/>
        <w:ind w:left="850" w:hanging="425"/>
        <w:rPr>
          <w:rFonts w:cs="Arial"/>
          <w:szCs w:val="24"/>
          <w:lang w:val="it-CH" w:eastAsia="it-CH"/>
        </w:rPr>
      </w:pPr>
      <w:r w:rsidRPr="00466FB8">
        <w:rPr>
          <w:rFonts w:cs="Arial"/>
          <w:szCs w:val="24"/>
          <w:lang w:val="it-CH" w:eastAsia="it-CH"/>
        </w:rPr>
        <w:t xml:space="preserve">di un credito </w:t>
      </w:r>
      <w:r w:rsidRPr="00F174C0">
        <w:rPr>
          <w:rFonts w:cs="Arial"/>
          <w:szCs w:val="24"/>
          <w:lang w:val="it-CH" w:eastAsia="it-CH"/>
        </w:rPr>
        <w:t>per</w:t>
      </w:r>
      <w:r>
        <w:rPr>
          <w:rFonts w:cs="Arial"/>
          <w:szCs w:val="24"/>
          <w:lang w:val="it-CH" w:eastAsia="it-CH"/>
        </w:rPr>
        <w:t xml:space="preserve"> uno studio di fattibilità e</w:t>
      </w:r>
      <w:r w:rsidRPr="00F174C0">
        <w:rPr>
          <w:rFonts w:cs="Arial"/>
          <w:szCs w:val="24"/>
          <w:lang w:val="it-CH" w:eastAsia="it-CH"/>
        </w:rPr>
        <w:t xml:space="preserve"> la progettazione fino alla fase </w:t>
      </w:r>
      <w:r>
        <w:rPr>
          <w:rFonts w:cs="Arial"/>
          <w:szCs w:val="24"/>
          <w:lang w:val="it-CH" w:eastAsia="it-CH"/>
        </w:rPr>
        <w:t xml:space="preserve">della procedura d’appalto compresa (4.41 del regolamento SIA 112) </w:t>
      </w:r>
      <w:r w:rsidRPr="00466FB8">
        <w:rPr>
          <w:rFonts w:cs="Arial"/>
          <w:szCs w:val="24"/>
          <w:lang w:val="it-CH" w:eastAsia="it-CH"/>
        </w:rPr>
        <w:t>degli spazi destinati alla sede provvisoria esterna al PGL (stabile Bossi);</w:t>
      </w:r>
    </w:p>
    <w:p w:rsidR="00B21A9A" w:rsidRPr="00B260F8" w:rsidRDefault="00B21A9A" w:rsidP="00B260F8">
      <w:pPr>
        <w:numPr>
          <w:ilvl w:val="0"/>
          <w:numId w:val="3"/>
        </w:numPr>
        <w:tabs>
          <w:tab w:val="clear" w:pos="720"/>
          <w:tab w:val="num" w:pos="426"/>
        </w:tabs>
        <w:spacing w:before="120"/>
        <w:ind w:left="425" w:hanging="425"/>
        <w:rPr>
          <w:lang w:val="it-CH"/>
        </w:rPr>
      </w:pPr>
      <w:r w:rsidRPr="00B260F8">
        <w:rPr>
          <w:lang w:val="it-CH"/>
        </w:rPr>
        <w:t>presentazione di un messaggio per la richiesta di:</w:t>
      </w:r>
    </w:p>
    <w:p w:rsidR="00B21A9A" w:rsidRDefault="00B21A9A" w:rsidP="00B260F8">
      <w:pPr>
        <w:numPr>
          <w:ilvl w:val="0"/>
          <w:numId w:val="2"/>
        </w:numPr>
        <w:autoSpaceDE w:val="0"/>
        <w:autoSpaceDN w:val="0"/>
        <w:adjustRightInd w:val="0"/>
        <w:spacing w:before="40"/>
        <w:ind w:left="850" w:hanging="425"/>
        <w:rPr>
          <w:rFonts w:cs="Arial"/>
          <w:szCs w:val="24"/>
          <w:lang w:val="it-CH" w:eastAsia="it-CH"/>
        </w:rPr>
      </w:pPr>
      <w:r w:rsidRPr="00CE3059">
        <w:rPr>
          <w:rFonts w:cs="Arial"/>
          <w:szCs w:val="24"/>
          <w:lang w:val="it-CH" w:eastAsia="it-CH"/>
        </w:rPr>
        <w:t xml:space="preserve">un credito di costruzione destinato </w:t>
      </w:r>
      <w:r>
        <w:rPr>
          <w:rFonts w:cs="Arial"/>
          <w:szCs w:val="24"/>
          <w:lang w:val="it-CH" w:eastAsia="it-CH"/>
        </w:rPr>
        <w:t>alla ristrutturazione e all’adeguamento logistico</w:t>
      </w:r>
      <w:r w:rsidRPr="00F874D1">
        <w:rPr>
          <w:rFonts w:cs="Arial"/>
          <w:szCs w:val="24"/>
          <w:lang w:val="it-CH" w:eastAsia="it-CH"/>
        </w:rPr>
        <w:t xml:space="preserve"> </w:t>
      </w:r>
      <w:r w:rsidRPr="004E5FCD">
        <w:rPr>
          <w:rFonts w:cs="Arial"/>
          <w:szCs w:val="24"/>
          <w:lang w:val="it-CH" w:eastAsia="it-CH"/>
        </w:rPr>
        <w:t xml:space="preserve">dello stabile </w:t>
      </w:r>
      <w:r>
        <w:rPr>
          <w:rFonts w:cs="Arial"/>
          <w:szCs w:val="24"/>
          <w:lang w:val="it-CH" w:eastAsia="it-CH"/>
        </w:rPr>
        <w:t>e</w:t>
      </w:r>
      <w:r w:rsidRPr="004E5FCD">
        <w:rPr>
          <w:rFonts w:cs="Arial"/>
          <w:szCs w:val="24"/>
          <w:lang w:val="it-CH" w:eastAsia="it-CH"/>
        </w:rPr>
        <w:t>x Banca del Gottardo</w:t>
      </w:r>
      <w:r>
        <w:rPr>
          <w:rFonts w:cs="Arial"/>
          <w:szCs w:val="24"/>
          <w:lang w:val="it-CH" w:eastAsia="it-CH"/>
        </w:rPr>
        <w:t>;</w:t>
      </w:r>
    </w:p>
    <w:p w:rsidR="00B21A9A" w:rsidRDefault="00B21A9A" w:rsidP="00B260F8">
      <w:pPr>
        <w:numPr>
          <w:ilvl w:val="0"/>
          <w:numId w:val="2"/>
        </w:numPr>
        <w:autoSpaceDE w:val="0"/>
        <w:autoSpaceDN w:val="0"/>
        <w:adjustRightInd w:val="0"/>
        <w:spacing w:before="40"/>
        <w:ind w:left="850" w:hanging="425"/>
        <w:rPr>
          <w:rFonts w:cs="Arial"/>
          <w:szCs w:val="24"/>
          <w:lang w:val="it-CH" w:eastAsia="it-CH"/>
        </w:rPr>
      </w:pPr>
      <w:r w:rsidRPr="004E5FCD">
        <w:rPr>
          <w:rFonts w:cs="Arial"/>
          <w:szCs w:val="24"/>
          <w:lang w:val="it-CH" w:eastAsia="it-CH"/>
        </w:rPr>
        <w:t>dei crediti di progettazione</w:t>
      </w:r>
      <w:r>
        <w:rPr>
          <w:rFonts w:cs="Arial"/>
          <w:szCs w:val="24"/>
          <w:lang w:val="it-CH" w:eastAsia="it-CH"/>
        </w:rPr>
        <w:t xml:space="preserve"> fino alla fase della procedura d’appalto, compresa,</w:t>
      </w:r>
      <w:r w:rsidRPr="004E5FCD">
        <w:rPr>
          <w:rFonts w:cs="Arial"/>
          <w:szCs w:val="24"/>
          <w:lang w:val="it-CH" w:eastAsia="it-CH"/>
        </w:rPr>
        <w:t xml:space="preserve"> per il Palazzo di giustizia</w:t>
      </w:r>
      <w:r>
        <w:rPr>
          <w:rFonts w:cs="Arial"/>
          <w:szCs w:val="24"/>
          <w:lang w:val="it-CH" w:eastAsia="it-CH"/>
        </w:rPr>
        <w:t>;</w:t>
      </w:r>
    </w:p>
    <w:p w:rsidR="00B21A9A" w:rsidRPr="004E5FCD" w:rsidRDefault="00B21A9A" w:rsidP="00B260F8">
      <w:pPr>
        <w:numPr>
          <w:ilvl w:val="0"/>
          <w:numId w:val="2"/>
        </w:numPr>
        <w:autoSpaceDE w:val="0"/>
        <w:autoSpaceDN w:val="0"/>
        <w:adjustRightInd w:val="0"/>
        <w:spacing w:before="40"/>
        <w:ind w:left="850" w:hanging="425"/>
        <w:rPr>
          <w:rFonts w:cs="Arial"/>
          <w:szCs w:val="24"/>
          <w:lang w:val="it-CH" w:eastAsia="it-CH"/>
        </w:rPr>
      </w:pPr>
      <w:r>
        <w:rPr>
          <w:rFonts w:cs="Arial"/>
          <w:szCs w:val="24"/>
          <w:lang w:val="it-CH" w:eastAsia="it-CH"/>
        </w:rPr>
        <w:t>dei crediti di costruzione per la sede provvisoria esterna al PGL (stabile Bossi)</w:t>
      </w:r>
      <w:r w:rsidRPr="004E5FCD">
        <w:rPr>
          <w:rFonts w:cs="Arial"/>
          <w:szCs w:val="24"/>
          <w:lang w:val="it-CH" w:eastAsia="it-CH"/>
        </w:rPr>
        <w:t>;</w:t>
      </w:r>
    </w:p>
    <w:p w:rsidR="00B21A9A" w:rsidRDefault="00B21A9A" w:rsidP="00B260F8">
      <w:pPr>
        <w:numPr>
          <w:ilvl w:val="0"/>
          <w:numId w:val="3"/>
        </w:numPr>
        <w:tabs>
          <w:tab w:val="clear" w:pos="720"/>
          <w:tab w:val="num" w:pos="426"/>
        </w:tabs>
        <w:spacing w:before="120"/>
        <w:ind w:left="425" w:hanging="425"/>
        <w:rPr>
          <w:rFonts w:cs="Arial"/>
          <w:szCs w:val="24"/>
          <w:lang w:val="it-CH" w:eastAsia="it-CH"/>
        </w:rPr>
      </w:pPr>
      <w:r>
        <w:rPr>
          <w:lang w:val="it-CH"/>
        </w:rPr>
        <w:t>presentazione</w:t>
      </w:r>
      <w:r>
        <w:t xml:space="preserve"> di un messaggio governativo per la richiesta </w:t>
      </w:r>
      <w:r w:rsidRPr="002F062D">
        <w:rPr>
          <w:rFonts w:cs="Arial"/>
          <w:szCs w:val="24"/>
          <w:lang w:val="it-CH" w:eastAsia="it-CH"/>
        </w:rPr>
        <w:t xml:space="preserve">dei crediti di </w:t>
      </w:r>
      <w:r w:rsidRPr="002F062D">
        <w:t>costruzione</w:t>
      </w:r>
      <w:r w:rsidRPr="002F062D">
        <w:rPr>
          <w:rFonts w:cs="Arial"/>
          <w:szCs w:val="24"/>
          <w:lang w:val="it-CH" w:eastAsia="it-CH"/>
        </w:rPr>
        <w:t xml:space="preserve"> destinati alla ristrutturazione del Palazzo di giustizia.</w:t>
      </w:r>
    </w:p>
    <w:p w:rsidR="00B21A9A" w:rsidRDefault="00B21A9A" w:rsidP="00A85314">
      <w:pPr>
        <w:rPr>
          <w:rFonts w:cs="Arial"/>
          <w:szCs w:val="24"/>
          <w:lang w:val="it-CH" w:eastAsia="it-CH"/>
        </w:rPr>
      </w:pPr>
    </w:p>
    <w:p w:rsidR="00A85314" w:rsidRPr="002F062D" w:rsidRDefault="00A85314" w:rsidP="00A85314">
      <w:pPr>
        <w:rPr>
          <w:rFonts w:cs="Arial"/>
          <w:szCs w:val="24"/>
          <w:lang w:val="it-CH" w:eastAsia="it-CH"/>
        </w:rPr>
      </w:pPr>
    </w:p>
    <w:p w:rsidR="00B21A9A" w:rsidRDefault="00B21A9A" w:rsidP="00B21A9A">
      <w:pPr>
        <w:pStyle w:val="Titolo2"/>
        <w:tabs>
          <w:tab w:val="clear" w:pos="567"/>
          <w:tab w:val="left" w:pos="709"/>
        </w:tabs>
        <w:rPr>
          <w:lang w:val="it-CH" w:eastAsia="it-CH"/>
        </w:rPr>
      </w:pPr>
      <w:r>
        <w:rPr>
          <w:lang w:val="it-CH" w:eastAsia="it-CH"/>
        </w:rPr>
        <w:t>6.2</w:t>
      </w:r>
      <w:r>
        <w:rPr>
          <w:lang w:val="it-CH" w:eastAsia="it-CH"/>
        </w:rPr>
        <w:tab/>
        <w:t>Uscite per l’investimento ex Banca del Gottardo</w:t>
      </w:r>
    </w:p>
    <w:p w:rsidR="00B21A9A" w:rsidRDefault="00B21A9A" w:rsidP="00B21A9A">
      <w:r>
        <w:rPr>
          <w:lang w:val="it-CH" w:eastAsia="it-CH"/>
        </w:rPr>
        <w:t>Indichiamo di seguito gli aspetti legati alla</w:t>
      </w:r>
      <w:r>
        <w:t xml:space="preserve"> proposta immobiliare riportata al punto 4.2.3 del presente messaggio. </w:t>
      </w:r>
    </w:p>
    <w:p w:rsidR="00A85314" w:rsidRDefault="00A85314" w:rsidP="00B21A9A"/>
    <w:p w:rsidR="00B21A9A" w:rsidRPr="00BA2F62" w:rsidRDefault="00B21A9A" w:rsidP="00B21A9A">
      <w:pPr>
        <w:pStyle w:val="Titolo3"/>
        <w:rPr>
          <w:lang w:eastAsia="it-CH"/>
        </w:rPr>
      </w:pPr>
      <w:r w:rsidRPr="00BA2F62">
        <w:rPr>
          <w:lang w:eastAsia="it-CH"/>
        </w:rPr>
        <w:t>6.</w:t>
      </w:r>
      <w:r>
        <w:rPr>
          <w:lang w:eastAsia="it-CH"/>
        </w:rPr>
        <w:t>2</w:t>
      </w:r>
      <w:r w:rsidRPr="00BA2F62">
        <w:rPr>
          <w:lang w:eastAsia="it-CH"/>
        </w:rPr>
        <w:t>.1</w:t>
      </w:r>
      <w:r w:rsidRPr="00BA2F62">
        <w:rPr>
          <w:lang w:eastAsia="it-CH"/>
        </w:rPr>
        <w:tab/>
        <w:t xml:space="preserve">Costi di acquisizione </w:t>
      </w:r>
    </w:p>
    <w:tbl>
      <w:tblPr>
        <w:tblW w:w="9680" w:type="dxa"/>
        <w:tblInd w:w="55" w:type="dxa"/>
        <w:tblCellMar>
          <w:left w:w="70" w:type="dxa"/>
          <w:right w:w="70" w:type="dxa"/>
        </w:tblCellMar>
        <w:tblLook w:val="04A0" w:firstRow="1" w:lastRow="0" w:firstColumn="1" w:lastColumn="0" w:noHBand="0" w:noVBand="1"/>
      </w:tblPr>
      <w:tblGrid>
        <w:gridCol w:w="1291"/>
        <w:gridCol w:w="6095"/>
        <w:gridCol w:w="593"/>
        <w:gridCol w:w="1701"/>
      </w:tblGrid>
      <w:tr w:rsidR="00B21A9A" w:rsidRPr="00325DD6" w:rsidTr="00B21A9A">
        <w:trPr>
          <w:trHeight w:val="330"/>
        </w:trPr>
        <w:tc>
          <w:tcPr>
            <w:tcW w:w="73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21A9A" w:rsidRPr="00325DD6" w:rsidRDefault="00B21A9A" w:rsidP="00B21A9A">
            <w:pPr>
              <w:rPr>
                <w:rFonts w:cs="Arial"/>
                <w:b/>
                <w:color w:val="000000"/>
                <w:sz w:val="22"/>
                <w:szCs w:val="22"/>
                <w:lang w:val="it-CH" w:eastAsia="it-CH"/>
              </w:rPr>
            </w:pPr>
            <w:r w:rsidRPr="00325DD6">
              <w:rPr>
                <w:rFonts w:cs="Arial"/>
                <w:b/>
                <w:color w:val="000000"/>
                <w:sz w:val="22"/>
                <w:szCs w:val="22"/>
                <w:lang w:val="it-CH" w:eastAsia="it-CH"/>
              </w:rPr>
              <w:t>Descrizione</w:t>
            </w:r>
          </w:p>
        </w:tc>
        <w:tc>
          <w:tcPr>
            <w:tcW w:w="593" w:type="dxa"/>
            <w:tcBorders>
              <w:top w:val="single" w:sz="4" w:space="0" w:color="auto"/>
              <w:left w:val="nil"/>
              <w:bottom w:val="single" w:sz="4" w:space="0" w:color="auto"/>
            </w:tcBorders>
            <w:shd w:val="clear" w:color="auto" w:fill="BFBFBF" w:themeFill="background1" w:themeFillShade="BF"/>
            <w:noWrap/>
            <w:vAlign w:val="center"/>
          </w:tcPr>
          <w:p w:rsidR="00B21A9A" w:rsidRPr="00325DD6" w:rsidRDefault="00B21A9A" w:rsidP="00B21A9A">
            <w:pPr>
              <w:rPr>
                <w:rFonts w:cs="Arial"/>
                <w:b/>
                <w:color w:val="000000"/>
                <w:sz w:val="22"/>
                <w:szCs w:val="22"/>
                <w:lang w:val="it-CH" w:eastAsia="it-CH"/>
              </w:rPr>
            </w:pPr>
          </w:p>
        </w:tc>
        <w:tc>
          <w:tcPr>
            <w:tcW w:w="1701" w:type="dxa"/>
            <w:tcBorders>
              <w:top w:val="single" w:sz="4" w:space="0" w:color="auto"/>
              <w:bottom w:val="single" w:sz="4" w:space="0" w:color="auto"/>
              <w:right w:val="single" w:sz="4" w:space="0" w:color="auto"/>
            </w:tcBorders>
            <w:shd w:val="clear" w:color="auto" w:fill="BFBFBF" w:themeFill="background1" w:themeFillShade="BF"/>
            <w:noWrap/>
            <w:vAlign w:val="center"/>
          </w:tcPr>
          <w:p w:rsidR="00B21A9A" w:rsidRPr="00325DD6" w:rsidRDefault="00B21A9A" w:rsidP="00B21A9A">
            <w:pPr>
              <w:ind w:firstLineChars="100" w:firstLine="220"/>
              <w:jc w:val="right"/>
              <w:rPr>
                <w:rFonts w:cs="Arial"/>
                <w:b/>
                <w:color w:val="000000"/>
                <w:sz w:val="22"/>
                <w:szCs w:val="22"/>
                <w:lang w:val="it-CH" w:eastAsia="it-CH"/>
              </w:rPr>
            </w:pPr>
            <w:r w:rsidRPr="00325DD6">
              <w:rPr>
                <w:rFonts w:cs="Arial"/>
                <w:b/>
                <w:color w:val="000000"/>
                <w:sz w:val="22"/>
                <w:szCs w:val="22"/>
                <w:lang w:val="it-CH" w:eastAsia="it-CH"/>
              </w:rPr>
              <w:t>Importo</w:t>
            </w:r>
          </w:p>
        </w:tc>
      </w:tr>
      <w:tr w:rsidR="00B21A9A" w:rsidRPr="0001431D" w:rsidTr="00B21A9A">
        <w:trPr>
          <w:trHeight w:val="33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A9A" w:rsidRPr="0001431D" w:rsidRDefault="00B21A9A" w:rsidP="00B21A9A">
            <w:pPr>
              <w:rPr>
                <w:rFonts w:cs="Arial"/>
                <w:color w:val="000000"/>
                <w:sz w:val="22"/>
                <w:szCs w:val="22"/>
                <w:lang w:val="it-CH" w:eastAsia="it-CH"/>
              </w:rPr>
            </w:pPr>
            <w:r w:rsidRPr="0001431D">
              <w:rPr>
                <w:rFonts w:cs="Arial"/>
                <w:color w:val="000000"/>
                <w:sz w:val="22"/>
                <w:szCs w:val="22"/>
                <w:lang w:val="it-CH" w:eastAsia="it-CH"/>
              </w:rPr>
              <w:t>A1</w:t>
            </w:r>
          </w:p>
        </w:tc>
        <w:tc>
          <w:tcPr>
            <w:tcW w:w="6095" w:type="dxa"/>
            <w:tcBorders>
              <w:top w:val="single" w:sz="4" w:space="0" w:color="auto"/>
              <w:left w:val="nil"/>
              <w:bottom w:val="single" w:sz="4" w:space="0" w:color="auto"/>
              <w:right w:val="single" w:sz="4" w:space="0" w:color="auto"/>
            </w:tcBorders>
            <w:shd w:val="clear" w:color="auto" w:fill="auto"/>
            <w:noWrap/>
            <w:vAlign w:val="center"/>
          </w:tcPr>
          <w:p w:rsidR="00B21A9A" w:rsidRPr="0001431D" w:rsidRDefault="00B21A9A" w:rsidP="00B21A9A">
            <w:pPr>
              <w:rPr>
                <w:rFonts w:cs="Arial"/>
                <w:color w:val="000000"/>
                <w:sz w:val="22"/>
                <w:szCs w:val="22"/>
                <w:lang w:val="it-CH" w:eastAsia="it-CH"/>
              </w:rPr>
            </w:pPr>
            <w:r w:rsidRPr="0001431D">
              <w:rPr>
                <w:rFonts w:cs="Arial"/>
                <w:color w:val="000000"/>
                <w:sz w:val="22"/>
                <w:szCs w:val="22"/>
                <w:lang w:val="it-CH" w:eastAsia="it-CH"/>
              </w:rPr>
              <w:t>Acquisizione del fondo¹</w:t>
            </w:r>
          </w:p>
        </w:tc>
        <w:tc>
          <w:tcPr>
            <w:tcW w:w="593" w:type="dxa"/>
            <w:tcBorders>
              <w:top w:val="single" w:sz="4" w:space="0" w:color="auto"/>
              <w:left w:val="nil"/>
              <w:bottom w:val="single" w:sz="4" w:space="0" w:color="auto"/>
            </w:tcBorders>
            <w:shd w:val="clear" w:color="auto" w:fill="auto"/>
            <w:noWrap/>
            <w:vAlign w:val="center"/>
          </w:tcPr>
          <w:p w:rsidR="00B21A9A" w:rsidRPr="0001431D" w:rsidRDefault="00B21A9A" w:rsidP="00B21A9A">
            <w:pPr>
              <w:rPr>
                <w:rFonts w:cs="Arial"/>
                <w:color w:val="000000"/>
                <w:sz w:val="22"/>
                <w:szCs w:val="22"/>
                <w:lang w:val="it-CH" w:eastAsia="it-CH"/>
              </w:rPr>
            </w:pPr>
            <w:r w:rsidRPr="0001431D">
              <w:rPr>
                <w:rFonts w:cs="Arial"/>
                <w:color w:val="000000"/>
                <w:sz w:val="22"/>
                <w:szCs w:val="22"/>
                <w:lang w:val="it-CH" w:eastAsia="it-CH"/>
              </w:rPr>
              <w:t>fr.</w:t>
            </w:r>
          </w:p>
        </w:tc>
        <w:tc>
          <w:tcPr>
            <w:tcW w:w="1701" w:type="dxa"/>
            <w:tcBorders>
              <w:top w:val="single" w:sz="4" w:space="0" w:color="auto"/>
              <w:bottom w:val="single" w:sz="4" w:space="0" w:color="auto"/>
              <w:right w:val="single" w:sz="4" w:space="0" w:color="auto"/>
            </w:tcBorders>
            <w:shd w:val="clear" w:color="auto" w:fill="auto"/>
            <w:noWrap/>
            <w:vAlign w:val="center"/>
          </w:tcPr>
          <w:p w:rsidR="00B21A9A" w:rsidRPr="0001431D" w:rsidRDefault="00B21A9A" w:rsidP="00B21A9A">
            <w:pPr>
              <w:ind w:firstLineChars="100" w:firstLine="220"/>
              <w:jc w:val="right"/>
              <w:rPr>
                <w:rFonts w:cs="Arial"/>
                <w:color w:val="000000"/>
                <w:sz w:val="22"/>
                <w:szCs w:val="22"/>
                <w:lang w:val="it-CH" w:eastAsia="it-CH"/>
              </w:rPr>
            </w:pPr>
            <w:r w:rsidRPr="0001431D">
              <w:rPr>
                <w:rFonts w:cs="Arial"/>
                <w:color w:val="000000"/>
                <w:sz w:val="22"/>
                <w:szCs w:val="22"/>
                <w:lang w:val="it-CH" w:eastAsia="it-CH"/>
              </w:rPr>
              <w:t>80'000'000.-</w:t>
            </w:r>
          </w:p>
        </w:tc>
      </w:tr>
      <w:tr w:rsidR="00B21A9A" w:rsidRPr="0001431D" w:rsidTr="00B21A9A">
        <w:trPr>
          <w:trHeight w:val="33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A9A" w:rsidRPr="0001431D" w:rsidRDefault="00B21A9A" w:rsidP="00B21A9A">
            <w:pPr>
              <w:rPr>
                <w:rFonts w:cs="Arial"/>
                <w:color w:val="000000"/>
                <w:sz w:val="22"/>
                <w:szCs w:val="22"/>
                <w:lang w:val="it-CH" w:eastAsia="it-CH"/>
              </w:rPr>
            </w:pPr>
            <w:r w:rsidRPr="0001431D">
              <w:rPr>
                <w:rFonts w:cs="Arial"/>
                <w:color w:val="000000"/>
                <w:sz w:val="22"/>
                <w:szCs w:val="22"/>
                <w:lang w:val="it-CH" w:eastAsia="it-CH"/>
              </w:rPr>
              <w:t>A2</w:t>
            </w:r>
          </w:p>
        </w:tc>
        <w:tc>
          <w:tcPr>
            <w:tcW w:w="6095" w:type="dxa"/>
            <w:tcBorders>
              <w:top w:val="single" w:sz="4" w:space="0" w:color="auto"/>
              <w:left w:val="nil"/>
              <w:bottom w:val="single" w:sz="4" w:space="0" w:color="auto"/>
              <w:right w:val="single" w:sz="4" w:space="0" w:color="auto"/>
            </w:tcBorders>
            <w:shd w:val="clear" w:color="auto" w:fill="auto"/>
            <w:noWrap/>
            <w:vAlign w:val="center"/>
          </w:tcPr>
          <w:p w:rsidR="00B21A9A" w:rsidRPr="0001431D" w:rsidRDefault="00B21A9A" w:rsidP="00B21A9A">
            <w:pPr>
              <w:rPr>
                <w:rFonts w:cs="Arial"/>
                <w:color w:val="000000"/>
                <w:sz w:val="22"/>
                <w:szCs w:val="22"/>
                <w:lang w:val="it-CH" w:eastAsia="it-CH"/>
              </w:rPr>
            </w:pPr>
            <w:r w:rsidRPr="0001431D">
              <w:rPr>
                <w:rFonts w:cs="Arial"/>
                <w:color w:val="000000"/>
                <w:sz w:val="22"/>
                <w:szCs w:val="22"/>
                <w:lang w:val="it-CH" w:eastAsia="it-CH"/>
              </w:rPr>
              <w:t>Spese accessorie per l’acquisizione del fondo</w:t>
            </w:r>
          </w:p>
        </w:tc>
        <w:tc>
          <w:tcPr>
            <w:tcW w:w="593" w:type="dxa"/>
            <w:tcBorders>
              <w:top w:val="single" w:sz="4" w:space="0" w:color="auto"/>
              <w:left w:val="nil"/>
              <w:bottom w:val="single" w:sz="4" w:space="0" w:color="auto"/>
            </w:tcBorders>
            <w:shd w:val="clear" w:color="auto" w:fill="auto"/>
            <w:noWrap/>
            <w:vAlign w:val="center"/>
          </w:tcPr>
          <w:p w:rsidR="00B21A9A" w:rsidRPr="0001431D" w:rsidRDefault="00B21A9A" w:rsidP="00B21A9A">
            <w:pPr>
              <w:rPr>
                <w:rFonts w:cs="Arial"/>
                <w:color w:val="000000"/>
                <w:sz w:val="22"/>
                <w:szCs w:val="22"/>
                <w:lang w:val="it-CH" w:eastAsia="it-CH"/>
              </w:rPr>
            </w:pPr>
            <w:r w:rsidRPr="0001431D">
              <w:rPr>
                <w:rFonts w:cs="Arial"/>
                <w:color w:val="000000"/>
                <w:sz w:val="22"/>
                <w:szCs w:val="22"/>
                <w:lang w:val="it-CH" w:eastAsia="it-CH"/>
              </w:rPr>
              <w:t>fr.</w:t>
            </w:r>
          </w:p>
        </w:tc>
        <w:tc>
          <w:tcPr>
            <w:tcW w:w="1701" w:type="dxa"/>
            <w:tcBorders>
              <w:top w:val="single" w:sz="4" w:space="0" w:color="auto"/>
              <w:bottom w:val="single" w:sz="4" w:space="0" w:color="auto"/>
              <w:right w:val="single" w:sz="4" w:space="0" w:color="auto"/>
            </w:tcBorders>
            <w:shd w:val="clear" w:color="auto" w:fill="auto"/>
            <w:noWrap/>
            <w:vAlign w:val="center"/>
          </w:tcPr>
          <w:p w:rsidR="00B21A9A" w:rsidRPr="0001431D" w:rsidRDefault="00B21A9A" w:rsidP="00B21A9A">
            <w:pPr>
              <w:ind w:firstLineChars="100" w:firstLine="220"/>
              <w:jc w:val="right"/>
              <w:rPr>
                <w:rFonts w:cs="Arial"/>
                <w:color w:val="000000"/>
                <w:sz w:val="22"/>
                <w:szCs w:val="22"/>
                <w:lang w:val="it-CH" w:eastAsia="it-CH"/>
              </w:rPr>
            </w:pPr>
            <w:r w:rsidRPr="0001431D">
              <w:rPr>
                <w:rFonts w:cs="Arial"/>
                <w:color w:val="000000"/>
                <w:sz w:val="22"/>
                <w:szCs w:val="22"/>
                <w:lang w:val="it-CH" w:eastAsia="it-CH"/>
              </w:rPr>
              <w:t>50'000.-</w:t>
            </w:r>
          </w:p>
        </w:tc>
      </w:tr>
      <w:tr w:rsidR="00B21A9A" w:rsidRPr="0001431D" w:rsidTr="00B21A9A">
        <w:trPr>
          <w:trHeight w:val="330"/>
        </w:trPr>
        <w:tc>
          <w:tcPr>
            <w:tcW w:w="73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21A9A" w:rsidRPr="0001431D" w:rsidRDefault="00B21A9A" w:rsidP="00B21A9A">
            <w:pPr>
              <w:rPr>
                <w:rFonts w:cs="Arial"/>
                <w:b/>
                <w:color w:val="000000"/>
                <w:sz w:val="22"/>
                <w:szCs w:val="22"/>
                <w:lang w:val="it-CH" w:eastAsia="it-CH"/>
              </w:rPr>
            </w:pPr>
            <w:r w:rsidRPr="0001431D">
              <w:rPr>
                <w:rFonts w:cs="Arial"/>
                <w:b/>
                <w:color w:val="000000"/>
                <w:sz w:val="22"/>
                <w:szCs w:val="22"/>
                <w:lang w:val="it-CH" w:eastAsia="it-CH"/>
              </w:rPr>
              <w:t xml:space="preserve">Totale </w:t>
            </w:r>
          </w:p>
        </w:tc>
        <w:tc>
          <w:tcPr>
            <w:tcW w:w="593" w:type="dxa"/>
            <w:tcBorders>
              <w:top w:val="single" w:sz="4" w:space="0" w:color="auto"/>
              <w:left w:val="nil"/>
              <w:bottom w:val="single" w:sz="4" w:space="0" w:color="auto"/>
            </w:tcBorders>
            <w:shd w:val="clear" w:color="auto" w:fill="BFBFBF" w:themeFill="background1" w:themeFillShade="BF"/>
            <w:noWrap/>
            <w:vAlign w:val="center"/>
          </w:tcPr>
          <w:p w:rsidR="00B21A9A" w:rsidRPr="0001431D" w:rsidRDefault="00B21A9A" w:rsidP="00B21A9A">
            <w:pPr>
              <w:rPr>
                <w:rFonts w:cs="Arial"/>
                <w:b/>
                <w:color w:val="000000"/>
                <w:sz w:val="22"/>
                <w:szCs w:val="22"/>
                <w:lang w:val="it-CH" w:eastAsia="it-CH"/>
              </w:rPr>
            </w:pPr>
            <w:r w:rsidRPr="0001431D">
              <w:rPr>
                <w:rFonts w:cs="Arial"/>
                <w:b/>
                <w:color w:val="000000"/>
                <w:sz w:val="22"/>
                <w:szCs w:val="22"/>
                <w:lang w:val="it-CH" w:eastAsia="it-CH"/>
              </w:rPr>
              <w:t>fr.</w:t>
            </w:r>
          </w:p>
        </w:tc>
        <w:tc>
          <w:tcPr>
            <w:tcW w:w="1701" w:type="dxa"/>
            <w:tcBorders>
              <w:top w:val="single" w:sz="4" w:space="0" w:color="auto"/>
              <w:bottom w:val="single" w:sz="4" w:space="0" w:color="auto"/>
              <w:right w:val="single" w:sz="4" w:space="0" w:color="auto"/>
            </w:tcBorders>
            <w:shd w:val="clear" w:color="auto" w:fill="BFBFBF" w:themeFill="background1" w:themeFillShade="BF"/>
            <w:noWrap/>
            <w:vAlign w:val="center"/>
          </w:tcPr>
          <w:p w:rsidR="00B21A9A" w:rsidRPr="0001431D" w:rsidRDefault="00B21A9A" w:rsidP="00B21A9A">
            <w:pPr>
              <w:ind w:firstLineChars="100" w:firstLine="220"/>
              <w:jc w:val="right"/>
              <w:rPr>
                <w:rFonts w:cs="Arial"/>
                <w:b/>
                <w:color w:val="000000"/>
                <w:sz w:val="22"/>
                <w:szCs w:val="22"/>
                <w:lang w:val="it-CH" w:eastAsia="it-CH"/>
              </w:rPr>
            </w:pPr>
            <w:r w:rsidRPr="0001431D">
              <w:rPr>
                <w:rFonts w:cs="Arial"/>
                <w:b/>
                <w:color w:val="000000"/>
                <w:sz w:val="22"/>
                <w:szCs w:val="22"/>
                <w:lang w:val="it-CH" w:eastAsia="it-CH"/>
              </w:rPr>
              <w:t>80’050'000.-</w:t>
            </w:r>
          </w:p>
        </w:tc>
      </w:tr>
    </w:tbl>
    <w:p w:rsidR="00B21A9A" w:rsidRPr="00B260F8" w:rsidRDefault="00B21A9A" w:rsidP="00B260F8">
      <w:pPr>
        <w:spacing w:before="100"/>
        <w:ind w:left="142" w:hanging="142"/>
        <w:rPr>
          <w:rFonts w:cs="Arial"/>
          <w:sz w:val="18"/>
          <w:szCs w:val="18"/>
          <w:lang w:val="it-CH" w:eastAsia="it-CH"/>
        </w:rPr>
      </w:pPr>
      <w:r w:rsidRPr="00B260F8">
        <w:rPr>
          <w:rFonts w:cs="Arial"/>
          <w:sz w:val="18"/>
          <w:szCs w:val="18"/>
          <w:lang w:val="it-CH" w:eastAsia="it-CH"/>
        </w:rPr>
        <w:t>¹ Acquisizione di opere fr. 80'000'000.-;</w:t>
      </w:r>
    </w:p>
    <w:p w:rsidR="00A85314" w:rsidRDefault="00A85314" w:rsidP="00A85314">
      <w:pPr>
        <w:rPr>
          <w:lang w:val="it-CH" w:eastAsia="it-CH"/>
        </w:rPr>
      </w:pPr>
    </w:p>
    <w:p w:rsidR="00B21A9A" w:rsidRDefault="00B21A9A" w:rsidP="00B21A9A">
      <w:pPr>
        <w:pStyle w:val="Titolo3"/>
        <w:rPr>
          <w:lang w:val="it-CH" w:eastAsia="it-CH"/>
        </w:rPr>
      </w:pPr>
      <w:r>
        <w:rPr>
          <w:lang w:val="it-CH" w:eastAsia="it-CH"/>
        </w:rPr>
        <w:t>6.2.2</w:t>
      </w:r>
      <w:r>
        <w:rPr>
          <w:lang w:val="it-CH" w:eastAsia="it-CH"/>
        </w:rPr>
        <w:tab/>
      </w:r>
      <w:r w:rsidRPr="00563A0D">
        <w:rPr>
          <w:lang w:val="it-CH" w:eastAsia="it-CH"/>
        </w:rPr>
        <w:t xml:space="preserve">Costi di </w:t>
      </w:r>
      <w:r>
        <w:rPr>
          <w:lang w:val="it-CH" w:eastAsia="it-CH"/>
        </w:rPr>
        <w:t xml:space="preserve">ristrutturazione e </w:t>
      </w:r>
      <w:r w:rsidRPr="00563A0D">
        <w:rPr>
          <w:lang w:val="it-CH" w:eastAsia="it-CH"/>
        </w:rPr>
        <w:t>adeguamento</w:t>
      </w:r>
      <w:r>
        <w:rPr>
          <w:lang w:val="it-CH" w:eastAsia="it-CH"/>
        </w:rPr>
        <w:t xml:space="preserve"> ex Banca del Gottardo</w:t>
      </w:r>
    </w:p>
    <w:p w:rsidR="00B21A9A" w:rsidRDefault="00B21A9A" w:rsidP="00B21A9A">
      <w:pPr>
        <w:rPr>
          <w:lang w:val="it-CH" w:eastAsia="it-CH"/>
        </w:rPr>
      </w:pPr>
      <w:r>
        <w:rPr>
          <w:lang w:val="it-CH" w:eastAsia="it-CH"/>
        </w:rPr>
        <w:t>Nella seguente tabella sono riassunti i costi riguardanti i lavori di ristrutturazione descritti al paragrafo 5.1.4, che consistono in opere edili (sostituzione dei serramenti di facciata; sostituzione del sistema di gestione e regolazione degli impianti; risanamento di alcune lastre di facciata e sostituzione impianto di stoccaggio caldo/freddo), opere di adattamento degli spazi interni alle esigenze dell’utenza, fornitura e posa di arredo e attrezzature d’ufficio e informatica e telefonia. Questi costi saranno assunti a partire dal 2024 al 2027.</w:t>
      </w:r>
    </w:p>
    <w:p w:rsidR="00B21A9A" w:rsidRPr="002904B0" w:rsidRDefault="00B21A9A" w:rsidP="00B21A9A">
      <w:pPr>
        <w:rPr>
          <w:lang w:val="it-CH" w:eastAsia="it-CH"/>
        </w:rPr>
      </w:pPr>
    </w:p>
    <w:tbl>
      <w:tblPr>
        <w:tblW w:w="9654" w:type="dxa"/>
        <w:tblInd w:w="55" w:type="dxa"/>
        <w:tblCellMar>
          <w:left w:w="70" w:type="dxa"/>
          <w:right w:w="70" w:type="dxa"/>
        </w:tblCellMar>
        <w:tblLook w:val="04A0" w:firstRow="1" w:lastRow="0" w:firstColumn="1" w:lastColumn="0" w:noHBand="0" w:noVBand="1"/>
      </w:tblPr>
      <w:tblGrid>
        <w:gridCol w:w="1291"/>
        <w:gridCol w:w="6095"/>
        <w:gridCol w:w="567"/>
        <w:gridCol w:w="1701"/>
      </w:tblGrid>
      <w:tr w:rsidR="00B21A9A" w:rsidRPr="00E038E7" w:rsidTr="00B21A9A">
        <w:trPr>
          <w:trHeight w:val="330"/>
        </w:trPr>
        <w:tc>
          <w:tcPr>
            <w:tcW w:w="73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21A9A" w:rsidRPr="00325DD6" w:rsidRDefault="00B21A9A" w:rsidP="00B21A9A">
            <w:pPr>
              <w:rPr>
                <w:rFonts w:cs="Arial"/>
                <w:b/>
                <w:color w:val="000000"/>
                <w:sz w:val="22"/>
                <w:szCs w:val="22"/>
                <w:lang w:val="it-CH" w:eastAsia="it-CH"/>
              </w:rPr>
            </w:pPr>
            <w:r w:rsidRPr="00325DD6">
              <w:rPr>
                <w:rFonts w:cs="Arial"/>
                <w:b/>
                <w:color w:val="000000"/>
                <w:sz w:val="22"/>
                <w:szCs w:val="22"/>
                <w:lang w:val="it-CH" w:eastAsia="it-CH"/>
              </w:rPr>
              <w:t>Descrizione</w:t>
            </w:r>
          </w:p>
        </w:tc>
        <w:tc>
          <w:tcPr>
            <w:tcW w:w="567" w:type="dxa"/>
            <w:tcBorders>
              <w:top w:val="single" w:sz="4" w:space="0" w:color="auto"/>
              <w:left w:val="nil"/>
              <w:bottom w:val="single" w:sz="4" w:space="0" w:color="auto"/>
            </w:tcBorders>
            <w:shd w:val="clear" w:color="auto" w:fill="BFBFBF" w:themeFill="background1" w:themeFillShade="BF"/>
            <w:noWrap/>
            <w:vAlign w:val="center"/>
          </w:tcPr>
          <w:p w:rsidR="00B21A9A" w:rsidRPr="00325DD6" w:rsidRDefault="00B21A9A" w:rsidP="00B21A9A">
            <w:pPr>
              <w:rPr>
                <w:rFonts w:cs="Arial"/>
                <w:b/>
                <w:color w:val="000000"/>
                <w:sz w:val="22"/>
                <w:szCs w:val="22"/>
                <w:lang w:val="it-CH" w:eastAsia="it-CH"/>
              </w:rPr>
            </w:pPr>
          </w:p>
        </w:tc>
        <w:tc>
          <w:tcPr>
            <w:tcW w:w="1701" w:type="dxa"/>
            <w:tcBorders>
              <w:top w:val="single" w:sz="4" w:space="0" w:color="auto"/>
              <w:bottom w:val="single" w:sz="4" w:space="0" w:color="auto"/>
              <w:right w:val="single" w:sz="4" w:space="0" w:color="auto"/>
            </w:tcBorders>
            <w:shd w:val="clear" w:color="auto" w:fill="BFBFBF" w:themeFill="background1" w:themeFillShade="BF"/>
            <w:noWrap/>
            <w:vAlign w:val="center"/>
          </w:tcPr>
          <w:p w:rsidR="00B21A9A" w:rsidRPr="00325DD6" w:rsidRDefault="00B21A9A" w:rsidP="00B21A9A">
            <w:pPr>
              <w:ind w:firstLineChars="100" w:firstLine="220"/>
              <w:jc w:val="right"/>
              <w:rPr>
                <w:rFonts w:cs="Arial"/>
                <w:b/>
                <w:color w:val="000000"/>
                <w:sz w:val="22"/>
                <w:szCs w:val="22"/>
                <w:lang w:val="it-CH" w:eastAsia="it-CH"/>
              </w:rPr>
            </w:pPr>
            <w:r w:rsidRPr="00325DD6">
              <w:rPr>
                <w:rFonts w:cs="Arial"/>
                <w:b/>
                <w:color w:val="000000"/>
                <w:sz w:val="22"/>
                <w:szCs w:val="22"/>
                <w:lang w:val="it-CH" w:eastAsia="it-CH"/>
              </w:rPr>
              <w:t>Importo</w:t>
            </w:r>
          </w:p>
        </w:tc>
      </w:tr>
      <w:tr w:rsidR="00B21A9A" w:rsidRPr="00E038E7" w:rsidTr="00B21A9A">
        <w:trPr>
          <w:trHeight w:val="33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A9A" w:rsidRPr="00E038E7" w:rsidRDefault="00B21A9A" w:rsidP="00B21A9A">
            <w:pPr>
              <w:rPr>
                <w:rFonts w:cs="Arial"/>
                <w:color w:val="000000"/>
                <w:sz w:val="22"/>
                <w:szCs w:val="22"/>
                <w:lang w:val="it-CH" w:eastAsia="it-CH"/>
              </w:rPr>
            </w:pPr>
            <w:r>
              <w:rPr>
                <w:rFonts w:cs="Arial"/>
                <w:color w:val="000000"/>
                <w:sz w:val="22"/>
                <w:szCs w:val="22"/>
                <w:lang w:val="it-CH" w:eastAsia="it-CH"/>
              </w:rPr>
              <w:t>D, E, F e V</w:t>
            </w:r>
          </w:p>
        </w:tc>
        <w:tc>
          <w:tcPr>
            <w:tcW w:w="6095" w:type="dxa"/>
            <w:tcBorders>
              <w:top w:val="single" w:sz="4" w:space="0" w:color="auto"/>
              <w:left w:val="nil"/>
              <w:bottom w:val="single" w:sz="4" w:space="0" w:color="auto"/>
              <w:right w:val="single" w:sz="4" w:space="0" w:color="auto"/>
            </w:tcBorders>
            <w:shd w:val="clear" w:color="auto" w:fill="auto"/>
            <w:noWrap/>
            <w:vAlign w:val="center"/>
          </w:tcPr>
          <w:p w:rsidR="00B21A9A" w:rsidRPr="00E038E7" w:rsidRDefault="00B21A9A" w:rsidP="00B21A9A">
            <w:pPr>
              <w:rPr>
                <w:rFonts w:cs="Arial"/>
                <w:color w:val="000000"/>
                <w:sz w:val="22"/>
                <w:szCs w:val="22"/>
                <w:lang w:val="it-CH" w:eastAsia="it-CH"/>
              </w:rPr>
            </w:pPr>
            <w:r>
              <w:rPr>
                <w:rFonts w:cs="Arial"/>
                <w:color w:val="000000"/>
                <w:sz w:val="22"/>
                <w:szCs w:val="22"/>
                <w:lang w:val="it-CH" w:eastAsia="it-CH"/>
              </w:rPr>
              <w:t>Impianti tecnici dell’edificio, serramenti</w:t>
            </w:r>
          </w:p>
        </w:tc>
        <w:tc>
          <w:tcPr>
            <w:tcW w:w="567" w:type="dxa"/>
            <w:tcBorders>
              <w:top w:val="single" w:sz="4" w:space="0" w:color="auto"/>
              <w:left w:val="nil"/>
              <w:bottom w:val="single" w:sz="4" w:space="0" w:color="auto"/>
            </w:tcBorders>
            <w:shd w:val="clear" w:color="auto" w:fill="auto"/>
            <w:noWrap/>
            <w:vAlign w:val="center"/>
          </w:tcPr>
          <w:p w:rsidR="00B21A9A" w:rsidRPr="00E038E7" w:rsidRDefault="00B21A9A" w:rsidP="00B21A9A">
            <w:pPr>
              <w:rPr>
                <w:rFonts w:cs="Arial"/>
                <w:color w:val="000000"/>
                <w:sz w:val="22"/>
                <w:szCs w:val="22"/>
                <w:lang w:val="it-CH" w:eastAsia="it-CH"/>
              </w:rPr>
            </w:pPr>
            <w:r>
              <w:rPr>
                <w:rFonts w:cs="Arial"/>
                <w:color w:val="000000"/>
                <w:sz w:val="22"/>
                <w:szCs w:val="22"/>
                <w:lang w:val="it-CH" w:eastAsia="it-CH"/>
              </w:rPr>
              <w:t>fr.</w:t>
            </w:r>
          </w:p>
        </w:tc>
        <w:tc>
          <w:tcPr>
            <w:tcW w:w="1701" w:type="dxa"/>
            <w:tcBorders>
              <w:top w:val="single" w:sz="4" w:space="0" w:color="auto"/>
              <w:bottom w:val="single" w:sz="4" w:space="0" w:color="auto"/>
              <w:right w:val="single" w:sz="4" w:space="0" w:color="auto"/>
            </w:tcBorders>
            <w:shd w:val="clear" w:color="auto" w:fill="auto"/>
            <w:noWrap/>
            <w:vAlign w:val="center"/>
          </w:tcPr>
          <w:p w:rsidR="00B21A9A" w:rsidRPr="00E038E7" w:rsidRDefault="00B21A9A" w:rsidP="00B21A9A">
            <w:pPr>
              <w:ind w:firstLineChars="100" w:firstLine="220"/>
              <w:jc w:val="right"/>
              <w:rPr>
                <w:rFonts w:cs="Arial"/>
                <w:color w:val="000000"/>
                <w:sz w:val="22"/>
                <w:szCs w:val="22"/>
                <w:lang w:val="it-CH" w:eastAsia="it-CH"/>
              </w:rPr>
            </w:pPr>
            <w:r w:rsidDel="00AF57D6">
              <w:rPr>
                <w:rFonts w:cs="Arial"/>
                <w:color w:val="000000"/>
                <w:sz w:val="22"/>
                <w:szCs w:val="22"/>
                <w:lang w:val="it-CH" w:eastAsia="it-CH"/>
              </w:rPr>
              <w:t xml:space="preserve"> </w:t>
            </w:r>
            <w:r>
              <w:rPr>
                <w:rFonts w:cs="Arial"/>
                <w:color w:val="000000"/>
                <w:sz w:val="22"/>
                <w:szCs w:val="22"/>
                <w:lang w:val="it-CH" w:eastAsia="it-CH"/>
              </w:rPr>
              <w:t>33'800'000.-¹</w:t>
            </w:r>
          </w:p>
        </w:tc>
      </w:tr>
      <w:tr w:rsidR="00B21A9A" w:rsidRPr="00E038E7" w:rsidTr="00B21A9A">
        <w:trPr>
          <w:trHeight w:val="33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A9A" w:rsidRPr="00E038E7" w:rsidRDefault="00B21A9A" w:rsidP="00B21A9A">
            <w:pPr>
              <w:rPr>
                <w:rFonts w:cs="Arial"/>
                <w:color w:val="000000"/>
                <w:sz w:val="22"/>
                <w:szCs w:val="22"/>
                <w:lang w:val="it-CH" w:eastAsia="it-CH"/>
              </w:rPr>
            </w:pPr>
            <w:r>
              <w:rPr>
                <w:rFonts w:cs="Arial"/>
                <w:color w:val="000000"/>
                <w:sz w:val="22"/>
                <w:szCs w:val="22"/>
                <w:lang w:val="it-CH" w:eastAsia="it-CH"/>
              </w:rPr>
              <w:t>D, G e V</w:t>
            </w:r>
          </w:p>
        </w:tc>
        <w:tc>
          <w:tcPr>
            <w:tcW w:w="6095" w:type="dxa"/>
            <w:tcBorders>
              <w:top w:val="single" w:sz="4" w:space="0" w:color="auto"/>
              <w:left w:val="nil"/>
              <w:bottom w:val="single" w:sz="4" w:space="0" w:color="auto"/>
              <w:right w:val="single" w:sz="4" w:space="0" w:color="auto"/>
            </w:tcBorders>
            <w:shd w:val="clear" w:color="auto" w:fill="auto"/>
            <w:noWrap/>
            <w:vAlign w:val="center"/>
          </w:tcPr>
          <w:p w:rsidR="00B21A9A" w:rsidRPr="00E038E7" w:rsidRDefault="00B21A9A" w:rsidP="00B21A9A">
            <w:pPr>
              <w:rPr>
                <w:rFonts w:cs="Arial"/>
                <w:color w:val="000000"/>
                <w:sz w:val="22"/>
                <w:szCs w:val="22"/>
                <w:lang w:val="it-CH" w:eastAsia="it-CH"/>
              </w:rPr>
            </w:pPr>
            <w:r>
              <w:rPr>
                <w:rFonts w:cs="Arial"/>
                <w:color w:val="000000"/>
                <w:sz w:val="22"/>
                <w:szCs w:val="22"/>
                <w:lang w:val="it-CH" w:eastAsia="it-CH"/>
              </w:rPr>
              <w:t>Adeguamento interno – murature, impianti, finiture</w:t>
            </w:r>
            <w:r w:rsidRPr="00E038E7">
              <w:rPr>
                <w:rFonts w:cs="Arial"/>
                <w:color w:val="000000"/>
                <w:sz w:val="22"/>
                <w:szCs w:val="22"/>
                <w:lang w:val="it-CH" w:eastAsia="it-CH"/>
              </w:rPr>
              <w:t xml:space="preserve"> </w:t>
            </w:r>
          </w:p>
        </w:tc>
        <w:tc>
          <w:tcPr>
            <w:tcW w:w="567" w:type="dxa"/>
            <w:tcBorders>
              <w:top w:val="single" w:sz="4" w:space="0" w:color="auto"/>
              <w:left w:val="nil"/>
              <w:bottom w:val="single" w:sz="4" w:space="0" w:color="auto"/>
            </w:tcBorders>
            <w:shd w:val="clear" w:color="auto" w:fill="auto"/>
            <w:noWrap/>
            <w:vAlign w:val="center"/>
          </w:tcPr>
          <w:p w:rsidR="00B21A9A" w:rsidRPr="00E038E7" w:rsidRDefault="00B21A9A" w:rsidP="00B21A9A">
            <w:pPr>
              <w:rPr>
                <w:rFonts w:cs="Arial"/>
                <w:color w:val="000000"/>
                <w:sz w:val="22"/>
                <w:szCs w:val="22"/>
                <w:lang w:val="it-CH" w:eastAsia="it-CH"/>
              </w:rPr>
            </w:pPr>
            <w:r>
              <w:rPr>
                <w:rFonts w:cs="Arial"/>
                <w:color w:val="000000"/>
                <w:sz w:val="22"/>
                <w:szCs w:val="22"/>
                <w:lang w:val="it-CH" w:eastAsia="it-CH"/>
              </w:rPr>
              <w:t>fr.</w:t>
            </w:r>
          </w:p>
        </w:tc>
        <w:tc>
          <w:tcPr>
            <w:tcW w:w="1701" w:type="dxa"/>
            <w:tcBorders>
              <w:top w:val="single" w:sz="4" w:space="0" w:color="auto"/>
              <w:bottom w:val="single" w:sz="4" w:space="0" w:color="auto"/>
              <w:right w:val="single" w:sz="4" w:space="0" w:color="auto"/>
            </w:tcBorders>
            <w:shd w:val="clear" w:color="auto" w:fill="auto"/>
            <w:noWrap/>
            <w:vAlign w:val="center"/>
          </w:tcPr>
          <w:p w:rsidR="00B21A9A" w:rsidRPr="00E038E7" w:rsidRDefault="00B21A9A" w:rsidP="00B21A9A">
            <w:pPr>
              <w:ind w:firstLineChars="100" w:firstLine="220"/>
              <w:jc w:val="right"/>
              <w:rPr>
                <w:rFonts w:cs="Arial"/>
                <w:color w:val="000000"/>
                <w:sz w:val="22"/>
                <w:szCs w:val="22"/>
                <w:lang w:val="it-CH" w:eastAsia="it-CH"/>
              </w:rPr>
            </w:pPr>
            <w:r>
              <w:rPr>
                <w:rFonts w:cs="Arial"/>
                <w:color w:val="000000"/>
                <w:sz w:val="22"/>
                <w:szCs w:val="22"/>
                <w:lang w:val="it-CH" w:eastAsia="it-CH"/>
              </w:rPr>
              <w:t>15’000'000.-²</w:t>
            </w:r>
          </w:p>
        </w:tc>
      </w:tr>
      <w:tr w:rsidR="00B21A9A" w:rsidRPr="00E038E7" w:rsidTr="00B21A9A">
        <w:trPr>
          <w:trHeight w:val="33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A9A" w:rsidRPr="00E038E7" w:rsidRDefault="00B21A9A" w:rsidP="00B21A9A">
            <w:pPr>
              <w:rPr>
                <w:rFonts w:cs="Arial"/>
                <w:color w:val="000000"/>
                <w:sz w:val="22"/>
                <w:szCs w:val="22"/>
                <w:lang w:val="it-CH" w:eastAsia="it-CH"/>
              </w:rPr>
            </w:pPr>
            <w:r>
              <w:rPr>
                <w:rFonts w:cs="Arial"/>
                <w:color w:val="000000"/>
                <w:sz w:val="22"/>
                <w:szCs w:val="22"/>
                <w:lang w:val="it-CH" w:eastAsia="it-CH"/>
              </w:rPr>
              <w:t>SL</w:t>
            </w:r>
          </w:p>
        </w:tc>
        <w:tc>
          <w:tcPr>
            <w:tcW w:w="6095" w:type="dxa"/>
            <w:tcBorders>
              <w:top w:val="single" w:sz="4" w:space="0" w:color="auto"/>
              <w:left w:val="nil"/>
              <w:bottom w:val="single" w:sz="4" w:space="0" w:color="auto"/>
              <w:right w:val="single" w:sz="4" w:space="0" w:color="auto"/>
            </w:tcBorders>
            <w:shd w:val="clear" w:color="auto" w:fill="auto"/>
            <w:noWrap/>
            <w:vAlign w:val="center"/>
          </w:tcPr>
          <w:p w:rsidR="00B21A9A" w:rsidRPr="00E038E7" w:rsidRDefault="00B21A9A" w:rsidP="00B21A9A">
            <w:pPr>
              <w:rPr>
                <w:rFonts w:cs="Arial"/>
                <w:color w:val="000000"/>
                <w:sz w:val="22"/>
                <w:szCs w:val="22"/>
                <w:lang w:val="it-CH" w:eastAsia="it-CH"/>
              </w:rPr>
            </w:pPr>
            <w:r>
              <w:rPr>
                <w:rFonts w:cs="Arial"/>
                <w:color w:val="000000"/>
                <w:sz w:val="22"/>
                <w:szCs w:val="22"/>
                <w:lang w:val="it-CH" w:eastAsia="it-CH"/>
              </w:rPr>
              <w:t>Accessi, Arredamento, CEAP, Segnaletica e Trasporti</w:t>
            </w:r>
            <w:r w:rsidRPr="00E038E7">
              <w:rPr>
                <w:rFonts w:cs="Arial"/>
                <w:color w:val="000000"/>
                <w:sz w:val="22"/>
                <w:szCs w:val="22"/>
                <w:lang w:val="it-CH" w:eastAsia="it-CH"/>
              </w:rPr>
              <w:t xml:space="preserve"> </w:t>
            </w:r>
          </w:p>
        </w:tc>
        <w:tc>
          <w:tcPr>
            <w:tcW w:w="567" w:type="dxa"/>
            <w:tcBorders>
              <w:top w:val="single" w:sz="4" w:space="0" w:color="auto"/>
              <w:left w:val="nil"/>
              <w:bottom w:val="single" w:sz="4" w:space="0" w:color="auto"/>
            </w:tcBorders>
            <w:shd w:val="clear" w:color="auto" w:fill="auto"/>
            <w:noWrap/>
            <w:vAlign w:val="center"/>
          </w:tcPr>
          <w:p w:rsidR="00B21A9A" w:rsidRPr="00E038E7" w:rsidRDefault="00B21A9A" w:rsidP="00B21A9A">
            <w:pPr>
              <w:rPr>
                <w:rFonts w:cs="Arial"/>
                <w:color w:val="000000"/>
                <w:sz w:val="22"/>
                <w:szCs w:val="22"/>
                <w:lang w:val="it-CH" w:eastAsia="it-CH"/>
              </w:rPr>
            </w:pPr>
            <w:r>
              <w:rPr>
                <w:rFonts w:cs="Arial"/>
                <w:color w:val="000000"/>
                <w:sz w:val="22"/>
                <w:szCs w:val="22"/>
                <w:lang w:val="it-CH" w:eastAsia="it-CH"/>
              </w:rPr>
              <w:t>fr.</w:t>
            </w:r>
          </w:p>
        </w:tc>
        <w:tc>
          <w:tcPr>
            <w:tcW w:w="1701" w:type="dxa"/>
            <w:tcBorders>
              <w:top w:val="single" w:sz="4" w:space="0" w:color="auto"/>
              <w:bottom w:val="single" w:sz="4" w:space="0" w:color="auto"/>
              <w:right w:val="single" w:sz="4" w:space="0" w:color="auto"/>
            </w:tcBorders>
            <w:shd w:val="clear" w:color="auto" w:fill="auto"/>
            <w:noWrap/>
            <w:vAlign w:val="center"/>
          </w:tcPr>
          <w:p w:rsidR="00B21A9A" w:rsidRPr="00E038E7" w:rsidRDefault="00B21A9A" w:rsidP="00B21A9A">
            <w:pPr>
              <w:ind w:firstLineChars="100" w:firstLine="220"/>
              <w:jc w:val="right"/>
              <w:rPr>
                <w:rFonts w:cs="Arial"/>
                <w:color w:val="000000"/>
                <w:sz w:val="22"/>
                <w:szCs w:val="22"/>
                <w:lang w:val="it-CH" w:eastAsia="it-CH"/>
              </w:rPr>
            </w:pPr>
            <w:r>
              <w:rPr>
                <w:rFonts w:cs="Arial"/>
                <w:color w:val="000000"/>
                <w:sz w:val="22"/>
                <w:szCs w:val="22"/>
                <w:lang w:val="it-CH" w:eastAsia="it-CH"/>
              </w:rPr>
              <w:t>5'600'000.-³</w:t>
            </w:r>
          </w:p>
        </w:tc>
      </w:tr>
      <w:tr w:rsidR="00B21A9A" w:rsidRPr="00E038E7" w:rsidTr="00B21A9A">
        <w:trPr>
          <w:trHeight w:val="33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A9A" w:rsidRPr="00E038E7" w:rsidRDefault="00B21A9A" w:rsidP="00B21A9A">
            <w:pPr>
              <w:jc w:val="left"/>
              <w:rPr>
                <w:rFonts w:cs="Arial"/>
                <w:color w:val="000000"/>
                <w:sz w:val="22"/>
                <w:szCs w:val="22"/>
                <w:lang w:val="it-CH" w:eastAsia="it-CH"/>
              </w:rPr>
            </w:pPr>
            <w:r w:rsidRPr="00E038E7">
              <w:rPr>
                <w:rFonts w:cs="Arial"/>
                <w:color w:val="000000"/>
                <w:sz w:val="22"/>
                <w:szCs w:val="22"/>
                <w:lang w:val="it-CH" w:eastAsia="it-CH"/>
              </w:rPr>
              <w:t>CSI</w:t>
            </w:r>
          </w:p>
        </w:tc>
        <w:tc>
          <w:tcPr>
            <w:tcW w:w="6095" w:type="dxa"/>
            <w:tcBorders>
              <w:top w:val="single" w:sz="4" w:space="0" w:color="auto"/>
              <w:left w:val="nil"/>
              <w:bottom w:val="single" w:sz="4" w:space="0" w:color="auto"/>
              <w:right w:val="single" w:sz="4" w:space="0" w:color="auto"/>
            </w:tcBorders>
            <w:shd w:val="clear" w:color="auto" w:fill="auto"/>
            <w:noWrap/>
            <w:vAlign w:val="center"/>
          </w:tcPr>
          <w:p w:rsidR="00B21A9A" w:rsidRPr="00E038E7" w:rsidRDefault="00B21A9A" w:rsidP="00B21A9A">
            <w:pPr>
              <w:rPr>
                <w:rFonts w:cs="Arial"/>
                <w:color w:val="000000"/>
                <w:sz w:val="22"/>
                <w:szCs w:val="22"/>
                <w:lang w:val="it-CH" w:eastAsia="it-CH"/>
              </w:rPr>
            </w:pPr>
            <w:r w:rsidRPr="00E038E7">
              <w:rPr>
                <w:rFonts w:cs="Arial"/>
                <w:color w:val="000000"/>
                <w:sz w:val="22"/>
                <w:szCs w:val="22"/>
                <w:lang w:val="it-CH" w:eastAsia="it-CH"/>
              </w:rPr>
              <w:t>Impianto di cablaggio, chiavi e UPS</w:t>
            </w:r>
          </w:p>
          <w:p w:rsidR="00B21A9A" w:rsidRPr="00E038E7" w:rsidRDefault="00B21A9A" w:rsidP="00B21A9A">
            <w:pPr>
              <w:rPr>
                <w:rFonts w:cs="Arial"/>
                <w:color w:val="000000"/>
                <w:sz w:val="22"/>
                <w:szCs w:val="22"/>
                <w:lang w:val="it-CH" w:eastAsia="it-CH"/>
              </w:rPr>
            </w:pPr>
            <w:r w:rsidRPr="00E038E7">
              <w:rPr>
                <w:rFonts w:cs="Arial"/>
                <w:color w:val="000000"/>
                <w:sz w:val="22"/>
                <w:szCs w:val="22"/>
                <w:lang w:val="it-CH" w:eastAsia="it-CH"/>
              </w:rPr>
              <w:t>Parti attive e collegamenti di rete</w:t>
            </w:r>
          </w:p>
          <w:p w:rsidR="00B21A9A" w:rsidRPr="00E038E7" w:rsidRDefault="00B21A9A" w:rsidP="00B21A9A">
            <w:pPr>
              <w:rPr>
                <w:rFonts w:cs="Arial"/>
                <w:color w:val="000000"/>
                <w:sz w:val="22"/>
                <w:szCs w:val="22"/>
                <w:lang w:val="it-CH" w:eastAsia="it-CH"/>
              </w:rPr>
            </w:pPr>
            <w:r w:rsidRPr="00E038E7">
              <w:rPr>
                <w:rFonts w:cs="Arial"/>
                <w:color w:val="000000"/>
                <w:sz w:val="22"/>
                <w:szCs w:val="22"/>
                <w:lang w:val="it-CH" w:eastAsia="it-CH"/>
              </w:rPr>
              <w:t>Telefonia, trasloco e attivazioni</w:t>
            </w:r>
          </w:p>
          <w:p w:rsidR="00B21A9A" w:rsidRPr="00E038E7" w:rsidRDefault="00B21A9A" w:rsidP="00B21A9A">
            <w:pPr>
              <w:rPr>
                <w:rFonts w:cs="Arial"/>
                <w:color w:val="000000"/>
                <w:sz w:val="22"/>
                <w:szCs w:val="22"/>
                <w:lang w:val="it-CH" w:eastAsia="it-CH"/>
              </w:rPr>
            </w:pPr>
            <w:r w:rsidRPr="00E038E7">
              <w:rPr>
                <w:rFonts w:cs="Arial"/>
                <w:color w:val="000000"/>
                <w:sz w:val="22"/>
                <w:szCs w:val="22"/>
                <w:lang w:val="it-CH" w:eastAsia="it-CH"/>
              </w:rPr>
              <w:t>Informatica, postazioni PC e stampanti</w:t>
            </w:r>
          </w:p>
        </w:tc>
        <w:tc>
          <w:tcPr>
            <w:tcW w:w="567" w:type="dxa"/>
            <w:tcBorders>
              <w:top w:val="single" w:sz="4" w:space="0" w:color="auto"/>
              <w:left w:val="nil"/>
              <w:bottom w:val="single" w:sz="4" w:space="0" w:color="auto"/>
            </w:tcBorders>
            <w:shd w:val="clear" w:color="auto" w:fill="auto"/>
            <w:noWrap/>
            <w:vAlign w:val="center"/>
          </w:tcPr>
          <w:p w:rsidR="00B21A9A" w:rsidRPr="00E038E7" w:rsidRDefault="00B21A9A" w:rsidP="00B21A9A">
            <w:pPr>
              <w:rPr>
                <w:rFonts w:cs="Arial"/>
                <w:color w:val="000000"/>
                <w:sz w:val="22"/>
                <w:szCs w:val="22"/>
                <w:lang w:val="it-CH" w:eastAsia="it-CH"/>
              </w:rPr>
            </w:pPr>
            <w:r>
              <w:rPr>
                <w:rFonts w:cs="Arial"/>
                <w:color w:val="000000"/>
                <w:sz w:val="22"/>
                <w:szCs w:val="22"/>
                <w:lang w:val="it-CH" w:eastAsia="it-CH"/>
              </w:rPr>
              <w:t>fr.</w:t>
            </w:r>
          </w:p>
        </w:tc>
        <w:tc>
          <w:tcPr>
            <w:tcW w:w="1701" w:type="dxa"/>
            <w:tcBorders>
              <w:top w:val="single" w:sz="4" w:space="0" w:color="auto"/>
              <w:bottom w:val="single" w:sz="4" w:space="0" w:color="auto"/>
              <w:right w:val="single" w:sz="4" w:space="0" w:color="auto"/>
            </w:tcBorders>
            <w:shd w:val="clear" w:color="auto" w:fill="auto"/>
            <w:noWrap/>
            <w:vAlign w:val="center"/>
          </w:tcPr>
          <w:p w:rsidR="00B21A9A" w:rsidRPr="00E038E7" w:rsidRDefault="00B21A9A" w:rsidP="00B21A9A">
            <w:pPr>
              <w:ind w:firstLineChars="100" w:firstLine="220"/>
              <w:jc w:val="right"/>
              <w:rPr>
                <w:rFonts w:cs="Arial"/>
                <w:color w:val="000000"/>
                <w:sz w:val="22"/>
                <w:szCs w:val="22"/>
                <w:lang w:val="it-CH" w:eastAsia="it-CH"/>
              </w:rPr>
            </w:pPr>
            <w:r>
              <w:rPr>
                <w:rFonts w:cs="Arial"/>
                <w:color w:val="000000"/>
                <w:sz w:val="22"/>
                <w:szCs w:val="22"/>
                <w:lang w:val="it-CH" w:eastAsia="it-CH"/>
              </w:rPr>
              <w:t>1'500'000.-³</w:t>
            </w:r>
          </w:p>
        </w:tc>
      </w:tr>
      <w:tr w:rsidR="00B21A9A" w:rsidRPr="00E038E7" w:rsidTr="00B21A9A">
        <w:trPr>
          <w:trHeight w:val="330"/>
        </w:trPr>
        <w:tc>
          <w:tcPr>
            <w:tcW w:w="73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21A9A" w:rsidRPr="00325DD6" w:rsidRDefault="00B21A9A" w:rsidP="00B21A9A">
            <w:pPr>
              <w:rPr>
                <w:rFonts w:cs="Arial"/>
                <w:b/>
                <w:color w:val="000000"/>
                <w:sz w:val="22"/>
                <w:szCs w:val="22"/>
                <w:lang w:val="it-CH" w:eastAsia="it-CH"/>
              </w:rPr>
            </w:pPr>
            <w:r w:rsidRPr="00325DD6">
              <w:rPr>
                <w:rFonts w:cs="Arial"/>
                <w:b/>
                <w:color w:val="000000"/>
                <w:sz w:val="22"/>
                <w:szCs w:val="22"/>
                <w:lang w:val="it-CH" w:eastAsia="it-CH"/>
              </w:rPr>
              <w:t>Totale (IVA inclusa) ±25%</w:t>
            </w:r>
          </w:p>
        </w:tc>
        <w:tc>
          <w:tcPr>
            <w:tcW w:w="567" w:type="dxa"/>
            <w:tcBorders>
              <w:top w:val="single" w:sz="4" w:space="0" w:color="auto"/>
              <w:left w:val="nil"/>
              <w:bottom w:val="single" w:sz="4" w:space="0" w:color="auto"/>
            </w:tcBorders>
            <w:shd w:val="clear" w:color="auto" w:fill="BFBFBF" w:themeFill="background1" w:themeFillShade="BF"/>
            <w:noWrap/>
            <w:vAlign w:val="center"/>
            <w:hideMark/>
          </w:tcPr>
          <w:p w:rsidR="00B21A9A" w:rsidRPr="00325DD6" w:rsidRDefault="00B21A9A" w:rsidP="00B21A9A">
            <w:pPr>
              <w:rPr>
                <w:rFonts w:cs="Arial"/>
                <w:b/>
                <w:color w:val="000000"/>
                <w:sz w:val="22"/>
                <w:szCs w:val="22"/>
                <w:lang w:val="it-CH" w:eastAsia="it-CH"/>
              </w:rPr>
            </w:pPr>
            <w:r w:rsidRPr="00325DD6">
              <w:rPr>
                <w:rFonts w:cs="Arial"/>
                <w:b/>
                <w:color w:val="000000"/>
                <w:sz w:val="22"/>
                <w:szCs w:val="22"/>
                <w:lang w:val="it-CH" w:eastAsia="it-CH"/>
              </w:rPr>
              <w:t>fr.</w:t>
            </w:r>
          </w:p>
        </w:tc>
        <w:tc>
          <w:tcPr>
            <w:tcW w:w="1701" w:type="dxa"/>
            <w:tcBorders>
              <w:top w:val="single" w:sz="4" w:space="0" w:color="auto"/>
              <w:bottom w:val="single" w:sz="4" w:space="0" w:color="auto"/>
              <w:right w:val="single" w:sz="4" w:space="0" w:color="auto"/>
            </w:tcBorders>
            <w:shd w:val="clear" w:color="auto" w:fill="BFBFBF" w:themeFill="background1" w:themeFillShade="BF"/>
            <w:noWrap/>
            <w:vAlign w:val="center"/>
          </w:tcPr>
          <w:p w:rsidR="00B21A9A" w:rsidRPr="00325DD6" w:rsidRDefault="00B21A9A" w:rsidP="00B21A9A">
            <w:pPr>
              <w:ind w:firstLineChars="100" w:firstLine="220"/>
              <w:jc w:val="right"/>
              <w:rPr>
                <w:rFonts w:cs="Arial"/>
                <w:b/>
                <w:color w:val="000000"/>
                <w:sz w:val="22"/>
                <w:szCs w:val="22"/>
                <w:lang w:val="it-CH" w:eastAsia="it-CH"/>
              </w:rPr>
            </w:pPr>
            <w:r>
              <w:rPr>
                <w:rFonts w:cs="Arial"/>
                <w:b/>
                <w:color w:val="000000"/>
                <w:sz w:val="22"/>
                <w:szCs w:val="22"/>
                <w:lang w:val="it-CH" w:eastAsia="it-CH"/>
              </w:rPr>
              <w:t>55'900'000.-</w:t>
            </w:r>
          </w:p>
        </w:tc>
      </w:tr>
    </w:tbl>
    <w:p w:rsidR="00B21A9A" w:rsidRPr="00C762D1" w:rsidRDefault="00B21A9A" w:rsidP="00B260F8">
      <w:pPr>
        <w:spacing w:before="100"/>
        <w:ind w:left="142" w:hanging="142"/>
        <w:rPr>
          <w:rFonts w:cs="Arial"/>
          <w:sz w:val="18"/>
          <w:szCs w:val="18"/>
          <w:lang w:val="it-CH" w:eastAsia="it-CH"/>
        </w:rPr>
      </w:pPr>
      <w:r w:rsidRPr="00C762D1">
        <w:rPr>
          <w:rFonts w:cs="Arial"/>
          <w:sz w:val="18"/>
          <w:szCs w:val="18"/>
          <w:lang w:val="it-CH" w:eastAsia="it-CH"/>
        </w:rPr>
        <w:t>¹ Stima W</w:t>
      </w:r>
      <w:r>
        <w:rPr>
          <w:rFonts w:cs="Arial"/>
          <w:sz w:val="18"/>
          <w:szCs w:val="18"/>
          <w:lang w:val="it-CH" w:eastAsia="it-CH"/>
        </w:rPr>
        <w:t>üe</w:t>
      </w:r>
      <w:r w:rsidRPr="00C762D1">
        <w:rPr>
          <w:rFonts w:cs="Arial"/>
          <w:sz w:val="18"/>
          <w:szCs w:val="18"/>
          <w:lang w:val="it-CH" w:eastAsia="it-CH"/>
        </w:rPr>
        <w:t xml:space="preserve">st Partners SA incluso onorari </w:t>
      </w:r>
      <w:r>
        <w:rPr>
          <w:rFonts w:cs="Arial"/>
          <w:sz w:val="18"/>
          <w:szCs w:val="18"/>
          <w:lang w:val="it-CH" w:eastAsia="it-CH"/>
        </w:rPr>
        <w:t>(18</w:t>
      </w:r>
      <w:r w:rsidRPr="00C762D1">
        <w:rPr>
          <w:rFonts w:cs="Arial"/>
          <w:sz w:val="18"/>
          <w:szCs w:val="18"/>
          <w:lang w:val="it-CH" w:eastAsia="it-CH"/>
        </w:rPr>
        <w:t>%)</w:t>
      </w:r>
    </w:p>
    <w:p w:rsidR="00B21A9A" w:rsidRPr="00F43D53" w:rsidRDefault="00B21A9A" w:rsidP="00B21A9A">
      <w:pPr>
        <w:ind w:left="142" w:hanging="142"/>
        <w:rPr>
          <w:rFonts w:cs="Arial"/>
          <w:sz w:val="18"/>
          <w:szCs w:val="18"/>
          <w:lang w:val="it-CH" w:eastAsia="it-CH"/>
        </w:rPr>
      </w:pPr>
      <w:r w:rsidRPr="00C762D1">
        <w:rPr>
          <w:rFonts w:cs="Arial"/>
          <w:sz w:val="18"/>
          <w:szCs w:val="18"/>
          <w:lang w:val="it-CH" w:eastAsia="it-CH"/>
        </w:rPr>
        <w:t>²</w:t>
      </w:r>
      <w:r w:rsidRPr="00EA1454">
        <w:rPr>
          <w:rFonts w:cs="Arial"/>
          <w:sz w:val="18"/>
          <w:szCs w:val="18"/>
          <w:lang w:val="it-CH" w:eastAsia="it-CH"/>
        </w:rPr>
        <w:t xml:space="preserve"> Stima </w:t>
      </w:r>
      <w:r>
        <w:rPr>
          <w:rFonts w:cs="Arial"/>
          <w:sz w:val="18"/>
          <w:szCs w:val="18"/>
          <w:lang w:val="it-CH" w:eastAsia="it-CH"/>
        </w:rPr>
        <w:t>studio Mario Botta</w:t>
      </w:r>
      <w:r w:rsidRPr="00EA1454">
        <w:rPr>
          <w:rFonts w:cs="Arial"/>
          <w:sz w:val="18"/>
          <w:szCs w:val="18"/>
          <w:lang w:val="it-CH" w:eastAsia="it-CH"/>
        </w:rPr>
        <w:t xml:space="preserve"> Architetti – ottobre 2017</w:t>
      </w:r>
      <w:r>
        <w:rPr>
          <w:rFonts w:cs="Arial"/>
          <w:sz w:val="18"/>
          <w:szCs w:val="18"/>
          <w:lang w:val="it-CH" w:eastAsia="it-CH"/>
        </w:rPr>
        <w:t xml:space="preserve"> – e conseguenti integrazioni (doppia aula penale)</w:t>
      </w:r>
    </w:p>
    <w:p w:rsidR="00B21A9A" w:rsidRPr="00C762D1" w:rsidRDefault="00B21A9A" w:rsidP="00B21A9A">
      <w:pPr>
        <w:ind w:left="142" w:hanging="142"/>
        <w:rPr>
          <w:rFonts w:cs="Arial"/>
          <w:sz w:val="18"/>
          <w:szCs w:val="18"/>
          <w:lang w:val="it-CH" w:eastAsia="it-CH"/>
        </w:rPr>
      </w:pPr>
      <w:r w:rsidRPr="00C762D1">
        <w:rPr>
          <w:rFonts w:cs="Arial"/>
          <w:sz w:val="18"/>
          <w:szCs w:val="18"/>
          <w:lang w:val="it-CH" w:eastAsia="it-CH"/>
        </w:rPr>
        <w:t>³</w:t>
      </w:r>
      <w:r>
        <w:rPr>
          <w:rFonts w:cs="Arial"/>
          <w:sz w:val="18"/>
          <w:szCs w:val="18"/>
          <w:lang w:val="it-CH" w:eastAsia="it-CH"/>
        </w:rPr>
        <w:t xml:space="preserve"> </w:t>
      </w:r>
      <w:r w:rsidRPr="00C762D1">
        <w:rPr>
          <w:rFonts w:cs="Arial"/>
          <w:sz w:val="18"/>
          <w:szCs w:val="18"/>
          <w:lang w:val="it-CH" w:eastAsia="it-CH"/>
        </w:rPr>
        <w:t>Volume di costo indicativo ±25% ripreso dal progetto Sant’Anna e utilizzato quale base di riferimento</w:t>
      </w:r>
    </w:p>
    <w:p w:rsidR="00B21A9A" w:rsidRDefault="00B21A9A" w:rsidP="00B21A9A">
      <w:pPr>
        <w:rPr>
          <w:rFonts w:cs="Arial"/>
          <w:color w:val="000000" w:themeColor="text1"/>
          <w:szCs w:val="24"/>
          <w:lang w:val="it-CH" w:eastAsia="it-CH"/>
        </w:rPr>
      </w:pPr>
    </w:p>
    <w:p w:rsidR="00A85314" w:rsidRPr="00BC2021" w:rsidRDefault="00A85314" w:rsidP="00B21A9A">
      <w:pPr>
        <w:rPr>
          <w:rFonts w:cs="Arial"/>
          <w:color w:val="000000" w:themeColor="text1"/>
          <w:szCs w:val="24"/>
          <w:lang w:val="it-CH" w:eastAsia="it-CH"/>
        </w:rPr>
      </w:pPr>
    </w:p>
    <w:p w:rsidR="00B21A9A" w:rsidRDefault="00B21A9A" w:rsidP="00B21A9A">
      <w:pPr>
        <w:pStyle w:val="Titolo2"/>
        <w:tabs>
          <w:tab w:val="clear" w:pos="567"/>
          <w:tab w:val="left" w:pos="709"/>
        </w:tabs>
        <w:rPr>
          <w:lang w:val="it-CH" w:eastAsia="it-CH"/>
        </w:rPr>
      </w:pPr>
      <w:r>
        <w:rPr>
          <w:lang w:val="it-CH" w:eastAsia="it-CH"/>
        </w:rPr>
        <w:t xml:space="preserve">6.3 </w:t>
      </w:r>
      <w:r>
        <w:rPr>
          <w:lang w:val="it-CH" w:eastAsia="it-CH"/>
        </w:rPr>
        <w:tab/>
        <w:t>Uscite per l’investimento Palazzo di giustizia</w:t>
      </w:r>
    </w:p>
    <w:p w:rsidR="00B21A9A" w:rsidRPr="00CE748E" w:rsidRDefault="00B21A9A" w:rsidP="00B21A9A">
      <w:pPr>
        <w:pStyle w:val="Titolo3"/>
        <w:spacing w:before="0"/>
        <w:rPr>
          <w:lang w:val="it-CH" w:eastAsia="it-CH"/>
        </w:rPr>
      </w:pPr>
      <w:r>
        <w:rPr>
          <w:lang w:val="it-CH" w:eastAsia="it-CH"/>
        </w:rPr>
        <w:t>6.3.1</w:t>
      </w:r>
      <w:r>
        <w:rPr>
          <w:lang w:val="it-CH" w:eastAsia="it-CH"/>
        </w:rPr>
        <w:tab/>
      </w:r>
      <w:r w:rsidRPr="00563A0D">
        <w:rPr>
          <w:lang w:val="it-CH" w:eastAsia="it-CH"/>
        </w:rPr>
        <w:t xml:space="preserve">Costi di </w:t>
      </w:r>
      <w:r>
        <w:rPr>
          <w:lang w:val="it-CH" w:eastAsia="it-CH"/>
        </w:rPr>
        <w:t xml:space="preserve">ristrutturazione e </w:t>
      </w:r>
      <w:r w:rsidRPr="00563A0D">
        <w:rPr>
          <w:lang w:val="it-CH" w:eastAsia="it-CH"/>
        </w:rPr>
        <w:t>adeguamento</w:t>
      </w:r>
      <w:r>
        <w:rPr>
          <w:lang w:val="it-CH" w:eastAsia="it-CH"/>
        </w:rPr>
        <w:t xml:space="preserve"> </w:t>
      </w:r>
    </w:p>
    <w:p w:rsidR="00B21A9A" w:rsidRPr="001064D8" w:rsidRDefault="00B21A9A" w:rsidP="00B21A9A">
      <w:pPr>
        <w:rPr>
          <w:lang w:val="it-CH" w:eastAsia="it-CH"/>
        </w:rPr>
      </w:pPr>
      <w:r>
        <w:rPr>
          <w:lang w:val="it-CH" w:eastAsia="it-CH"/>
        </w:rPr>
        <w:t xml:space="preserve">Il progetto di massima, fase 31 regolamento SIA 112, ”E2010_Palazzo di giustizia Lugano – Relazione di progetto” del 30.09.2016, sviluppato dallo studio Buletti, Fumagalli, Del Fedele, Bernardi Architetti Sagl, evidenzia i seguenti costi: </w:t>
      </w:r>
    </w:p>
    <w:p w:rsidR="00B21A9A" w:rsidRPr="00E038E7" w:rsidRDefault="00B21A9A" w:rsidP="00B21A9A">
      <w:pPr>
        <w:tabs>
          <w:tab w:val="left" w:pos="426"/>
        </w:tabs>
        <w:rPr>
          <w:rFonts w:cs="Arial"/>
          <w:b/>
          <w:i/>
          <w:color w:val="000000"/>
          <w:sz w:val="22"/>
          <w:szCs w:val="22"/>
          <w:lang w:val="it-CH" w:eastAsia="it-CH"/>
        </w:rPr>
      </w:pPr>
    </w:p>
    <w:tbl>
      <w:tblPr>
        <w:tblW w:w="9680" w:type="dxa"/>
        <w:tblInd w:w="55" w:type="dxa"/>
        <w:tblCellMar>
          <w:left w:w="70" w:type="dxa"/>
          <w:right w:w="70" w:type="dxa"/>
        </w:tblCellMar>
        <w:tblLook w:val="04A0" w:firstRow="1" w:lastRow="0" w:firstColumn="1" w:lastColumn="0" w:noHBand="0" w:noVBand="1"/>
      </w:tblPr>
      <w:tblGrid>
        <w:gridCol w:w="1291"/>
        <w:gridCol w:w="6095"/>
        <w:gridCol w:w="593"/>
        <w:gridCol w:w="1701"/>
      </w:tblGrid>
      <w:tr w:rsidR="00B21A9A" w:rsidRPr="00E038E7" w:rsidTr="00B21A9A">
        <w:trPr>
          <w:trHeight w:val="330"/>
        </w:trPr>
        <w:tc>
          <w:tcPr>
            <w:tcW w:w="73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21A9A" w:rsidRPr="000D0291" w:rsidRDefault="00B21A9A" w:rsidP="00B21A9A">
            <w:pPr>
              <w:rPr>
                <w:rFonts w:cs="Arial"/>
                <w:b/>
                <w:color w:val="000000"/>
                <w:sz w:val="22"/>
                <w:szCs w:val="22"/>
                <w:lang w:val="it-CH" w:eastAsia="it-CH"/>
              </w:rPr>
            </w:pPr>
            <w:r w:rsidRPr="000D0291">
              <w:rPr>
                <w:rFonts w:cs="Arial"/>
                <w:b/>
                <w:color w:val="000000"/>
                <w:sz w:val="22"/>
                <w:szCs w:val="22"/>
                <w:lang w:val="it-CH" w:eastAsia="it-CH"/>
              </w:rPr>
              <w:t>Descrizione</w:t>
            </w:r>
          </w:p>
        </w:tc>
        <w:tc>
          <w:tcPr>
            <w:tcW w:w="593" w:type="dxa"/>
            <w:tcBorders>
              <w:top w:val="single" w:sz="4" w:space="0" w:color="auto"/>
              <w:left w:val="nil"/>
              <w:bottom w:val="single" w:sz="4" w:space="0" w:color="auto"/>
            </w:tcBorders>
            <w:shd w:val="clear" w:color="auto" w:fill="BFBFBF" w:themeFill="background1" w:themeFillShade="BF"/>
            <w:noWrap/>
            <w:vAlign w:val="center"/>
          </w:tcPr>
          <w:p w:rsidR="00B21A9A" w:rsidRPr="000D0291" w:rsidRDefault="00B21A9A" w:rsidP="00B21A9A">
            <w:pPr>
              <w:rPr>
                <w:rFonts w:cs="Arial"/>
                <w:b/>
                <w:color w:val="000000"/>
                <w:sz w:val="22"/>
                <w:szCs w:val="22"/>
                <w:lang w:val="it-CH" w:eastAsia="it-CH"/>
              </w:rPr>
            </w:pPr>
          </w:p>
        </w:tc>
        <w:tc>
          <w:tcPr>
            <w:tcW w:w="1701" w:type="dxa"/>
            <w:tcBorders>
              <w:top w:val="single" w:sz="4" w:space="0" w:color="auto"/>
              <w:bottom w:val="single" w:sz="4" w:space="0" w:color="auto"/>
              <w:right w:val="single" w:sz="4" w:space="0" w:color="auto"/>
            </w:tcBorders>
            <w:shd w:val="clear" w:color="auto" w:fill="BFBFBF" w:themeFill="background1" w:themeFillShade="BF"/>
            <w:noWrap/>
            <w:vAlign w:val="center"/>
          </w:tcPr>
          <w:p w:rsidR="00B21A9A" w:rsidRPr="000D0291" w:rsidRDefault="00B21A9A" w:rsidP="00B21A9A">
            <w:pPr>
              <w:ind w:firstLineChars="100" w:firstLine="220"/>
              <w:jc w:val="right"/>
              <w:rPr>
                <w:rFonts w:cs="Arial"/>
                <w:b/>
                <w:color w:val="000000"/>
                <w:sz w:val="22"/>
                <w:szCs w:val="22"/>
                <w:lang w:val="it-CH" w:eastAsia="it-CH"/>
              </w:rPr>
            </w:pPr>
            <w:r w:rsidRPr="000D0291">
              <w:rPr>
                <w:rFonts w:cs="Arial"/>
                <w:b/>
                <w:color w:val="000000"/>
                <w:sz w:val="22"/>
                <w:szCs w:val="22"/>
                <w:lang w:val="it-CH" w:eastAsia="it-CH"/>
              </w:rPr>
              <w:t>Importo</w:t>
            </w:r>
          </w:p>
        </w:tc>
      </w:tr>
      <w:tr w:rsidR="00B21A9A" w:rsidRPr="00D42EA0" w:rsidTr="00B21A9A">
        <w:trPr>
          <w:trHeight w:val="33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A9A" w:rsidRPr="00E038E7" w:rsidRDefault="00B21A9A" w:rsidP="00B21A9A">
            <w:pPr>
              <w:rPr>
                <w:rFonts w:cs="Arial"/>
                <w:color w:val="000000"/>
                <w:sz w:val="22"/>
                <w:szCs w:val="22"/>
                <w:lang w:val="it-CH" w:eastAsia="it-CH"/>
              </w:rPr>
            </w:pPr>
            <w:r>
              <w:rPr>
                <w:rFonts w:cs="Arial"/>
                <w:color w:val="000000"/>
                <w:sz w:val="22"/>
                <w:szCs w:val="22"/>
                <w:lang w:val="it-CH" w:eastAsia="it-CH"/>
              </w:rPr>
              <w:t>A</w:t>
            </w:r>
          </w:p>
        </w:tc>
        <w:tc>
          <w:tcPr>
            <w:tcW w:w="6095" w:type="dxa"/>
            <w:tcBorders>
              <w:top w:val="single" w:sz="4" w:space="0" w:color="auto"/>
              <w:left w:val="nil"/>
              <w:bottom w:val="single" w:sz="4" w:space="0" w:color="auto"/>
              <w:right w:val="single" w:sz="4" w:space="0" w:color="auto"/>
            </w:tcBorders>
            <w:shd w:val="clear" w:color="auto" w:fill="auto"/>
            <w:noWrap/>
            <w:vAlign w:val="center"/>
          </w:tcPr>
          <w:p w:rsidR="00B21A9A" w:rsidRPr="00E038E7" w:rsidRDefault="00B21A9A" w:rsidP="00B21A9A">
            <w:pPr>
              <w:rPr>
                <w:rFonts w:cs="Arial"/>
                <w:color w:val="000000"/>
                <w:sz w:val="22"/>
                <w:szCs w:val="22"/>
                <w:lang w:val="it-CH" w:eastAsia="it-CH"/>
              </w:rPr>
            </w:pPr>
            <w:r>
              <w:rPr>
                <w:rFonts w:cs="Arial"/>
                <w:color w:val="000000"/>
                <w:sz w:val="22"/>
                <w:szCs w:val="22"/>
                <w:lang w:val="it-CH" w:eastAsia="it-CH"/>
              </w:rPr>
              <w:t>Fondo</w:t>
            </w:r>
          </w:p>
        </w:tc>
        <w:tc>
          <w:tcPr>
            <w:tcW w:w="593" w:type="dxa"/>
            <w:tcBorders>
              <w:top w:val="single" w:sz="4" w:space="0" w:color="auto"/>
              <w:left w:val="nil"/>
              <w:bottom w:val="single" w:sz="4" w:space="0" w:color="auto"/>
            </w:tcBorders>
            <w:shd w:val="clear" w:color="auto" w:fill="auto"/>
            <w:noWrap/>
            <w:vAlign w:val="center"/>
          </w:tcPr>
          <w:p w:rsidR="00B21A9A" w:rsidRPr="00E038E7" w:rsidRDefault="00B21A9A" w:rsidP="00B21A9A">
            <w:pPr>
              <w:rPr>
                <w:rFonts w:cs="Arial"/>
                <w:color w:val="000000"/>
                <w:sz w:val="22"/>
                <w:szCs w:val="22"/>
                <w:lang w:val="it-CH" w:eastAsia="it-CH"/>
              </w:rPr>
            </w:pPr>
            <w:r>
              <w:rPr>
                <w:rFonts w:cs="Arial"/>
                <w:color w:val="000000"/>
                <w:sz w:val="22"/>
                <w:szCs w:val="22"/>
                <w:lang w:val="it-CH" w:eastAsia="it-CH"/>
              </w:rPr>
              <w:t>fr.</w:t>
            </w:r>
          </w:p>
        </w:tc>
        <w:tc>
          <w:tcPr>
            <w:tcW w:w="1701" w:type="dxa"/>
            <w:tcBorders>
              <w:top w:val="single" w:sz="4" w:space="0" w:color="auto"/>
              <w:bottom w:val="single" w:sz="4" w:space="0" w:color="auto"/>
              <w:right w:val="single" w:sz="4" w:space="0" w:color="auto"/>
            </w:tcBorders>
            <w:shd w:val="clear" w:color="auto" w:fill="auto"/>
            <w:noWrap/>
            <w:vAlign w:val="center"/>
          </w:tcPr>
          <w:p w:rsidR="00B21A9A" w:rsidRPr="00674194" w:rsidRDefault="00B21A9A" w:rsidP="00B21A9A">
            <w:pPr>
              <w:ind w:firstLineChars="100" w:firstLine="220"/>
              <w:jc w:val="right"/>
              <w:rPr>
                <w:rFonts w:cs="Arial"/>
                <w:color w:val="000000"/>
                <w:sz w:val="22"/>
                <w:szCs w:val="22"/>
                <w:lang w:val="it-CH" w:eastAsia="it-CH"/>
              </w:rPr>
            </w:pPr>
            <w:r>
              <w:rPr>
                <w:rFonts w:cs="Arial"/>
                <w:color w:val="000000"/>
                <w:sz w:val="22"/>
                <w:szCs w:val="22"/>
                <w:lang w:val="it-CH" w:eastAsia="it-CH"/>
              </w:rPr>
              <w:t>12</w:t>
            </w:r>
            <w:r w:rsidRPr="00674194">
              <w:rPr>
                <w:rFonts w:cs="Arial"/>
                <w:color w:val="000000"/>
                <w:sz w:val="22"/>
                <w:szCs w:val="22"/>
                <w:lang w:val="it-CH" w:eastAsia="it-CH"/>
              </w:rPr>
              <w:t>6'000.-</w:t>
            </w:r>
          </w:p>
        </w:tc>
      </w:tr>
      <w:tr w:rsidR="00B21A9A" w:rsidRPr="00D42EA0" w:rsidTr="00B21A9A">
        <w:trPr>
          <w:trHeight w:val="33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A9A" w:rsidRPr="00E038E7" w:rsidRDefault="00B21A9A" w:rsidP="00B21A9A">
            <w:pPr>
              <w:rPr>
                <w:rFonts w:cs="Arial"/>
                <w:color w:val="000000"/>
                <w:sz w:val="22"/>
                <w:szCs w:val="22"/>
                <w:lang w:val="it-CH" w:eastAsia="it-CH"/>
              </w:rPr>
            </w:pPr>
            <w:r>
              <w:rPr>
                <w:rFonts w:cs="Arial"/>
                <w:color w:val="000000"/>
                <w:sz w:val="22"/>
                <w:szCs w:val="22"/>
                <w:lang w:val="it-CH" w:eastAsia="it-CH"/>
              </w:rPr>
              <w:t>B</w:t>
            </w:r>
          </w:p>
        </w:tc>
        <w:tc>
          <w:tcPr>
            <w:tcW w:w="6095" w:type="dxa"/>
            <w:tcBorders>
              <w:top w:val="single" w:sz="4" w:space="0" w:color="auto"/>
              <w:left w:val="nil"/>
              <w:bottom w:val="single" w:sz="4" w:space="0" w:color="auto"/>
              <w:right w:val="single" w:sz="4" w:space="0" w:color="auto"/>
            </w:tcBorders>
            <w:shd w:val="clear" w:color="auto" w:fill="auto"/>
            <w:noWrap/>
            <w:vAlign w:val="center"/>
          </w:tcPr>
          <w:p w:rsidR="00B21A9A" w:rsidRPr="00E038E7" w:rsidRDefault="00B21A9A" w:rsidP="00B21A9A">
            <w:pPr>
              <w:rPr>
                <w:rFonts w:cs="Arial"/>
                <w:color w:val="000000"/>
                <w:sz w:val="22"/>
                <w:szCs w:val="22"/>
                <w:lang w:val="it-CH" w:eastAsia="it-CH"/>
              </w:rPr>
            </w:pPr>
            <w:r>
              <w:rPr>
                <w:rFonts w:cs="Arial"/>
                <w:color w:val="000000"/>
                <w:sz w:val="22"/>
                <w:szCs w:val="22"/>
                <w:lang w:val="it-CH" w:eastAsia="it-CH"/>
              </w:rPr>
              <w:t>Preparazione</w:t>
            </w:r>
          </w:p>
        </w:tc>
        <w:tc>
          <w:tcPr>
            <w:tcW w:w="593" w:type="dxa"/>
            <w:tcBorders>
              <w:top w:val="single" w:sz="4" w:space="0" w:color="auto"/>
              <w:left w:val="nil"/>
              <w:bottom w:val="single" w:sz="4" w:space="0" w:color="auto"/>
            </w:tcBorders>
            <w:shd w:val="clear" w:color="auto" w:fill="auto"/>
            <w:noWrap/>
            <w:vAlign w:val="center"/>
          </w:tcPr>
          <w:p w:rsidR="00B21A9A" w:rsidRPr="00E038E7" w:rsidRDefault="00B21A9A" w:rsidP="00B21A9A">
            <w:pPr>
              <w:rPr>
                <w:rFonts w:cs="Arial"/>
                <w:color w:val="000000"/>
                <w:sz w:val="22"/>
                <w:szCs w:val="22"/>
                <w:lang w:val="it-CH" w:eastAsia="it-CH"/>
              </w:rPr>
            </w:pPr>
            <w:r>
              <w:rPr>
                <w:rFonts w:cs="Arial"/>
                <w:color w:val="000000"/>
                <w:sz w:val="22"/>
                <w:szCs w:val="22"/>
                <w:lang w:val="it-CH" w:eastAsia="it-CH"/>
              </w:rPr>
              <w:t>fr.</w:t>
            </w:r>
          </w:p>
        </w:tc>
        <w:tc>
          <w:tcPr>
            <w:tcW w:w="1701" w:type="dxa"/>
            <w:tcBorders>
              <w:top w:val="single" w:sz="4" w:space="0" w:color="auto"/>
              <w:bottom w:val="single" w:sz="4" w:space="0" w:color="auto"/>
              <w:right w:val="single" w:sz="4" w:space="0" w:color="auto"/>
            </w:tcBorders>
            <w:shd w:val="clear" w:color="auto" w:fill="auto"/>
            <w:noWrap/>
            <w:vAlign w:val="center"/>
          </w:tcPr>
          <w:p w:rsidR="00B21A9A" w:rsidRPr="00E038E7" w:rsidRDefault="00B21A9A" w:rsidP="00B21A9A">
            <w:pPr>
              <w:ind w:firstLineChars="100" w:firstLine="220"/>
              <w:jc w:val="right"/>
              <w:rPr>
                <w:rFonts w:cs="Arial"/>
                <w:color w:val="000000"/>
                <w:sz w:val="22"/>
                <w:szCs w:val="22"/>
                <w:lang w:val="it-CH" w:eastAsia="it-CH"/>
              </w:rPr>
            </w:pPr>
            <w:r w:rsidRPr="00674194">
              <w:rPr>
                <w:rFonts w:cs="Arial"/>
                <w:color w:val="000000"/>
                <w:sz w:val="22"/>
                <w:szCs w:val="22"/>
                <w:lang w:val="it-CH" w:eastAsia="it-CH"/>
              </w:rPr>
              <w:t>6'</w:t>
            </w:r>
            <w:r>
              <w:rPr>
                <w:rFonts w:cs="Arial"/>
                <w:color w:val="000000"/>
                <w:sz w:val="22"/>
                <w:szCs w:val="22"/>
                <w:lang w:val="it-CH" w:eastAsia="it-CH"/>
              </w:rPr>
              <w:t>58</w:t>
            </w:r>
            <w:r w:rsidRPr="00674194">
              <w:rPr>
                <w:rFonts w:cs="Arial"/>
                <w:color w:val="000000"/>
                <w:sz w:val="22"/>
                <w:szCs w:val="22"/>
                <w:lang w:val="it-CH" w:eastAsia="it-CH"/>
              </w:rPr>
              <w:t>6'000.-</w:t>
            </w:r>
          </w:p>
        </w:tc>
      </w:tr>
      <w:tr w:rsidR="00B21A9A" w:rsidRPr="00D42EA0" w:rsidTr="00B21A9A">
        <w:trPr>
          <w:trHeight w:val="33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A9A" w:rsidRPr="00E038E7" w:rsidRDefault="00B21A9A" w:rsidP="00B21A9A">
            <w:pPr>
              <w:rPr>
                <w:rFonts w:cs="Arial"/>
                <w:color w:val="000000"/>
                <w:sz w:val="22"/>
                <w:szCs w:val="22"/>
                <w:lang w:val="it-CH" w:eastAsia="it-CH"/>
              </w:rPr>
            </w:pPr>
            <w:r>
              <w:rPr>
                <w:rFonts w:cs="Arial"/>
                <w:color w:val="000000"/>
                <w:sz w:val="22"/>
                <w:szCs w:val="22"/>
                <w:lang w:val="it-CH" w:eastAsia="it-CH"/>
              </w:rPr>
              <w:t>C-G</w:t>
            </w:r>
          </w:p>
        </w:tc>
        <w:tc>
          <w:tcPr>
            <w:tcW w:w="6095" w:type="dxa"/>
            <w:tcBorders>
              <w:top w:val="single" w:sz="4" w:space="0" w:color="auto"/>
              <w:left w:val="nil"/>
              <w:bottom w:val="single" w:sz="4" w:space="0" w:color="auto"/>
              <w:right w:val="single" w:sz="4" w:space="0" w:color="auto"/>
            </w:tcBorders>
            <w:shd w:val="clear" w:color="auto" w:fill="auto"/>
            <w:noWrap/>
            <w:vAlign w:val="center"/>
          </w:tcPr>
          <w:p w:rsidR="00B21A9A" w:rsidRPr="00E038E7" w:rsidRDefault="00B21A9A" w:rsidP="00B21A9A">
            <w:pPr>
              <w:rPr>
                <w:rFonts w:cs="Arial"/>
                <w:color w:val="000000"/>
                <w:sz w:val="22"/>
                <w:szCs w:val="22"/>
                <w:lang w:val="it-CH" w:eastAsia="it-CH"/>
              </w:rPr>
            </w:pPr>
            <w:r>
              <w:rPr>
                <w:rFonts w:cs="Arial"/>
                <w:color w:val="000000"/>
                <w:sz w:val="22"/>
                <w:szCs w:val="22"/>
                <w:lang w:val="it-CH" w:eastAsia="it-CH"/>
              </w:rPr>
              <w:t>Costo dell’opera</w:t>
            </w:r>
          </w:p>
        </w:tc>
        <w:tc>
          <w:tcPr>
            <w:tcW w:w="593" w:type="dxa"/>
            <w:tcBorders>
              <w:top w:val="single" w:sz="4" w:space="0" w:color="auto"/>
              <w:left w:val="nil"/>
              <w:bottom w:val="single" w:sz="4" w:space="0" w:color="auto"/>
            </w:tcBorders>
            <w:shd w:val="clear" w:color="auto" w:fill="auto"/>
            <w:noWrap/>
            <w:vAlign w:val="center"/>
          </w:tcPr>
          <w:p w:rsidR="00B21A9A" w:rsidRPr="00E038E7" w:rsidRDefault="00B21A9A" w:rsidP="00B21A9A">
            <w:pPr>
              <w:rPr>
                <w:rFonts w:cs="Arial"/>
                <w:color w:val="000000"/>
                <w:sz w:val="22"/>
                <w:szCs w:val="22"/>
                <w:lang w:val="it-CH" w:eastAsia="it-CH"/>
              </w:rPr>
            </w:pPr>
            <w:r>
              <w:rPr>
                <w:rFonts w:cs="Arial"/>
                <w:color w:val="000000"/>
                <w:sz w:val="22"/>
                <w:szCs w:val="22"/>
                <w:lang w:val="it-CH" w:eastAsia="it-CH"/>
              </w:rPr>
              <w:t>fr.</w:t>
            </w:r>
          </w:p>
        </w:tc>
        <w:tc>
          <w:tcPr>
            <w:tcW w:w="1701" w:type="dxa"/>
            <w:tcBorders>
              <w:top w:val="single" w:sz="4" w:space="0" w:color="auto"/>
              <w:bottom w:val="single" w:sz="4" w:space="0" w:color="auto"/>
              <w:right w:val="single" w:sz="4" w:space="0" w:color="auto"/>
            </w:tcBorders>
            <w:shd w:val="clear" w:color="auto" w:fill="auto"/>
            <w:noWrap/>
            <w:vAlign w:val="center"/>
          </w:tcPr>
          <w:p w:rsidR="00B21A9A" w:rsidRPr="00E038E7" w:rsidRDefault="00B21A9A" w:rsidP="00B21A9A">
            <w:pPr>
              <w:ind w:firstLineChars="100" w:firstLine="220"/>
              <w:jc w:val="right"/>
              <w:rPr>
                <w:rFonts w:cs="Arial"/>
                <w:color w:val="000000"/>
                <w:sz w:val="22"/>
                <w:szCs w:val="22"/>
                <w:lang w:val="it-CH" w:eastAsia="it-CH"/>
              </w:rPr>
            </w:pPr>
            <w:r w:rsidRPr="00674194">
              <w:rPr>
                <w:rFonts w:cs="Arial"/>
                <w:color w:val="000000"/>
                <w:sz w:val="22"/>
                <w:szCs w:val="22"/>
                <w:lang w:val="it-CH" w:eastAsia="it-CH"/>
              </w:rPr>
              <w:t>47'2</w:t>
            </w:r>
            <w:r>
              <w:rPr>
                <w:rFonts w:cs="Arial"/>
                <w:color w:val="000000"/>
                <w:sz w:val="22"/>
                <w:szCs w:val="22"/>
                <w:lang w:val="it-CH" w:eastAsia="it-CH"/>
              </w:rPr>
              <w:t>57</w:t>
            </w:r>
            <w:r w:rsidRPr="00674194">
              <w:rPr>
                <w:rFonts w:cs="Arial"/>
                <w:color w:val="000000"/>
                <w:sz w:val="22"/>
                <w:szCs w:val="22"/>
                <w:lang w:val="it-CH" w:eastAsia="it-CH"/>
              </w:rPr>
              <w:t>'000.-</w:t>
            </w:r>
          </w:p>
        </w:tc>
      </w:tr>
      <w:tr w:rsidR="00B21A9A" w:rsidRPr="00D42EA0" w:rsidTr="00B21A9A">
        <w:trPr>
          <w:trHeight w:val="33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A9A" w:rsidRPr="00E038E7" w:rsidRDefault="00B21A9A" w:rsidP="00B21A9A">
            <w:pPr>
              <w:jc w:val="left"/>
              <w:rPr>
                <w:rFonts w:cs="Arial"/>
                <w:color w:val="000000"/>
                <w:sz w:val="22"/>
                <w:szCs w:val="22"/>
                <w:lang w:val="it-CH" w:eastAsia="it-CH"/>
              </w:rPr>
            </w:pPr>
            <w:r>
              <w:rPr>
                <w:rFonts w:cs="Arial"/>
                <w:color w:val="000000"/>
                <w:sz w:val="22"/>
                <w:szCs w:val="22"/>
                <w:lang w:val="it-CH" w:eastAsia="it-CH"/>
              </w:rPr>
              <w:t>I</w:t>
            </w:r>
          </w:p>
        </w:tc>
        <w:tc>
          <w:tcPr>
            <w:tcW w:w="6095" w:type="dxa"/>
            <w:tcBorders>
              <w:top w:val="single" w:sz="4" w:space="0" w:color="auto"/>
              <w:left w:val="nil"/>
              <w:bottom w:val="single" w:sz="4" w:space="0" w:color="auto"/>
              <w:right w:val="single" w:sz="4" w:space="0" w:color="auto"/>
            </w:tcBorders>
            <w:shd w:val="clear" w:color="auto" w:fill="auto"/>
            <w:noWrap/>
            <w:vAlign w:val="center"/>
          </w:tcPr>
          <w:p w:rsidR="00B21A9A" w:rsidRPr="00E038E7" w:rsidRDefault="00B21A9A" w:rsidP="00B21A9A">
            <w:pPr>
              <w:rPr>
                <w:rFonts w:cs="Arial"/>
                <w:color w:val="000000"/>
                <w:sz w:val="22"/>
                <w:szCs w:val="22"/>
                <w:lang w:val="it-CH" w:eastAsia="it-CH"/>
              </w:rPr>
            </w:pPr>
            <w:r>
              <w:rPr>
                <w:rFonts w:cs="Arial"/>
                <w:color w:val="000000"/>
                <w:sz w:val="22"/>
                <w:szCs w:val="22"/>
                <w:lang w:val="it-CH" w:eastAsia="it-CH"/>
              </w:rPr>
              <w:t>Esterno edificio</w:t>
            </w:r>
          </w:p>
        </w:tc>
        <w:tc>
          <w:tcPr>
            <w:tcW w:w="593" w:type="dxa"/>
            <w:tcBorders>
              <w:top w:val="single" w:sz="4" w:space="0" w:color="auto"/>
              <w:left w:val="nil"/>
              <w:bottom w:val="single" w:sz="4" w:space="0" w:color="auto"/>
            </w:tcBorders>
            <w:shd w:val="clear" w:color="auto" w:fill="auto"/>
            <w:noWrap/>
            <w:vAlign w:val="center"/>
          </w:tcPr>
          <w:p w:rsidR="00B21A9A" w:rsidRPr="00E038E7" w:rsidRDefault="00B21A9A" w:rsidP="00B21A9A">
            <w:pPr>
              <w:rPr>
                <w:rFonts w:cs="Arial"/>
                <w:color w:val="000000"/>
                <w:sz w:val="22"/>
                <w:szCs w:val="22"/>
                <w:lang w:val="it-CH" w:eastAsia="it-CH"/>
              </w:rPr>
            </w:pPr>
            <w:r>
              <w:rPr>
                <w:rFonts w:cs="Arial"/>
                <w:color w:val="000000"/>
                <w:sz w:val="22"/>
                <w:szCs w:val="22"/>
                <w:lang w:val="it-CH" w:eastAsia="it-CH"/>
              </w:rPr>
              <w:t>fr.</w:t>
            </w:r>
          </w:p>
        </w:tc>
        <w:tc>
          <w:tcPr>
            <w:tcW w:w="1701" w:type="dxa"/>
            <w:tcBorders>
              <w:top w:val="single" w:sz="4" w:space="0" w:color="auto"/>
              <w:bottom w:val="single" w:sz="4" w:space="0" w:color="auto"/>
              <w:right w:val="single" w:sz="4" w:space="0" w:color="auto"/>
            </w:tcBorders>
            <w:shd w:val="clear" w:color="auto" w:fill="auto"/>
            <w:noWrap/>
            <w:vAlign w:val="center"/>
          </w:tcPr>
          <w:p w:rsidR="00B21A9A" w:rsidRPr="00E038E7" w:rsidRDefault="00B21A9A" w:rsidP="00B21A9A">
            <w:pPr>
              <w:ind w:firstLineChars="100" w:firstLine="220"/>
              <w:jc w:val="right"/>
              <w:rPr>
                <w:rFonts w:cs="Arial"/>
                <w:color w:val="000000"/>
                <w:sz w:val="22"/>
                <w:szCs w:val="22"/>
                <w:lang w:val="it-CH" w:eastAsia="it-CH"/>
              </w:rPr>
            </w:pPr>
            <w:r>
              <w:rPr>
                <w:rFonts w:cs="Arial"/>
                <w:color w:val="000000"/>
                <w:sz w:val="22"/>
                <w:szCs w:val="22"/>
                <w:lang w:val="it-CH" w:eastAsia="it-CH"/>
              </w:rPr>
              <w:t>2</w:t>
            </w:r>
            <w:r w:rsidRPr="00674194">
              <w:rPr>
                <w:rFonts w:cs="Arial"/>
                <w:color w:val="000000"/>
                <w:sz w:val="22"/>
                <w:szCs w:val="22"/>
                <w:lang w:val="it-CH" w:eastAsia="it-CH"/>
              </w:rPr>
              <w:t>'</w:t>
            </w:r>
            <w:r>
              <w:rPr>
                <w:rFonts w:cs="Arial"/>
                <w:color w:val="000000"/>
                <w:sz w:val="22"/>
                <w:szCs w:val="22"/>
                <w:lang w:val="it-CH" w:eastAsia="it-CH"/>
              </w:rPr>
              <w:t>336</w:t>
            </w:r>
            <w:r w:rsidRPr="00674194">
              <w:rPr>
                <w:rFonts w:cs="Arial"/>
                <w:color w:val="000000"/>
                <w:sz w:val="22"/>
                <w:szCs w:val="22"/>
                <w:lang w:val="it-CH" w:eastAsia="it-CH"/>
              </w:rPr>
              <w:t>'000.-</w:t>
            </w:r>
          </w:p>
        </w:tc>
      </w:tr>
      <w:tr w:rsidR="00B21A9A" w:rsidRPr="00D42EA0" w:rsidTr="00B21A9A">
        <w:trPr>
          <w:trHeight w:val="33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A9A" w:rsidRPr="00E038E7" w:rsidRDefault="00B21A9A" w:rsidP="00B21A9A">
            <w:pPr>
              <w:jc w:val="left"/>
              <w:rPr>
                <w:rFonts w:cs="Arial"/>
                <w:color w:val="000000"/>
                <w:sz w:val="22"/>
                <w:szCs w:val="22"/>
                <w:lang w:val="it-CH" w:eastAsia="it-CH"/>
              </w:rPr>
            </w:pPr>
            <w:r>
              <w:rPr>
                <w:rFonts w:cs="Arial"/>
                <w:color w:val="000000"/>
                <w:sz w:val="22"/>
                <w:szCs w:val="22"/>
                <w:lang w:val="it-CH" w:eastAsia="it-CH"/>
              </w:rPr>
              <w:t>J</w:t>
            </w:r>
          </w:p>
        </w:tc>
        <w:tc>
          <w:tcPr>
            <w:tcW w:w="6095" w:type="dxa"/>
            <w:tcBorders>
              <w:top w:val="single" w:sz="4" w:space="0" w:color="auto"/>
              <w:left w:val="nil"/>
              <w:bottom w:val="single" w:sz="4" w:space="0" w:color="auto"/>
              <w:right w:val="single" w:sz="4" w:space="0" w:color="auto"/>
            </w:tcBorders>
            <w:shd w:val="clear" w:color="auto" w:fill="auto"/>
            <w:noWrap/>
            <w:vAlign w:val="center"/>
          </w:tcPr>
          <w:p w:rsidR="00B21A9A" w:rsidRPr="00E038E7" w:rsidRDefault="00B21A9A" w:rsidP="00B21A9A">
            <w:pPr>
              <w:rPr>
                <w:rFonts w:cs="Arial"/>
                <w:color w:val="000000"/>
                <w:sz w:val="22"/>
                <w:szCs w:val="22"/>
                <w:lang w:val="it-CH" w:eastAsia="it-CH"/>
              </w:rPr>
            </w:pPr>
            <w:r>
              <w:rPr>
                <w:rFonts w:cs="Arial"/>
                <w:color w:val="000000"/>
                <w:sz w:val="22"/>
                <w:szCs w:val="22"/>
                <w:lang w:val="it-CH" w:eastAsia="it-CH"/>
              </w:rPr>
              <w:t>Arredo</w:t>
            </w:r>
          </w:p>
        </w:tc>
        <w:tc>
          <w:tcPr>
            <w:tcW w:w="593" w:type="dxa"/>
            <w:tcBorders>
              <w:top w:val="single" w:sz="4" w:space="0" w:color="auto"/>
              <w:left w:val="nil"/>
              <w:bottom w:val="single" w:sz="4" w:space="0" w:color="auto"/>
            </w:tcBorders>
            <w:shd w:val="clear" w:color="auto" w:fill="auto"/>
            <w:noWrap/>
            <w:vAlign w:val="center"/>
          </w:tcPr>
          <w:p w:rsidR="00B21A9A" w:rsidRPr="00E038E7" w:rsidRDefault="00B21A9A" w:rsidP="00B21A9A">
            <w:pPr>
              <w:rPr>
                <w:rFonts w:cs="Arial"/>
                <w:color w:val="000000"/>
                <w:sz w:val="22"/>
                <w:szCs w:val="22"/>
                <w:lang w:val="it-CH" w:eastAsia="it-CH"/>
              </w:rPr>
            </w:pPr>
            <w:r>
              <w:rPr>
                <w:rFonts w:cs="Arial"/>
                <w:color w:val="000000"/>
                <w:sz w:val="22"/>
                <w:szCs w:val="22"/>
                <w:lang w:val="it-CH" w:eastAsia="it-CH"/>
              </w:rPr>
              <w:t>fr.</w:t>
            </w:r>
          </w:p>
        </w:tc>
        <w:tc>
          <w:tcPr>
            <w:tcW w:w="1701" w:type="dxa"/>
            <w:tcBorders>
              <w:top w:val="single" w:sz="4" w:space="0" w:color="auto"/>
              <w:bottom w:val="single" w:sz="4" w:space="0" w:color="auto"/>
              <w:right w:val="single" w:sz="4" w:space="0" w:color="auto"/>
            </w:tcBorders>
            <w:shd w:val="clear" w:color="auto" w:fill="auto"/>
            <w:noWrap/>
            <w:vAlign w:val="center"/>
          </w:tcPr>
          <w:p w:rsidR="00B21A9A" w:rsidRPr="00E038E7" w:rsidRDefault="00B21A9A" w:rsidP="00B21A9A">
            <w:pPr>
              <w:ind w:firstLineChars="100" w:firstLine="220"/>
              <w:jc w:val="right"/>
              <w:rPr>
                <w:rFonts w:cs="Arial"/>
                <w:color w:val="000000"/>
                <w:sz w:val="22"/>
                <w:szCs w:val="22"/>
                <w:lang w:val="it-CH" w:eastAsia="it-CH"/>
              </w:rPr>
            </w:pPr>
            <w:r w:rsidRPr="00674194">
              <w:rPr>
                <w:rFonts w:cs="Arial"/>
                <w:color w:val="000000"/>
                <w:sz w:val="22"/>
                <w:szCs w:val="22"/>
                <w:lang w:val="it-CH" w:eastAsia="it-CH"/>
              </w:rPr>
              <w:t>4'459'000.-</w:t>
            </w:r>
          </w:p>
        </w:tc>
      </w:tr>
      <w:tr w:rsidR="00B21A9A" w:rsidRPr="00D42EA0" w:rsidTr="00B21A9A">
        <w:trPr>
          <w:trHeight w:val="33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A9A" w:rsidRPr="00E038E7" w:rsidRDefault="00B21A9A" w:rsidP="00B21A9A">
            <w:pPr>
              <w:jc w:val="left"/>
              <w:rPr>
                <w:rFonts w:cs="Arial"/>
                <w:color w:val="000000"/>
                <w:sz w:val="22"/>
                <w:szCs w:val="22"/>
                <w:lang w:val="it-CH" w:eastAsia="it-CH"/>
              </w:rPr>
            </w:pPr>
            <w:r>
              <w:rPr>
                <w:rFonts w:cs="Arial"/>
                <w:color w:val="000000"/>
                <w:sz w:val="22"/>
                <w:szCs w:val="22"/>
                <w:lang w:val="it-CH" w:eastAsia="it-CH"/>
              </w:rPr>
              <w:t>V</w:t>
            </w:r>
          </w:p>
        </w:tc>
        <w:tc>
          <w:tcPr>
            <w:tcW w:w="6095" w:type="dxa"/>
            <w:tcBorders>
              <w:top w:val="single" w:sz="4" w:space="0" w:color="auto"/>
              <w:left w:val="nil"/>
              <w:bottom w:val="single" w:sz="4" w:space="0" w:color="auto"/>
              <w:right w:val="single" w:sz="4" w:space="0" w:color="auto"/>
            </w:tcBorders>
            <w:shd w:val="clear" w:color="auto" w:fill="auto"/>
            <w:noWrap/>
            <w:vAlign w:val="center"/>
          </w:tcPr>
          <w:p w:rsidR="00B21A9A" w:rsidRPr="00E038E7" w:rsidRDefault="00B21A9A" w:rsidP="00B21A9A">
            <w:pPr>
              <w:rPr>
                <w:rFonts w:cs="Arial"/>
                <w:color w:val="000000"/>
                <w:sz w:val="22"/>
                <w:szCs w:val="22"/>
                <w:lang w:val="it-CH" w:eastAsia="it-CH"/>
              </w:rPr>
            </w:pPr>
            <w:r>
              <w:rPr>
                <w:rFonts w:cs="Arial"/>
                <w:color w:val="000000"/>
                <w:sz w:val="22"/>
                <w:szCs w:val="22"/>
                <w:lang w:val="it-CH" w:eastAsia="it-CH"/>
              </w:rPr>
              <w:t>Progettazione</w:t>
            </w:r>
          </w:p>
        </w:tc>
        <w:tc>
          <w:tcPr>
            <w:tcW w:w="593" w:type="dxa"/>
            <w:tcBorders>
              <w:top w:val="single" w:sz="4" w:space="0" w:color="auto"/>
              <w:left w:val="nil"/>
              <w:bottom w:val="single" w:sz="4" w:space="0" w:color="auto"/>
            </w:tcBorders>
            <w:shd w:val="clear" w:color="auto" w:fill="auto"/>
            <w:noWrap/>
            <w:vAlign w:val="center"/>
          </w:tcPr>
          <w:p w:rsidR="00B21A9A" w:rsidRPr="00E038E7" w:rsidRDefault="00B21A9A" w:rsidP="00B21A9A">
            <w:pPr>
              <w:rPr>
                <w:rFonts w:cs="Arial"/>
                <w:color w:val="000000"/>
                <w:sz w:val="22"/>
                <w:szCs w:val="22"/>
                <w:lang w:val="it-CH" w:eastAsia="it-CH"/>
              </w:rPr>
            </w:pPr>
            <w:r>
              <w:rPr>
                <w:rFonts w:cs="Arial"/>
                <w:color w:val="000000"/>
                <w:sz w:val="22"/>
                <w:szCs w:val="22"/>
                <w:lang w:val="it-CH" w:eastAsia="it-CH"/>
              </w:rPr>
              <w:t>fr.</w:t>
            </w:r>
          </w:p>
        </w:tc>
        <w:tc>
          <w:tcPr>
            <w:tcW w:w="1701" w:type="dxa"/>
            <w:tcBorders>
              <w:top w:val="single" w:sz="4" w:space="0" w:color="auto"/>
              <w:bottom w:val="single" w:sz="4" w:space="0" w:color="auto"/>
              <w:right w:val="single" w:sz="4" w:space="0" w:color="auto"/>
            </w:tcBorders>
            <w:shd w:val="clear" w:color="auto" w:fill="auto"/>
            <w:noWrap/>
            <w:vAlign w:val="center"/>
          </w:tcPr>
          <w:p w:rsidR="00B21A9A" w:rsidRPr="00E038E7" w:rsidRDefault="00B21A9A" w:rsidP="00B21A9A">
            <w:pPr>
              <w:ind w:firstLineChars="100" w:firstLine="220"/>
              <w:jc w:val="right"/>
              <w:rPr>
                <w:rFonts w:cs="Arial"/>
                <w:color w:val="000000"/>
                <w:sz w:val="22"/>
                <w:szCs w:val="22"/>
                <w:lang w:val="it-CH" w:eastAsia="it-CH"/>
              </w:rPr>
            </w:pPr>
            <w:r>
              <w:rPr>
                <w:rFonts w:cs="Arial"/>
                <w:color w:val="000000"/>
                <w:sz w:val="22"/>
                <w:szCs w:val="22"/>
                <w:lang w:val="it-CH" w:eastAsia="it-CH"/>
              </w:rPr>
              <w:t>12'850’000.-</w:t>
            </w:r>
          </w:p>
        </w:tc>
      </w:tr>
      <w:tr w:rsidR="00B21A9A" w:rsidRPr="00D42EA0" w:rsidTr="00B21A9A">
        <w:trPr>
          <w:trHeight w:val="33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A9A" w:rsidRPr="00E038E7" w:rsidRDefault="00B21A9A" w:rsidP="00B21A9A">
            <w:pPr>
              <w:jc w:val="left"/>
              <w:rPr>
                <w:rFonts w:cs="Arial"/>
                <w:color w:val="000000"/>
                <w:sz w:val="22"/>
                <w:szCs w:val="22"/>
                <w:lang w:val="it-CH" w:eastAsia="it-CH"/>
              </w:rPr>
            </w:pPr>
            <w:r>
              <w:rPr>
                <w:rFonts w:cs="Arial"/>
                <w:color w:val="000000"/>
                <w:sz w:val="22"/>
                <w:szCs w:val="22"/>
                <w:lang w:val="it-CH" w:eastAsia="it-CH"/>
              </w:rPr>
              <w:t>W</w:t>
            </w:r>
          </w:p>
        </w:tc>
        <w:tc>
          <w:tcPr>
            <w:tcW w:w="6095" w:type="dxa"/>
            <w:tcBorders>
              <w:top w:val="single" w:sz="4" w:space="0" w:color="auto"/>
              <w:left w:val="nil"/>
              <w:bottom w:val="single" w:sz="4" w:space="0" w:color="auto"/>
              <w:right w:val="single" w:sz="4" w:space="0" w:color="auto"/>
            </w:tcBorders>
            <w:shd w:val="clear" w:color="auto" w:fill="auto"/>
            <w:noWrap/>
            <w:vAlign w:val="center"/>
          </w:tcPr>
          <w:p w:rsidR="00B21A9A" w:rsidRPr="00E038E7" w:rsidRDefault="00B21A9A" w:rsidP="00B21A9A">
            <w:pPr>
              <w:rPr>
                <w:rFonts w:cs="Arial"/>
                <w:color w:val="000000"/>
                <w:sz w:val="22"/>
                <w:szCs w:val="22"/>
                <w:lang w:val="it-CH" w:eastAsia="it-CH"/>
              </w:rPr>
            </w:pPr>
            <w:r>
              <w:rPr>
                <w:rFonts w:cs="Arial"/>
                <w:color w:val="000000"/>
                <w:sz w:val="22"/>
                <w:szCs w:val="22"/>
                <w:lang w:val="it-CH" w:eastAsia="it-CH"/>
              </w:rPr>
              <w:t>Costi secondari</w:t>
            </w:r>
          </w:p>
        </w:tc>
        <w:tc>
          <w:tcPr>
            <w:tcW w:w="593" w:type="dxa"/>
            <w:tcBorders>
              <w:top w:val="single" w:sz="4" w:space="0" w:color="auto"/>
              <w:left w:val="nil"/>
              <w:bottom w:val="single" w:sz="4" w:space="0" w:color="auto"/>
            </w:tcBorders>
            <w:shd w:val="clear" w:color="auto" w:fill="auto"/>
            <w:noWrap/>
            <w:vAlign w:val="center"/>
          </w:tcPr>
          <w:p w:rsidR="00B21A9A" w:rsidRPr="00E038E7" w:rsidRDefault="00B21A9A" w:rsidP="00B21A9A">
            <w:pPr>
              <w:rPr>
                <w:rFonts w:cs="Arial"/>
                <w:color w:val="000000"/>
                <w:sz w:val="22"/>
                <w:szCs w:val="22"/>
                <w:lang w:val="it-CH" w:eastAsia="it-CH"/>
              </w:rPr>
            </w:pPr>
            <w:r>
              <w:rPr>
                <w:rFonts w:cs="Arial"/>
                <w:color w:val="000000"/>
                <w:sz w:val="22"/>
                <w:szCs w:val="22"/>
                <w:lang w:val="it-CH" w:eastAsia="it-CH"/>
              </w:rPr>
              <w:t>fr.</w:t>
            </w:r>
          </w:p>
        </w:tc>
        <w:tc>
          <w:tcPr>
            <w:tcW w:w="1701" w:type="dxa"/>
            <w:tcBorders>
              <w:top w:val="single" w:sz="4" w:space="0" w:color="auto"/>
              <w:bottom w:val="single" w:sz="4" w:space="0" w:color="auto"/>
              <w:right w:val="single" w:sz="4" w:space="0" w:color="auto"/>
            </w:tcBorders>
            <w:shd w:val="clear" w:color="auto" w:fill="auto"/>
            <w:noWrap/>
            <w:vAlign w:val="center"/>
          </w:tcPr>
          <w:p w:rsidR="00B21A9A" w:rsidRPr="00E038E7" w:rsidRDefault="00B21A9A" w:rsidP="00B21A9A">
            <w:pPr>
              <w:ind w:firstLineChars="100" w:firstLine="220"/>
              <w:jc w:val="right"/>
              <w:rPr>
                <w:rFonts w:cs="Arial"/>
                <w:color w:val="000000"/>
                <w:sz w:val="22"/>
                <w:szCs w:val="22"/>
                <w:lang w:val="it-CH" w:eastAsia="it-CH"/>
              </w:rPr>
            </w:pPr>
            <w:r>
              <w:rPr>
                <w:rFonts w:cs="Arial"/>
                <w:color w:val="000000"/>
                <w:sz w:val="22"/>
                <w:szCs w:val="22"/>
                <w:lang w:val="it-CH" w:eastAsia="it-CH"/>
              </w:rPr>
              <w:t>985'000.-</w:t>
            </w:r>
          </w:p>
        </w:tc>
      </w:tr>
      <w:tr w:rsidR="00B21A9A" w:rsidRPr="00D42EA0" w:rsidTr="00B21A9A">
        <w:trPr>
          <w:trHeight w:val="33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A9A" w:rsidRPr="00E038E7" w:rsidRDefault="00B21A9A" w:rsidP="00B21A9A">
            <w:pPr>
              <w:jc w:val="left"/>
              <w:rPr>
                <w:rFonts w:cs="Arial"/>
                <w:color w:val="000000"/>
                <w:sz w:val="22"/>
                <w:szCs w:val="22"/>
                <w:lang w:val="it-CH" w:eastAsia="it-CH"/>
              </w:rPr>
            </w:pPr>
            <w:r>
              <w:rPr>
                <w:rFonts w:cs="Arial"/>
                <w:color w:val="000000"/>
                <w:sz w:val="22"/>
                <w:szCs w:val="22"/>
                <w:lang w:val="it-CH" w:eastAsia="it-CH"/>
              </w:rPr>
              <w:t>Y</w:t>
            </w:r>
          </w:p>
        </w:tc>
        <w:tc>
          <w:tcPr>
            <w:tcW w:w="6095" w:type="dxa"/>
            <w:tcBorders>
              <w:top w:val="single" w:sz="4" w:space="0" w:color="auto"/>
              <w:left w:val="nil"/>
              <w:bottom w:val="single" w:sz="4" w:space="0" w:color="auto"/>
              <w:right w:val="single" w:sz="4" w:space="0" w:color="auto"/>
            </w:tcBorders>
            <w:shd w:val="clear" w:color="auto" w:fill="auto"/>
            <w:noWrap/>
            <w:vAlign w:val="center"/>
          </w:tcPr>
          <w:p w:rsidR="00B21A9A" w:rsidRPr="00E038E7" w:rsidRDefault="00B21A9A" w:rsidP="00B21A9A">
            <w:pPr>
              <w:rPr>
                <w:rFonts w:cs="Arial"/>
                <w:color w:val="000000"/>
                <w:sz w:val="22"/>
                <w:szCs w:val="22"/>
                <w:lang w:val="it-CH" w:eastAsia="it-CH"/>
              </w:rPr>
            </w:pPr>
            <w:r>
              <w:rPr>
                <w:rFonts w:cs="Arial"/>
                <w:color w:val="000000"/>
                <w:sz w:val="22"/>
                <w:szCs w:val="22"/>
                <w:lang w:val="it-CH" w:eastAsia="it-CH"/>
              </w:rPr>
              <w:t>Riserva</w:t>
            </w:r>
          </w:p>
        </w:tc>
        <w:tc>
          <w:tcPr>
            <w:tcW w:w="593" w:type="dxa"/>
            <w:tcBorders>
              <w:top w:val="single" w:sz="4" w:space="0" w:color="auto"/>
              <w:left w:val="nil"/>
              <w:bottom w:val="single" w:sz="4" w:space="0" w:color="auto"/>
            </w:tcBorders>
            <w:shd w:val="clear" w:color="auto" w:fill="auto"/>
            <w:noWrap/>
            <w:vAlign w:val="center"/>
          </w:tcPr>
          <w:p w:rsidR="00B21A9A" w:rsidRPr="00E038E7" w:rsidRDefault="00B21A9A" w:rsidP="00B21A9A">
            <w:pPr>
              <w:rPr>
                <w:rFonts w:cs="Arial"/>
                <w:color w:val="000000"/>
                <w:sz w:val="22"/>
                <w:szCs w:val="22"/>
                <w:lang w:val="it-CH" w:eastAsia="it-CH"/>
              </w:rPr>
            </w:pPr>
            <w:r>
              <w:rPr>
                <w:rFonts w:cs="Arial"/>
                <w:color w:val="000000"/>
                <w:sz w:val="22"/>
                <w:szCs w:val="22"/>
                <w:lang w:val="it-CH" w:eastAsia="it-CH"/>
              </w:rPr>
              <w:t>fr.</w:t>
            </w:r>
          </w:p>
        </w:tc>
        <w:tc>
          <w:tcPr>
            <w:tcW w:w="1701" w:type="dxa"/>
            <w:tcBorders>
              <w:top w:val="single" w:sz="4" w:space="0" w:color="auto"/>
              <w:bottom w:val="single" w:sz="4" w:space="0" w:color="auto"/>
              <w:right w:val="single" w:sz="4" w:space="0" w:color="auto"/>
            </w:tcBorders>
            <w:shd w:val="clear" w:color="auto" w:fill="auto"/>
            <w:noWrap/>
            <w:vAlign w:val="center"/>
          </w:tcPr>
          <w:p w:rsidR="00B21A9A" w:rsidRPr="00E038E7" w:rsidRDefault="00B21A9A" w:rsidP="00B21A9A">
            <w:pPr>
              <w:ind w:firstLineChars="100" w:firstLine="220"/>
              <w:jc w:val="right"/>
              <w:rPr>
                <w:rFonts w:cs="Arial"/>
                <w:color w:val="000000"/>
                <w:sz w:val="22"/>
                <w:szCs w:val="22"/>
                <w:lang w:val="it-CH" w:eastAsia="it-CH"/>
              </w:rPr>
            </w:pPr>
            <w:r>
              <w:rPr>
                <w:rFonts w:cs="Arial"/>
                <w:color w:val="000000"/>
                <w:sz w:val="22"/>
                <w:szCs w:val="22"/>
                <w:lang w:val="it-CH" w:eastAsia="it-CH"/>
              </w:rPr>
              <w:t>2'723'000.-</w:t>
            </w:r>
          </w:p>
        </w:tc>
      </w:tr>
      <w:tr w:rsidR="00B21A9A" w:rsidRPr="00D42EA0" w:rsidTr="00B21A9A">
        <w:trPr>
          <w:trHeight w:val="33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A9A" w:rsidRPr="00CF0A08" w:rsidRDefault="00B21A9A" w:rsidP="00B21A9A">
            <w:pPr>
              <w:jc w:val="left"/>
              <w:rPr>
                <w:rFonts w:cs="Arial"/>
                <w:color w:val="000000"/>
                <w:sz w:val="22"/>
                <w:szCs w:val="22"/>
                <w:lang w:val="it-CH" w:eastAsia="it-CH"/>
              </w:rPr>
            </w:pPr>
            <w:r w:rsidRPr="00CF0A08">
              <w:rPr>
                <w:rFonts w:cs="Arial"/>
                <w:color w:val="000000"/>
                <w:sz w:val="22"/>
                <w:szCs w:val="22"/>
                <w:lang w:val="it-CH" w:eastAsia="it-CH"/>
              </w:rPr>
              <w:t>Z</w:t>
            </w:r>
          </w:p>
        </w:tc>
        <w:tc>
          <w:tcPr>
            <w:tcW w:w="6095" w:type="dxa"/>
            <w:tcBorders>
              <w:top w:val="single" w:sz="4" w:space="0" w:color="auto"/>
              <w:left w:val="nil"/>
              <w:bottom w:val="single" w:sz="4" w:space="0" w:color="auto"/>
              <w:right w:val="single" w:sz="4" w:space="0" w:color="auto"/>
            </w:tcBorders>
            <w:shd w:val="clear" w:color="auto" w:fill="auto"/>
            <w:noWrap/>
            <w:vAlign w:val="center"/>
          </w:tcPr>
          <w:p w:rsidR="00B21A9A" w:rsidRPr="00CF0A08" w:rsidRDefault="00B21A9A" w:rsidP="00B21A9A">
            <w:pPr>
              <w:rPr>
                <w:rFonts w:cs="Arial"/>
                <w:color w:val="000000"/>
                <w:sz w:val="22"/>
                <w:szCs w:val="22"/>
                <w:lang w:val="it-CH" w:eastAsia="it-CH"/>
              </w:rPr>
            </w:pPr>
            <w:r w:rsidRPr="00CF0A08">
              <w:rPr>
                <w:rFonts w:cs="Arial"/>
                <w:color w:val="000000"/>
                <w:sz w:val="22"/>
                <w:szCs w:val="22"/>
                <w:lang w:val="it-CH" w:eastAsia="it-CH"/>
              </w:rPr>
              <w:t>IVA 8%</w:t>
            </w:r>
            <w:r>
              <w:rPr>
                <w:rFonts w:cs="Arial"/>
                <w:b/>
                <w:color w:val="000000"/>
                <w:sz w:val="22"/>
                <w:szCs w:val="22"/>
                <w:vertAlign w:val="superscript"/>
                <w:lang w:val="it-CH" w:eastAsia="it-CH"/>
              </w:rPr>
              <w:t>1</w:t>
            </w:r>
          </w:p>
        </w:tc>
        <w:tc>
          <w:tcPr>
            <w:tcW w:w="593" w:type="dxa"/>
            <w:tcBorders>
              <w:top w:val="single" w:sz="4" w:space="0" w:color="auto"/>
              <w:left w:val="nil"/>
              <w:bottom w:val="single" w:sz="4" w:space="0" w:color="auto"/>
            </w:tcBorders>
            <w:shd w:val="clear" w:color="auto" w:fill="auto"/>
            <w:noWrap/>
            <w:vAlign w:val="center"/>
          </w:tcPr>
          <w:p w:rsidR="00B21A9A" w:rsidRPr="00CF0A08" w:rsidRDefault="00B21A9A" w:rsidP="00B21A9A">
            <w:pPr>
              <w:rPr>
                <w:rFonts w:cs="Arial"/>
                <w:color w:val="000000"/>
                <w:sz w:val="22"/>
                <w:szCs w:val="22"/>
                <w:lang w:val="it-CH" w:eastAsia="it-CH"/>
              </w:rPr>
            </w:pPr>
            <w:r w:rsidRPr="00CF0A08">
              <w:rPr>
                <w:rFonts w:cs="Arial"/>
                <w:color w:val="000000"/>
                <w:sz w:val="22"/>
                <w:szCs w:val="22"/>
                <w:lang w:val="it-CH" w:eastAsia="it-CH"/>
              </w:rPr>
              <w:t>fr.</w:t>
            </w:r>
          </w:p>
        </w:tc>
        <w:tc>
          <w:tcPr>
            <w:tcW w:w="1701" w:type="dxa"/>
            <w:tcBorders>
              <w:top w:val="single" w:sz="4" w:space="0" w:color="auto"/>
              <w:bottom w:val="single" w:sz="4" w:space="0" w:color="auto"/>
              <w:right w:val="single" w:sz="4" w:space="0" w:color="auto"/>
            </w:tcBorders>
            <w:shd w:val="clear" w:color="auto" w:fill="auto"/>
            <w:noWrap/>
            <w:vAlign w:val="center"/>
          </w:tcPr>
          <w:p w:rsidR="00B21A9A" w:rsidRPr="00E038E7" w:rsidRDefault="00B21A9A" w:rsidP="00B21A9A">
            <w:pPr>
              <w:ind w:firstLineChars="100" w:firstLine="220"/>
              <w:jc w:val="right"/>
              <w:rPr>
                <w:rFonts w:cs="Arial"/>
                <w:color w:val="000000"/>
                <w:sz w:val="22"/>
                <w:szCs w:val="22"/>
                <w:lang w:val="it-CH" w:eastAsia="it-CH"/>
              </w:rPr>
            </w:pPr>
            <w:r w:rsidRPr="00CF0A08">
              <w:rPr>
                <w:rFonts w:cs="Arial"/>
                <w:color w:val="000000"/>
                <w:sz w:val="22"/>
                <w:szCs w:val="22"/>
                <w:lang w:val="it-CH" w:eastAsia="it-CH"/>
              </w:rPr>
              <w:t>6'186'000.-</w:t>
            </w:r>
          </w:p>
        </w:tc>
      </w:tr>
      <w:tr w:rsidR="00B21A9A" w:rsidRPr="00D42EA0" w:rsidTr="00B21A9A">
        <w:trPr>
          <w:trHeight w:val="330"/>
        </w:trPr>
        <w:tc>
          <w:tcPr>
            <w:tcW w:w="73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21A9A" w:rsidRPr="00325DD6" w:rsidRDefault="00B21A9A" w:rsidP="00B21A9A">
            <w:pPr>
              <w:rPr>
                <w:rFonts w:cs="Arial"/>
                <w:b/>
                <w:color w:val="000000"/>
                <w:sz w:val="22"/>
                <w:szCs w:val="22"/>
                <w:lang w:val="it-CH" w:eastAsia="it-CH"/>
              </w:rPr>
            </w:pPr>
            <w:r w:rsidRPr="00325DD6">
              <w:rPr>
                <w:rFonts w:cs="Arial"/>
                <w:b/>
                <w:color w:val="000000"/>
                <w:sz w:val="22"/>
                <w:szCs w:val="22"/>
                <w:lang w:val="it-CH" w:eastAsia="it-CH"/>
              </w:rPr>
              <w:t>Totale (IVA inclusa)</w:t>
            </w:r>
            <w:r>
              <w:rPr>
                <w:rFonts w:cs="Arial"/>
                <w:b/>
                <w:color w:val="000000"/>
                <w:sz w:val="22"/>
                <w:szCs w:val="22"/>
                <w:vertAlign w:val="superscript"/>
                <w:lang w:val="it-CH" w:eastAsia="it-CH"/>
              </w:rPr>
              <w:t>2</w:t>
            </w:r>
            <w:r w:rsidRPr="00325DD6">
              <w:rPr>
                <w:rFonts w:cs="Arial"/>
                <w:b/>
                <w:color w:val="000000"/>
                <w:sz w:val="22"/>
                <w:szCs w:val="22"/>
                <w:lang w:val="it-CH" w:eastAsia="it-CH"/>
              </w:rPr>
              <w:t xml:space="preserve"> </w:t>
            </w:r>
            <w:r>
              <w:rPr>
                <w:rFonts w:cs="Arial"/>
                <w:b/>
                <w:color w:val="000000"/>
                <w:sz w:val="22"/>
                <w:szCs w:val="22"/>
                <w:lang w:val="it-CH" w:eastAsia="it-CH"/>
              </w:rPr>
              <w:t>±15%</w:t>
            </w:r>
          </w:p>
        </w:tc>
        <w:tc>
          <w:tcPr>
            <w:tcW w:w="593" w:type="dxa"/>
            <w:tcBorders>
              <w:top w:val="single" w:sz="4" w:space="0" w:color="auto"/>
              <w:left w:val="nil"/>
              <w:bottom w:val="single" w:sz="4" w:space="0" w:color="auto"/>
            </w:tcBorders>
            <w:shd w:val="clear" w:color="auto" w:fill="BFBFBF" w:themeFill="background1" w:themeFillShade="BF"/>
            <w:noWrap/>
            <w:vAlign w:val="center"/>
            <w:hideMark/>
          </w:tcPr>
          <w:p w:rsidR="00B21A9A" w:rsidRPr="00325DD6" w:rsidRDefault="00B21A9A" w:rsidP="00B21A9A">
            <w:pPr>
              <w:rPr>
                <w:rFonts w:cs="Arial"/>
                <w:b/>
                <w:color w:val="000000"/>
                <w:sz w:val="22"/>
                <w:szCs w:val="22"/>
                <w:lang w:val="it-CH" w:eastAsia="it-CH"/>
              </w:rPr>
            </w:pPr>
            <w:r w:rsidRPr="00325DD6">
              <w:rPr>
                <w:rFonts w:cs="Arial"/>
                <w:b/>
                <w:color w:val="000000"/>
                <w:sz w:val="22"/>
                <w:szCs w:val="22"/>
                <w:lang w:val="it-CH" w:eastAsia="it-CH"/>
              </w:rPr>
              <w:t>fr.</w:t>
            </w:r>
          </w:p>
        </w:tc>
        <w:tc>
          <w:tcPr>
            <w:tcW w:w="1701" w:type="dxa"/>
            <w:tcBorders>
              <w:top w:val="single" w:sz="4" w:space="0" w:color="auto"/>
              <w:bottom w:val="single" w:sz="4" w:space="0" w:color="auto"/>
              <w:right w:val="single" w:sz="4" w:space="0" w:color="auto"/>
            </w:tcBorders>
            <w:shd w:val="clear" w:color="auto" w:fill="BFBFBF" w:themeFill="background1" w:themeFillShade="BF"/>
            <w:noWrap/>
            <w:vAlign w:val="center"/>
          </w:tcPr>
          <w:p w:rsidR="00B21A9A" w:rsidRPr="00325DD6" w:rsidRDefault="00B21A9A" w:rsidP="00B21A9A">
            <w:pPr>
              <w:ind w:firstLineChars="100" w:firstLine="220"/>
              <w:jc w:val="right"/>
              <w:rPr>
                <w:rFonts w:cs="Arial"/>
                <w:b/>
                <w:color w:val="000000"/>
                <w:sz w:val="22"/>
                <w:szCs w:val="22"/>
                <w:lang w:val="it-CH" w:eastAsia="it-CH"/>
              </w:rPr>
            </w:pPr>
            <w:r w:rsidRPr="00325DD6">
              <w:rPr>
                <w:rFonts w:cs="Arial"/>
                <w:b/>
                <w:color w:val="000000"/>
                <w:sz w:val="22"/>
                <w:szCs w:val="22"/>
                <w:lang w:val="it-CH" w:eastAsia="it-CH"/>
              </w:rPr>
              <w:t>83'508’000.-</w:t>
            </w:r>
          </w:p>
        </w:tc>
      </w:tr>
    </w:tbl>
    <w:p w:rsidR="00B21A9A" w:rsidRPr="00EA52C1" w:rsidRDefault="00B21A9A" w:rsidP="00B260F8">
      <w:pPr>
        <w:spacing w:before="80"/>
        <w:rPr>
          <w:sz w:val="18"/>
          <w:szCs w:val="18"/>
          <w:lang w:val="it-CH" w:eastAsia="it-CH"/>
        </w:rPr>
      </w:pPr>
      <w:r w:rsidRPr="00EA52C1">
        <w:rPr>
          <w:sz w:val="18"/>
          <w:szCs w:val="18"/>
          <w:vertAlign w:val="superscript"/>
          <w:lang w:val="it-CH" w:eastAsia="it-CH"/>
        </w:rPr>
        <w:t xml:space="preserve">1 </w:t>
      </w:r>
      <w:r w:rsidRPr="00EA52C1">
        <w:rPr>
          <w:sz w:val="18"/>
          <w:szCs w:val="18"/>
          <w:lang w:val="it-CH" w:eastAsia="it-CH"/>
        </w:rPr>
        <w:t>Il</w:t>
      </w:r>
      <w:r>
        <w:rPr>
          <w:sz w:val="18"/>
          <w:szCs w:val="18"/>
          <w:lang w:val="it-CH" w:eastAsia="it-CH"/>
        </w:rPr>
        <w:t xml:space="preserve"> preventivo è antecedente alla modifica dell’aliquota IVA</w:t>
      </w:r>
    </w:p>
    <w:p w:rsidR="00B21A9A" w:rsidRPr="00EA52C1" w:rsidRDefault="00B21A9A" w:rsidP="00B21A9A">
      <w:pPr>
        <w:rPr>
          <w:sz w:val="18"/>
          <w:szCs w:val="18"/>
          <w:lang w:val="it-CH" w:eastAsia="it-CH"/>
        </w:rPr>
      </w:pPr>
      <w:r>
        <w:rPr>
          <w:sz w:val="18"/>
          <w:szCs w:val="18"/>
          <w:vertAlign w:val="superscript"/>
          <w:lang w:val="it-CH" w:eastAsia="it-CH"/>
        </w:rPr>
        <w:t>2</w:t>
      </w:r>
      <w:r w:rsidRPr="00EA52C1">
        <w:rPr>
          <w:sz w:val="18"/>
          <w:szCs w:val="18"/>
          <w:vertAlign w:val="superscript"/>
          <w:lang w:val="it-CH" w:eastAsia="it-CH"/>
        </w:rPr>
        <w:t xml:space="preserve"> </w:t>
      </w:r>
      <w:r w:rsidRPr="00EA52C1">
        <w:rPr>
          <w:sz w:val="18"/>
          <w:szCs w:val="18"/>
          <w:lang w:val="it-CH" w:eastAsia="it-CH"/>
        </w:rPr>
        <w:t>Il</w:t>
      </w:r>
      <w:r>
        <w:rPr>
          <w:sz w:val="18"/>
          <w:szCs w:val="18"/>
          <w:lang w:val="it-CH" w:eastAsia="it-CH"/>
        </w:rPr>
        <w:t xml:space="preserve"> preventivo dei progettisti prevede un grado di precisione del +/- 15%</w:t>
      </w:r>
    </w:p>
    <w:p w:rsidR="00B21A9A" w:rsidRDefault="00B21A9A" w:rsidP="00B21A9A">
      <w:pPr>
        <w:rPr>
          <w:lang w:val="it-CH" w:eastAsia="it-CH"/>
        </w:rPr>
      </w:pPr>
    </w:p>
    <w:p w:rsidR="00B21A9A" w:rsidRDefault="00B21A9A" w:rsidP="00B21A9A">
      <w:pPr>
        <w:rPr>
          <w:lang w:val="it-CH" w:eastAsia="it-CH"/>
        </w:rPr>
      </w:pPr>
      <w:r>
        <w:rPr>
          <w:lang w:val="it-CH" w:eastAsia="it-CH"/>
        </w:rPr>
        <w:t xml:space="preserve">Questi costi includono la fase 1, cioè </w:t>
      </w:r>
      <w:r>
        <w:t xml:space="preserve">l’installazione della Gendarmeria e della Polizia giudiziaria in provvisorio nel blocco A </w:t>
      </w:r>
      <w:r>
        <w:rPr>
          <w:lang w:val="it-CH" w:eastAsia="it-CH"/>
        </w:rPr>
        <w:t>e le integrazioni di progetto quali la strada coattiva e la passerella tra il blocco C e D; ma escludono i costi per la gestione esterna delle celle durante la fase provvisoria in blocco A, la predisposizione di spazi esterni al PGL, affitti o altro, per la sistemazione provvisoria dei servizi che dovranno uscire dal complesso durante l’esecuzione dei lavori, l’insediamento provvisorio della Magistratura dei minorenni nel blocco A e i costi d’informatica relativi al progetto d’istallazione del Centro sistemi informativi (CSI) – nodo del luganese.</w:t>
      </w:r>
    </w:p>
    <w:p w:rsidR="00B21A9A" w:rsidRPr="00B260F8" w:rsidRDefault="00B21A9A" w:rsidP="00B21A9A">
      <w:pPr>
        <w:rPr>
          <w:sz w:val="18"/>
          <w:szCs w:val="18"/>
          <w:lang w:val="it-CH" w:eastAsia="it-CH"/>
        </w:rPr>
      </w:pPr>
    </w:p>
    <w:p w:rsidR="00B21A9A" w:rsidRDefault="00B21A9A" w:rsidP="00B21A9A">
      <w:pPr>
        <w:rPr>
          <w:lang w:val="it-CH" w:eastAsia="it-CH"/>
        </w:rPr>
      </w:pPr>
      <w:r>
        <w:rPr>
          <w:lang w:val="it-CH" w:eastAsia="it-CH"/>
        </w:rPr>
        <w:t>I costi di progettazione saranno a carico dell’investimento a partire dal 2024 e saranno richiesti con il messaggio di richiesta del credito d’investimento per la ristrutturazione dell’edificio ex Banca del Gottardo. I costi di ristrutturazione architettonica e tecnica per il Palazzo di giustizia saranno richiesti nell’anno 2027, nello stesso anno si prevede di operare con i traslochi provvisori, come descritto al punto 5.2.</w:t>
      </w:r>
    </w:p>
    <w:p w:rsidR="00A85314" w:rsidRDefault="00A85314" w:rsidP="00B21A9A">
      <w:pPr>
        <w:rPr>
          <w:lang w:val="it-CH" w:eastAsia="it-CH"/>
        </w:rPr>
      </w:pPr>
    </w:p>
    <w:p w:rsidR="00B21A9A" w:rsidRPr="00CE748E" w:rsidRDefault="00B21A9A" w:rsidP="00B21A9A">
      <w:pPr>
        <w:pStyle w:val="Titolo3"/>
        <w:rPr>
          <w:lang w:val="it-CH" w:eastAsia="it-CH"/>
        </w:rPr>
      </w:pPr>
      <w:r>
        <w:rPr>
          <w:lang w:val="it-CH" w:eastAsia="it-CH"/>
        </w:rPr>
        <w:t>6.3.2</w:t>
      </w:r>
      <w:r>
        <w:rPr>
          <w:lang w:val="it-CH" w:eastAsia="it-CH"/>
        </w:rPr>
        <w:tab/>
      </w:r>
      <w:r w:rsidRPr="00563A0D">
        <w:rPr>
          <w:lang w:val="it-CH" w:eastAsia="it-CH"/>
        </w:rPr>
        <w:t>Costi di adeguamento</w:t>
      </w:r>
      <w:r>
        <w:rPr>
          <w:lang w:val="it-CH" w:eastAsia="it-CH"/>
        </w:rPr>
        <w:t xml:space="preserve"> sede provvisoria</w:t>
      </w:r>
    </w:p>
    <w:p w:rsidR="00B21A9A" w:rsidRDefault="00B21A9A" w:rsidP="00B21A9A">
      <w:pPr>
        <w:rPr>
          <w:lang w:val="it-CH" w:eastAsia="it-CH"/>
        </w:rPr>
      </w:pPr>
      <w:r>
        <w:rPr>
          <w:lang w:val="it-CH" w:eastAsia="it-CH"/>
        </w:rPr>
        <w:t>Per lo stabile Bossi, quale ipotesi di lavoro, è stato considerato un investimento di ristrutturazione e adeguamento necessari all’attuazione dell’insediamento provvisorio del Ministero pubblico per un valore stimato di circa 5'000'000.- di franchi, di cui 490'000.- franchi per gli onorari di progettazione</w:t>
      </w:r>
      <w:r w:rsidRPr="00CE3059">
        <w:rPr>
          <w:lang w:val="it-CH" w:eastAsia="it-CH"/>
        </w:rPr>
        <w:t>.</w:t>
      </w:r>
    </w:p>
    <w:p w:rsidR="00B21A9A" w:rsidRDefault="00B21A9A" w:rsidP="00B21A9A">
      <w:pPr>
        <w:rPr>
          <w:lang w:val="it-CH" w:eastAsia="it-CH"/>
        </w:rPr>
      </w:pPr>
    </w:p>
    <w:tbl>
      <w:tblPr>
        <w:tblW w:w="9654" w:type="dxa"/>
        <w:tblInd w:w="55" w:type="dxa"/>
        <w:tblCellMar>
          <w:left w:w="70" w:type="dxa"/>
          <w:right w:w="70" w:type="dxa"/>
        </w:tblCellMar>
        <w:tblLook w:val="04A0" w:firstRow="1" w:lastRow="0" w:firstColumn="1" w:lastColumn="0" w:noHBand="0" w:noVBand="1"/>
      </w:tblPr>
      <w:tblGrid>
        <w:gridCol w:w="1291"/>
        <w:gridCol w:w="6095"/>
        <w:gridCol w:w="567"/>
        <w:gridCol w:w="1701"/>
      </w:tblGrid>
      <w:tr w:rsidR="00B21A9A" w:rsidRPr="00325DD6" w:rsidTr="00B21A9A">
        <w:trPr>
          <w:trHeight w:val="330"/>
        </w:trPr>
        <w:tc>
          <w:tcPr>
            <w:tcW w:w="73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21A9A" w:rsidRPr="00325DD6" w:rsidRDefault="00B21A9A" w:rsidP="00B21A9A">
            <w:pPr>
              <w:rPr>
                <w:rFonts w:cs="Arial"/>
                <w:b/>
                <w:color w:val="000000"/>
                <w:sz w:val="22"/>
                <w:szCs w:val="22"/>
                <w:lang w:val="it-CH" w:eastAsia="it-CH"/>
              </w:rPr>
            </w:pPr>
            <w:r w:rsidRPr="00325DD6">
              <w:rPr>
                <w:rFonts w:cs="Arial"/>
                <w:b/>
                <w:color w:val="000000"/>
                <w:sz w:val="22"/>
                <w:szCs w:val="22"/>
                <w:lang w:val="it-CH" w:eastAsia="it-CH"/>
              </w:rPr>
              <w:t>Descrizione</w:t>
            </w:r>
          </w:p>
        </w:tc>
        <w:tc>
          <w:tcPr>
            <w:tcW w:w="567" w:type="dxa"/>
            <w:tcBorders>
              <w:top w:val="single" w:sz="4" w:space="0" w:color="auto"/>
              <w:left w:val="nil"/>
              <w:bottom w:val="single" w:sz="4" w:space="0" w:color="auto"/>
            </w:tcBorders>
            <w:shd w:val="clear" w:color="auto" w:fill="BFBFBF" w:themeFill="background1" w:themeFillShade="BF"/>
            <w:noWrap/>
            <w:vAlign w:val="center"/>
          </w:tcPr>
          <w:p w:rsidR="00B21A9A" w:rsidRPr="00325DD6" w:rsidRDefault="00B21A9A" w:rsidP="00B21A9A">
            <w:pPr>
              <w:rPr>
                <w:rFonts w:cs="Arial"/>
                <w:b/>
                <w:color w:val="000000"/>
                <w:sz w:val="22"/>
                <w:szCs w:val="22"/>
                <w:lang w:val="it-CH" w:eastAsia="it-CH"/>
              </w:rPr>
            </w:pPr>
          </w:p>
        </w:tc>
        <w:tc>
          <w:tcPr>
            <w:tcW w:w="1701" w:type="dxa"/>
            <w:tcBorders>
              <w:top w:val="single" w:sz="4" w:space="0" w:color="auto"/>
              <w:bottom w:val="single" w:sz="4" w:space="0" w:color="auto"/>
              <w:right w:val="single" w:sz="4" w:space="0" w:color="auto"/>
            </w:tcBorders>
            <w:shd w:val="clear" w:color="auto" w:fill="BFBFBF" w:themeFill="background1" w:themeFillShade="BF"/>
            <w:noWrap/>
            <w:vAlign w:val="center"/>
          </w:tcPr>
          <w:p w:rsidR="00B21A9A" w:rsidRPr="00325DD6" w:rsidRDefault="00B21A9A" w:rsidP="00B21A9A">
            <w:pPr>
              <w:ind w:firstLineChars="100" w:firstLine="220"/>
              <w:jc w:val="right"/>
              <w:rPr>
                <w:rFonts w:cs="Arial"/>
                <w:b/>
                <w:color w:val="000000"/>
                <w:sz w:val="22"/>
                <w:szCs w:val="22"/>
                <w:lang w:val="it-CH" w:eastAsia="it-CH"/>
              </w:rPr>
            </w:pPr>
            <w:r w:rsidRPr="00325DD6">
              <w:rPr>
                <w:rFonts w:cs="Arial"/>
                <w:b/>
                <w:color w:val="000000"/>
                <w:sz w:val="22"/>
                <w:szCs w:val="22"/>
                <w:lang w:val="it-CH" w:eastAsia="it-CH"/>
              </w:rPr>
              <w:t>Importo</w:t>
            </w:r>
          </w:p>
        </w:tc>
      </w:tr>
      <w:tr w:rsidR="00B21A9A" w:rsidRPr="00E038E7" w:rsidTr="00B21A9A">
        <w:trPr>
          <w:trHeight w:val="33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A9A" w:rsidRPr="00E038E7" w:rsidRDefault="00B21A9A" w:rsidP="00B21A9A">
            <w:pPr>
              <w:rPr>
                <w:rFonts w:cs="Arial"/>
                <w:color w:val="000000"/>
                <w:sz w:val="22"/>
                <w:szCs w:val="22"/>
                <w:lang w:val="it-CH" w:eastAsia="it-CH"/>
              </w:rPr>
            </w:pPr>
            <w:r>
              <w:rPr>
                <w:rFonts w:cs="Arial"/>
                <w:color w:val="000000"/>
                <w:sz w:val="22"/>
                <w:szCs w:val="22"/>
                <w:lang w:val="it-CH" w:eastAsia="it-CH"/>
              </w:rPr>
              <w:t xml:space="preserve">D e G </w:t>
            </w:r>
          </w:p>
        </w:tc>
        <w:tc>
          <w:tcPr>
            <w:tcW w:w="6095" w:type="dxa"/>
            <w:tcBorders>
              <w:top w:val="single" w:sz="4" w:space="0" w:color="auto"/>
              <w:left w:val="nil"/>
              <w:bottom w:val="single" w:sz="4" w:space="0" w:color="auto"/>
              <w:right w:val="single" w:sz="4" w:space="0" w:color="auto"/>
            </w:tcBorders>
            <w:shd w:val="clear" w:color="auto" w:fill="auto"/>
            <w:noWrap/>
            <w:vAlign w:val="center"/>
          </w:tcPr>
          <w:p w:rsidR="00B21A9A" w:rsidRPr="00E038E7" w:rsidRDefault="00B21A9A" w:rsidP="00B21A9A">
            <w:pPr>
              <w:rPr>
                <w:rFonts w:cs="Arial"/>
                <w:color w:val="000000"/>
                <w:sz w:val="22"/>
                <w:szCs w:val="22"/>
                <w:lang w:val="it-CH" w:eastAsia="it-CH"/>
              </w:rPr>
            </w:pPr>
            <w:r>
              <w:rPr>
                <w:rFonts w:cs="Arial"/>
                <w:color w:val="000000"/>
                <w:sz w:val="22"/>
                <w:szCs w:val="22"/>
                <w:lang w:val="it-CH" w:eastAsia="it-CH"/>
              </w:rPr>
              <w:t>Adeguamento interno – murature, impianti, finiture</w:t>
            </w:r>
            <w:r w:rsidRPr="00E038E7">
              <w:rPr>
                <w:rFonts w:cs="Arial"/>
                <w:color w:val="000000"/>
                <w:sz w:val="22"/>
                <w:szCs w:val="22"/>
                <w:lang w:val="it-CH" w:eastAsia="it-CH"/>
              </w:rPr>
              <w:t xml:space="preserve"> </w:t>
            </w:r>
          </w:p>
        </w:tc>
        <w:tc>
          <w:tcPr>
            <w:tcW w:w="567" w:type="dxa"/>
            <w:tcBorders>
              <w:top w:val="single" w:sz="4" w:space="0" w:color="auto"/>
              <w:left w:val="nil"/>
              <w:bottom w:val="single" w:sz="4" w:space="0" w:color="auto"/>
            </w:tcBorders>
            <w:shd w:val="clear" w:color="auto" w:fill="auto"/>
            <w:noWrap/>
            <w:vAlign w:val="center"/>
          </w:tcPr>
          <w:p w:rsidR="00B21A9A" w:rsidRPr="00E038E7" w:rsidRDefault="00B21A9A" w:rsidP="00B21A9A">
            <w:pPr>
              <w:rPr>
                <w:rFonts w:cs="Arial"/>
                <w:color w:val="000000"/>
                <w:sz w:val="22"/>
                <w:szCs w:val="22"/>
                <w:lang w:val="it-CH" w:eastAsia="it-CH"/>
              </w:rPr>
            </w:pPr>
            <w:r>
              <w:rPr>
                <w:rFonts w:cs="Arial"/>
                <w:color w:val="000000"/>
                <w:sz w:val="22"/>
                <w:szCs w:val="22"/>
                <w:lang w:val="it-CH" w:eastAsia="it-CH"/>
              </w:rPr>
              <w:t>fr.</w:t>
            </w:r>
          </w:p>
        </w:tc>
        <w:tc>
          <w:tcPr>
            <w:tcW w:w="1701" w:type="dxa"/>
            <w:tcBorders>
              <w:top w:val="single" w:sz="4" w:space="0" w:color="auto"/>
              <w:bottom w:val="single" w:sz="4" w:space="0" w:color="auto"/>
              <w:right w:val="single" w:sz="4" w:space="0" w:color="auto"/>
            </w:tcBorders>
            <w:shd w:val="clear" w:color="auto" w:fill="auto"/>
            <w:noWrap/>
            <w:vAlign w:val="center"/>
          </w:tcPr>
          <w:p w:rsidR="00B21A9A" w:rsidRPr="00E038E7" w:rsidRDefault="00B21A9A" w:rsidP="00B21A9A">
            <w:pPr>
              <w:ind w:firstLineChars="100" w:firstLine="220"/>
              <w:jc w:val="right"/>
              <w:rPr>
                <w:rFonts w:cs="Arial"/>
                <w:color w:val="000000"/>
                <w:sz w:val="22"/>
                <w:szCs w:val="22"/>
                <w:lang w:val="it-CH" w:eastAsia="it-CH"/>
              </w:rPr>
            </w:pPr>
            <w:r>
              <w:rPr>
                <w:rFonts w:cs="Arial"/>
                <w:color w:val="000000"/>
                <w:sz w:val="22"/>
                <w:szCs w:val="22"/>
                <w:lang w:val="it-CH" w:eastAsia="it-CH"/>
              </w:rPr>
              <w:t>1’010'000.-</w:t>
            </w:r>
          </w:p>
        </w:tc>
      </w:tr>
      <w:tr w:rsidR="00B21A9A" w:rsidRPr="00E038E7" w:rsidTr="00B21A9A">
        <w:trPr>
          <w:trHeight w:val="33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A9A" w:rsidRPr="00E038E7" w:rsidRDefault="00B21A9A" w:rsidP="00B21A9A">
            <w:pPr>
              <w:rPr>
                <w:rFonts w:cs="Arial"/>
                <w:color w:val="000000"/>
                <w:sz w:val="22"/>
                <w:szCs w:val="22"/>
                <w:lang w:val="it-CH" w:eastAsia="it-CH"/>
              </w:rPr>
            </w:pPr>
            <w:r>
              <w:rPr>
                <w:rFonts w:cs="Arial"/>
                <w:color w:val="000000"/>
                <w:sz w:val="22"/>
                <w:szCs w:val="22"/>
                <w:lang w:val="it-CH" w:eastAsia="it-CH"/>
              </w:rPr>
              <w:t>SL</w:t>
            </w:r>
          </w:p>
        </w:tc>
        <w:tc>
          <w:tcPr>
            <w:tcW w:w="6095" w:type="dxa"/>
            <w:tcBorders>
              <w:top w:val="single" w:sz="4" w:space="0" w:color="auto"/>
              <w:left w:val="nil"/>
              <w:bottom w:val="single" w:sz="4" w:space="0" w:color="auto"/>
              <w:right w:val="single" w:sz="4" w:space="0" w:color="auto"/>
            </w:tcBorders>
            <w:shd w:val="clear" w:color="auto" w:fill="auto"/>
            <w:noWrap/>
            <w:vAlign w:val="center"/>
          </w:tcPr>
          <w:p w:rsidR="00B21A9A" w:rsidRPr="00E038E7" w:rsidRDefault="00B21A9A" w:rsidP="00B21A9A">
            <w:pPr>
              <w:rPr>
                <w:rFonts w:cs="Arial"/>
                <w:color w:val="000000"/>
                <w:sz w:val="22"/>
                <w:szCs w:val="22"/>
                <w:lang w:val="it-CH" w:eastAsia="it-CH"/>
              </w:rPr>
            </w:pPr>
            <w:r>
              <w:rPr>
                <w:rFonts w:cs="Arial"/>
                <w:color w:val="000000"/>
                <w:sz w:val="22"/>
                <w:szCs w:val="22"/>
                <w:lang w:val="it-CH" w:eastAsia="it-CH"/>
              </w:rPr>
              <w:t>Accessi, arredamento, CEAP, segnaletica e trasporti</w:t>
            </w:r>
            <w:r w:rsidRPr="00E038E7">
              <w:rPr>
                <w:rFonts w:cs="Arial"/>
                <w:color w:val="000000"/>
                <w:sz w:val="22"/>
                <w:szCs w:val="22"/>
                <w:lang w:val="it-CH" w:eastAsia="it-CH"/>
              </w:rPr>
              <w:t xml:space="preserve"> </w:t>
            </w:r>
          </w:p>
        </w:tc>
        <w:tc>
          <w:tcPr>
            <w:tcW w:w="567" w:type="dxa"/>
            <w:tcBorders>
              <w:top w:val="single" w:sz="4" w:space="0" w:color="auto"/>
              <w:left w:val="nil"/>
              <w:bottom w:val="single" w:sz="4" w:space="0" w:color="auto"/>
            </w:tcBorders>
            <w:shd w:val="clear" w:color="auto" w:fill="auto"/>
            <w:noWrap/>
            <w:vAlign w:val="center"/>
          </w:tcPr>
          <w:p w:rsidR="00B21A9A" w:rsidRPr="00E038E7" w:rsidRDefault="00B21A9A" w:rsidP="00B21A9A">
            <w:pPr>
              <w:rPr>
                <w:rFonts w:cs="Arial"/>
                <w:color w:val="000000"/>
                <w:sz w:val="22"/>
                <w:szCs w:val="22"/>
                <w:lang w:val="it-CH" w:eastAsia="it-CH"/>
              </w:rPr>
            </w:pPr>
            <w:r>
              <w:rPr>
                <w:rFonts w:cs="Arial"/>
                <w:color w:val="000000"/>
                <w:sz w:val="22"/>
                <w:szCs w:val="22"/>
                <w:lang w:val="it-CH" w:eastAsia="it-CH"/>
              </w:rPr>
              <w:t>fr.</w:t>
            </w:r>
          </w:p>
        </w:tc>
        <w:tc>
          <w:tcPr>
            <w:tcW w:w="1701" w:type="dxa"/>
            <w:tcBorders>
              <w:top w:val="single" w:sz="4" w:space="0" w:color="auto"/>
              <w:bottom w:val="single" w:sz="4" w:space="0" w:color="auto"/>
              <w:right w:val="single" w:sz="4" w:space="0" w:color="auto"/>
            </w:tcBorders>
            <w:shd w:val="clear" w:color="auto" w:fill="auto"/>
            <w:noWrap/>
            <w:vAlign w:val="center"/>
          </w:tcPr>
          <w:p w:rsidR="00B21A9A" w:rsidRPr="00E038E7" w:rsidRDefault="00B21A9A" w:rsidP="00B21A9A">
            <w:pPr>
              <w:ind w:firstLineChars="100" w:firstLine="220"/>
              <w:jc w:val="right"/>
              <w:rPr>
                <w:rFonts w:cs="Arial"/>
                <w:color w:val="000000"/>
                <w:sz w:val="22"/>
                <w:szCs w:val="22"/>
                <w:lang w:val="it-CH" w:eastAsia="it-CH"/>
              </w:rPr>
            </w:pPr>
            <w:r>
              <w:rPr>
                <w:rFonts w:cs="Arial"/>
                <w:color w:val="000000"/>
                <w:sz w:val="22"/>
                <w:szCs w:val="22"/>
                <w:lang w:val="it-CH" w:eastAsia="it-CH"/>
              </w:rPr>
              <w:t>3’000'000.-</w:t>
            </w:r>
          </w:p>
        </w:tc>
      </w:tr>
      <w:tr w:rsidR="00B21A9A" w:rsidRPr="00E038E7" w:rsidTr="00B21A9A">
        <w:trPr>
          <w:trHeight w:val="33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A9A" w:rsidRPr="00E038E7" w:rsidRDefault="00B21A9A" w:rsidP="00B21A9A">
            <w:pPr>
              <w:jc w:val="left"/>
              <w:rPr>
                <w:rFonts w:cs="Arial"/>
                <w:color w:val="000000"/>
                <w:sz w:val="22"/>
                <w:szCs w:val="22"/>
                <w:lang w:val="it-CH" w:eastAsia="it-CH"/>
              </w:rPr>
            </w:pPr>
            <w:r w:rsidRPr="00E038E7">
              <w:rPr>
                <w:rFonts w:cs="Arial"/>
                <w:color w:val="000000"/>
                <w:sz w:val="22"/>
                <w:szCs w:val="22"/>
                <w:lang w:val="it-CH" w:eastAsia="it-CH"/>
              </w:rPr>
              <w:t>CSI</w:t>
            </w:r>
          </w:p>
        </w:tc>
        <w:tc>
          <w:tcPr>
            <w:tcW w:w="6095" w:type="dxa"/>
            <w:tcBorders>
              <w:top w:val="single" w:sz="4" w:space="0" w:color="auto"/>
              <w:left w:val="nil"/>
              <w:bottom w:val="single" w:sz="4" w:space="0" w:color="auto"/>
              <w:right w:val="single" w:sz="4" w:space="0" w:color="auto"/>
            </w:tcBorders>
            <w:shd w:val="clear" w:color="auto" w:fill="auto"/>
            <w:noWrap/>
            <w:vAlign w:val="center"/>
          </w:tcPr>
          <w:p w:rsidR="00B21A9A" w:rsidRPr="00E038E7" w:rsidRDefault="00B21A9A" w:rsidP="00B21A9A">
            <w:pPr>
              <w:rPr>
                <w:rFonts w:cs="Arial"/>
                <w:color w:val="000000"/>
                <w:sz w:val="22"/>
                <w:szCs w:val="22"/>
                <w:lang w:val="it-CH" w:eastAsia="it-CH"/>
              </w:rPr>
            </w:pPr>
            <w:r w:rsidRPr="00E038E7">
              <w:rPr>
                <w:rFonts w:cs="Arial"/>
                <w:color w:val="000000"/>
                <w:sz w:val="22"/>
                <w:szCs w:val="22"/>
                <w:lang w:val="it-CH" w:eastAsia="it-CH"/>
              </w:rPr>
              <w:t>Telefonia, trasloco e attivazioni</w:t>
            </w:r>
          </w:p>
          <w:p w:rsidR="00B21A9A" w:rsidRPr="00E038E7" w:rsidRDefault="00B21A9A" w:rsidP="00B21A9A">
            <w:pPr>
              <w:rPr>
                <w:rFonts w:cs="Arial"/>
                <w:color w:val="000000"/>
                <w:sz w:val="22"/>
                <w:szCs w:val="22"/>
                <w:lang w:val="it-CH" w:eastAsia="it-CH"/>
              </w:rPr>
            </w:pPr>
            <w:r w:rsidRPr="00E038E7">
              <w:rPr>
                <w:rFonts w:cs="Arial"/>
                <w:color w:val="000000"/>
                <w:sz w:val="22"/>
                <w:szCs w:val="22"/>
                <w:lang w:val="it-CH" w:eastAsia="it-CH"/>
              </w:rPr>
              <w:t>Informatica, postazioni PC e stampanti</w:t>
            </w:r>
          </w:p>
        </w:tc>
        <w:tc>
          <w:tcPr>
            <w:tcW w:w="567" w:type="dxa"/>
            <w:tcBorders>
              <w:top w:val="single" w:sz="4" w:space="0" w:color="auto"/>
              <w:left w:val="nil"/>
              <w:bottom w:val="single" w:sz="4" w:space="0" w:color="auto"/>
            </w:tcBorders>
            <w:shd w:val="clear" w:color="auto" w:fill="auto"/>
            <w:noWrap/>
            <w:vAlign w:val="center"/>
          </w:tcPr>
          <w:p w:rsidR="00B21A9A" w:rsidRPr="00E038E7" w:rsidRDefault="00B21A9A" w:rsidP="00B21A9A">
            <w:pPr>
              <w:rPr>
                <w:rFonts w:cs="Arial"/>
                <w:color w:val="000000"/>
                <w:sz w:val="22"/>
                <w:szCs w:val="22"/>
                <w:lang w:val="it-CH" w:eastAsia="it-CH"/>
              </w:rPr>
            </w:pPr>
            <w:r>
              <w:rPr>
                <w:rFonts w:cs="Arial"/>
                <w:color w:val="000000"/>
                <w:sz w:val="22"/>
                <w:szCs w:val="22"/>
                <w:lang w:val="it-CH" w:eastAsia="it-CH"/>
              </w:rPr>
              <w:t>fr.</w:t>
            </w:r>
          </w:p>
        </w:tc>
        <w:tc>
          <w:tcPr>
            <w:tcW w:w="1701" w:type="dxa"/>
            <w:tcBorders>
              <w:top w:val="single" w:sz="4" w:space="0" w:color="auto"/>
              <w:bottom w:val="single" w:sz="4" w:space="0" w:color="auto"/>
              <w:right w:val="single" w:sz="4" w:space="0" w:color="auto"/>
            </w:tcBorders>
            <w:shd w:val="clear" w:color="auto" w:fill="auto"/>
            <w:noWrap/>
            <w:vAlign w:val="center"/>
          </w:tcPr>
          <w:p w:rsidR="00B21A9A" w:rsidRPr="00E038E7" w:rsidRDefault="00B21A9A" w:rsidP="00B21A9A">
            <w:pPr>
              <w:ind w:firstLineChars="100" w:firstLine="220"/>
              <w:jc w:val="right"/>
              <w:rPr>
                <w:rFonts w:cs="Arial"/>
                <w:color w:val="000000"/>
                <w:sz w:val="22"/>
                <w:szCs w:val="22"/>
                <w:lang w:val="it-CH" w:eastAsia="it-CH"/>
              </w:rPr>
            </w:pPr>
            <w:r>
              <w:rPr>
                <w:rFonts w:cs="Arial"/>
                <w:color w:val="000000"/>
                <w:sz w:val="22"/>
                <w:szCs w:val="22"/>
                <w:lang w:val="it-CH" w:eastAsia="it-CH"/>
              </w:rPr>
              <w:t>500'000.-</w:t>
            </w:r>
          </w:p>
        </w:tc>
      </w:tr>
      <w:tr w:rsidR="00B21A9A" w:rsidRPr="00E038E7" w:rsidTr="00B21A9A">
        <w:trPr>
          <w:trHeight w:val="33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A9A" w:rsidRPr="00E038E7" w:rsidRDefault="00B21A9A" w:rsidP="00B21A9A">
            <w:pPr>
              <w:jc w:val="left"/>
              <w:rPr>
                <w:rFonts w:cs="Arial"/>
                <w:color w:val="000000"/>
                <w:sz w:val="22"/>
                <w:szCs w:val="22"/>
                <w:lang w:val="it-CH" w:eastAsia="it-CH"/>
              </w:rPr>
            </w:pPr>
            <w:r>
              <w:rPr>
                <w:rFonts w:cs="Arial"/>
                <w:color w:val="000000"/>
                <w:sz w:val="22"/>
                <w:szCs w:val="22"/>
                <w:lang w:val="it-CH" w:eastAsia="it-CH"/>
              </w:rPr>
              <w:t>V</w:t>
            </w:r>
          </w:p>
        </w:tc>
        <w:tc>
          <w:tcPr>
            <w:tcW w:w="6095" w:type="dxa"/>
            <w:tcBorders>
              <w:top w:val="single" w:sz="4" w:space="0" w:color="auto"/>
              <w:left w:val="nil"/>
              <w:bottom w:val="single" w:sz="4" w:space="0" w:color="auto"/>
              <w:right w:val="single" w:sz="4" w:space="0" w:color="auto"/>
            </w:tcBorders>
            <w:shd w:val="clear" w:color="auto" w:fill="auto"/>
            <w:noWrap/>
            <w:vAlign w:val="center"/>
          </w:tcPr>
          <w:p w:rsidR="00B21A9A" w:rsidRPr="00E038E7" w:rsidRDefault="00B21A9A" w:rsidP="00B21A9A">
            <w:pPr>
              <w:rPr>
                <w:rFonts w:cs="Arial"/>
                <w:color w:val="000000"/>
                <w:sz w:val="22"/>
                <w:szCs w:val="22"/>
                <w:lang w:val="it-CH" w:eastAsia="it-CH"/>
              </w:rPr>
            </w:pPr>
            <w:r>
              <w:rPr>
                <w:rFonts w:cs="Arial"/>
                <w:color w:val="000000"/>
                <w:sz w:val="22"/>
                <w:szCs w:val="22"/>
                <w:lang w:val="it-CH" w:eastAsia="it-CH"/>
              </w:rPr>
              <w:t>Onorari</w:t>
            </w:r>
          </w:p>
        </w:tc>
        <w:tc>
          <w:tcPr>
            <w:tcW w:w="567" w:type="dxa"/>
            <w:tcBorders>
              <w:top w:val="single" w:sz="4" w:space="0" w:color="auto"/>
              <w:left w:val="nil"/>
              <w:bottom w:val="single" w:sz="4" w:space="0" w:color="auto"/>
            </w:tcBorders>
            <w:shd w:val="clear" w:color="auto" w:fill="auto"/>
            <w:noWrap/>
            <w:vAlign w:val="center"/>
          </w:tcPr>
          <w:p w:rsidR="00B21A9A" w:rsidRDefault="00B21A9A" w:rsidP="00B21A9A">
            <w:pPr>
              <w:rPr>
                <w:rFonts w:cs="Arial"/>
                <w:color w:val="000000"/>
                <w:sz w:val="22"/>
                <w:szCs w:val="22"/>
                <w:lang w:val="it-CH" w:eastAsia="it-CH"/>
              </w:rPr>
            </w:pPr>
            <w:r>
              <w:rPr>
                <w:rFonts w:cs="Arial"/>
                <w:color w:val="000000"/>
                <w:sz w:val="22"/>
                <w:szCs w:val="22"/>
                <w:lang w:val="it-CH" w:eastAsia="it-CH"/>
              </w:rPr>
              <w:t>fr</w:t>
            </w:r>
          </w:p>
        </w:tc>
        <w:tc>
          <w:tcPr>
            <w:tcW w:w="1701" w:type="dxa"/>
            <w:tcBorders>
              <w:top w:val="single" w:sz="4" w:space="0" w:color="auto"/>
              <w:bottom w:val="single" w:sz="4" w:space="0" w:color="auto"/>
              <w:right w:val="single" w:sz="4" w:space="0" w:color="auto"/>
            </w:tcBorders>
            <w:shd w:val="clear" w:color="auto" w:fill="auto"/>
            <w:noWrap/>
            <w:vAlign w:val="center"/>
          </w:tcPr>
          <w:p w:rsidR="00B21A9A" w:rsidRDefault="00B21A9A" w:rsidP="00B21A9A">
            <w:pPr>
              <w:ind w:firstLineChars="100" w:firstLine="220"/>
              <w:jc w:val="right"/>
              <w:rPr>
                <w:rFonts w:cs="Arial"/>
                <w:color w:val="000000"/>
                <w:sz w:val="22"/>
                <w:szCs w:val="22"/>
                <w:lang w:val="it-CH" w:eastAsia="it-CH"/>
              </w:rPr>
            </w:pPr>
            <w:r>
              <w:rPr>
                <w:rFonts w:cs="Arial"/>
                <w:color w:val="000000"/>
                <w:sz w:val="22"/>
                <w:szCs w:val="22"/>
                <w:lang w:val="it-CH" w:eastAsia="it-CH"/>
              </w:rPr>
              <w:t>490'000.-</w:t>
            </w:r>
          </w:p>
        </w:tc>
      </w:tr>
      <w:tr w:rsidR="00B21A9A" w:rsidRPr="00325DD6" w:rsidTr="00B21A9A">
        <w:trPr>
          <w:trHeight w:val="330"/>
        </w:trPr>
        <w:tc>
          <w:tcPr>
            <w:tcW w:w="73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21A9A" w:rsidRPr="00325DD6" w:rsidRDefault="00B21A9A" w:rsidP="00B21A9A">
            <w:pPr>
              <w:rPr>
                <w:rFonts w:cs="Arial"/>
                <w:b/>
                <w:color w:val="000000"/>
                <w:sz w:val="22"/>
                <w:szCs w:val="22"/>
                <w:lang w:val="it-CH" w:eastAsia="it-CH"/>
              </w:rPr>
            </w:pPr>
            <w:r w:rsidRPr="00325DD6">
              <w:rPr>
                <w:rFonts w:cs="Arial"/>
                <w:b/>
                <w:color w:val="000000"/>
                <w:sz w:val="22"/>
                <w:szCs w:val="22"/>
                <w:lang w:val="it-CH" w:eastAsia="it-CH"/>
              </w:rPr>
              <w:t>Totale (IVA inclusa) ±25%</w:t>
            </w:r>
          </w:p>
        </w:tc>
        <w:tc>
          <w:tcPr>
            <w:tcW w:w="567" w:type="dxa"/>
            <w:tcBorders>
              <w:top w:val="single" w:sz="4" w:space="0" w:color="auto"/>
              <w:left w:val="nil"/>
              <w:bottom w:val="single" w:sz="4" w:space="0" w:color="auto"/>
            </w:tcBorders>
            <w:shd w:val="clear" w:color="auto" w:fill="BFBFBF" w:themeFill="background1" w:themeFillShade="BF"/>
            <w:noWrap/>
            <w:vAlign w:val="center"/>
            <w:hideMark/>
          </w:tcPr>
          <w:p w:rsidR="00B21A9A" w:rsidRPr="00325DD6" w:rsidRDefault="00B21A9A" w:rsidP="00B21A9A">
            <w:pPr>
              <w:rPr>
                <w:rFonts w:cs="Arial"/>
                <w:b/>
                <w:color w:val="000000"/>
                <w:sz w:val="22"/>
                <w:szCs w:val="22"/>
                <w:lang w:val="it-CH" w:eastAsia="it-CH"/>
              </w:rPr>
            </w:pPr>
            <w:r w:rsidRPr="00325DD6">
              <w:rPr>
                <w:rFonts w:cs="Arial"/>
                <w:b/>
                <w:color w:val="000000"/>
                <w:sz w:val="22"/>
                <w:szCs w:val="22"/>
                <w:lang w:val="it-CH" w:eastAsia="it-CH"/>
              </w:rPr>
              <w:t>fr.</w:t>
            </w:r>
          </w:p>
        </w:tc>
        <w:tc>
          <w:tcPr>
            <w:tcW w:w="1701" w:type="dxa"/>
            <w:tcBorders>
              <w:top w:val="single" w:sz="4" w:space="0" w:color="auto"/>
              <w:bottom w:val="single" w:sz="4" w:space="0" w:color="auto"/>
              <w:right w:val="single" w:sz="4" w:space="0" w:color="auto"/>
            </w:tcBorders>
            <w:shd w:val="clear" w:color="auto" w:fill="BFBFBF" w:themeFill="background1" w:themeFillShade="BF"/>
            <w:noWrap/>
            <w:vAlign w:val="center"/>
          </w:tcPr>
          <w:p w:rsidR="00B21A9A" w:rsidRPr="00325DD6" w:rsidRDefault="00B21A9A" w:rsidP="00B21A9A">
            <w:pPr>
              <w:ind w:firstLineChars="100" w:firstLine="220"/>
              <w:jc w:val="right"/>
              <w:rPr>
                <w:rFonts w:cs="Arial"/>
                <w:b/>
                <w:color w:val="000000"/>
                <w:sz w:val="22"/>
                <w:szCs w:val="22"/>
                <w:lang w:val="it-CH" w:eastAsia="it-CH"/>
              </w:rPr>
            </w:pPr>
            <w:r>
              <w:rPr>
                <w:rFonts w:cs="Arial"/>
                <w:b/>
                <w:color w:val="000000"/>
                <w:sz w:val="22"/>
                <w:szCs w:val="22"/>
                <w:lang w:val="it-CH" w:eastAsia="it-CH"/>
              </w:rPr>
              <w:t>5'000’000</w:t>
            </w:r>
            <w:r w:rsidRPr="00325DD6">
              <w:rPr>
                <w:rFonts w:cs="Arial"/>
                <w:b/>
                <w:color w:val="000000"/>
                <w:sz w:val="22"/>
                <w:szCs w:val="22"/>
                <w:lang w:val="it-CH" w:eastAsia="it-CH"/>
              </w:rPr>
              <w:t>.-</w:t>
            </w:r>
          </w:p>
        </w:tc>
      </w:tr>
    </w:tbl>
    <w:p w:rsidR="00B21A9A" w:rsidRDefault="00B21A9A" w:rsidP="00B21A9A">
      <w:pPr>
        <w:rPr>
          <w:lang w:val="it-CH" w:eastAsia="it-CH"/>
        </w:rPr>
      </w:pPr>
    </w:p>
    <w:p w:rsidR="00B21A9A" w:rsidRDefault="00B21A9A" w:rsidP="00B21A9A">
      <w:pPr>
        <w:rPr>
          <w:lang w:val="it-CH" w:eastAsia="it-CH"/>
        </w:rPr>
      </w:pPr>
      <w:r>
        <w:rPr>
          <w:lang w:val="it-CH" w:eastAsia="it-CH"/>
        </w:rPr>
        <w:t>In merito a questi costi di costruzione potremo essere più precisi dopo aver allestito il progetto di massima e quello definitivo. Con questo messaggio è richiesto un credito di franchi 490’000.- necessario alla progettazione fino alla fase della procedura di appalto compresa (fase 4.41 del regolamento SIA 112). Il credito d’investimento per l’adeguamento a sede provvisoria sarà investito a partire dal 2024.</w:t>
      </w:r>
    </w:p>
    <w:p w:rsidR="00B21A9A" w:rsidRDefault="00B21A9A" w:rsidP="00B21A9A">
      <w:pPr>
        <w:rPr>
          <w:lang w:val="it-CH" w:eastAsia="it-CH"/>
        </w:rPr>
      </w:pPr>
    </w:p>
    <w:p w:rsidR="00A85314" w:rsidRPr="00DB7D28" w:rsidRDefault="00A85314" w:rsidP="00B21A9A">
      <w:pPr>
        <w:rPr>
          <w:lang w:val="it-CH" w:eastAsia="it-CH"/>
        </w:rPr>
      </w:pPr>
    </w:p>
    <w:p w:rsidR="00B21A9A" w:rsidRDefault="00B21A9A" w:rsidP="00B21A9A">
      <w:pPr>
        <w:pStyle w:val="Titolo2"/>
        <w:tabs>
          <w:tab w:val="clear" w:pos="567"/>
          <w:tab w:val="left" w:pos="709"/>
        </w:tabs>
        <w:rPr>
          <w:lang w:val="it-CH" w:eastAsia="it-CH"/>
        </w:rPr>
      </w:pPr>
      <w:r>
        <w:rPr>
          <w:lang w:val="it-CH" w:eastAsia="it-CH"/>
        </w:rPr>
        <w:t>6.4</w:t>
      </w:r>
      <w:r>
        <w:rPr>
          <w:lang w:val="it-CH" w:eastAsia="it-CH"/>
        </w:rPr>
        <w:tab/>
        <w:t>Totale uscite per l’investimento complessivo</w:t>
      </w:r>
    </w:p>
    <w:p w:rsidR="00B21A9A" w:rsidRDefault="00B21A9A" w:rsidP="00B21A9A">
      <w:pPr>
        <w:rPr>
          <w:lang w:val="it-CH" w:eastAsia="it-CH"/>
        </w:rPr>
      </w:pPr>
      <w:r>
        <w:rPr>
          <w:lang w:val="it-CH" w:eastAsia="it-CH"/>
        </w:rPr>
        <w:t xml:space="preserve">Le uscite totali d’investimento per il periodo 2020/2032 sono descritte nella seguente tabella. Si precisa che i costi d’investimento stimati per la ristrutturazione dell’edificio ex Banca del Gottardo e quelli di adeguamento dello stabile Bossi saranno orientati a un grado di precisione </w:t>
      </w:r>
      <w:r>
        <w:rPr>
          <w:rFonts w:cs="Arial"/>
          <w:lang w:val="it-CH" w:eastAsia="it-CH"/>
        </w:rPr>
        <w:t>±</w:t>
      </w:r>
      <w:r>
        <w:rPr>
          <w:lang w:val="it-CH" w:eastAsia="it-CH"/>
        </w:rPr>
        <w:t>15% nel messaggio di richiesta dei crediti d’investimento previsti nel 2024.</w:t>
      </w:r>
    </w:p>
    <w:p w:rsidR="00B21A9A" w:rsidRPr="00A15C1B" w:rsidRDefault="00B21A9A" w:rsidP="00B21A9A">
      <w:pPr>
        <w:rPr>
          <w:lang w:val="it-CH" w:eastAsia="it-CH"/>
        </w:rPr>
      </w:pPr>
    </w:p>
    <w:tbl>
      <w:tblPr>
        <w:tblW w:w="9723" w:type="dxa"/>
        <w:tblInd w:w="55" w:type="dxa"/>
        <w:tblCellMar>
          <w:left w:w="70" w:type="dxa"/>
          <w:right w:w="70" w:type="dxa"/>
        </w:tblCellMar>
        <w:tblLook w:val="04A0" w:firstRow="1" w:lastRow="0" w:firstColumn="1" w:lastColumn="0" w:noHBand="0" w:noVBand="1"/>
      </w:tblPr>
      <w:tblGrid>
        <w:gridCol w:w="6366"/>
        <w:gridCol w:w="1369"/>
        <w:gridCol w:w="360"/>
        <w:gridCol w:w="1628"/>
      </w:tblGrid>
      <w:tr w:rsidR="00B21A9A" w:rsidRPr="00E038E7" w:rsidTr="00B21A9A">
        <w:trPr>
          <w:trHeight w:val="345"/>
        </w:trPr>
        <w:tc>
          <w:tcPr>
            <w:tcW w:w="6366"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tcPr>
          <w:p w:rsidR="00B21A9A" w:rsidRPr="00325DD6" w:rsidRDefault="00B21A9A" w:rsidP="00B21A9A">
            <w:pPr>
              <w:rPr>
                <w:rFonts w:cs="Arial"/>
                <w:b/>
                <w:color w:val="000000"/>
                <w:sz w:val="22"/>
                <w:szCs w:val="22"/>
                <w:lang w:val="it-CH" w:eastAsia="it-CH"/>
              </w:rPr>
            </w:pPr>
            <w:r w:rsidRPr="00325DD6">
              <w:rPr>
                <w:rFonts w:cs="Arial"/>
                <w:b/>
                <w:color w:val="000000"/>
                <w:sz w:val="22"/>
                <w:szCs w:val="22"/>
                <w:lang w:val="it-CH" w:eastAsia="it-CH"/>
              </w:rPr>
              <w:t>Descrizione</w:t>
            </w:r>
          </w:p>
        </w:tc>
        <w:tc>
          <w:tcPr>
            <w:tcW w:w="1446"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B21A9A" w:rsidRPr="006A3E11" w:rsidRDefault="00B21A9A" w:rsidP="00B21A9A">
            <w:pPr>
              <w:jc w:val="center"/>
              <w:rPr>
                <w:rFonts w:cs="Arial"/>
                <w:b/>
                <w:color w:val="000000"/>
                <w:sz w:val="16"/>
                <w:szCs w:val="16"/>
                <w:lang w:val="it-CH" w:eastAsia="it-CH"/>
              </w:rPr>
            </w:pPr>
            <w:r w:rsidRPr="006A3E11">
              <w:rPr>
                <w:rFonts w:cs="Arial"/>
                <w:b/>
                <w:color w:val="000000"/>
                <w:sz w:val="16"/>
                <w:szCs w:val="16"/>
                <w:lang w:val="it-CH" w:eastAsia="it-CH"/>
              </w:rPr>
              <w:t>Periodo</w:t>
            </w:r>
          </w:p>
        </w:tc>
        <w:tc>
          <w:tcPr>
            <w:tcW w:w="283" w:type="dxa"/>
            <w:tcBorders>
              <w:top w:val="single" w:sz="8" w:space="0" w:color="auto"/>
              <w:left w:val="single" w:sz="4" w:space="0" w:color="auto"/>
              <w:bottom w:val="single" w:sz="4" w:space="0" w:color="auto"/>
            </w:tcBorders>
            <w:shd w:val="clear" w:color="auto" w:fill="BFBFBF" w:themeFill="background1" w:themeFillShade="BF"/>
            <w:noWrap/>
            <w:vAlign w:val="center"/>
            <w:hideMark/>
          </w:tcPr>
          <w:p w:rsidR="00B21A9A" w:rsidRPr="00325DD6" w:rsidRDefault="00B21A9A" w:rsidP="00B21A9A">
            <w:pPr>
              <w:jc w:val="center"/>
              <w:rPr>
                <w:rFonts w:cs="Arial"/>
                <w:b/>
                <w:color w:val="000000"/>
                <w:sz w:val="22"/>
                <w:szCs w:val="22"/>
                <w:lang w:val="it-CH" w:eastAsia="it-CH"/>
              </w:rPr>
            </w:pPr>
            <w:r w:rsidRPr="00325DD6">
              <w:rPr>
                <w:rFonts w:cs="Arial"/>
                <w:b/>
                <w:color w:val="000000"/>
                <w:sz w:val="22"/>
                <w:szCs w:val="22"/>
                <w:lang w:val="it-CH" w:eastAsia="it-CH"/>
              </w:rPr>
              <w:t> </w:t>
            </w:r>
          </w:p>
        </w:tc>
        <w:tc>
          <w:tcPr>
            <w:tcW w:w="1628" w:type="dxa"/>
            <w:tcBorders>
              <w:top w:val="single" w:sz="8" w:space="0" w:color="auto"/>
              <w:bottom w:val="single" w:sz="4" w:space="0" w:color="auto"/>
              <w:right w:val="single" w:sz="8" w:space="0" w:color="auto"/>
            </w:tcBorders>
            <w:shd w:val="clear" w:color="auto" w:fill="BFBFBF" w:themeFill="background1" w:themeFillShade="BF"/>
            <w:vAlign w:val="center"/>
            <w:hideMark/>
          </w:tcPr>
          <w:p w:rsidR="00B21A9A" w:rsidRPr="00325DD6" w:rsidRDefault="00B21A9A" w:rsidP="00B21A9A">
            <w:pPr>
              <w:jc w:val="right"/>
              <w:rPr>
                <w:rFonts w:cs="Arial"/>
                <w:b/>
                <w:color w:val="000000"/>
                <w:sz w:val="22"/>
                <w:szCs w:val="22"/>
                <w:lang w:val="it-CH" w:eastAsia="it-CH"/>
              </w:rPr>
            </w:pPr>
            <w:r w:rsidRPr="00325DD6">
              <w:rPr>
                <w:rFonts w:cs="Arial"/>
                <w:b/>
                <w:color w:val="000000"/>
                <w:sz w:val="22"/>
                <w:szCs w:val="22"/>
                <w:lang w:val="it-CH" w:eastAsia="it-CH"/>
              </w:rPr>
              <w:t>Importo</w:t>
            </w:r>
          </w:p>
        </w:tc>
      </w:tr>
      <w:tr w:rsidR="00B21A9A" w:rsidRPr="00E038E7" w:rsidTr="00B21A9A">
        <w:trPr>
          <w:trHeight w:val="330"/>
        </w:trPr>
        <w:tc>
          <w:tcPr>
            <w:tcW w:w="6366" w:type="dxa"/>
            <w:tcBorders>
              <w:top w:val="nil"/>
              <w:left w:val="single" w:sz="8" w:space="0" w:color="auto"/>
              <w:bottom w:val="single" w:sz="4" w:space="0" w:color="auto"/>
              <w:right w:val="single" w:sz="4" w:space="0" w:color="auto"/>
            </w:tcBorders>
            <w:shd w:val="clear" w:color="auto" w:fill="auto"/>
            <w:noWrap/>
            <w:vAlign w:val="center"/>
          </w:tcPr>
          <w:p w:rsidR="00B21A9A" w:rsidRPr="00E038E7" w:rsidRDefault="00B21A9A" w:rsidP="00B21A9A">
            <w:pPr>
              <w:rPr>
                <w:rFonts w:cs="Arial"/>
                <w:color w:val="000000"/>
                <w:sz w:val="22"/>
                <w:szCs w:val="22"/>
                <w:lang w:val="it-CH" w:eastAsia="it-CH"/>
              </w:rPr>
            </w:pPr>
            <w:r w:rsidRPr="00E038E7">
              <w:rPr>
                <w:rFonts w:cs="Arial"/>
                <w:color w:val="000000"/>
                <w:sz w:val="22"/>
                <w:szCs w:val="22"/>
                <w:lang w:val="it-CH" w:eastAsia="it-CH"/>
              </w:rPr>
              <w:t xml:space="preserve">Costi di </w:t>
            </w:r>
            <w:r>
              <w:rPr>
                <w:rFonts w:cs="Arial"/>
                <w:color w:val="000000"/>
                <w:sz w:val="22"/>
                <w:szCs w:val="22"/>
                <w:lang w:val="it-CH" w:eastAsia="it-CH"/>
              </w:rPr>
              <w:t>acquisizione stabile ex Banca del Gottardo</w:t>
            </w:r>
          </w:p>
        </w:tc>
        <w:tc>
          <w:tcPr>
            <w:tcW w:w="1446" w:type="dxa"/>
            <w:tcBorders>
              <w:top w:val="single" w:sz="4" w:space="0" w:color="auto"/>
              <w:left w:val="nil"/>
              <w:bottom w:val="single" w:sz="4" w:space="0" w:color="auto"/>
              <w:right w:val="single" w:sz="4" w:space="0" w:color="auto"/>
            </w:tcBorders>
          </w:tcPr>
          <w:p w:rsidR="00B21A9A" w:rsidRDefault="00B21A9A" w:rsidP="00B21A9A">
            <w:pPr>
              <w:rPr>
                <w:rFonts w:cs="Arial"/>
                <w:color w:val="000000"/>
                <w:sz w:val="22"/>
                <w:szCs w:val="22"/>
                <w:lang w:val="it-CH" w:eastAsia="it-CH"/>
              </w:rPr>
            </w:pPr>
            <w:r>
              <w:rPr>
                <w:rFonts w:cs="Arial"/>
                <w:color w:val="000000"/>
                <w:sz w:val="22"/>
                <w:szCs w:val="22"/>
                <w:lang w:val="it-CH" w:eastAsia="it-CH"/>
              </w:rPr>
              <w:t>2020</w:t>
            </w:r>
          </w:p>
        </w:tc>
        <w:tc>
          <w:tcPr>
            <w:tcW w:w="283" w:type="dxa"/>
            <w:tcBorders>
              <w:top w:val="single" w:sz="4" w:space="0" w:color="auto"/>
              <w:left w:val="single" w:sz="4" w:space="0" w:color="auto"/>
              <w:bottom w:val="single" w:sz="4" w:space="0" w:color="auto"/>
            </w:tcBorders>
            <w:shd w:val="clear" w:color="auto" w:fill="auto"/>
            <w:noWrap/>
            <w:vAlign w:val="center"/>
            <w:hideMark/>
          </w:tcPr>
          <w:p w:rsidR="00B21A9A" w:rsidRPr="00E038E7" w:rsidRDefault="00B21A9A" w:rsidP="00B21A9A">
            <w:pPr>
              <w:rPr>
                <w:rFonts w:cs="Arial"/>
                <w:color w:val="000000"/>
                <w:sz w:val="22"/>
                <w:szCs w:val="22"/>
                <w:lang w:val="it-CH" w:eastAsia="it-CH"/>
              </w:rPr>
            </w:pPr>
            <w:r>
              <w:rPr>
                <w:rFonts w:cs="Arial"/>
                <w:color w:val="000000"/>
                <w:sz w:val="22"/>
                <w:szCs w:val="22"/>
                <w:lang w:val="it-CH" w:eastAsia="it-CH"/>
              </w:rPr>
              <w:t>fr.</w:t>
            </w:r>
          </w:p>
        </w:tc>
        <w:tc>
          <w:tcPr>
            <w:tcW w:w="1628" w:type="dxa"/>
            <w:tcBorders>
              <w:top w:val="single" w:sz="4" w:space="0" w:color="auto"/>
              <w:bottom w:val="single" w:sz="4" w:space="0" w:color="auto"/>
              <w:right w:val="single" w:sz="8" w:space="0" w:color="auto"/>
            </w:tcBorders>
            <w:shd w:val="clear" w:color="auto" w:fill="auto"/>
            <w:noWrap/>
            <w:vAlign w:val="center"/>
          </w:tcPr>
          <w:p w:rsidR="00B21A9A" w:rsidRPr="00E038E7" w:rsidRDefault="00B21A9A" w:rsidP="00B21A9A">
            <w:pPr>
              <w:ind w:left="-190" w:firstLineChars="100" w:firstLine="220"/>
              <w:jc w:val="right"/>
              <w:rPr>
                <w:rFonts w:cs="Arial"/>
                <w:color w:val="000000"/>
                <w:sz w:val="22"/>
                <w:szCs w:val="22"/>
                <w:lang w:val="it-CH" w:eastAsia="it-CH"/>
              </w:rPr>
            </w:pPr>
            <w:r>
              <w:rPr>
                <w:rFonts w:cs="Arial"/>
                <w:color w:val="000000"/>
                <w:sz w:val="22"/>
                <w:szCs w:val="22"/>
                <w:lang w:val="it-CH" w:eastAsia="it-CH"/>
              </w:rPr>
              <w:t>80’000’000.-</w:t>
            </w:r>
          </w:p>
        </w:tc>
      </w:tr>
      <w:tr w:rsidR="00B21A9A" w:rsidRPr="0001431D" w:rsidTr="00B21A9A">
        <w:trPr>
          <w:trHeight w:val="330"/>
        </w:trPr>
        <w:tc>
          <w:tcPr>
            <w:tcW w:w="6366" w:type="dxa"/>
            <w:tcBorders>
              <w:top w:val="nil"/>
              <w:left w:val="single" w:sz="8" w:space="0" w:color="auto"/>
              <w:bottom w:val="single" w:sz="4" w:space="0" w:color="auto"/>
              <w:right w:val="single" w:sz="4" w:space="0" w:color="auto"/>
            </w:tcBorders>
            <w:shd w:val="clear" w:color="auto" w:fill="auto"/>
            <w:noWrap/>
            <w:vAlign w:val="center"/>
          </w:tcPr>
          <w:p w:rsidR="00B21A9A" w:rsidRPr="0001431D" w:rsidRDefault="00B21A9A" w:rsidP="00B21A9A">
            <w:pPr>
              <w:rPr>
                <w:rFonts w:cs="Arial"/>
                <w:color w:val="000000"/>
                <w:sz w:val="22"/>
                <w:szCs w:val="22"/>
                <w:lang w:val="it-CH" w:eastAsia="it-CH"/>
              </w:rPr>
            </w:pPr>
            <w:r w:rsidRPr="0001431D">
              <w:rPr>
                <w:rFonts w:cs="Arial"/>
                <w:color w:val="000000"/>
                <w:sz w:val="22"/>
                <w:szCs w:val="22"/>
                <w:lang w:val="it-CH" w:eastAsia="it-CH"/>
              </w:rPr>
              <w:t>Spese accessorie per l’acquisizione del fondo</w:t>
            </w:r>
          </w:p>
        </w:tc>
        <w:tc>
          <w:tcPr>
            <w:tcW w:w="1446" w:type="dxa"/>
            <w:tcBorders>
              <w:top w:val="single" w:sz="4" w:space="0" w:color="auto"/>
              <w:left w:val="nil"/>
              <w:bottom w:val="single" w:sz="4" w:space="0" w:color="auto"/>
              <w:right w:val="single" w:sz="4" w:space="0" w:color="auto"/>
            </w:tcBorders>
          </w:tcPr>
          <w:p w:rsidR="00B21A9A" w:rsidRPr="0001431D" w:rsidRDefault="00B21A9A" w:rsidP="00B21A9A">
            <w:pPr>
              <w:rPr>
                <w:rFonts w:cs="Arial"/>
                <w:color w:val="000000"/>
                <w:sz w:val="22"/>
                <w:szCs w:val="22"/>
                <w:lang w:val="it-CH" w:eastAsia="it-CH"/>
              </w:rPr>
            </w:pPr>
            <w:r w:rsidRPr="0001431D">
              <w:rPr>
                <w:rFonts w:cs="Arial"/>
                <w:color w:val="000000"/>
                <w:sz w:val="22"/>
                <w:szCs w:val="22"/>
                <w:lang w:val="it-CH" w:eastAsia="it-CH"/>
              </w:rPr>
              <w:t>2020</w:t>
            </w:r>
          </w:p>
        </w:tc>
        <w:tc>
          <w:tcPr>
            <w:tcW w:w="283" w:type="dxa"/>
            <w:tcBorders>
              <w:top w:val="single" w:sz="4" w:space="0" w:color="auto"/>
              <w:left w:val="single" w:sz="4" w:space="0" w:color="auto"/>
              <w:bottom w:val="single" w:sz="4" w:space="0" w:color="auto"/>
            </w:tcBorders>
            <w:shd w:val="clear" w:color="auto" w:fill="auto"/>
            <w:noWrap/>
            <w:vAlign w:val="center"/>
          </w:tcPr>
          <w:p w:rsidR="00B21A9A" w:rsidRPr="0001431D" w:rsidRDefault="00B21A9A" w:rsidP="00B21A9A">
            <w:pPr>
              <w:rPr>
                <w:rFonts w:cs="Arial"/>
                <w:color w:val="000000"/>
                <w:sz w:val="22"/>
                <w:szCs w:val="22"/>
                <w:lang w:val="it-CH" w:eastAsia="it-CH"/>
              </w:rPr>
            </w:pPr>
            <w:r w:rsidRPr="0001431D">
              <w:rPr>
                <w:rFonts w:cs="Arial"/>
                <w:color w:val="000000"/>
                <w:sz w:val="22"/>
                <w:szCs w:val="22"/>
                <w:lang w:val="it-CH" w:eastAsia="it-CH"/>
              </w:rPr>
              <w:t>fr.</w:t>
            </w:r>
          </w:p>
        </w:tc>
        <w:tc>
          <w:tcPr>
            <w:tcW w:w="1628" w:type="dxa"/>
            <w:tcBorders>
              <w:top w:val="single" w:sz="4" w:space="0" w:color="auto"/>
              <w:bottom w:val="single" w:sz="4" w:space="0" w:color="auto"/>
              <w:right w:val="single" w:sz="8" w:space="0" w:color="auto"/>
            </w:tcBorders>
            <w:shd w:val="clear" w:color="auto" w:fill="auto"/>
            <w:noWrap/>
            <w:vAlign w:val="center"/>
          </w:tcPr>
          <w:p w:rsidR="00B21A9A" w:rsidRPr="0001431D" w:rsidRDefault="00B21A9A" w:rsidP="00B21A9A">
            <w:pPr>
              <w:ind w:left="-190" w:firstLineChars="100" w:firstLine="220"/>
              <w:jc w:val="right"/>
              <w:rPr>
                <w:rFonts w:cs="Arial"/>
                <w:color w:val="000000"/>
                <w:sz w:val="22"/>
                <w:szCs w:val="22"/>
                <w:lang w:val="it-CH" w:eastAsia="it-CH"/>
              </w:rPr>
            </w:pPr>
            <w:r w:rsidRPr="0001431D">
              <w:rPr>
                <w:rFonts w:cs="Arial"/>
                <w:color w:val="000000"/>
                <w:sz w:val="22"/>
                <w:szCs w:val="22"/>
                <w:lang w:val="it-CH" w:eastAsia="it-CH"/>
              </w:rPr>
              <w:t>50'000.-</w:t>
            </w:r>
          </w:p>
        </w:tc>
      </w:tr>
      <w:tr w:rsidR="00B21A9A" w:rsidRPr="0001431D" w:rsidTr="00B21A9A">
        <w:trPr>
          <w:trHeight w:val="330"/>
        </w:trPr>
        <w:tc>
          <w:tcPr>
            <w:tcW w:w="6366" w:type="dxa"/>
            <w:tcBorders>
              <w:top w:val="nil"/>
              <w:left w:val="single" w:sz="8" w:space="0" w:color="auto"/>
              <w:bottom w:val="single" w:sz="4" w:space="0" w:color="auto"/>
              <w:right w:val="single" w:sz="4" w:space="0" w:color="auto"/>
            </w:tcBorders>
            <w:shd w:val="clear" w:color="auto" w:fill="auto"/>
            <w:noWrap/>
            <w:vAlign w:val="center"/>
          </w:tcPr>
          <w:p w:rsidR="00B21A9A" w:rsidRPr="0001431D" w:rsidRDefault="00B21A9A" w:rsidP="00B21A9A">
            <w:pPr>
              <w:rPr>
                <w:rFonts w:cs="Arial"/>
                <w:color w:val="000000"/>
                <w:sz w:val="22"/>
                <w:szCs w:val="22"/>
                <w:lang w:val="it-CH" w:eastAsia="it-CH"/>
              </w:rPr>
            </w:pPr>
            <w:r w:rsidRPr="0001431D">
              <w:rPr>
                <w:rFonts w:cs="Arial"/>
                <w:color w:val="000000"/>
                <w:sz w:val="22"/>
                <w:szCs w:val="22"/>
                <w:lang w:val="it-CH" w:eastAsia="it-CH"/>
              </w:rPr>
              <w:t>Costi di ristrutturazione e adeguamento ex Banca del Gottardo ±25%</w:t>
            </w:r>
          </w:p>
        </w:tc>
        <w:tc>
          <w:tcPr>
            <w:tcW w:w="1446" w:type="dxa"/>
            <w:tcBorders>
              <w:top w:val="single" w:sz="4" w:space="0" w:color="auto"/>
              <w:left w:val="nil"/>
              <w:bottom w:val="single" w:sz="4" w:space="0" w:color="auto"/>
              <w:right w:val="single" w:sz="4" w:space="0" w:color="auto"/>
            </w:tcBorders>
          </w:tcPr>
          <w:p w:rsidR="00B21A9A" w:rsidRPr="0001431D" w:rsidRDefault="00B21A9A" w:rsidP="00B21A9A">
            <w:pPr>
              <w:rPr>
                <w:rFonts w:cs="Arial"/>
                <w:color w:val="000000"/>
                <w:sz w:val="22"/>
                <w:szCs w:val="22"/>
                <w:lang w:val="it-CH" w:eastAsia="it-CH"/>
              </w:rPr>
            </w:pPr>
            <w:r w:rsidRPr="0001431D">
              <w:rPr>
                <w:rFonts w:cs="Arial"/>
                <w:color w:val="000000"/>
                <w:sz w:val="22"/>
                <w:szCs w:val="22"/>
                <w:lang w:val="it-CH" w:eastAsia="it-CH"/>
              </w:rPr>
              <w:t>2024/2027</w:t>
            </w:r>
          </w:p>
        </w:tc>
        <w:tc>
          <w:tcPr>
            <w:tcW w:w="283" w:type="dxa"/>
            <w:tcBorders>
              <w:top w:val="single" w:sz="4" w:space="0" w:color="auto"/>
              <w:left w:val="single" w:sz="4" w:space="0" w:color="auto"/>
              <w:bottom w:val="single" w:sz="4" w:space="0" w:color="auto"/>
            </w:tcBorders>
            <w:shd w:val="clear" w:color="auto" w:fill="auto"/>
            <w:noWrap/>
            <w:vAlign w:val="center"/>
          </w:tcPr>
          <w:p w:rsidR="00B21A9A" w:rsidRPr="0001431D" w:rsidRDefault="00B21A9A" w:rsidP="00B21A9A">
            <w:pPr>
              <w:rPr>
                <w:rFonts w:cs="Arial"/>
                <w:color w:val="000000"/>
                <w:sz w:val="22"/>
                <w:szCs w:val="22"/>
                <w:lang w:val="it-CH" w:eastAsia="it-CH"/>
              </w:rPr>
            </w:pPr>
            <w:r w:rsidRPr="0001431D">
              <w:rPr>
                <w:rFonts w:cs="Arial"/>
                <w:color w:val="000000"/>
                <w:sz w:val="22"/>
                <w:szCs w:val="22"/>
                <w:lang w:val="it-CH" w:eastAsia="it-CH"/>
              </w:rPr>
              <w:t>fr.</w:t>
            </w:r>
          </w:p>
        </w:tc>
        <w:tc>
          <w:tcPr>
            <w:tcW w:w="1628" w:type="dxa"/>
            <w:tcBorders>
              <w:top w:val="single" w:sz="4" w:space="0" w:color="auto"/>
              <w:bottom w:val="single" w:sz="4" w:space="0" w:color="auto"/>
              <w:right w:val="single" w:sz="8" w:space="0" w:color="auto"/>
            </w:tcBorders>
            <w:shd w:val="clear" w:color="auto" w:fill="auto"/>
            <w:noWrap/>
            <w:vAlign w:val="center"/>
          </w:tcPr>
          <w:p w:rsidR="00B21A9A" w:rsidRPr="0001431D" w:rsidRDefault="00B21A9A" w:rsidP="00B21A9A">
            <w:pPr>
              <w:ind w:left="-190" w:firstLineChars="100" w:firstLine="220"/>
              <w:jc w:val="right"/>
              <w:rPr>
                <w:rFonts w:cs="Arial"/>
                <w:color w:val="000000"/>
                <w:sz w:val="22"/>
                <w:szCs w:val="22"/>
                <w:lang w:val="it-CH" w:eastAsia="it-CH"/>
              </w:rPr>
            </w:pPr>
            <w:r w:rsidRPr="0001431D">
              <w:rPr>
                <w:rFonts w:cs="Arial"/>
                <w:color w:val="000000"/>
                <w:sz w:val="22"/>
                <w:szCs w:val="22"/>
                <w:lang w:val="it-CH" w:eastAsia="it-CH"/>
              </w:rPr>
              <w:t>55'900'000.-</w:t>
            </w:r>
          </w:p>
        </w:tc>
      </w:tr>
      <w:tr w:rsidR="00B21A9A" w:rsidRPr="0001431D" w:rsidTr="00B21A9A">
        <w:trPr>
          <w:trHeight w:val="330"/>
        </w:trPr>
        <w:tc>
          <w:tcPr>
            <w:tcW w:w="6366" w:type="dxa"/>
            <w:tcBorders>
              <w:top w:val="nil"/>
              <w:left w:val="single" w:sz="8" w:space="0" w:color="auto"/>
              <w:bottom w:val="single" w:sz="4" w:space="0" w:color="auto"/>
              <w:right w:val="single" w:sz="4" w:space="0" w:color="auto"/>
            </w:tcBorders>
            <w:shd w:val="clear" w:color="auto" w:fill="auto"/>
            <w:noWrap/>
            <w:vAlign w:val="center"/>
          </w:tcPr>
          <w:p w:rsidR="00B21A9A" w:rsidRPr="0001431D" w:rsidRDefault="00B21A9A" w:rsidP="00B21A9A">
            <w:pPr>
              <w:rPr>
                <w:rFonts w:cs="Arial"/>
                <w:color w:val="000000"/>
                <w:sz w:val="22"/>
                <w:szCs w:val="22"/>
                <w:lang w:val="it-CH" w:eastAsia="it-CH"/>
              </w:rPr>
            </w:pPr>
            <w:r w:rsidRPr="0001431D">
              <w:rPr>
                <w:rFonts w:cs="Arial"/>
                <w:color w:val="000000"/>
                <w:sz w:val="22"/>
                <w:szCs w:val="22"/>
                <w:lang w:val="it-CH" w:eastAsia="it-CH"/>
              </w:rPr>
              <w:t>Costi di ristrutturazione e adeguamento PGL (</w:t>
            </w:r>
            <w:r w:rsidRPr="0001431D">
              <w:rPr>
                <w:rFonts w:cs="Arial"/>
                <w:color w:val="000000"/>
                <w:sz w:val="18"/>
                <w:szCs w:val="18"/>
                <w:lang w:val="it-CH" w:eastAsia="it-CH"/>
              </w:rPr>
              <w:t>arrotondato</w:t>
            </w:r>
            <w:r w:rsidRPr="0001431D">
              <w:rPr>
                <w:rFonts w:cs="Arial"/>
                <w:color w:val="000000"/>
                <w:sz w:val="22"/>
                <w:szCs w:val="22"/>
                <w:lang w:val="it-CH" w:eastAsia="it-CH"/>
              </w:rPr>
              <w:t>) ±15%</w:t>
            </w:r>
          </w:p>
        </w:tc>
        <w:tc>
          <w:tcPr>
            <w:tcW w:w="1446" w:type="dxa"/>
            <w:tcBorders>
              <w:top w:val="single" w:sz="4" w:space="0" w:color="auto"/>
              <w:left w:val="nil"/>
              <w:bottom w:val="single" w:sz="4" w:space="0" w:color="auto"/>
              <w:right w:val="single" w:sz="4" w:space="0" w:color="auto"/>
            </w:tcBorders>
          </w:tcPr>
          <w:p w:rsidR="00B21A9A" w:rsidRPr="0001431D" w:rsidRDefault="00B21A9A" w:rsidP="00B21A9A">
            <w:pPr>
              <w:rPr>
                <w:rFonts w:cs="Arial"/>
                <w:color w:val="000000"/>
                <w:sz w:val="22"/>
                <w:szCs w:val="22"/>
                <w:lang w:val="it-CH" w:eastAsia="it-CH"/>
              </w:rPr>
            </w:pPr>
            <w:r w:rsidRPr="0001431D">
              <w:rPr>
                <w:rFonts w:cs="Arial"/>
                <w:color w:val="000000"/>
                <w:sz w:val="22"/>
                <w:szCs w:val="22"/>
                <w:lang w:val="it-CH" w:eastAsia="it-CH"/>
              </w:rPr>
              <w:t>2027/2032</w:t>
            </w:r>
          </w:p>
        </w:tc>
        <w:tc>
          <w:tcPr>
            <w:tcW w:w="283" w:type="dxa"/>
            <w:tcBorders>
              <w:top w:val="single" w:sz="4" w:space="0" w:color="auto"/>
              <w:left w:val="single" w:sz="4" w:space="0" w:color="auto"/>
              <w:bottom w:val="single" w:sz="4" w:space="0" w:color="auto"/>
            </w:tcBorders>
            <w:shd w:val="clear" w:color="auto" w:fill="auto"/>
            <w:noWrap/>
            <w:vAlign w:val="center"/>
          </w:tcPr>
          <w:p w:rsidR="00B21A9A" w:rsidRPr="0001431D" w:rsidRDefault="00B21A9A" w:rsidP="00B21A9A">
            <w:pPr>
              <w:rPr>
                <w:rFonts w:cs="Arial"/>
                <w:color w:val="000000"/>
                <w:sz w:val="22"/>
                <w:szCs w:val="22"/>
                <w:lang w:val="it-CH" w:eastAsia="it-CH"/>
              </w:rPr>
            </w:pPr>
            <w:r w:rsidRPr="0001431D">
              <w:rPr>
                <w:rFonts w:cs="Arial"/>
                <w:color w:val="000000"/>
                <w:sz w:val="22"/>
                <w:szCs w:val="22"/>
                <w:lang w:val="it-CH" w:eastAsia="it-CH"/>
              </w:rPr>
              <w:t>fr.</w:t>
            </w:r>
          </w:p>
        </w:tc>
        <w:tc>
          <w:tcPr>
            <w:tcW w:w="1628" w:type="dxa"/>
            <w:tcBorders>
              <w:top w:val="single" w:sz="4" w:space="0" w:color="auto"/>
              <w:bottom w:val="single" w:sz="4" w:space="0" w:color="auto"/>
              <w:right w:val="single" w:sz="8" w:space="0" w:color="auto"/>
            </w:tcBorders>
            <w:shd w:val="clear" w:color="auto" w:fill="auto"/>
            <w:noWrap/>
            <w:vAlign w:val="center"/>
          </w:tcPr>
          <w:p w:rsidR="00B21A9A" w:rsidRPr="0001431D" w:rsidRDefault="00B21A9A" w:rsidP="00B21A9A">
            <w:pPr>
              <w:ind w:left="-190" w:firstLineChars="100" w:firstLine="220"/>
              <w:jc w:val="right"/>
              <w:rPr>
                <w:rFonts w:cs="Arial"/>
                <w:color w:val="000000"/>
                <w:sz w:val="22"/>
                <w:szCs w:val="22"/>
                <w:lang w:val="it-CH" w:eastAsia="it-CH"/>
              </w:rPr>
            </w:pPr>
            <w:r w:rsidRPr="0001431D">
              <w:rPr>
                <w:rFonts w:cs="Arial"/>
                <w:color w:val="000000"/>
                <w:sz w:val="22"/>
                <w:szCs w:val="22"/>
                <w:lang w:val="it-CH" w:eastAsia="it-CH"/>
              </w:rPr>
              <w:t>83’000’000.-</w:t>
            </w:r>
          </w:p>
        </w:tc>
      </w:tr>
      <w:tr w:rsidR="00B21A9A" w:rsidRPr="0001431D" w:rsidTr="00B21A9A">
        <w:trPr>
          <w:trHeight w:val="330"/>
        </w:trPr>
        <w:tc>
          <w:tcPr>
            <w:tcW w:w="6366" w:type="dxa"/>
            <w:tcBorders>
              <w:top w:val="nil"/>
              <w:left w:val="single" w:sz="8" w:space="0" w:color="auto"/>
              <w:bottom w:val="single" w:sz="4" w:space="0" w:color="auto"/>
              <w:right w:val="single" w:sz="4" w:space="0" w:color="auto"/>
            </w:tcBorders>
            <w:shd w:val="clear" w:color="auto" w:fill="auto"/>
            <w:noWrap/>
            <w:vAlign w:val="center"/>
          </w:tcPr>
          <w:p w:rsidR="00B21A9A" w:rsidRPr="0001431D" w:rsidRDefault="00B21A9A" w:rsidP="00B21A9A">
            <w:pPr>
              <w:rPr>
                <w:rFonts w:cs="Arial"/>
                <w:color w:val="000000"/>
                <w:sz w:val="22"/>
                <w:szCs w:val="22"/>
                <w:lang w:val="it-CH" w:eastAsia="it-CH"/>
              </w:rPr>
            </w:pPr>
            <w:r w:rsidRPr="0001431D">
              <w:rPr>
                <w:rFonts w:cs="Arial"/>
                <w:color w:val="000000"/>
                <w:sz w:val="22"/>
                <w:szCs w:val="22"/>
                <w:lang w:val="it-CH" w:eastAsia="it-CH"/>
              </w:rPr>
              <w:t>Costi di adeguamento sede provvisoria stabile Bossi ±25%</w:t>
            </w:r>
          </w:p>
        </w:tc>
        <w:tc>
          <w:tcPr>
            <w:tcW w:w="1446" w:type="dxa"/>
            <w:tcBorders>
              <w:top w:val="single" w:sz="4" w:space="0" w:color="auto"/>
              <w:left w:val="nil"/>
              <w:bottom w:val="single" w:sz="4" w:space="0" w:color="auto"/>
              <w:right w:val="single" w:sz="4" w:space="0" w:color="auto"/>
            </w:tcBorders>
          </w:tcPr>
          <w:p w:rsidR="00B21A9A" w:rsidRPr="0001431D" w:rsidRDefault="00B21A9A" w:rsidP="00B21A9A">
            <w:pPr>
              <w:rPr>
                <w:rFonts w:cs="Arial"/>
                <w:color w:val="000000"/>
                <w:sz w:val="22"/>
                <w:szCs w:val="22"/>
                <w:lang w:val="it-CH" w:eastAsia="it-CH"/>
              </w:rPr>
            </w:pPr>
            <w:r w:rsidRPr="0001431D">
              <w:rPr>
                <w:rFonts w:cs="Arial"/>
                <w:color w:val="000000"/>
                <w:sz w:val="22"/>
                <w:szCs w:val="22"/>
                <w:lang w:val="it-CH" w:eastAsia="it-CH"/>
              </w:rPr>
              <w:t>2027/2029</w:t>
            </w:r>
          </w:p>
        </w:tc>
        <w:tc>
          <w:tcPr>
            <w:tcW w:w="283" w:type="dxa"/>
            <w:tcBorders>
              <w:top w:val="single" w:sz="4" w:space="0" w:color="auto"/>
              <w:left w:val="single" w:sz="4" w:space="0" w:color="auto"/>
              <w:bottom w:val="single" w:sz="4" w:space="0" w:color="auto"/>
            </w:tcBorders>
            <w:shd w:val="clear" w:color="auto" w:fill="auto"/>
            <w:noWrap/>
            <w:vAlign w:val="center"/>
          </w:tcPr>
          <w:p w:rsidR="00B21A9A" w:rsidRPr="0001431D" w:rsidRDefault="00B21A9A" w:rsidP="00B21A9A">
            <w:pPr>
              <w:rPr>
                <w:rFonts w:cs="Arial"/>
                <w:color w:val="000000"/>
                <w:sz w:val="22"/>
                <w:szCs w:val="22"/>
                <w:lang w:val="it-CH" w:eastAsia="it-CH"/>
              </w:rPr>
            </w:pPr>
            <w:r w:rsidRPr="0001431D">
              <w:rPr>
                <w:rFonts w:cs="Arial"/>
                <w:color w:val="000000"/>
                <w:sz w:val="22"/>
                <w:szCs w:val="22"/>
                <w:lang w:val="it-CH" w:eastAsia="it-CH"/>
              </w:rPr>
              <w:t>fr.</w:t>
            </w:r>
          </w:p>
        </w:tc>
        <w:tc>
          <w:tcPr>
            <w:tcW w:w="1628" w:type="dxa"/>
            <w:tcBorders>
              <w:top w:val="single" w:sz="4" w:space="0" w:color="auto"/>
              <w:bottom w:val="single" w:sz="4" w:space="0" w:color="auto"/>
              <w:right w:val="single" w:sz="8" w:space="0" w:color="auto"/>
            </w:tcBorders>
            <w:shd w:val="clear" w:color="auto" w:fill="auto"/>
            <w:noWrap/>
            <w:vAlign w:val="center"/>
          </w:tcPr>
          <w:p w:rsidR="00B21A9A" w:rsidRPr="0001431D" w:rsidRDefault="00B21A9A" w:rsidP="00B21A9A">
            <w:pPr>
              <w:ind w:left="-190" w:firstLineChars="100" w:firstLine="220"/>
              <w:jc w:val="right"/>
              <w:rPr>
                <w:rFonts w:cs="Arial"/>
                <w:color w:val="000000"/>
                <w:sz w:val="22"/>
                <w:szCs w:val="22"/>
                <w:lang w:val="it-CH" w:eastAsia="it-CH"/>
              </w:rPr>
            </w:pPr>
            <w:r w:rsidRPr="0001431D">
              <w:rPr>
                <w:rFonts w:cs="Arial"/>
                <w:color w:val="000000"/>
                <w:sz w:val="22"/>
                <w:szCs w:val="22"/>
                <w:lang w:val="it-CH" w:eastAsia="it-CH"/>
              </w:rPr>
              <w:t>5’000'000.-</w:t>
            </w:r>
          </w:p>
        </w:tc>
      </w:tr>
      <w:tr w:rsidR="00B21A9A" w:rsidRPr="0001431D" w:rsidTr="00B21A9A">
        <w:trPr>
          <w:trHeight w:val="330"/>
        </w:trPr>
        <w:tc>
          <w:tcPr>
            <w:tcW w:w="6366"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rsidR="00B21A9A" w:rsidRPr="0001431D" w:rsidRDefault="00B21A9A" w:rsidP="00B21A9A">
            <w:pPr>
              <w:rPr>
                <w:rFonts w:cs="Arial"/>
                <w:b/>
                <w:color w:val="000000"/>
                <w:sz w:val="22"/>
                <w:szCs w:val="22"/>
                <w:lang w:val="it-CH" w:eastAsia="it-CH"/>
              </w:rPr>
            </w:pPr>
            <w:r w:rsidRPr="0001431D">
              <w:rPr>
                <w:rFonts w:cs="Arial"/>
                <w:b/>
                <w:color w:val="000000"/>
                <w:sz w:val="22"/>
                <w:szCs w:val="22"/>
                <w:lang w:val="it-CH" w:eastAsia="it-CH"/>
              </w:rPr>
              <w:t>Totale¹</w:t>
            </w:r>
          </w:p>
        </w:tc>
        <w:tc>
          <w:tcPr>
            <w:tcW w:w="1446" w:type="dxa"/>
            <w:tcBorders>
              <w:top w:val="single" w:sz="4" w:space="0" w:color="auto"/>
              <w:left w:val="nil"/>
              <w:bottom w:val="single" w:sz="4" w:space="0" w:color="auto"/>
              <w:right w:val="single" w:sz="4" w:space="0" w:color="auto"/>
            </w:tcBorders>
            <w:shd w:val="clear" w:color="auto" w:fill="BFBFBF" w:themeFill="background1" w:themeFillShade="BF"/>
          </w:tcPr>
          <w:p w:rsidR="00B21A9A" w:rsidRPr="0001431D" w:rsidRDefault="00B21A9A" w:rsidP="00B21A9A">
            <w:pPr>
              <w:rPr>
                <w:rFonts w:cs="Arial"/>
                <w:b/>
                <w:color w:val="000000"/>
                <w:sz w:val="22"/>
                <w:szCs w:val="22"/>
                <w:lang w:val="it-CH" w:eastAsia="it-CH"/>
              </w:rPr>
            </w:pPr>
          </w:p>
        </w:tc>
        <w:tc>
          <w:tcPr>
            <w:tcW w:w="283" w:type="dxa"/>
            <w:tcBorders>
              <w:top w:val="single" w:sz="4" w:space="0" w:color="auto"/>
              <w:left w:val="single" w:sz="4" w:space="0" w:color="auto"/>
              <w:bottom w:val="single" w:sz="4" w:space="0" w:color="auto"/>
            </w:tcBorders>
            <w:shd w:val="clear" w:color="auto" w:fill="BFBFBF" w:themeFill="background1" w:themeFillShade="BF"/>
            <w:noWrap/>
            <w:vAlign w:val="center"/>
            <w:hideMark/>
          </w:tcPr>
          <w:p w:rsidR="00B21A9A" w:rsidRPr="0001431D" w:rsidRDefault="00B21A9A" w:rsidP="00B21A9A">
            <w:pPr>
              <w:rPr>
                <w:rFonts w:cs="Arial"/>
                <w:b/>
                <w:color w:val="000000"/>
                <w:sz w:val="22"/>
                <w:szCs w:val="22"/>
                <w:lang w:val="it-CH" w:eastAsia="it-CH"/>
              </w:rPr>
            </w:pPr>
            <w:r w:rsidRPr="0001431D">
              <w:rPr>
                <w:rFonts w:cs="Arial"/>
                <w:b/>
                <w:color w:val="000000"/>
                <w:sz w:val="22"/>
                <w:szCs w:val="22"/>
                <w:lang w:val="it-CH" w:eastAsia="it-CH"/>
              </w:rPr>
              <w:t>fr.</w:t>
            </w:r>
          </w:p>
        </w:tc>
        <w:tc>
          <w:tcPr>
            <w:tcW w:w="1628" w:type="dxa"/>
            <w:tcBorders>
              <w:top w:val="single" w:sz="4" w:space="0" w:color="auto"/>
              <w:bottom w:val="single" w:sz="4" w:space="0" w:color="auto"/>
              <w:right w:val="single" w:sz="8" w:space="0" w:color="auto"/>
            </w:tcBorders>
            <w:shd w:val="clear" w:color="auto" w:fill="BFBFBF" w:themeFill="background1" w:themeFillShade="BF"/>
            <w:noWrap/>
            <w:vAlign w:val="center"/>
          </w:tcPr>
          <w:p w:rsidR="00B21A9A" w:rsidRPr="0001431D" w:rsidRDefault="00B21A9A" w:rsidP="00B21A9A">
            <w:pPr>
              <w:ind w:left="-190" w:firstLineChars="100" w:firstLine="220"/>
              <w:jc w:val="right"/>
              <w:rPr>
                <w:rFonts w:cs="Arial"/>
                <w:b/>
                <w:color w:val="000000"/>
                <w:sz w:val="22"/>
                <w:szCs w:val="22"/>
                <w:lang w:val="it-CH" w:eastAsia="it-CH"/>
              </w:rPr>
            </w:pPr>
            <w:r w:rsidRPr="0001431D">
              <w:rPr>
                <w:rFonts w:cs="Arial"/>
                <w:b/>
                <w:color w:val="000000"/>
                <w:sz w:val="22"/>
                <w:szCs w:val="22"/>
                <w:lang w:val="it-CH" w:eastAsia="it-CH"/>
              </w:rPr>
              <w:t>223'950'000.-</w:t>
            </w:r>
          </w:p>
        </w:tc>
      </w:tr>
    </w:tbl>
    <w:p w:rsidR="00B21A9A" w:rsidRPr="009E3678" w:rsidRDefault="00B21A9A" w:rsidP="00B260F8">
      <w:pPr>
        <w:spacing w:before="80"/>
        <w:jc w:val="left"/>
        <w:rPr>
          <w:rFonts w:cs="Arial"/>
          <w:color w:val="000000" w:themeColor="text1"/>
          <w:sz w:val="18"/>
          <w:szCs w:val="18"/>
          <w:lang w:val="it-CH" w:eastAsia="it-CH"/>
        </w:rPr>
      </w:pPr>
      <w:r w:rsidRPr="0001431D">
        <w:rPr>
          <w:rFonts w:cs="Arial"/>
          <w:color w:val="000000" w:themeColor="text1"/>
          <w:sz w:val="18"/>
          <w:szCs w:val="18"/>
          <w:lang w:val="it-CH" w:eastAsia="it-CH"/>
        </w:rPr>
        <w:t xml:space="preserve">¹Riservati i gradi di precisione (±15% progetto di massima del PGL e ±25% costi di ristrutturazione e adeguamento </w:t>
      </w:r>
      <w:r>
        <w:rPr>
          <w:rFonts w:cs="Arial"/>
          <w:color w:val="000000" w:themeColor="text1"/>
          <w:sz w:val="18"/>
          <w:szCs w:val="18"/>
          <w:lang w:val="it-CH" w:eastAsia="it-CH"/>
        </w:rPr>
        <w:t xml:space="preserve">dello stabile </w:t>
      </w:r>
      <w:r w:rsidRPr="0001431D">
        <w:rPr>
          <w:rFonts w:cs="Arial"/>
          <w:color w:val="000000" w:themeColor="text1"/>
          <w:sz w:val="18"/>
          <w:szCs w:val="18"/>
          <w:lang w:val="it-CH" w:eastAsia="it-CH"/>
        </w:rPr>
        <w:t>ex</w:t>
      </w:r>
      <w:r>
        <w:rPr>
          <w:rFonts w:cs="Arial"/>
          <w:color w:val="000000" w:themeColor="text1"/>
          <w:sz w:val="18"/>
          <w:szCs w:val="18"/>
          <w:lang w:val="it-CH" w:eastAsia="it-CH"/>
        </w:rPr>
        <w:t xml:space="preserve"> Banca del Gottardo e dello stabile Bossi).</w:t>
      </w:r>
    </w:p>
    <w:p w:rsidR="00B21A9A" w:rsidRDefault="00B21A9A" w:rsidP="00B21A9A">
      <w:pPr>
        <w:rPr>
          <w:lang w:val="it-CH" w:eastAsia="it-CH"/>
        </w:rPr>
      </w:pPr>
    </w:p>
    <w:p w:rsidR="00A85314" w:rsidRPr="00907B95" w:rsidRDefault="00A85314" w:rsidP="00B21A9A">
      <w:pPr>
        <w:rPr>
          <w:lang w:val="it-CH" w:eastAsia="it-CH"/>
        </w:rPr>
      </w:pPr>
    </w:p>
    <w:p w:rsidR="00B21A9A" w:rsidRDefault="00B21A9A" w:rsidP="00B21A9A">
      <w:pPr>
        <w:pStyle w:val="Titolo2"/>
        <w:tabs>
          <w:tab w:val="clear" w:pos="567"/>
          <w:tab w:val="left" w:pos="709"/>
        </w:tabs>
        <w:rPr>
          <w:lang w:val="it-CH" w:eastAsia="it-CH"/>
        </w:rPr>
      </w:pPr>
      <w:r>
        <w:rPr>
          <w:lang w:val="it-CH" w:eastAsia="it-CH"/>
        </w:rPr>
        <w:t>6.5</w:t>
      </w:r>
      <w:r>
        <w:rPr>
          <w:lang w:val="it-CH" w:eastAsia="it-CH"/>
        </w:rPr>
        <w:tab/>
      </w:r>
      <w:r w:rsidRPr="00563A0D">
        <w:rPr>
          <w:lang w:val="it-CH" w:eastAsia="it-CH"/>
        </w:rPr>
        <w:t xml:space="preserve">Costi di </w:t>
      </w:r>
      <w:r>
        <w:rPr>
          <w:lang w:val="it-CH" w:eastAsia="it-CH"/>
        </w:rPr>
        <w:t xml:space="preserve">progettazione </w:t>
      </w:r>
    </w:p>
    <w:p w:rsidR="00B21A9A" w:rsidRPr="003E693A" w:rsidRDefault="00B21A9A" w:rsidP="00A85314">
      <w:pPr>
        <w:pStyle w:val="Titolo3"/>
        <w:ind w:left="709" w:hanging="709"/>
        <w:rPr>
          <w:lang w:eastAsia="it-CH"/>
        </w:rPr>
      </w:pPr>
      <w:r w:rsidRPr="00BA2F62">
        <w:rPr>
          <w:lang w:eastAsia="it-CH"/>
        </w:rPr>
        <w:t>6.5.2</w:t>
      </w:r>
      <w:r w:rsidRPr="00BA2F62">
        <w:rPr>
          <w:lang w:eastAsia="it-CH"/>
        </w:rPr>
        <w:tab/>
      </w:r>
      <w:r w:rsidRPr="00BA2F62">
        <w:rPr>
          <w:lang w:val="it-CH" w:eastAsia="it-CH"/>
        </w:rPr>
        <w:t>Costi di progettazione fino alla fase</w:t>
      </w:r>
      <w:r>
        <w:rPr>
          <w:lang w:val="it-CH" w:eastAsia="it-CH"/>
        </w:rPr>
        <w:t xml:space="preserve"> d’appalto </w:t>
      </w:r>
      <w:r>
        <w:rPr>
          <w:lang w:eastAsia="it-CH"/>
        </w:rPr>
        <w:t>compresa</w:t>
      </w:r>
      <w:r>
        <w:rPr>
          <w:lang w:val="it-CH" w:eastAsia="it-CH"/>
        </w:rPr>
        <w:t xml:space="preserve"> (4.41 </w:t>
      </w:r>
      <w:r w:rsidRPr="00BA2F62">
        <w:rPr>
          <w:lang w:val="it-CH" w:eastAsia="it-CH"/>
        </w:rPr>
        <w:t xml:space="preserve">regolamento </w:t>
      </w:r>
      <w:r w:rsidR="00B260F8">
        <w:rPr>
          <w:lang w:val="it-CH" w:eastAsia="it-CH"/>
        </w:rPr>
        <w:br/>
      </w:r>
      <w:r w:rsidRPr="00BA2F62">
        <w:rPr>
          <w:lang w:val="it-CH" w:eastAsia="it-CH"/>
        </w:rPr>
        <w:t>SIA 112</w:t>
      </w:r>
      <w:r>
        <w:rPr>
          <w:lang w:eastAsia="it-CH"/>
        </w:rPr>
        <w:t xml:space="preserve">) </w:t>
      </w:r>
    </w:p>
    <w:p w:rsidR="00B21A9A" w:rsidRDefault="00B21A9A" w:rsidP="00B21A9A">
      <w:pPr>
        <w:rPr>
          <w:rFonts w:cs="Arial"/>
          <w:color w:val="000000" w:themeColor="text1"/>
          <w:szCs w:val="24"/>
          <w:lang w:val="it-CH" w:eastAsia="it-CH"/>
        </w:rPr>
      </w:pPr>
      <w:r>
        <w:rPr>
          <w:rFonts w:cs="Arial"/>
          <w:color w:val="000000" w:themeColor="text1"/>
          <w:szCs w:val="24"/>
          <w:lang w:val="it-CH" w:eastAsia="it-CH"/>
        </w:rPr>
        <w:t>Il credito necessario per la progettazione della ristrutturazione dell’edificio ex Banca del Gottardo dalla fase del progetto di massima fino alla fase delle procedure d‘appalto per la ristrutturazione della tecnica dell’edificio e l’adeguamento spaziale alle esigenze dell’utenza ammonta complessivamente a franchi 5'500'000.-.</w:t>
      </w:r>
    </w:p>
    <w:p w:rsidR="00A85314" w:rsidRDefault="00A85314" w:rsidP="00B21A9A">
      <w:pPr>
        <w:rPr>
          <w:rFonts w:cs="Arial"/>
          <w:color w:val="000000" w:themeColor="text1"/>
          <w:szCs w:val="24"/>
          <w:lang w:val="it-CH" w:eastAsia="it-CH"/>
        </w:rPr>
      </w:pPr>
    </w:p>
    <w:p w:rsidR="00B21A9A" w:rsidRPr="00BA2F62" w:rsidRDefault="00B21A9A" w:rsidP="00B21A9A">
      <w:pPr>
        <w:pStyle w:val="Titolo3"/>
        <w:rPr>
          <w:lang w:eastAsia="it-CH"/>
        </w:rPr>
      </w:pPr>
      <w:r w:rsidRPr="00BA2F62">
        <w:rPr>
          <w:lang w:eastAsia="it-CH"/>
        </w:rPr>
        <w:t>6.5.3</w:t>
      </w:r>
      <w:r w:rsidRPr="00BA2F62">
        <w:rPr>
          <w:lang w:eastAsia="it-CH"/>
        </w:rPr>
        <w:tab/>
      </w:r>
      <w:r w:rsidRPr="00BA2F62">
        <w:rPr>
          <w:lang w:val="it-CH" w:eastAsia="it-CH"/>
        </w:rPr>
        <w:t>Costi per lo studio di fattibilità sede provvisoria</w:t>
      </w:r>
      <w:r w:rsidRPr="00BA2F62">
        <w:rPr>
          <w:lang w:eastAsia="it-CH"/>
        </w:rPr>
        <w:t xml:space="preserve"> </w:t>
      </w:r>
    </w:p>
    <w:p w:rsidR="00B21A9A" w:rsidRDefault="00B21A9A" w:rsidP="00B21A9A">
      <w:pPr>
        <w:rPr>
          <w:rFonts w:cs="Arial"/>
          <w:color w:val="000000" w:themeColor="text1"/>
          <w:szCs w:val="24"/>
          <w:lang w:val="it-CH" w:eastAsia="it-CH"/>
        </w:rPr>
      </w:pPr>
      <w:r w:rsidRPr="004E4A85">
        <w:rPr>
          <w:rFonts w:cs="Arial"/>
          <w:color w:val="000000" w:themeColor="text1"/>
          <w:szCs w:val="24"/>
          <w:lang w:val="it-CH" w:eastAsia="it-CH"/>
        </w:rPr>
        <w:t>Il credito necessario per lo studio di fattibilità e progettazione fino alla fase della procedura di appalto per la sede esterna provvisoria, per i servizi da trasferire transitoriamente dal Palazzo di giustizia per la fase di cantiere ammonta complessivamente a franchi 490'000.-.</w:t>
      </w:r>
    </w:p>
    <w:p w:rsidR="00A85314" w:rsidRDefault="00A85314" w:rsidP="00B21A9A">
      <w:pPr>
        <w:rPr>
          <w:rFonts w:cs="Arial"/>
          <w:color w:val="000000" w:themeColor="text1"/>
          <w:szCs w:val="24"/>
          <w:lang w:val="it-CH" w:eastAsia="it-CH"/>
        </w:rPr>
      </w:pPr>
    </w:p>
    <w:p w:rsidR="00B21A9A" w:rsidRPr="00CE3059" w:rsidRDefault="00B21A9A" w:rsidP="00B21A9A">
      <w:pPr>
        <w:pStyle w:val="Titolo3"/>
        <w:rPr>
          <w:lang w:eastAsia="it-CH"/>
        </w:rPr>
      </w:pPr>
      <w:r w:rsidRPr="00CE3059">
        <w:rPr>
          <w:lang w:eastAsia="it-CH"/>
        </w:rPr>
        <w:t>6.5.4</w:t>
      </w:r>
      <w:r w:rsidRPr="00CE3059">
        <w:rPr>
          <w:lang w:eastAsia="it-CH"/>
        </w:rPr>
        <w:tab/>
      </w:r>
      <w:r w:rsidRPr="00CE3059">
        <w:rPr>
          <w:lang w:val="it-CH" w:eastAsia="it-CH"/>
        </w:rPr>
        <w:t xml:space="preserve">Costi </w:t>
      </w:r>
      <w:r>
        <w:rPr>
          <w:lang w:val="it-CH" w:eastAsia="it-CH"/>
        </w:rPr>
        <w:t>per il supporto al capoprogetto (costi del committente)</w:t>
      </w:r>
    </w:p>
    <w:p w:rsidR="00B21A9A" w:rsidRDefault="00B21A9A" w:rsidP="00B21A9A">
      <w:pPr>
        <w:rPr>
          <w:rFonts w:cs="Arial"/>
          <w:bCs/>
          <w:szCs w:val="24"/>
          <w:lang w:eastAsia="it-CH"/>
        </w:rPr>
      </w:pPr>
      <w:r w:rsidRPr="00CE3059">
        <w:rPr>
          <w:rFonts w:cs="Arial"/>
          <w:bCs/>
          <w:szCs w:val="24"/>
          <w:lang w:eastAsia="it-CH"/>
        </w:rPr>
        <w:t xml:space="preserve">La gestione di questi importanti investimenti </w:t>
      </w:r>
      <w:r>
        <w:rPr>
          <w:rFonts w:cs="Arial"/>
          <w:bCs/>
          <w:szCs w:val="24"/>
          <w:lang w:eastAsia="it-CH"/>
        </w:rPr>
        <w:t>richiede l’attribuzione di un mandato esterno a supporto al Capoprogetto</w:t>
      </w:r>
      <w:r w:rsidRPr="00CE3059">
        <w:rPr>
          <w:rFonts w:cs="Arial"/>
          <w:bCs/>
          <w:szCs w:val="24"/>
          <w:lang w:eastAsia="it-CH"/>
        </w:rPr>
        <w:t xml:space="preserve"> per complessivi franchi </w:t>
      </w:r>
      <w:r>
        <w:rPr>
          <w:rFonts w:cs="Arial"/>
          <w:bCs/>
          <w:szCs w:val="24"/>
          <w:lang w:eastAsia="it-CH"/>
        </w:rPr>
        <w:t xml:space="preserve">1.30 milioni. </w:t>
      </w:r>
      <w:r w:rsidRPr="00CE3059">
        <w:rPr>
          <w:rFonts w:cs="Arial"/>
          <w:bCs/>
          <w:szCs w:val="24"/>
          <w:lang w:eastAsia="it-CH"/>
        </w:rPr>
        <w:t>L’attività si estende a tutti e tre i progetti (la ristrutturazione e adeguamento ex Banca del Gottardo, la ristrutturazione del PGL e le relative sedi provvisorie)</w:t>
      </w:r>
      <w:r>
        <w:rPr>
          <w:rFonts w:cs="Arial"/>
          <w:bCs/>
          <w:szCs w:val="24"/>
          <w:lang w:eastAsia="it-CH"/>
        </w:rPr>
        <w:t xml:space="preserve"> ed</w:t>
      </w:r>
      <w:r w:rsidRPr="00CE3059">
        <w:rPr>
          <w:rFonts w:cs="Arial"/>
          <w:bCs/>
          <w:szCs w:val="24"/>
          <w:lang w:eastAsia="it-CH"/>
        </w:rPr>
        <w:t xml:space="preserve"> è inserita a PFI WBS 941 59 34 51 relativamente all’opera “Ristrutturazione PGL”.</w:t>
      </w:r>
      <w:r w:rsidRPr="00BA2F62">
        <w:rPr>
          <w:rFonts w:cs="Arial"/>
          <w:bCs/>
          <w:szCs w:val="24"/>
          <w:lang w:eastAsia="it-CH"/>
        </w:rPr>
        <w:t xml:space="preserve"> </w:t>
      </w:r>
    </w:p>
    <w:p w:rsidR="00B21A9A" w:rsidRPr="00A85314" w:rsidRDefault="00B21A9A" w:rsidP="00B21A9A">
      <w:pPr>
        <w:rPr>
          <w:rFonts w:cs="Arial"/>
          <w:bCs/>
          <w:sz w:val="12"/>
          <w:szCs w:val="12"/>
          <w:lang w:eastAsia="it-CH"/>
        </w:rPr>
      </w:pPr>
    </w:p>
    <w:p w:rsidR="00B21A9A" w:rsidRDefault="00B21A9A" w:rsidP="00B21A9A">
      <w:pPr>
        <w:rPr>
          <w:rFonts w:cs="Arial"/>
          <w:bCs/>
          <w:szCs w:val="24"/>
          <w:lang w:eastAsia="it-CH"/>
        </w:rPr>
      </w:pPr>
      <w:r>
        <w:rPr>
          <w:rFonts w:cs="Arial"/>
          <w:bCs/>
          <w:szCs w:val="24"/>
          <w:lang w:eastAsia="it-CH"/>
        </w:rPr>
        <w:t xml:space="preserve">Con la presente richiesta chiediamo il credito unicamente per la prima fase (progettazione ex </w:t>
      </w:r>
      <w:r w:rsidRPr="002A151C">
        <w:rPr>
          <w:rFonts w:cs="Arial"/>
          <w:bCs/>
          <w:szCs w:val="24"/>
          <w:lang w:eastAsia="it-CH"/>
        </w:rPr>
        <w:t>Banca del Gottardo</w:t>
      </w:r>
      <w:r>
        <w:rPr>
          <w:rFonts w:cs="Arial"/>
          <w:bCs/>
          <w:szCs w:val="24"/>
          <w:lang w:eastAsia="it-CH"/>
        </w:rPr>
        <w:t xml:space="preserve"> e studio di fattibilità stabile via Bossi) valutata in ca. franchi 400'000.-. Il resto del credito sarà richiesto in una seconda fase sulla base del riscontro della procedura di concorso.</w:t>
      </w:r>
    </w:p>
    <w:p w:rsidR="00A85314" w:rsidRDefault="00A85314" w:rsidP="00B21A9A">
      <w:pPr>
        <w:rPr>
          <w:rFonts w:cs="Arial"/>
          <w:bCs/>
          <w:szCs w:val="24"/>
          <w:lang w:eastAsia="it-CH"/>
        </w:rPr>
      </w:pPr>
    </w:p>
    <w:p w:rsidR="00B21A9A" w:rsidRDefault="00B21A9A" w:rsidP="00B21A9A">
      <w:pPr>
        <w:pStyle w:val="Titolo3"/>
        <w:rPr>
          <w:lang w:eastAsia="it-CH"/>
        </w:rPr>
      </w:pPr>
      <w:r w:rsidRPr="00CE3059">
        <w:rPr>
          <w:lang w:eastAsia="it-CH"/>
        </w:rPr>
        <w:t>6.5.</w:t>
      </w:r>
      <w:r>
        <w:rPr>
          <w:lang w:eastAsia="it-CH"/>
        </w:rPr>
        <w:t>5</w:t>
      </w:r>
      <w:r>
        <w:rPr>
          <w:lang w:eastAsia="it-CH"/>
        </w:rPr>
        <w:tab/>
        <w:t xml:space="preserve">Costi di progettazione </w:t>
      </w:r>
    </w:p>
    <w:p w:rsidR="00B21A9A" w:rsidRDefault="00B21A9A" w:rsidP="00B21A9A">
      <w:pPr>
        <w:rPr>
          <w:lang w:val="it-CH" w:eastAsia="it-CH"/>
        </w:rPr>
      </w:pPr>
      <w:r>
        <w:rPr>
          <w:lang w:val="it-CH" w:eastAsia="it-CH"/>
        </w:rPr>
        <w:t xml:space="preserve">La progettazione </w:t>
      </w:r>
      <w:r w:rsidRPr="00F174C0">
        <w:rPr>
          <w:rFonts w:cs="Arial"/>
          <w:szCs w:val="24"/>
          <w:lang w:val="it-CH" w:eastAsia="it-CH"/>
        </w:rPr>
        <w:t xml:space="preserve">fino alla fase </w:t>
      </w:r>
      <w:r>
        <w:rPr>
          <w:rFonts w:cs="Arial"/>
          <w:szCs w:val="24"/>
          <w:lang w:val="it-CH" w:eastAsia="it-CH"/>
        </w:rPr>
        <w:t>della procedura d’appalto compresa (</w:t>
      </w:r>
      <w:r w:rsidRPr="00F174C0">
        <w:rPr>
          <w:rFonts w:cs="Arial"/>
          <w:szCs w:val="24"/>
          <w:lang w:val="it-CH" w:eastAsia="it-CH"/>
        </w:rPr>
        <w:t>4.41 SIA 112)</w:t>
      </w:r>
      <w:r>
        <w:rPr>
          <w:lang w:val="it-CH" w:eastAsia="it-CH"/>
        </w:rPr>
        <w:t xml:space="preserve"> necessaria alla preparazione del messaggio per la richiesta dei crediti di investimento e progettazione, per l’edificio ex Banca del Gottardo e dello stabile Bossi, nonché del coordinamento del progetto previsi nell’arco temporale 2020/2024 ha i seguenti costi:</w:t>
      </w:r>
    </w:p>
    <w:p w:rsidR="00B21A9A" w:rsidRPr="00A15C1B" w:rsidRDefault="00B21A9A" w:rsidP="00B21A9A">
      <w:pPr>
        <w:rPr>
          <w:lang w:eastAsia="it-CH"/>
        </w:rPr>
      </w:pPr>
    </w:p>
    <w:tbl>
      <w:tblPr>
        <w:tblStyle w:val="Grigliatabella"/>
        <w:tblW w:w="0" w:type="auto"/>
        <w:tblInd w:w="108" w:type="dxa"/>
        <w:tblLook w:val="04A0" w:firstRow="1" w:lastRow="0" w:firstColumn="1" w:lastColumn="0" w:noHBand="0" w:noVBand="1"/>
      </w:tblPr>
      <w:tblGrid>
        <w:gridCol w:w="7371"/>
        <w:gridCol w:w="709"/>
        <w:gridCol w:w="1559"/>
      </w:tblGrid>
      <w:tr w:rsidR="00B21A9A" w:rsidTr="00B21A9A">
        <w:trPr>
          <w:trHeight w:val="329"/>
        </w:trPr>
        <w:tc>
          <w:tcPr>
            <w:tcW w:w="7371" w:type="dxa"/>
            <w:shd w:val="clear" w:color="auto" w:fill="BFBFBF" w:themeFill="background1" w:themeFillShade="BF"/>
          </w:tcPr>
          <w:p w:rsidR="00B21A9A" w:rsidRDefault="00B21A9A" w:rsidP="00B21A9A">
            <w:pPr>
              <w:jc w:val="left"/>
              <w:rPr>
                <w:rFonts w:cs="Arial"/>
                <w:color w:val="000000"/>
                <w:sz w:val="22"/>
                <w:lang w:val="it-CH" w:eastAsia="it-CH"/>
              </w:rPr>
            </w:pPr>
            <w:r>
              <w:rPr>
                <w:rFonts w:cs="Arial"/>
                <w:color w:val="000000"/>
                <w:sz w:val="22"/>
                <w:lang w:val="it-CH" w:eastAsia="it-CH"/>
              </w:rPr>
              <w:t xml:space="preserve">Onorari </w:t>
            </w:r>
            <w:r w:rsidRPr="00E62B29">
              <w:rPr>
                <w:rFonts w:cs="Arial"/>
                <w:color w:val="000000"/>
                <w:sz w:val="22"/>
                <w:lang w:val="it-CH" w:eastAsia="it-CH"/>
              </w:rPr>
              <w:t>IVA inclusa</w:t>
            </w:r>
          </w:p>
        </w:tc>
        <w:tc>
          <w:tcPr>
            <w:tcW w:w="709" w:type="dxa"/>
            <w:tcBorders>
              <w:right w:val="nil"/>
            </w:tcBorders>
            <w:shd w:val="clear" w:color="auto" w:fill="BFBFBF" w:themeFill="background1" w:themeFillShade="BF"/>
          </w:tcPr>
          <w:p w:rsidR="00B21A9A" w:rsidRDefault="00B21A9A" w:rsidP="00B21A9A">
            <w:pPr>
              <w:jc w:val="center"/>
              <w:rPr>
                <w:rFonts w:cs="Arial"/>
                <w:color w:val="000000"/>
                <w:sz w:val="22"/>
                <w:lang w:val="it-CH" w:eastAsia="it-CH"/>
              </w:rPr>
            </w:pPr>
          </w:p>
        </w:tc>
        <w:tc>
          <w:tcPr>
            <w:tcW w:w="1559" w:type="dxa"/>
            <w:tcBorders>
              <w:left w:val="nil"/>
              <w:right w:val="single" w:sz="4" w:space="0" w:color="auto"/>
            </w:tcBorders>
            <w:shd w:val="clear" w:color="auto" w:fill="BFBFBF" w:themeFill="background1" w:themeFillShade="BF"/>
          </w:tcPr>
          <w:p w:rsidR="00B21A9A" w:rsidRDefault="00B21A9A" w:rsidP="00B21A9A">
            <w:pPr>
              <w:jc w:val="right"/>
              <w:rPr>
                <w:rFonts w:cs="Arial"/>
                <w:color w:val="000000"/>
                <w:sz w:val="22"/>
                <w:lang w:val="it-CH" w:eastAsia="it-CH"/>
              </w:rPr>
            </w:pPr>
            <w:r>
              <w:rPr>
                <w:rFonts w:cs="Arial"/>
                <w:color w:val="000000"/>
                <w:sz w:val="22"/>
                <w:lang w:val="it-CH" w:eastAsia="it-CH"/>
              </w:rPr>
              <w:t>Importo</w:t>
            </w:r>
          </w:p>
        </w:tc>
      </w:tr>
      <w:tr w:rsidR="00B21A9A" w:rsidTr="00B21A9A">
        <w:trPr>
          <w:trHeight w:val="329"/>
        </w:trPr>
        <w:tc>
          <w:tcPr>
            <w:tcW w:w="7371" w:type="dxa"/>
          </w:tcPr>
          <w:p w:rsidR="00B21A9A" w:rsidDel="008924CE" w:rsidRDefault="00B21A9A" w:rsidP="00B21A9A">
            <w:pPr>
              <w:jc w:val="left"/>
              <w:rPr>
                <w:rFonts w:cs="Arial"/>
                <w:color w:val="000000"/>
                <w:sz w:val="22"/>
                <w:lang w:val="it-CH" w:eastAsia="it-CH"/>
              </w:rPr>
            </w:pPr>
            <w:r>
              <w:rPr>
                <w:rFonts w:cs="Arial"/>
                <w:color w:val="000000"/>
                <w:sz w:val="22"/>
                <w:lang w:val="it-CH" w:eastAsia="it-CH"/>
              </w:rPr>
              <w:t xml:space="preserve">ex Banca del Gottardo </w:t>
            </w:r>
            <w:r w:rsidRPr="00274B05">
              <w:rPr>
                <w:rFonts w:cs="Arial"/>
                <w:sz w:val="22"/>
                <w:lang w:val="it-CH" w:eastAsia="it-CH"/>
              </w:rPr>
              <w:t>fino alla fase della procedura d’appalto compresa (4.41 SIA 112)</w:t>
            </w:r>
          </w:p>
        </w:tc>
        <w:tc>
          <w:tcPr>
            <w:tcW w:w="709" w:type="dxa"/>
            <w:tcBorders>
              <w:right w:val="nil"/>
            </w:tcBorders>
          </w:tcPr>
          <w:p w:rsidR="00B21A9A" w:rsidRDefault="00B21A9A" w:rsidP="00B21A9A">
            <w:pPr>
              <w:jc w:val="center"/>
              <w:rPr>
                <w:rFonts w:cs="Arial"/>
                <w:color w:val="000000"/>
                <w:sz w:val="22"/>
                <w:lang w:val="it-CH" w:eastAsia="it-CH"/>
              </w:rPr>
            </w:pPr>
            <w:r>
              <w:rPr>
                <w:rFonts w:cs="Arial"/>
                <w:color w:val="000000"/>
                <w:sz w:val="22"/>
                <w:lang w:val="it-CH" w:eastAsia="it-CH"/>
              </w:rPr>
              <w:t>fr.</w:t>
            </w:r>
          </w:p>
        </w:tc>
        <w:tc>
          <w:tcPr>
            <w:tcW w:w="1559" w:type="dxa"/>
            <w:tcBorders>
              <w:left w:val="nil"/>
              <w:right w:val="single" w:sz="4" w:space="0" w:color="auto"/>
            </w:tcBorders>
          </w:tcPr>
          <w:p w:rsidR="00B21A9A" w:rsidRDefault="00B21A9A" w:rsidP="00B21A9A">
            <w:pPr>
              <w:jc w:val="right"/>
              <w:rPr>
                <w:rFonts w:cs="Arial"/>
                <w:color w:val="000000"/>
                <w:sz w:val="22"/>
                <w:lang w:val="it-CH" w:eastAsia="it-CH"/>
              </w:rPr>
            </w:pPr>
            <w:r>
              <w:rPr>
                <w:rFonts w:cs="Arial"/>
                <w:color w:val="000000"/>
                <w:sz w:val="22"/>
                <w:lang w:val="it-CH" w:eastAsia="it-CH"/>
              </w:rPr>
              <w:t>5’500'000.-</w:t>
            </w:r>
          </w:p>
        </w:tc>
      </w:tr>
      <w:tr w:rsidR="00B21A9A" w:rsidTr="00B21A9A">
        <w:trPr>
          <w:trHeight w:val="329"/>
        </w:trPr>
        <w:tc>
          <w:tcPr>
            <w:tcW w:w="7371" w:type="dxa"/>
          </w:tcPr>
          <w:p w:rsidR="00B21A9A" w:rsidRDefault="00B21A9A" w:rsidP="00B21A9A">
            <w:pPr>
              <w:jc w:val="left"/>
              <w:rPr>
                <w:rFonts w:cs="Arial"/>
                <w:color w:val="000000"/>
                <w:sz w:val="22"/>
                <w:lang w:val="it-CH" w:eastAsia="it-CH"/>
              </w:rPr>
            </w:pPr>
            <w:r>
              <w:rPr>
                <w:rFonts w:cs="Arial"/>
                <w:color w:val="000000"/>
                <w:sz w:val="22"/>
                <w:lang w:val="it-CH" w:eastAsia="it-CH"/>
              </w:rPr>
              <w:t xml:space="preserve">stabile Bossi </w:t>
            </w:r>
            <w:r w:rsidRPr="00274B05">
              <w:rPr>
                <w:rFonts w:cs="Arial"/>
                <w:sz w:val="22"/>
                <w:lang w:val="it-CH" w:eastAsia="it-CH"/>
              </w:rPr>
              <w:t>fino alla fase della procedura d’appalto compresa (4.41 SIA 112)</w:t>
            </w:r>
          </w:p>
        </w:tc>
        <w:tc>
          <w:tcPr>
            <w:tcW w:w="709" w:type="dxa"/>
            <w:tcBorders>
              <w:right w:val="nil"/>
            </w:tcBorders>
          </w:tcPr>
          <w:p w:rsidR="00B21A9A" w:rsidRDefault="00B21A9A" w:rsidP="00B21A9A">
            <w:pPr>
              <w:jc w:val="center"/>
              <w:rPr>
                <w:rFonts w:cs="Arial"/>
                <w:color w:val="000000"/>
                <w:sz w:val="22"/>
                <w:lang w:val="it-CH" w:eastAsia="it-CH"/>
              </w:rPr>
            </w:pPr>
            <w:r>
              <w:rPr>
                <w:rFonts w:cs="Arial"/>
                <w:color w:val="000000"/>
                <w:sz w:val="22"/>
                <w:lang w:val="it-CH" w:eastAsia="it-CH"/>
              </w:rPr>
              <w:t>fr.</w:t>
            </w:r>
          </w:p>
        </w:tc>
        <w:tc>
          <w:tcPr>
            <w:tcW w:w="1559" w:type="dxa"/>
            <w:tcBorders>
              <w:left w:val="nil"/>
              <w:right w:val="single" w:sz="4" w:space="0" w:color="auto"/>
            </w:tcBorders>
          </w:tcPr>
          <w:p w:rsidR="00B21A9A" w:rsidRDefault="00B21A9A" w:rsidP="00B21A9A">
            <w:pPr>
              <w:jc w:val="right"/>
              <w:rPr>
                <w:rFonts w:cs="Arial"/>
                <w:color w:val="000000"/>
                <w:sz w:val="22"/>
                <w:lang w:val="it-CH" w:eastAsia="it-CH"/>
              </w:rPr>
            </w:pPr>
            <w:r>
              <w:rPr>
                <w:rFonts w:cs="Arial"/>
                <w:color w:val="000000"/>
                <w:sz w:val="22"/>
                <w:lang w:val="it-CH" w:eastAsia="it-CH"/>
              </w:rPr>
              <w:t>490'000.-</w:t>
            </w:r>
          </w:p>
        </w:tc>
      </w:tr>
      <w:tr w:rsidR="00B21A9A" w:rsidTr="00B21A9A">
        <w:trPr>
          <w:trHeight w:val="329"/>
        </w:trPr>
        <w:tc>
          <w:tcPr>
            <w:tcW w:w="7371" w:type="dxa"/>
            <w:shd w:val="clear" w:color="auto" w:fill="BFBFBF" w:themeFill="background1" w:themeFillShade="BF"/>
          </w:tcPr>
          <w:p w:rsidR="00B21A9A" w:rsidRDefault="00B21A9A" w:rsidP="00B21A9A">
            <w:pPr>
              <w:rPr>
                <w:rFonts w:cs="Arial"/>
                <w:color w:val="000000"/>
                <w:sz w:val="22"/>
                <w:lang w:val="it-CH" w:eastAsia="it-CH"/>
              </w:rPr>
            </w:pPr>
            <w:r>
              <w:rPr>
                <w:rFonts w:cs="Arial"/>
                <w:color w:val="000000"/>
                <w:sz w:val="22"/>
                <w:lang w:val="it-CH" w:eastAsia="it-CH"/>
              </w:rPr>
              <w:t xml:space="preserve">Totale </w:t>
            </w:r>
            <w:r w:rsidRPr="00E62B29">
              <w:rPr>
                <w:rFonts w:cs="Arial"/>
                <w:color w:val="000000"/>
                <w:sz w:val="22"/>
                <w:lang w:val="it-CH" w:eastAsia="it-CH"/>
              </w:rPr>
              <w:t>(IVA inclusa)</w:t>
            </w:r>
          </w:p>
        </w:tc>
        <w:tc>
          <w:tcPr>
            <w:tcW w:w="709" w:type="dxa"/>
            <w:tcBorders>
              <w:right w:val="nil"/>
            </w:tcBorders>
            <w:shd w:val="clear" w:color="auto" w:fill="BFBFBF" w:themeFill="background1" w:themeFillShade="BF"/>
          </w:tcPr>
          <w:p w:rsidR="00B21A9A" w:rsidRDefault="00B21A9A" w:rsidP="00B21A9A">
            <w:pPr>
              <w:jc w:val="center"/>
              <w:rPr>
                <w:rFonts w:cs="Arial"/>
                <w:color w:val="000000"/>
                <w:sz w:val="22"/>
                <w:lang w:val="it-CH" w:eastAsia="it-CH"/>
              </w:rPr>
            </w:pPr>
            <w:r>
              <w:rPr>
                <w:rFonts w:cs="Arial"/>
                <w:color w:val="000000"/>
                <w:sz w:val="22"/>
                <w:lang w:val="it-CH" w:eastAsia="it-CH"/>
              </w:rPr>
              <w:t>fr.</w:t>
            </w:r>
          </w:p>
        </w:tc>
        <w:tc>
          <w:tcPr>
            <w:tcW w:w="1559" w:type="dxa"/>
            <w:tcBorders>
              <w:left w:val="nil"/>
              <w:right w:val="single" w:sz="4" w:space="0" w:color="auto"/>
            </w:tcBorders>
            <w:shd w:val="clear" w:color="auto" w:fill="BFBFBF" w:themeFill="background1" w:themeFillShade="BF"/>
          </w:tcPr>
          <w:p w:rsidR="00B21A9A" w:rsidRDefault="00B21A9A" w:rsidP="00B21A9A">
            <w:pPr>
              <w:jc w:val="right"/>
              <w:rPr>
                <w:rFonts w:cs="Arial"/>
                <w:color w:val="000000"/>
                <w:sz w:val="22"/>
                <w:lang w:val="it-CH" w:eastAsia="it-CH"/>
              </w:rPr>
            </w:pPr>
            <w:r>
              <w:rPr>
                <w:rFonts w:cs="Arial"/>
                <w:color w:val="000000"/>
                <w:sz w:val="22"/>
                <w:lang w:val="it-CH" w:eastAsia="it-CH"/>
              </w:rPr>
              <w:t>5’990’000</w:t>
            </w:r>
            <w:r w:rsidRPr="002A151C">
              <w:rPr>
                <w:rFonts w:cs="Arial"/>
                <w:color w:val="000000"/>
                <w:sz w:val="22"/>
                <w:lang w:val="it-CH" w:eastAsia="it-CH"/>
              </w:rPr>
              <w:t>.-</w:t>
            </w:r>
          </w:p>
        </w:tc>
      </w:tr>
    </w:tbl>
    <w:p w:rsidR="00B21A9A" w:rsidRDefault="00B21A9A" w:rsidP="00B21A9A">
      <w:pPr>
        <w:rPr>
          <w:lang w:val="it-CH" w:eastAsia="it-CH"/>
        </w:rPr>
      </w:pPr>
    </w:p>
    <w:p w:rsidR="00A85314" w:rsidRDefault="00A85314" w:rsidP="00B21A9A">
      <w:pPr>
        <w:rPr>
          <w:lang w:val="it-CH" w:eastAsia="it-CH"/>
        </w:rPr>
      </w:pPr>
    </w:p>
    <w:p w:rsidR="00B21A9A" w:rsidRDefault="00B21A9A" w:rsidP="00B21A9A">
      <w:pPr>
        <w:pStyle w:val="Titolo2"/>
        <w:tabs>
          <w:tab w:val="clear" w:pos="567"/>
          <w:tab w:val="left" w:pos="709"/>
        </w:tabs>
        <w:rPr>
          <w:lang w:val="it-CH" w:eastAsia="it-CH"/>
        </w:rPr>
      </w:pPr>
      <w:r>
        <w:rPr>
          <w:lang w:val="it-CH" w:eastAsia="it-CH"/>
        </w:rPr>
        <w:t>6.6</w:t>
      </w:r>
      <w:r>
        <w:rPr>
          <w:lang w:val="it-CH" w:eastAsia="it-CH"/>
        </w:rPr>
        <w:tab/>
        <w:t xml:space="preserve">Richiesta del credito </w:t>
      </w:r>
    </w:p>
    <w:p w:rsidR="00B21A9A" w:rsidRDefault="00B21A9A" w:rsidP="00B21A9A">
      <w:pPr>
        <w:spacing w:after="40"/>
        <w:rPr>
          <w:lang w:val="it-CH" w:eastAsia="it-CH"/>
        </w:rPr>
      </w:pPr>
      <w:r>
        <w:rPr>
          <w:lang w:val="it-CH" w:eastAsia="it-CH"/>
        </w:rPr>
        <w:t>Con questo messaggio si richiedono i seguenti crediti di investimento:</w:t>
      </w:r>
    </w:p>
    <w:p w:rsidR="00B21A9A" w:rsidRDefault="00B21A9A" w:rsidP="00B21A9A">
      <w:pPr>
        <w:spacing w:after="40"/>
        <w:rPr>
          <w:lang w:val="it-CH" w:eastAsia="it-CH"/>
        </w:rPr>
      </w:pPr>
    </w:p>
    <w:tbl>
      <w:tblPr>
        <w:tblW w:w="9723" w:type="dxa"/>
        <w:tblInd w:w="55" w:type="dxa"/>
        <w:tblCellMar>
          <w:left w:w="70" w:type="dxa"/>
          <w:right w:w="70" w:type="dxa"/>
        </w:tblCellMar>
        <w:tblLook w:val="04A0" w:firstRow="1" w:lastRow="0" w:firstColumn="1" w:lastColumn="0" w:noHBand="0" w:noVBand="1"/>
      </w:tblPr>
      <w:tblGrid>
        <w:gridCol w:w="7109"/>
        <w:gridCol w:w="666"/>
        <w:gridCol w:w="1948"/>
      </w:tblGrid>
      <w:tr w:rsidR="00B21A9A" w:rsidRPr="00E038E7" w:rsidTr="00B21A9A">
        <w:trPr>
          <w:trHeight w:val="345"/>
        </w:trPr>
        <w:tc>
          <w:tcPr>
            <w:tcW w:w="7109"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tcPr>
          <w:p w:rsidR="00B21A9A" w:rsidRPr="00117473" w:rsidRDefault="00B21A9A" w:rsidP="00B21A9A">
            <w:pPr>
              <w:rPr>
                <w:rFonts w:cs="Arial"/>
                <w:b/>
                <w:color w:val="000000"/>
                <w:sz w:val="22"/>
                <w:szCs w:val="22"/>
                <w:lang w:val="it-CH" w:eastAsia="it-CH"/>
              </w:rPr>
            </w:pPr>
            <w:r w:rsidRPr="00117473">
              <w:rPr>
                <w:rFonts w:cs="Arial"/>
                <w:b/>
                <w:color w:val="000000"/>
                <w:sz w:val="22"/>
                <w:szCs w:val="22"/>
                <w:lang w:val="it-CH" w:eastAsia="it-CH"/>
              </w:rPr>
              <w:t>Descrizione</w:t>
            </w:r>
          </w:p>
        </w:tc>
        <w:tc>
          <w:tcPr>
            <w:tcW w:w="666" w:type="dxa"/>
            <w:tcBorders>
              <w:top w:val="single" w:sz="8" w:space="0" w:color="auto"/>
              <w:left w:val="nil"/>
              <w:bottom w:val="single" w:sz="4" w:space="0" w:color="auto"/>
            </w:tcBorders>
            <w:shd w:val="clear" w:color="auto" w:fill="BFBFBF" w:themeFill="background1" w:themeFillShade="BF"/>
            <w:noWrap/>
            <w:vAlign w:val="center"/>
            <w:hideMark/>
          </w:tcPr>
          <w:p w:rsidR="00B21A9A" w:rsidRPr="00117473" w:rsidRDefault="00B21A9A" w:rsidP="00B21A9A">
            <w:pPr>
              <w:jc w:val="center"/>
              <w:rPr>
                <w:rFonts w:cs="Arial"/>
                <w:b/>
                <w:color w:val="000000"/>
                <w:sz w:val="22"/>
                <w:szCs w:val="22"/>
                <w:lang w:val="it-CH" w:eastAsia="it-CH"/>
              </w:rPr>
            </w:pPr>
            <w:r w:rsidRPr="00117473">
              <w:rPr>
                <w:rFonts w:cs="Arial"/>
                <w:b/>
                <w:color w:val="000000"/>
                <w:sz w:val="22"/>
                <w:szCs w:val="22"/>
                <w:lang w:val="it-CH" w:eastAsia="it-CH"/>
              </w:rPr>
              <w:t> </w:t>
            </w:r>
          </w:p>
        </w:tc>
        <w:tc>
          <w:tcPr>
            <w:tcW w:w="1948" w:type="dxa"/>
            <w:tcBorders>
              <w:top w:val="single" w:sz="8" w:space="0" w:color="auto"/>
              <w:bottom w:val="single" w:sz="4" w:space="0" w:color="auto"/>
              <w:right w:val="single" w:sz="8" w:space="0" w:color="auto"/>
            </w:tcBorders>
            <w:shd w:val="clear" w:color="auto" w:fill="BFBFBF" w:themeFill="background1" w:themeFillShade="BF"/>
            <w:vAlign w:val="center"/>
            <w:hideMark/>
          </w:tcPr>
          <w:p w:rsidR="00B21A9A" w:rsidRPr="00117473" w:rsidRDefault="00B21A9A" w:rsidP="00B21A9A">
            <w:pPr>
              <w:jc w:val="right"/>
              <w:rPr>
                <w:rFonts w:cs="Arial"/>
                <w:b/>
                <w:color w:val="000000"/>
                <w:sz w:val="22"/>
                <w:szCs w:val="22"/>
                <w:lang w:val="it-CH" w:eastAsia="it-CH"/>
              </w:rPr>
            </w:pPr>
            <w:r w:rsidRPr="00117473">
              <w:rPr>
                <w:rFonts w:cs="Arial"/>
                <w:b/>
                <w:color w:val="000000"/>
                <w:sz w:val="22"/>
                <w:szCs w:val="22"/>
                <w:lang w:val="it-CH" w:eastAsia="it-CH"/>
              </w:rPr>
              <w:t>Importo</w:t>
            </w:r>
          </w:p>
        </w:tc>
      </w:tr>
      <w:tr w:rsidR="00B21A9A" w:rsidRPr="00E038E7" w:rsidTr="00B21A9A">
        <w:trPr>
          <w:trHeight w:val="330"/>
        </w:trPr>
        <w:tc>
          <w:tcPr>
            <w:tcW w:w="7109" w:type="dxa"/>
            <w:tcBorders>
              <w:top w:val="nil"/>
              <w:left w:val="single" w:sz="8" w:space="0" w:color="auto"/>
              <w:bottom w:val="single" w:sz="4" w:space="0" w:color="auto"/>
              <w:right w:val="single" w:sz="4" w:space="0" w:color="auto"/>
            </w:tcBorders>
            <w:shd w:val="clear" w:color="auto" w:fill="auto"/>
            <w:noWrap/>
            <w:vAlign w:val="center"/>
          </w:tcPr>
          <w:p w:rsidR="00B21A9A" w:rsidRPr="00E038E7" w:rsidRDefault="00B21A9A" w:rsidP="00B21A9A">
            <w:pPr>
              <w:rPr>
                <w:rFonts w:cs="Arial"/>
                <w:color w:val="000000"/>
                <w:sz w:val="22"/>
                <w:szCs w:val="22"/>
                <w:lang w:val="it-CH" w:eastAsia="it-CH"/>
              </w:rPr>
            </w:pPr>
            <w:r w:rsidRPr="00E038E7">
              <w:rPr>
                <w:rFonts w:cs="Arial"/>
                <w:color w:val="000000"/>
                <w:sz w:val="22"/>
                <w:szCs w:val="22"/>
                <w:lang w:val="it-CH" w:eastAsia="it-CH"/>
              </w:rPr>
              <w:t>Costi di acquisizione</w:t>
            </w:r>
            <w:r>
              <w:rPr>
                <w:rFonts w:cs="Arial"/>
                <w:color w:val="000000"/>
                <w:sz w:val="22"/>
                <w:szCs w:val="22"/>
                <w:lang w:val="it-CH" w:eastAsia="it-CH"/>
              </w:rPr>
              <w:t xml:space="preserve"> stabile ex Banca del Gottardo</w:t>
            </w:r>
          </w:p>
        </w:tc>
        <w:tc>
          <w:tcPr>
            <w:tcW w:w="666" w:type="dxa"/>
            <w:tcBorders>
              <w:top w:val="single" w:sz="4" w:space="0" w:color="auto"/>
              <w:left w:val="nil"/>
              <w:bottom w:val="single" w:sz="4" w:space="0" w:color="auto"/>
            </w:tcBorders>
            <w:shd w:val="clear" w:color="auto" w:fill="auto"/>
            <w:noWrap/>
            <w:vAlign w:val="center"/>
            <w:hideMark/>
          </w:tcPr>
          <w:p w:rsidR="00B21A9A" w:rsidRPr="00E038E7" w:rsidRDefault="00B21A9A" w:rsidP="00B21A9A">
            <w:pPr>
              <w:rPr>
                <w:rFonts w:cs="Arial"/>
                <w:color w:val="000000"/>
                <w:sz w:val="22"/>
                <w:szCs w:val="22"/>
                <w:lang w:val="it-CH" w:eastAsia="it-CH"/>
              </w:rPr>
            </w:pPr>
            <w:r>
              <w:rPr>
                <w:rFonts w:cs="Arial"/>
                <w:color w:val="000000"/>
                <w:sz w:val="22"/>
                <w:szCs w:val="22"/>
                <w:lang w:val="it-CH" w:eastAsia="it-CH"/>
              </w:rPr>
              <w:t>fr.</w:t>
            </w:r>
          </w:p>
        </w:tc>
        <w:tc>
          <w:tcPr>
            <w:tcW w:w="1948" w:type="dxa"/>
            <w:tcBorders>
              <w:top w:val="single" w:sz="4" w:space="0" w:color="auto"/>
              <w:bottom w:val="single" w:sz="4" w:space="0" w:color="auto"/>
              <w:right w:val="single" w:sz="8" w:space="0" w:color="auto"/>
            </w:tcBorders>
            <w:shd w:val="clear" w:color="auto" w:fill="auto"/>
            <w:noWrap/>
            <w:vAlign w:val="center"/>
          </w:tcPr>
          <w:p w:rsidR="00B21A9A" w:rsidRPr="00E038E7" w:rsidRDefault="00B21A9A" w:rsidP="00B21A9A">
            <w:pPr>
              <w:ind w:left="-190" w:firstLineChars="100" w:firstLine="220"/>
              <w:jc w:val="right"/>
              <w:rPr>
                <w:rFonts w:cs="Arial"/>
                <w:color w:val="000000"/>
                <w:sz w:val="22"/>
                <w:szCs w:val="22"/>
                <w:lang w:val="it-CH" w:eastAsia="it-CH"/>
              </w:rPr>
            </w:pPr>
            <w:r>
              <w:rPr>
                <w:rFonts w:cs="Arial"/>
                <w:color w:val="000000"/>
                <w:sz w:val="22"/>
                <w:szCs w:val="22"/>
                <w:lang w:val="it-CH" w:eastAsia="it-CH"/>
              </w:rPr>
              <w:t>80'000'000.-</w:t>
            </w:r>
          </w:p>
        </w:tc>
      </w:tr>
      <w:tr w:rsidR="00B21A9A" w:rsidRPr="0001431D" w:rsidTr="00B21A9A">
        <w:trPr>
          <w:trHeight w:val="330"/>
        </w:trPr>
        <w:tc>
          <w:tcPr>
            <w:tcW w:w="7109" w:type="dxa"/>
            <w:tcBorders>
              <w:top w:val="nil"/>
              <w:left w:val="single" w:sz="8" w:space="0" w:color="auto"/>
              <w:bottom w:val="single" w:sz="4" w:space="0" w:color="auto"/>
              <w:right w:val="single" w:sz="4" w:space="0" w:color="auto"/>
            </w:tcBorders>
            <w:shd w:val="clear" w:color="auto" w:fill="auto"/>
            <w:noWrap/>
            <w:vAlign w:val="center"/>
          </w:tcPr>
          <w:p w:rsidR="00B21A9A" w:rsidRPr="0001431D" w:rsidRDefault="00B21A9A" w:rsidP="00B21A9A">
            <w:pPr>
              <w:rPr>
                <w:rFonts w:cs="Arial"/>
                <w:color w:val="000000"/>
                <w:sz w:val="22"/>
                <w:szCs w:val="22"/>
                <w:lang w:val="it-CH" w:eastAsia="it-CH"/>
              </w:rPr>
            </w:pPr>
            <w:r w:rsidRPr="0001431D">
              <w:rPr>
                <w:rFonts w:cs="Arial"/>
                <w:color w:val="000000"/>
                <w:sz w:val="22"/>
                <w:szCs w:val="22"/>
                <w:lang w:val="it-CH" w:eastAsia="it-CH"/>
              </w:rPr>
              <w:t>Spese accessorie per l’acquisizione del fondo</w:t>
            </w:r>
          </w:p>
        </w:tc>
        <w:tc>
          <w:tcPr>
            <w:tcW w:w="666" w:type="dxa"/>
            <w:tcBorders>
              <w:top w:val="single" w:sz="4" w:space="0" w:color="auto"/>
              <w:left w:val="nil"/>
              <w:bottom w:val="single" w:sz="4" w:space="0" w:color="auto"/>
            </w:tcBorders>
            <w:shd w:val="clear" w:color="auto" w:fill="auto"/>
            <w:noWrap/>
            <w:vAlign w:val="center"/>
          </w:tcPr>
          <w:p w:rsidR="00B21A9A" w:rsidRPr="0001431D" w:rsidRDefault="00B21A9A" w:rsidP="00B21A9A">
            <w:pPr>
              <w:rPr>
                <w:rFonts w:cs="Arial"/>
                <w:color w:val="000000"/>
                <w:sz w:val="22"/>
                <w:szCs w:val="22"/>
                <w:lang w:val="it-CH" w:eastAsia="it-CH"/>
              </w:rPr>
            </w:pPr>
            <w:r w:rsidRPr="0001431D">
              <w:rPr>
                <w:rFonts w:cs="Arial"/>
                <w:color w:val="000000"/>
                <w:sz w:val="22"/>
                <w:szCs w:val="22"/>
                <w:lang w:val="it-CH" w:eastAsia="it-CH"/>
              </w:rPr>
              <w:t>fr.</w:t>
            </w:r>
          </w:p>
        </w:tc>
        <w:tc>
          <w:tcPr>
            <w:tcW w:w="1948" w:type="dxa"/>
            <w:tcBorders>
              <w:top w:val="single" w:sz="4" w:space="0" w:color="auto"/>
              <w:bottom w:val="single" w:sz="4" w:space="0" w:color="auto"/>
              <w:right w:val="single" w:sz="8" w:space="0" w:color="auto"/>
            </w:tcBorders>
            <w:shd w:val="clear" w:color="auto" w:fill="auto"/>
            <w:noWrap/>
            <w:vAlign w:val="center"/>
          </w:tcPr>
          <w:p w:rsidR="00B21A9A" w:rsidRPr="0001431D" w:rsidDel="00FC049C" w:rsidRDefault="00B21A9A" w:rsidP="00B21A9A">
            <w:pPr>
              <w:ind w:left="-190" w:firstLineChars="100" w:firstLine="220"/>
              <w:jc w:val="right"/>
              <w:rPr>
                <w:rFonts w:cs="Arial"/>
                <w:color w:val="000000"/>
                <w:sz w:val="22"/>
                <w:szCs w:val="22"/>
                <w:lang w:val="it-CH" w:eastAsia="it-CH"/>
              </w:rPr>
            </w:pPr>
            <w:r w:rsidRPr="0001431D">
              <w:rPr>
                <w:rFonts w:cs="Arial"/>
                <w:color w:val="000000"/>
                <w:sz w:val="22"/>
                <w:szCs w:val="22"/>
                <w:lang w:val="it-CH" w:eastAsia="it-CH"/>
              </w:rPr>
              <w:t>50'000.-</w:t>
            </w:r>
          </w:p>
        </w:tc>
      </w:tr>
      <w:tr w:rsidR="00B21A9A" w:rsidRPr="0001431D" w:rsidTr="00B21A9A">
        <w:trPr>
          <w:trHeight w:val="330"/>
        </w:trPr>
        <w:tc>
          <w:tcPr>
            <w:tcW w:w="7109" w:type="dxa"/>
            <w:tcBorders>
              <w:top w:val="nil"/>
              <w:left w:val="single" w:sz="8" w:space="0" w:color="auto"/>
              <w:bottom w:val="single" w:sz="4" w:space="0" w:color="auto"/>
              <w:right w:val="single" w:sz="4" w:space="0" w:color="auto"/>
            </w:tcBorders>
            <w:shd w:val="clear" w:color="auto" w:fill="auto"/>
            <w:noWrap/>
            <w:vAlign w:val="center"/>
          </w:tcPr>
          <w:p w:rsidR="00B21A9A" w:rsidRPr="0001431D" w:rsidRDefault="00B21A9A" w:rsidP="00B21A9A">
            <w:pPr>
              <w:rPr>
                <w:rFonts w:cs="Arial"/>
                <w:color w:val="000000"/>
                <w:sz w:val="22"/>
                <w:szCs w:val="22"/>
                <w:lang w:val="it-CH" w:eastAsia="it-CH"/>
              </w:rPr>
            </w:pPr>
            <w:r w:rsidRPr="0001431D">
              <w:rPr>
                <w:rFonts w:cs="Arial"/>
                <w:color w:val="000000"/>
                <w:sz w:val="22"/>
                <w:szCs w:val="22"/>
                <w:lang w:val="it-CH" w:eastAsia="it-CH"/>
              </w:rPr>
              <w:t xml:space="preserve">Costi di progettazione </w:t>
            </w:r>
            <w:r w:rsidRPr="0001431D">
              <w:rPr>
                <w:rFonts w:cs="Arial"/>
                <w:sz w:val="22"/>
                <w:szCs w:val="24"/>
                <w:lang w:val="it-CH" w:eastAsia="it-CH"/>
              </w:rPr>
              <w:t>fino alla fase della procedura d’appalto compresa (4.41 SIA 112)</w:t>
            </w:r>
            <w:r w:rsidRPr="0001431D">
              <w:rPr>
                <w:sz w:val="22"/>
                <w:lang w:val="it-CH" w:eastAsia="it-CH"/>
              </w:rPr>
              <w:t xml:space="preserve"> </w:t>
            </w:r>
            <w:r>
              <w:rPr>
                <w:sz w:val="22"/>
                <w:lang w:val="it-CH" w:eastAsia="it-CH"/>
              </w:rPr>
              <w:t xml:space="preserve">stabile </w:t>
            </w:r>
            <w:r w:rsidRPr="0001431D">
              <w:rPr>
                <w:rFonts w:cs="Arial"/>
                <w:color w:val="000000"/>
                <w:sz w:val="22"/>
                <w:szCs w:val="22"/>
                <w:lang w:val="it-CH" w:eastAsia="it-CH"/>
              </w:rPr>
              <w:t>ex Banca del Gottardo</w:t>
            </w:r>
          </w:p>
        </w:tc>
        <w:tc>
          <w:tcPr>
            <w:tcW w:w="666" w:type="dxa"/>
            <w:tcBorders>
              <w:top w:val="single" w:sz="4" w:space="0" w:color="auto"/>
              <w:left w:val="nil"/>
              <w:bottom w:val="single" w:sz="4" w:space="0" w:color="auto"/>
            </w:tcBorders>
            <w:shd w:val="clear" w:color="auto" w:fill="auto"/>
            <w:noWrap/>
            <w:vAlign w:val="center"/>
            <w:hideMark/>
          </w:tcPr>
          <w:p w:rsidR="00B21A9A" w:rsidRPr="0001431D" w:rsidRDefault="00B21A9A" w:rsidP="00B21A9A">
            <w:pPr>
              <w:rPr>
                <w:rFonts w:cs="Arial"/>
                <w:color w:val="000000"/>
                <w:sz w:val="22"/>
                <w:szCs w:val="22"/>
                <w:lang w:val="it-CH" w:eastAsia="it-CH"/>
              </w:rPr>
            </w:pPr>
            <w:r w:rsidRPr="0001431D">
              <w:rPr>
                <w:rFonts w:cs="Arial"/>
                <w:color w:val="000000"/>
                <w:sz w:val="22"/>
                <w:szCs w:val="22"/>
                <w:lang w:val="it-CH" w:eastAsia="it-CH"/>
              </w:rPr>
              <w:t>fr.</w:t>
            </w:r>
          </w:p>
        </w:tc>
        <w:tc>
          <w:tcPr>
            <w:tcW w:w="1948" w:type="dxa"/>
            <w:tcBorders>
              <w:top w:val="single" w:sz="4" w:space="0" w:color="auto"/>
              <w:bottom w:val="single" w:sz="4" w:space="0" w:color="auto"/>
              <w:right w:val="single" w:sz="8" w:space="0" w:color="auto"/>
            </w:tcBorders>
            <w:shd w:val="clear" w:color="auto" w:fill="auto"/>
            <w:noWrap/>
            <w:vAlign w:val="center"/>
          </w:tcPr>
          <w:p w:rsidR="00B21A9A" w:rsidRPr="0001431D" w:rsidRDefault="00B21A9A" w:rsidP="00B21A9A">
            <w:pPr>
              <w:ind w:left="-190" w:firstLineChars="100" w:firstLine="220"/>
              <w:jc w:val="right"/>
              <w:rPr>
                <w:rFonts w:cs="Arial"/>
                <w:color w:val="000000"/>
                <w:sz w:val="22"/>
                <w:szCs w:val="22"/>
                <w:lang w:val="it-CH" w:eastAsia="it-CH"/>
              </w:rPr>
            </w:pPr>
            <w:r w:rsidRPr="0001431D">
              <w:rPr>
                <w:rFonts w:cs="Arial"/>
                <w:color w:val="000000"/>
                <w:sz w:val="22"/>
                <w:szCs w:val="22"/>
                <w:lang w:val="it-CH" w:eastAsia="it-CH"/>
              </w:rPr>
              <w:t>5’500’000.-</w:t>
            </w:r>
          </w:p>
        </w:tc>
      </w:tr>
      <w:tr w:rsidR="00B21A9A" w:rsidRPr="0001431D" w:rsidTr="00B21A9A">
        <w:trPr>
          <w:trHeight w:val="330"/>
        </w:trPr>
        <w:tc>
          <w:tcPr>
            <w:tcW w:w="7109" w:type="dxa"/>
            <w:tcBorders>
              <w:top w:val="nil"/>
              <w:left w:val="single" w:sz="8" w:space="0" w:color="auto"/>
              <w:bottom w:val="single" w:sz="4" w:space="0" w:color="auto"/>
              <w:right w:val="single" w:sz="4" w:space="0" w:color="auto"/>
            </w:tcBorders>
            <w:shd w:val="clear" w:color="auto" w:fill="auto"/>
            <w:noWrap/>
            <w:vAlign w:val="center"/>
          </w:tcPr>
          <w:p w:rsidR="00B21A9A" w:rsidRPr="0001431D" w:rsidRDefault="00B21A9A" w:rsidP="00B21A9A">
            <w:pPr>
              <w:rPr>
                <w:rFonts w:cs="Arial"/>
                <w:color w:val="000000"/>
                <w:sz w:val="22"/>
                <w:szCs w:val="22"/>
                <w:lang w:val="it-CH" w:eastAsia="it-CH"/>
              </w:rPr>
            </w:pPr>
            <w:r w:rsidRPr="0001431D">
              <w:rPr>
                <w:rFonts w:cs="Arial"/>
                <w:color w:val="000000"/>
                <w:sz w:val="22"/>
                <w:szCs w:val="22"/>
                <w:lang w:val="it-CH" w:eastAsia="it-CH"/>
              </w:rPr>
              <w:t>Costi di supporto alle attività del capo progetto della Sezione della logistica unicamente per la prima fase</w:t>
            </w:r>
          </w:p>
        </w:tc>
        <w:tc>
          <w:tcPr>
            <w:tcW w:w="666" w:type="dxa"/>
            <w:tcBorders>
              <w:top w:val="single" w:sz="4" w:space="0" w:color="auto"/>
              <w:left w:val="nil"/>
              <w:bottom w:val="single" w:sz="4" w:space="0" w:color="auto"/>
            </w:tcBorders>
            <w:shd w:val="clear" w:color="auto" w:fill="auto"/>
            <w:noWrap/>
            <w:vAlign w:val="center"/>
          </w:tcPr>
          <w:p w:rsidR="00B21A9A" w:rsidRPr="0001431D" w:rsidRDefault="00B21A9A" w:rsidP="00B21A9A">
            <w:pPr>
              <w:rPr>
                <w:rFonts w:cs="Arial"/>
                <w:color w:val="000000"/>
                <w:sz w:val="22"/>
                <w:szCs w:val="22"/>
                <w:lang w:val="it-CH" w:eastAsia="it-CH"/>
              </w:rPr>
            </w:pPr>
            <w:r w:rsidRPr="0001431D">
              <w:rPr>
                <w:rFonts w:cs="Arial"/>
                <w:color w:val="000000"/>
                <w:sz w:val="22"/>
                <w:szCs w:val="22"/>
                <w:lang w:val="it-CH" w:eastAsia="it-CH"/>
              </w:rPr>
              <w:t>fr.</w:t>
            </w:r>
          </w:p>
        </w:tc>
        <w:tc>
          <w:tcPr>
            <w:tcW w:w="1948" w:type="dxa"/>
            <w:tcBorders>
              <w:top w:val="single" w:sz="4" w:space="0" w:color="auto"/>
              <w:bottom w:val="single" w:sz="4" w:space="0" w:color="auto"/>
              <w:right w:val="single" w:sz="8" w:space="0" w:color="auto"/>
            </w:tcBorders>
            <w:shd w:val="clear" w:color="auto" w:fill="auto"/>
            <w:noWrap/>
            <w:vAlign w:val="center"/>
          </w:tcPr>
          <w:p w:rsidR="00B21A9A" w:rsidRPr="0001431D" w:rsidRDefault="00B21A9A" w:rsidP="00B21A9A">
            <w:pPr>
              <w:ind w:left="-190" w:firstLineChars="100" w:firstLine="220"/>
              <w:jc w:val="right"/>
              <w:rPr>
                <w:rFonts w:cs="Arial"/>
                <w:color w:val="000000"/>
                <w:sz w:val="22"/>
                <w:szCs w:val="22"/>
                <w:lang w:val="it-CH" w:eastAsia="it-CH"/>
              </w:rPr>
            </w:pPr>
            <w:r w:rsidRPr="0001431D">
              <w:rPr>
                <w:rFonts w:cs="Arial"/>
                <w:color w:val="000000"/>
                <w:sz w:val="22"/>
                <w:szCs w:val="22"/>
                <w:lang w:val="it-CH" w:eastAsia="it-CH"/>
              </w:rPr>
              <w:t>400'000.-</w:t>
            </w:r>
          </w:p>
        </w:tc>
      </w:tr>
      <w:tr w:rsidR="00B21A9A" w:rsidRPr="0001431D" w:rsidTr="00B21A9A">
        <w:trPr>
          <w:trHeight w:val="330"/>
        </w:trPr>
        <w:tc>
          <w:tcPr>
            <w:tcW w:w="7109" w:type="dxa"/>
            <w:tcBorders>
              <w:top w:val="nil"/>
              <w:left w:val="single" w:sz="8" w:space="0" w:color="auto"/>
              <w:bottom w:val="single" w:sz="4" w:space="0" w:color="auto"/>
              <w:right w:val="single" w:sz="4" w:space="0" w:color="auto"/>
            </w:tcBorders>
            <w:shd w:val="clear" w:color="auto" w:fill="auto"/>
            <w:noWrap/>
            <w:vAlign w:val="center"/>
          </w:tcPr>
          <w:p w:rsidR="00B21A9A" w:rsidRPr="0001431D" w:rsidRDefault="00B21A9A" w:rsidP="00B21A9A">
            <w:pPr>
              <w:rPr>
                <w:rFonts w:cs="Arial"/>
                <w:color w:val="000000"/>
                <w:sz w:val="22"/>
                <w:szCs w:val="22"/>
                <w:lang w:val="it-CH" w:eastAsia="it-CH"/>
              </w:rPr>
            </w:pPr>
            <w:r w:rsidRPr="0001431D">
              <w:rPr>
                <w:rFonts w:cs="Arial"/>
                <w:color w:val="000000"/>
                <w:sz w:val="22"/>
                <w:szCs w:val="22"/>
                <w:lang w:val="it-CH" w:eastAsia="it-CH"/>
              </w:rPr>
              <w:t>Costi di progettazione fino a fase appalti stabile Bossi</w:t>
            </w:r>
          </w:p>
        </w:tc>
        <w:tc>
          <w:tcPr>
            <w:tcW w:w="666" w:type="dxa"/>
            <w:tcBorders>
              <w:top w:val="single" w:sz="4" w:space="0" w:color="auto"/>
              <w:left w:val="nil"/>
              <w:bottom w:val="single" w:sz="4" w:space="0" w:color="auto"/>
            </w:tcBorders>
            <w:shd w:val="clear" w:color="auto" w:fill="auto"/>
            <w:noWrap/>
            <w:vAlign w:val="center"/>
          </w:tcPr>
          <w:p w:rsidR="00B21A9A" w:rsidRPr="0001431D" w:rsidRDefault="00B21A9A" w:rsidP="00B21A9A">
            <w:pPr>
              <w:rPr>
                <w:rFonts w:cs="Arial"/>
                <w:color w:val="000000"/>
                <w:sz w:val="22"/>
                <w:szCs w:val="22"/>
                <w:lang w:val="it-CH" w:eastAsia="it-CH"/>
              </w:rPr>
            </w:pPr>
            <w:r w:rsidRPr="0001431D">
              <w:rPr>
                <w:rFonts w:cs="Arial"/>
                <w:color w:val="000000"/>
                <w:sz w:val="22"/>
                <w:szCs w:val="22"/>
                <w:lang w:val="it-CH" w:eastAsia="it-CH"/>
              </w:rPr>
              <w:t>fr.</w:t>
            </w:r>
          </w:p>
        </w:tc>
        <w:tc>
          <w:tcPr>
            <w:tcW w:w="1948" w:type="dxa"/>
            <w:tcBorders>
              <w:top w:val="single" w:sz="4" w:space="0" w:color="auto"/>
              <w:bottom w:val="single" w:sz="4" w:space="0" w:color="auto"/>
              <w:right w:val="single" w:sz="8" w:space="0" w:color="auto"/>
            </w:tcBorders>
            <w:shd w:val="clear" w:color="auto" w:fill="auto"/>
            <w:noWrap/>
            <w:vAlign w:val="center"/>
          </w:tcPr>
          <w:p w:rsidR="00B21A9A" w:rsidRPr="0001431D" w:rsidRDefault="00B21A9A" w:rsidP="00B21A9A">
            <w:pPr>
              <w:ind w:left="-190" w:firstLineChars="100" w:firstLine="220"/>
              <w:jc w:val="right"/>
              <w:rPr>
                <w:rFonts w:cs="Arial"/>
                <w:color w:val="000000"/>
                <w:sz w:val="22"/>
                <w:szCs w:val="22"/>
                <w:lang w:val="it-CH" w:eastAsia="it-CH"/>
              </w:rPr>
            </w:pPr>
            <w:r w:rsidRPr="0001431D">
              <w:rPr>
                <w:rFonts w:cs="Arial"/>
                <w:color w:val="000000"/>
                <w:sz w:val="22"/>
                <w:szCs w:val="22"/>
                <w:lang w:val="it-CH" w:eastAsia="it-CH"/>
              </w:rPr>
              <w:t>490’000.-</w:t>
            </w:r>
          </w:p>
        </w:tc>
      </w:tr>
      <w:tr w:rsidR="00B21A9A" w:rsidRPr="00E038E7" w:rsidTr="00B21A9A">
        <w:trPr>
          <w:trHeight w:val="330"/>
        </w:trPr>
        <w:tc>
          <w:tcPr>
            <w:tcW w:w="7109" w:type="dxa"/>
            <w:tcBorders>
              <w:top w:val="single" w:sz="4" w:space="0" w:color="auto"/>
              <w:left w:val="single" w:sz="8" w:space="0" w:color="auto"/>
              <w:bottom w:val="single" w:sz="8" w:space="0" w:color="auto"/>
              <w:right w:val="single" w:sz="4" w:space="0" w:color="auto"/>
            </w:tcBorders>
            <w:shd w:val="clear" w:color="auto" w:fill="BFBFBF" w:themeFill="background1" w:themeFillShade="BF"/>
            <w:noWrap/>
            <w:vAlign w:val="center"/>
            <w:hideMark/>
          </w:tcPr>
          <w:p w:rsidR="00B21A9A" w:rsidRPr="0001431D" w:rsidRDefault="00B21A9A" w:rsidP="00B21A9A">
            <w:pPr>
              <w:rPr>
                <w:rFonts w:cs="Arial"/>
                <w:b/>
                <w:color w:val="000000"/>
                <w:sz w:val="22"/>
                <w:szCs w:val="22"/>
                <w:lang w:val="it-CH" w:eastAsia="it-CH"/>
              </w:rPr>
            </w:pPr>
            <w:r w:rsidRPr="0001431D">
              <w:rPr>
                <w:rFonts w:cs="Arial"/>
                <w:b/>
                <w:color w:val="000000"/>
                <w:sz w:val="22"/>
                <w:szCs w:val="22"/>
                <w:lang w:val="it-CH" w:eastAsia="it-CH"/>
              </w:rPr>
              <w:t>Totale</w:t>
            </w:r>
          </w:p>
        </w:tc>
        <w:tc>
          <w:tcPr>
            <w:tcW w:w="666" w:type="dxa"/>
            <w:tcBorders>
              <w:top w:val="single" w:sz="4" w:space="0" w:color="auto"/>
              <w:left w:val="nil"/>
              <w:bottom w:val="single" w:sz="8" w:space="0" w:color="auto"/>
            </w:tcBorders>
            <w:shd w:val="clear" w:color="auto" w:fill="BFBFBF" w:themeFill="background1" w:themeFillShade="BF"/>
            <w:noWrap/>
            <w:vAlign w:val="center"/>
            <w:hideMark/>
          </w:tcPr>
          <w:p w:rsidR="00B21A9A" w:rsidRPr="0001431D" w:rsidRDefault="00B21A9A" w:rsidP="00B21A9A">
            <w:pPr>
              <w:rPr>
                <w:rFonts w:cs="Arial"/>
                <w:b/>
                <w:color w:val="000000"/>
                <w:sz w:val="22"/>
                <w:szCs w:val="22"/>
                <w:lang w:val="it-CH" w:eastAsia="it-CH"/>
              </w:rPr>
            </w:pPr>
            <w:r w:rsidRPr="0001431D">
              <w:rPr>
                <w:rFonts w:cs="Arial"/>
                <w:b/>
                <w:color w:val="000000"/>
                <w:sz w:val="22"/>
                <w:szCs w:val="22"/>
                <w:lang w:val="it-CH" w:eastAsia="it-CH"/>
              </w:rPr>
              <w:t>fr.</w:t>
            </w:r>
          </w:p>
        </w:tc>
        <w:tc>
          <w:tcPr>
            <w:tcW w:w="1948" w:type="dxa"/>
            <w:tcBorders>
              <w:top w:val="single" w:sz="4" w:space="0" w:color="auto"/>
              <w:bottom w:val="single" w:sz="8" w:space="0" w:color="auto"/>
              <w:right w:val="single" w:sz="8" w:space="0" w:color="auto"/>
            </w:tcBorders>
            <w:shd w:val="clear" w:color="auto" w:fill="BFBFBF" w:themeFill="background1" w:themeFillShade="BF"/>
            <w:noWrap/>
            <w:vAlign w:val="center"/>
          </w:tcPr>
          <w:p w:rsidR="00B21A9A" w:rsidRPr="00117473" w:rsidRDefault="00B21A9A" w:rsidP="00B21A9A">
            <w:pPr>
              <w:ind w:left="-190" w:firstLineChars="100" w:firstLine="220"/>
              <w:jc w:val="right"/>
              <w:rPr>
                <w:rFonts w:cs="Arial"/>
                <w:b/>
                <w:color w:val="000000"/>
                <w:sz w:val="22"/>
                <w:szCs w:val="22"/>
                <w:lang w:val="it-CH" w:eastAsia="it-CH"/>
              </w:rPr>
            </w:pPr>
            <w:r w:rsidRPr="0001431D">
              <w:rPr>
                <w:rFonts w:cs="Arial"/>
                <w:b/>
                <w:color w:val="000000"/>
                <w:sz w:val="22"/>
                <w:szCs w:val="22"/>
                <w:lang w:val="it-CH" w:eastAsia="it-CH"/>
              </w:rPr>
              <w:t>86'440'000.-</w:t>
            </w:r>
          </w:p>
        </w:tc>
      </w:tr>
    </w:tbl>
    <w:p w:rsidR="00A85314" w:rsidRDefault="00A85314" w:rsidP="00A85314">
      <w:pPr>
        <w:rPr>
          <w:lang w:val="it-CH" w:eastAsia="it-CH"/>
        </w:rPr>
      </w:pPr>
    </w:p>
    <w:p w:rsidR="00A85314" w:rsidRDefault="00A85314" w:rsidP="00A85314">
      <w:pPr>
        <w:rPr>
          <w:lang w:val="it-CH" w:eastAsia="it-CH"/>
        </w:rPr>
      </w:pPr>
    </w:p>
    <w:p w:rsidR="00B21A9A" w:rsidRDefault="00B21A9A" w:rsidP="00B21A9A">
      <w:pPr>
        <w:pStyle w:val="Titolo2"/>
        <w:tabs>
          <w:tab w:val="clear" w:pos="567"/>
          <w:tab w:val="left" w:pos="709"/>
        </w:tabs>
        <w:rPr>
          <w:lang w:val="it-CH" w:eastAsia="it-CH"/>
        </w:rPr>
      </w:pPr>
      <w:r>
        <w:rPr>
          <w:lang w:val="it-CH" w:eastAsia="it-CH"/>
        </w:rPr>
        <w:t>6.7</w:t>
      </w:r>
      <w:r>
        <w:rPr>
          <w:lang w:val="it-CH" w:eastAsia="it-CH"/>
        </w:rPr>
        <w:tab/>
        <w:t>Costi di gestione</w:t>
      </w:r>
    </w:p>
    <w:p w:rsidR="00B21A9A" w:rsidRPr="00CE748E" w:rsidRDefault="00B21A9A" w:rsidP="00B21A9A">
      <w:pPr>
        <w:pStyle w:val="Titolo3"/>
        <w:spacing w:before="0"/>
        <w:rPr>
          <w:lang w:val="it-CH" w:eastAsia="it-CH"/>
        </w:rPr>
      </w:pPr>
      <w:r>
        <w:rPr>
          <w:lang w:val="it-CH" w:eastAsia="it-CH"/>
        </w:rPr>
        <w:t>6</w:t>
      </w:r>
      <w:r w:rsidRPr="00563A0D">
        <w:rPr>
          <w:lang w:val="it-CH" w:eastAsia="it-CH"/>
        </w:rPr>
        <w:t>.</w:t>
      </w:r>
      <w:r>
        <w:rPr>
          <w:lang w:val="it-CH" w:eastAsia="it-CH"/>
        </w:rPr>
        <w:t>7.1</w:t>
      </w:r>
      <w:r>
        <w:rPr>
          <w:lang w:val="it-CH" w:eastAsia="it-CH"/>
        </w:rPr>
        <w:tab/>
        <w:t>Palazzo di giustizia</w:t>
      </w:r>
    </w:p>
    <w:p w:rsidR="00B21A9A" w:rsidRPr="0017018E" w:rsidRDefault="00B21A9A" w:rsidP="00B21A9A">
      <w:pPr>
        <w:rPr>
          <w:color w:val="000000" w:themeColor="text1"/>
          <w:lang w:val="it-CH" w:eastAsia="it-CH"/>
        </w:rPr>
      </w:pPr>
      <w:r>
        <w:rPr>
          <w:lang w:val="it-CH" w:eastAsia="it-CH"/>
        </w:rPr>
        <w:t xml:space="preserve">L’intervento di ristrutturazione globale, applicando lo standard Minergie come da progetto di massima, comporterà una diminuzione dei costi dell’energia di 3 </w:t>
      </w:r>
      <w:r w:rsidRPr="0017018E">
        <w:rPr>
          <w:color w:val="000000" w:themeColor="text1"/>
          <w:lang w:val="it-CH" w:eastAsia="it-CH"/>
        </w:rPr>
        <w:t xml:space="preserve">volte, delle emissioni di CO2 di 10 volte e dei costi di manutenzione per gli impianti del 50%. </w:t>
      </w:r>
    </w:p>
    <w:p w:rsidR="00B21A9A" w:rsidRPr="00A85314" w:rsidRDefault="00B21A9A" w:rsidP="00B21A9A">
      <w:pPr>
        <w:rPr>
          <w:color w:val="000000" w:themeColor="text1"/>
          <w:sz w:val="12"/>
          <w:szCs w:val="12"/>
          <w:lang w:val="it-CH" w:eastAsia="it-CH"/>
        </w:rPr>
      </w:pPr>
    </w:p>
    <w:p w:rsidR="00B21A9A" w:rsidRPr="0017018E" w:rsidRDefault="00B21A9A" w:rsidP="00B21A9A">
      <w:pPr>
        <w:rPr>
          <w:color w:val="000000" w:themeColor="text1"/>
          <w:lang w:val="it-CH" w:eastAsia="it-CH"/>
        </w:rPr>
      </w:pPr>
      <w:r w:rsidRPr="0017018E">
        <w:rPr>
          <w:color w:val="000000" w:themeColor="text1"/>
          <w:lang w:val="it-CH" w:eastAsia="it-CH"/>
        </w:rPr>
        <w:t>Potenzialmente il risparmio finanziario conseguente all’intervento di ristrutturazione si aggirerà intorno a franchi 160'000.-.</w:t>
      </w:r>
    </w:p>
    <w:p w:rsidR="00B21A9A" w:rsidRPr="00412257" w:rsidRDefault="00B21A9A" w:rsidP="00B21A9A">
      <w:pPr>
        <w:rPr>
          <w:lang w:val="it-CH" w:eastAsia="it-CH"/>
        </w:rPr>
      </w:pPr>
    </w:p>
    <w:p w:rsidR="00B21A9A" w:rsidRDefault="00B21A9A" w:rsidP="00B21A9A">
      <w:pPr>
        <w:pStyle w:val="Titolo3"/>
        <w:spacing w:before="0"/>
        <w:rPr>
          <w:lang w:val="it-CH" w:eastAsia="it-CH"/>
        </w:rPr>
      </w:pPr>
      <w:r>
        <w:rPr>
          <w:lang w:val="it-CH" w:eastAsia="it-CH"/>
        </w:rPr>
        <w:t>6.7.2</w:t>
      </w:r>
      <w:r>
        <w:rPr>
          <w:lang w:val="it-CH" w:eastAsia="it-CH"/>
        </w:rPr>
        <w:tab/>
        <w:t>Stabile ex Banca del Gottardo</w:t>
      </w:r>
    </w:p>
    <w:p w:rsidR="00B21A9A" w:rsidRDefault="00B21A9A" w:rsidP="00B21A9A">
      <w:pPr>
        <w:rPr>
          <w:lang w:val="it-CH" w:eastAsia="it-CH"/>
        </w:rPr>
      </w:pPr>
      <w:r>
        <w:rPr>
          <w:lang w:val="it-CH" w:eastAsia="it-CH"/>
        </w:rPr>
        <w:t>I costi di gestione e di manutenzione ordinaria preventivati dagli attuali proprietari per l’anno 2019 ammontano a franchi</w:t>
      </w:r>
      <w:r>
        <w:rPr>
          <w:rFonts w:cs="Arial"/>
          <w:b/>
          <w:bCs/>
          <w:color w:val="000000"/>
          <w:sz w:val="16"/>
          <w:szCs w:val="16"/>
          <w:lang w:val="it-CH" w:eastAsia="it-CH"/>
        </w:rPr>
        <w:t xml:space="preserve"> </w:t>
      </w:r>
      <w:r w:rsidRPr="005161CC">
        <w:rPr>
          <w:lang w:val="it-CH" w:eastAsia="it-CH"/>
        </w:rPr>
        <w:t>2'696'000</w:t>
      </w:r>
      <w:r>
        <w:rPr>
          <w:lang w:val="it-CH" w:eastAsia="it-CH"/>
        </w:rPr>
        <w:t>.- .</w:t>
      </w:r>
    </w:p>
    <w:p w:rsidR="00B21A9A" w:rsidRPr="00A85314" w:rsidRDefault="00B21A9A" w:rsidP="00B21A9A">
      <w:pPr>
        <w:rPr>
          <w:sz w:val="12"/>
          <w:szCs w:val="12"/>
          <w:lang w:val="it-CH" w:eastAsia="it-CH"/>
        </w:rPr>
      </w:pPr>
    </w:p>
    <w:p w:rsidR="00B21A9A" w:rsidRDefault="00B21A9A" w:rsidP="00B21A9A">
      <w:pPr>
        <w:rPr>
          <w:lang w:val="it-CH" w:eastAsia="it-CH"/>
        </w:rPr>
      </w:pPr>
      <w:r>
        <w:rPr>
          <w:lang w:val="it-CH" w:eastAsia="it-CH"/>
        </w:rPr>
        <w:t xml:space="preserve">Le migliorie tecniche degli impianti di riscaldamento e raffreddamento previste dalla ristrutturazione si ripercuoteranno favorevolmente con un potenziale risparmio pari a circa 10 % dei costi di gestione e manutenzione ordinaria, quantificabili in circa franchi 200'000.- annui.  </w:t>
      </w:r>
    </w:p>
    <w:p w:rsidR="00B21A9A" w:rsidRPr="00A85314" w:rsidRDefault="00B21A9A" w:rsidP="00B21A9A">
      <w:pPr>
        <w:rPr>
          <w:sz w:val="12"/>
          <w:szCs w:val="12"/>
          <w:lang w:val="it-CH" w:eastAsia="it-CH"/>
        </w:rPr>
      </w:pPr>
    </w:p>
    <w:p w:rsidR="00B21A9A" w:rsidRDefault="00B21A9A" w:rsidP="00B21A9A">
      <w:pPr>
        <w:rPr>
          <w:lang w:val="it-CH" w:eastAsia="it-CH"/>
        </w:rPr>
      </w:pPr>
      <w:r>
        <w:rPr>
          <w:lang w:val="it-CH" w:eastAsia="it-CH"/>
        </w:rPr>
        <w:t>La valutazione di questi risparmi potrà essere definita precisamente nell’ambito della richiesta del credito di costruzione, una volta sviluppata l’intera progettazione dell’edificio.</w:t>
      </w:r>
    </w:p>
    <w:p w:rsidR="00B21A9A" w:rsidRDefault="00B21A9A" w:rsidP="00B21A9A">
      <w:pPr>
        <w:rPr>
          <w:rFonts w:cs="Arial"/>
          <w:color w:val="000000"/>
          <w:szCs w:val="24"/>
          <w:lang w:val="it-CH" w:eastAsia="it-CH"/>
        </w:rPr>
      </w:pPr>
    </w:p>
    <w:p w:rsidR="00A85314" w:rsidRPr="00657985" w:rsidRDefault="00A85314" w:rsidP="00B21A9A">
      <w:pPr>
        <w:rPr>
          <w:rFonts w:cs="Arial"/>
          <w:color w:val="000000"/>
          <w:szCs w:val="24"/>
          <w:lang w:val="it-CH" w:eastAsia="it-CH"/>
        </w:rPr>
      </w:pPr>
    </w:p>
    <w:p w:rsidR="00B21A9A" w:rsidRPr="00EA0A0F" w:rsidRDefault="00B21A9A" w:rsidP="00B21A9A"/>
    <w:p w:rsidR="00B21A9A" w:rsidRPr="00D75202" w:rsidRDefault="00B21A9A" w:rsidP="00B21A9A">
      <w:pPr>
        <w:pStyle w:val="Titolo1"/>
        <w:tabs>
          <w:tab w:val="clear" w:pos="567"/>
          <w:tab w:val="left" w:pos="709"/>
        </w:tabs>
      </w:pPr>
      <w:r>
        <w:t>7.</w:t>
      </w:r>
      <w:r>
        <w:tab/>
      </w:r>
      <w:r w:rsidRPr="00EA0A0F">
        <w:t>aspetti TEMPORALI</w:t>
      </w:r>
      <w:r>
        <w:t xml:space="preserve"> </w:t>
      </w:r>
    </w:p>
    <w:p w:rsidR="00B21A9A" w:rsidRDefault="00B21A9A" w:rsidP="00B21A9A">
      <w:pPr>
        <w:autoSpaceDE w:val="0"/>
        <w:autoSpaceDN w:val="0"/>
        <w:adjustRightInd w:val="0"/>
      </w:pPr>
      <w:r>
        <w:t>La tempistica del comparto prevista è la seguente (sulla base della previsione di occupazione di 3 anni dello stabile ex Banca del Gottardo da parte di EFG):</w:t>
      </w:r>
    </w:p>
    <w:p w:rsidR="00B21A9A" w:rsidRPr="00D13F43" w:rsidRDefault="00B21A9A" w:rsidP="00B21A9A">
      <w:pPr>
        <w:autoSpaceDE w:val="0"/>
        <w:autoSpaceDN w:val="0"/>
        <w:adjustRightInd w:val="0"/>
        <w:rPr>
          <w:rFonts w:cs="Arial"/>
          <w:szCs w:val="24"/>
          <w:lang w:val="it-CH" w:eastAsia="it-CH"/>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
        <w:gridCol w:w="7515"/>
        <w:gridCol w:w="1807"/>
      </w:tblGrid>
      <w:tr w:rsidR="00B21A9A" w:rsidRPr="003C3B2D" w:rsidTr="00B21A9A">
        <w:tc>
          <w:tcPr>
            <w:tcW w:w="270" w:type="pct"/>
          </w:tcPr>
          <w:p w:rsidR="00B21A9A" w:rsidRPr="003C3B2D" w:rsidRDefault="00B21A9A" w:rsidP="00B21A9A">
            <w:pPr>
              <w:jc w:val="left"/>
              <w:rPr>
                <w:rFonts w:cs="Arial"/>
                <w:sz w:val="22"/>
              </w:rPr>
            </w:pPr>
            <w:r w:rsidRPr="003C3B2D">
              <w:rPr>
                <w:rFonts w:cs="Arial"/>
                <w:sz w:val="22"/>
              </w:rPr>
              <w:t>1.</w:t>
            </w:r>
          </w:p>
        </w:tc>
        <w:tc>
          <w:tcPr>
            <w:tcW w:w="3812" w:type="pct"/>
          </w:tcPr>
          <w:p w:rsidR="00B21A9A" w:rsidRPr="003C3B2D" w:rsidRDefault="00B21A9A" w:rsidP="00B21A9A">
            <w:pPr>
              <w:jc w:val="left"/>
              <w:rPr>
                <w:rFonts w:cs="Arial"/>
                <w:sz w:val="22"/>
              </w:rPr>
            </w:pPr>
            <w:r w:rsidRPr="003C3B2D">
              <w:rPr>
                <w:rFonts w:cs="Arial"/>
                <w:sz w:val="22"/>
                <w:lang w:eastAsia="it-CH"/>
              </w:rPr>
              <w:t>Licenziamento da parte del Consiglio di Stato del messaggio</w:t>
            </w:r>
            <w:r w:rsidRPr="003C3B2D">
              <w:rPr>
                <w:rFonts w:cs="Arial"/>
                <w:sz w:val="22"/>
              </w:rPr>
              <w:t xml:space="preserve"> governativo </w:t>
            </w:r>
            <w:r w:rsidRPr="003C3B2D">
              <w:rPr>
                <w:rFonts w:cs="Arial"/>
                <w:sz w:val="22"/>
                <w:lang w:val="it-CH" w:eastAsia="it-CH"/>
              </w:rPr>
              <w:t xml:space="preserve">per l’acquisto dello stabile ex Banca del Gottardo e la relativa progettazione per la ristrutturazione e adeguamento degli spazi, nonché dello studio di fattibilità e progettazione </w:t>
            </w:r>
            <w:r>
              <w:rPr>
                <w:rFonts w:cs="Arial"/>
                <w:sz w:val="22"/>
                <w:lang w:val="it-CH" w:eastAsia="it-CH"/>
              </w:rPr>
              <w:t xml:space="preserve">fino alle procedure di appalto </w:t>
            </w:r>
            <w:r w:rsidRPr="003C3B2D">
              <w:rPr>
                <w:rFonts w:cs="Arial"/>
                <w:sz w:val="22"/>
                <w:lang w:val="it-CH" w:eastAsia="it-CH"/>
              </w:rPr>
              <w:t>per la sede provvisoria presso lo stabile Bossi</w:t>
            </w:r>
            <w:r w:rsidRPr="003C3B2D">
              <w:rPr>
                <w:rFonts w:cs="Arial"/>
                <w:sz w:val="22"/>
                <w:lang w:val="it-CH" w:eastAsia="it-CH"/>
              </w:rPr>
              <w:tab/>
            </w:r>
          </w:p>
        </w:tc>
        <w:tc>
          <w:tcPr>
            <w:tcW w:w="917" w:type="pct"/>
          </w:tcPr>
          <w:p w:rsidR="00B21A9A" w:rsidRPr="003C3B2D" w:rsidRDefault="00B21A9A" w:rsidP="00B21A9A">
            <w:pPr>
              <w:jc w:val="right"/>
              <w:rPr>
                <w:rFonts w:cs="Arial"/>
                <w:sz w:val="22"/>
              </w:rPr>
            </w:pPr>
            <w:r w:rsidRPr="003C3B2D">
              <w:rPr>
                <w:rFonts w:cs="Arial"/>
                <w:sz w:val="22"/>
                <w:lang w:val="it-CH" w:eastAsia="it-CH"/>
              </w:rPr>
              <w:t xml:space="preserve"> </w:t>
            </w:r>
            <w:r>
              <w:rPr>
                <w:rFonts w:cs="Arial"/>
                <w:sz w:val="22"/>
                <w:lang w:val="it-CH" w:eastAsia="it-CH"/>
              </w:rPr>
              <w:t xml:space="preserve">4° trim. </w:t>
            </w:r>
            <w:r w:rsidRPr="003C3B2D">
              <w:rPr>
                <w:rFonts w:cs="Arial"/>
                <w:sz w:val="22"/>
                <w:lang w:val="it-CH" w:eastAsia="it-CH"/>
              </w:rPr>
              <w:t>2019</w:t>
            </w:r>
          </w:p>
        </w:tc>
      </w:tr>
      <w:tr w:rsidR="00B21A9A" w:rsidRPr="003C3B2D" w:rsidTr="00B21A9A">
        <w:tc>
          <w:tcPr>
            <w:tcW w:w="270" w:type="pct"/>
          </w:tcPr>
          <w:p w:rsidR="00B21A9A" w:rsidRPr="003C3B2D" w:rsidRDefault="00B21A9A" w:rsidP="00B21A9A">
            <w:pPr>
              <w:jc w:val="left"/>
              <w:rPr>
                <w:rFonts w:cs="Arial"/>
                <w:sz w:val="22"/>
              </w:rPr>
            </w:pPr>
          </w:p>
        </w:tc>
        <w:tc>
          <w:tcPr>
            <w:tcW w:w="3812" w:type="pct"/>
          </w:tcPr>
          <w:p w:rsidR="00B21A9A" w:rsidRPr="003C3B2D" w:rsidRDefault="00B21A9A" w:rsidP="00B21A9A">
            <w:pPr>
              <w:jc w:val="left"/>
              <w:rPr>
                <w:rFonts w:cs="Arial"/>
                <w:sz w:val="22"/>
                <w:lang w:eastAsia="it-CH"/>
              </w:rPr>
            </w:pPr>
          </w:p>
        </w:tc>
        <w:tc>
          <w:tcPr>
            <w:tcW w:w="917" w:type="pct"/>
          </w:tcPr>
          <w:p w:rsidR="00B21A9A" w:rsidRPr="003C3B2D" w:rsidRDefault="00B21A9A" w:rsidP="00B21A9A">
            <w:pPr>
              <w:jc w:val="right"/>
              <w:rPr>
                <w:rFonts w:cs="Arial"/>
                <w:sz w:val="22"/>
                <w:lang w:val="it-CH" w:eastAsia="it-CH"/>
              </w:rPr>
            </w:pPr>
          </w:p>
        </w:tc>
      </w:tr>
      <w:tr w:rsidR="00B21A9A" w:rsidRPr="003C3B2D" w:rsidTr="00B21A9A">
        <w:trPr>
          <w:trHeight w:val="56"/>
        </w:trPr>
        <w:tc>
          <w:tcPr>
            <w:tcW w:w="270" w:type="pct"/>
          </w:tcPr>
          <w:p w:rsidR="00B21A9A" w:rsidRPr="003C3B2D" w:rsidRDefault="00B21A9A" w:rsidP="00B21A9A">
            <w:pPr>
              <w:jc w:val="left"/>
              <w:rPr>
                <w:rFonts w:cs="Arial"/>
                <w:sz w:val="22"/>
              </w:rPr>
            </w:pPr>
            <w:r w:rsidRPr="003C3B2D">
              <w:rPr>
                <w:rFonts w:cs="Arial"/>
                <w:sz w:val="22"/>
              </w:rPr>
              <w:t>2.</w:t>
            </w:r>
          </w:p>
        </w:tc>
        <w:tc>
          <w:tcPr>
            <w:tcW w:w="3812" w:type="pct"/>
          </w:tcPr>
          <w:p w:rsidR="00B21A9A" w:rsidRPr="003C3B2D" w:rsidRDefault="00B21A9A" w:rsidP="00B21A9A">
            <w:pPr>
              <w:jc w:val="left"/>
              <w:rPr>
                <w:rFonts w:cs="Arial"/>
                <w:sz w:val="22"/>
                <w:lang w:eastAsia="it-CH"/>
              </w:rPr>
            </w:pPr>
            <w:r w:rsidRPr="003C3B2D">
              <w:rPr>
                <w:rFonts w:cs="Arial"/>
                <w:sz w:val="22"/>
                <w:lang w:eastAsia="it-CH"/>
              </w:rPr>
              <w:t>Approvazione del credito da parte del Parlamento</w:t>
            </w:r>
          </w:p>
        </w:tc>
        <w:tc>
          <w:tcPr>
            <w:tcW w:w="917" w:type="pct"/>
          </w:tcPr>
          <w:p w:rsidR="00B21A9A" w:rsidRPr="003C3B2D" w:rsidRDefault="00B21A9A" w:rsidP="00B21A9A">
            <w:pPr>
              <w:jc w:val="right"/>
              <w:rPr>
                <w:rFonts w:cs="Arial"/>
                <w:sz w:val="22"/>
                <w:lang w:eastAsia="it-CH"/>
              </w:rPr>
            </w:pPr>
            <w:r>
              <w:rPr>
                <w:rFonts w:cs="Arial"/>
                <w:sz w:val="22"/>
                <w:lang w:eastAsia="it-CH"/>
              </w:rPr>
              <w:t>2° trim. 2020</w:t>
            </w:r>
          </w:p>
        </w:tc>
      </w:tr>
      <w:tr w:rsidR="00B21A9A" w:rsidRPr="003C3B2D" w:rsidTr="00B21A9A">
        <w:trPr>
          <w:trHeight w:val="56"/>
        </w:trPr>
        <w:tc>
          <w:tcPr>
            <w:tcW w:w="270" w:type="pct"/>
          </w:tcPr>
          <w:p w:rsidR="00B21A9A" w:rsidRPr="003C3B2D" w:rsidRDefault="00B21A9A" w:rsidP="00B21A9A">
            <w:pPr>
              <w:jc w:val="left"/>
              <w:rPr>
                <w:rFonts w:cs="Arial"/>
                <w:sz w:val="22"/>
              </w:rPr>
            </w:pPr>
          </w:p>
        </w:tc>
        <w:tc>
          <w:tcPr>
            <w:tcW w:w="3812" w:type="pct"/>
          </w:tcPr>
          <w:p w:rsidR="00B21A9A" w:rsidRPr="003C3B2D" w:rsidRDefault="00B21A9A" w:rsidP="00B21A9A">
            <w:pPr>
              <w:jc w:val="left"/>
              <w:rPr>
                <w:rFonts w:cs="Arial"/>
                <w:sz w:val="22"/>
                <w:lang w:eastAsia="it-CH"/>
              </w:rPr>
            </w:pPr>
          </w:p>
        </w:tc>
        <w:tc>
          <w:tcPr>
            <w:tcW w:w="917" w:type="pct"/>
          </w:tcPr>
          <w:p w:rsidR="00B21A9A" w:rsidRPr="003C3B2D" w:rsidRDefault="00B21A9A" w:rsidP="00B21A9A">
            <w:pPr>
              <w:jc w:val="right"/>
              <w:rPr>
                <w:rFonts w:cs="Arial"/>
                <w:sz w:val="22"/>
                <w:lang w:eastAsia="it-CH"/>
              </w:rPr>
            </w:pPr>
          </w:p>
        </w:tc>
      </w:tr>
      <w:tr w:rsidR="00B21A9A" w:rsidRPr="003C3B2D" w:rsidTr="00B21A9A">
        <w:trPr>
          <w:trHeight w:val="56"/>
        </w:trPr>
        <w:tc>
          <w:tcPr>
            <w:tcW w:w="270" w:type="pct"/>
          </w:tcPr>
          <w:p w:rsidR="00B21A9A" w:rsidRPr="003C3B2D" w:rsidRDefault="00B21A9A" w:rsidP="00B21A9A">
            <w:pPr>
              <w:jc w:val="left"/>
              <w:rPr>
                <w:rFonts w:cs="Arial"/>
                <w:sz w:val="22"/>
              </w:rPr>
            </w:pPr>
            <w:r w:rsidRPr="003C3B2D">
              <w:rPr>
                <w:rFonts w:cs="Arial"/>
                <w:sz w:val="22"/>
              </w:rPr>
              <w:t xml:space="preserve">3. </w:t>
            </w:r>
          </w:p>
        </w:tc>
        <w:tc>
          <w:tcPr>
            <w:tcW w:w="3812" w:type="pct"/>
          </w:tcPr>
          <w:p w:rsidR="00B21A9A" w:rsidRPr="003C3B2D" w:rsidRDefault="00B21A9A" w:rsidP="00B21A9A">
            <w:pPr>
              <w:jc w:val="left"/>
              <w:rPr>
                <w:rFonts w:cs="Arial"/>
                <w:sz w:val="22"/>
                <w:lang w:eastAsia="it-CH"/>
              </w:rPr>
            </w:pPr>
            <w:r w:rsidRPr="003C3B2D">
              <w:rPr>
                <w:rFonts w:cs="Arial"/>
                <w:sz w:val="22"/>
                <w:lang w:eastAsia="it-CH"/>
              </w:rPr>
              <w:t xml:space="preserve">Acquisto dello stabile con pagamento acconto </w:t>
            </w:r>
          </w:p>
        </w:tc>
        <w:tc>
          <w:tcPr>
            <w:tcW w:w="917" w:type="pct"/>
          </w:tcPr>
          <w:p w:rsidR="00B21A9A" w:rsidRPr="003C3B2D" w:rsidRDefault="00B21A9A" w:rsidP="00B21A9A">
            <w:pPr>
              <w:jc w:val="right"/>
              <w:rPr>
                <w:rFonts w:cs="Arial"/>
                <w:sz w:val="22"/>
                <w:lang w:eastAsia="it-CH"/>
              </w:rPr>
            </w:pPr>
            <w:r>
              <w:rPr>
                <w:rFonts w:cs="Arial"/>
                <w:sz w:val="22"/>
                <w:lang w:eastAsia="it-CH"/>
              </w:rPr>
              <w:t>3° trim. 2020</w:t>
            </w:r>
          </w:p>
        </w:tc>
      </w:tr>
      <w:tr w:rsidR="00B21A9A" w:rsidRPr="003C3B2D" w:rsidTr="00B21A9A">
        <w:trPr>
          <w:trHeight w:val="56"/>
        </w:trPr>
        <w:tc>
          <w:tcPr>
            <w:tcW w:w="270" w:type="pct"/>
          </w:tcPr>
          <w:p w:rsidR="00B21A9A" w:rsidRPr="003C3B2D" w:rsidRDefault="00B21A9A" w:rsidP="00B21A9A">
            <w:pPr>
              <w:jc w:val="left"/>
              <w:rPr>
                <w:rFonts w:cs="Arial"/>
                <w:sz w:val="22"/>
              </w:rPr>
            </w:pPr>
          </w:p>
        </w:tc>
        <w:tc>
          <w:tcPr>
            <w:tcW w:w="3812" w:type="pct"/>
          </w:tcPr>
          <w:p w:rsidR="00B21A9A" w:rsidRPr="003C3B2D" w:rsidRDefault="00B21A9A" w:rsidP="00B21A9A">
            <w:pPr>
              <w:jc w:val="left"/>
              <w:rPr>
                <w:rFonts w:cs="Arial"/>
                <w:sz w:val="22"/>
                <w:lang w:eastAsia="it-CH"/>
              </w:rPr>
            </w:pPr>
          </w:p>
        </w:tc>
        <w:tc>
          <w:tcPr>
            <w:tcW w:w="917" w:type="pct"/>
          </w:tcPr>
          <w:p w:rsidR="00B21A9A" w:rsidRPr="003C3B2D" w:rsidRDefault="00B21A9A" w:rsidP="00B21A9A">
            <w:pPr>
              <w:jc w:val="right"/>
              <w:rPr>
                <w:rFonts w:cs="Arial"/>
                <w:sz w:val="22"/>
                <w:lang w:eastAsia="it-CH"/>
              </w:rPr>
            </w:pPr>
          </w:p>
        </w:tc>
      </w:tr>
      <w:tr w:rsidR="00B21A9A" w:rsidRPr="003C3B2D" w:rsidTr="00B21A9A">
        <w:trPr>
          <w:trHeight w:val="56"/>
        </w:trPr>
        <w:tc>
          <w:tcPr>
            <w:tcW w:w="270" w:type="pct"/>
          </w:tcPr>
          <w:p w:rsidR="00B21A9A" w:rsidRPr="003C3B2D" w:rsidRDefault="00B21A9A" w:rsidP="00B21A9A">
            <w:pPr>
              <w:jc w:val="left"/>
              <w:rPr>
                <w:rFonts w:cs="Arial"/>
                <w:sz w:val="22"/>
              </w:rPr>
            </w:pPr>
            <w:r w:rsidRPr="003C3B2D">
              <w:rPr>
                <w:rFonts w:cs="Arial"/>
                <w:sz w:val="22"/>
              </w:rPr>
              <w:t>4.</w:t>
            </w:r>
          </w:p>
        </w:tc>
        <w:tc>
          <w:tcPr>
            <w:tcW w:w="3812" w:type="pct"/>
          </w:tcPr>
          <w:p w:rsidR="00B21A9A" w:rsidRPr="003C3B2D" w:rsidRDefault="00B21A9A" w:rsidP="00B21A9A">
            <w:pPr>
              <w:jc w:val="left"/>
              <w:rPr>
                <w:rFonts w:cs="Arial"/>
                <w:sz w:val="22"/>
                <w:lang w:eastAsia="it-CH"/>
              </w:rPr>
            </w:pPr>
            <w:r w:rsidRPr="003C3B2D">
              <w:rPr>
                <w:rFonts w:cs="Arial"/>
                <w:sz w:val="22"/>
                <w:lang w:eastAsia="it-CH"/>
              </w:rPr>
              <w:t xml:space="preserve">Progettazione </w:t>
            </w:r>
            <w:r w:rsidRPr="00274B05">
              <w:rPr>
                <w:rFonts w:cs="Arial"/>
                <w:sz w:val="22"/>
                <w:lang w:val="it-CH" w:eastAsia="it-CH"/>
              </w:rPr>
              <w:t>fino alla fase della procedura d’appalto compresa (4.41 SIA 112)</w:t>
            </w:r>
            <w:r w:rsidRPr="003C3B2D">
              <w:rPr>
                <w:rFonts w:cs="Arial"/>
                <w:sz w:val="22"/>
                <w:lang w:eastAsia="it-CH"/>
              </w:rPr>
              <w:t xml:space="preserve"> </w:t>
            </w:r>
            <w:r>
              <w:rPr>
                <w:rFonts w:cs="Arial"/>
                <w:sz w:val="22"/>
                <w:lang w:eastAsia="it-CH"/>
              </w:rPr>
              <w:t xml:space="preserve">stabile </w:t>
            </w:r>
            <w:r w:rsidRPr="003C3B2D">
              <w:rPr>
                <w:rFonts w:cs="Arial"/>
                <w:sz w:val="22"/>
                <w:lang w:eastAsia="it-CH"/>
              </w:rPr>
              <w:t xml:space="preserve">ex banca del Gottardo, studio di fattibilità e progettazione fino alla fase </w:t>
            </w:r>
            <w:r>
              <w:rPr>
                <w:rFonts w:cs="Arial"/>
                <w:sz w:val="22"/>
                <w:lang w:eastAsia="it-CH"/>
              </w:rPr>
              <w:t>4.41</w:t>
            </w:r>
            <w:r w:rsidRPr="003C3B2D">
              <w:rPr>
                <w:rFonts w:cs="Arial"/>
                <w:sz w:val="22"/>
                <w:lang w:eastAsia="it-CH"/>
              </w:rPr>
              <w:t xml:space="preserve"> </w:t>
            </w:r>
            <w:r>
              <w:rPr>
                <w:rFonts w:cs="Arial"/>
                <w:sz w:val="22"/>
                <w:lang w:eastAsia="it-CH"/>
              </w:rPr>
              <w:t xml:space="preserve">SIA </w:t>
            </w:r>
            <w:r w:rsidRPr="003C3B2D">
              <w:rPr>
                <w:rFonts w:cs="Arial"/>
                <w:sz w:val="22"/>
                <w:lang w:eastAsia="it-CH"/>
              </w:rPr>
              <w:t>(</w:t>
            </w:r>
            <w:r>
              <w:rPr>
                <w:rFonts w:cs="Arial"/>
                <w:sz w:val="22"/>
                <w:lang w:eastAsia="it-CH"/>
              </w:rPr>
              <w:t xml:space="preserve">appalti compresi) </w:t>
            </w:r>
            <w:r w:rsidRPr="003C3B2D">
              <w:rPr>
                <w:rFonts w:cs="Arial"/>
                <w:sz w:val="22"/>
                <w:lang w:eastAsia="it-CH"/>
              </w:rPr>
              <w:t xml:space="preserve">per lo stabile Bossi </w:t>
            </w:r>
          </w:p>
        </w:tc>
        <w:tc>
          <w:tcPr>
            <w:tcW w:w="917" w:type="pct"/>
          </w:tcPr>
          <w:p w:rsidR="00B21A9A" w:rsidRPr="003C3B2D" w:rsidRDefault="00B21A9A" w:rsidP="00B21A9A">
            <w:pPr>
              <w:jc w:val="right"/>
              <w:rPr>
                <w:rFonts w:cs="Arial"/>
                <w:sz w:val="22"/>
                <w:lang w:eastAsia="it-CH"/>
              </w:rPr>
            </w:pPr>
            <w:r>
              <w:rPr>
                <w:rFonts w:cs="Arial"/>
                <w:sz w:val="22"/>
                <w:lang w:eastAsia="it-CH"/>
              </w:rPr>
              <w:t xml:space="preserve">3° trim. </w:t>
            </w:r>
            <w:r w:rsidRPr="003C3B2D">
              <w:rPr>
                <w:rFonts w:cs="Arial"/>
                <w:sz w:val="22"/>
                <w:lang w:eastAsia="it-CH"/>
              </w:rPr>
              <w:t>20</w:t>
            </w:r>
            <w:r>
              <w:rPr>
                <w:rFonts w:cs="Arial"/>
                <w:sz w:val="22"/>
                <w:lang w:eastAsia="it-CH"/>
              </w:rPr>
              <w:t>22</w:t>
            </w:r>
            <w:r w:rsidRPr="003C3B2D">
              <w:rPr>
                <w:rFonts w:cs="Arial"/>
                <w:sz w:val="22"/>
                <w:lang w:eastAsia="it-CH"/>
              </w:rPr>
              <w:t xml:space="preserve"> </w:t>
            </w:r>
            <w:r w:rsidRPr="003C3B2D" w:rsidDel="00D52B9C">
              <w:rPr>
                <w:rFonts w:cs="Arial"/>
                <w:sz w:val="22"/>
                <w:lang w:eastAsia="it-CH"/>
              </w:rPr>
              <w:t xml:space="preserve"> </w:t>
            </w:r>
          </w:p>
        </w:tc>
      </w:tr>
      <w:tr w:rsidR="00B21A9A" w:rsidRPr="003C3B2D" w:rsidTr="00B21A9A">
        <w:trPr>
          <w:trHeight w:val="56"/>
        </w:trPr>
        <w:tc>
          <w:tcPr>
            <w:tcW w:w="270" w:type="pct"/>
          </w:tcPr>
          <w:p w:rsidR="00B21A9A" w:rsidRPr="003C3B2D" w:rsidRDefault="00B21A9A" w:rsidP="00B21A9A">
            <w:pPr>
              <w:jc w:val="left"/>
              <w:rPr>
                <w:rFonts w:cs="Arial"/>
                <w:sz w:val="22"/>
              </w:rPr>
            </w:pPr>
          </w:p>
        </w:tc>
        <w:tc>
          <w:tcPr>
            <w:tcW w:w="3812" w:type="pct"/>
          </w:tcPr>
          <w:p w:rsidR="00B21A9A" w:rsidRPr="003C3B2D" w:rsidRDefault="00B21A9A" w:rsidP="00B21A9A">
            <w:pPr>
              <w:jc w:val="left"/>
              <w:rPr>
                <w:rFonts w:cs="Arial"/>
                <w:sz w:val="22"/>
                <w:lang w:eastAsia="it-CH"/>
              </w:rPr>
            </w:pPr>
          </w:p>
        </w:tc>
        <w:tc>
          <w:tcPr>
            <w:tcW w:w="917" w:type="pct"/>
          </w:tcPr>
          <w:p w:rsidR="00B21A9A" w:rsidRPr="003C3B2D" w:rsidRDefault="00B21A9A" w:rsidP="00B21A9A">
            <w:pPr>
              <w:jc w:val="right"/>
              <w:rPr>
                <w:rFonts w:cs="Arial"/>
                <w:sz w:val="22"/>
                <w:lang w:eastAsia="it-CH"/>
              </w:rPr>
            </w:pPr>
          </w:p>
        </w:tc>
      </w:tr>
      <w:tr w:rsidR="00B21A9A" w:rsidRPr="003C3B2D" w:rsidTr="00B21A9A">
        <w:trPr>
          <w:trHeight w:val="56"/>
        </w:trPr>
        <w:tc>
          <w:tcPr>
            <w:tcW w:w="270" w:type="pct"/>
          </w:tcPr>
          <w:p w:rsidR="00B21A9A" w:rsidRPr="003C3B2D" w:rsidRDefault="00B21A9A" w:rsidP="00B21A9A">
            <w:pPr>
              <w:jc w:val="left"/>
              <w:rPr>
                <w:rFonts w:cs="Arial"/>
                <w:sz w:val="22"/>
              </w:rPr>
            </w:pPr>
            <w:r w:rsidRPr="003C3B2D">
              <w:rPr>
                <w:rFonts w:cs="Arial"/>
                <w:sz w:val="22"/>
              </w:rPr>
              <w:t>5.</w:t>
            </w:r>
          </w:p>
        </w:tc>
        <w:tc>
          <w:tcPr>
            <w:tcW w:w="3812" w:type="pct"/>
          </w:tcPr>
          <w:p w:rsidR="00B21A9A" w:rsidRPr="003C3B2D" w:rsidRDefault="00B21A9A" w:rsidP="00B21A9A">
            <w:pPr>
              <w:jc w:val="left"/>
              <w:rPr>
                <w:rFonts w:cs="Arial"/>
                <w:sz w:val="22"/>
                <w:lang w:eastAsia="it-CH"/>
              </w:rPr>
            </w:pPr>
            <w:r>
              <w:rPr>
                <w:rFonts w:cs="Arial"/>
                <w:sz w:val="22"/>
                <w:lang w:eastAsia="it-CH"/>
              </w:rPr>
              <w:t>Presentazione del m</w:t>
            </w:r>
            <w:r w:rsidRPr="003C3B2D">
              <w:rPr>
                <w:rFonts w:cs="Arial"/>
                <w:sz w:val="22"/>
                <w:lang w:eastAsia="it-CH"/>
              </w:rPr>
              <w:t>essaggio governativo</w:t>
            </w:r>
            <w:r>
              <w:rPr>
                <w:rFonts w:cs="Arial"/>
                <w:sz w:val="22"/>
                <w:lang w:eastAsia="it-CH"/>
              </w:rPr>
              <w:t xml:space="preserve"> (3° trimestre 2022) e relativa approvazione</w:t>
            </w:r>
            <w:r w:rsidRPr="003C3B2D">
              <w:rPr>
                <w:rFonts w:cs="Arial"/>
                <w:sz w:val="22"/>
                <w:lang w:eastAsia="it-CH"/>
              </w:rPr>
              <w:t xml:space="preserve"> per la richiesta </w:t>
            </w:r>
            <w:r w:rsidRPr="003C3B2D">
              <w:rPr>
                <w:rFonts w:cs="Arial"/>
                <w:sz w:val="22"/>
                <w:lang w:val="it-CH" w:eastAsia="it-CH"/>
              </w:rPr>
              <w:t xml:space="preserve">dei crediti di progettazione </w:t>
            </w:r>
            <w:r w:rsidRPr="00274B05">
              <w:rPr>
                <w:rFonts w:cs="Arial"/>
                <w:sz w:val="22"/>
                <w:lang w:val="it-CH" w:eastAsia="it-CH"/>
              </w:rPr>
              <w:t>fino alla fase della procedura d’appalto compresa (4.41 SIA 112)</w:t>
            </w:r>
            <w:r w:rsidRPr="003C3B2D">
              <w:rPr>
                <w:rFonts w:cs="Arial"/>
                <w:sz w:val="22"/>
                <w:lang w:val="it-CH" w:eastAsia="it-CH"/>
              </w:rPr>
              <w:t xml:space="preserve"> per il Palazzo di giustizia</w:t>
            </w:r>
            <w:r w:rsidRPr="003C3B2D">
              <w:rPr>
                <w:rFonts w:cs="Arial"/>
                <w:sz w:val="22"/>
                <w:lang w:eastAsia="it-CH"/>
              </w:rPr>
              <w:t xml:space="preserve"> </w:t>
            </w:r>
            <w:r>
              <w:rPr>
                <w:rFonts w:cs="Arial"/>
                <w:sz w:val="22"/>
                <w:lang w:eastAsia="it-CH"/>
              </w:rPr>
              <w:t xml:space="preserve">e la richiesta </w:t>
            </w:r>
            <w:r w:rsidRPr="003C3B2D">
              <w:rPr>
                <w:rFonts w:cs="Arial"/>
                <w:sz w:val="22"/>
                <w:lang w:eastAsia="it-CH"/>
              </w:rPr>
              <w:t xml:space="preserve">dei crediti di costruzione </w:t>
            </w:r>
            <w:r>
              <w:rPr>
                <w:rFonts w:cs="Arial"/>
                <w:sz w:val="22"/>
                <w:lang w:eastAsia="it-CH"/>
              </w:rPr>
              <w:t xml:space="preserve">stabile </w:t>
            </w:r>
            <w:r w:rsidRPr="003C3B2D">
              <w:rPr>
                <w:rFonts w:cs="Arial"/>
                <w:sz w:val="22"/>
                <w:lang w:eastAsia="it-CH"/>
              </w:rPr>
              <w:t>ex Banca del Gottardo</w:t>
            </w:r>
            <w:r>
              <w:rPr>
                <w:rFonts w:cs="Arial"/>
                <w:sz w:val="22"/>
                <w:lang w:eastAsia="it-CH"/>
              </w:rPr>
              <w:t xml:space="preserve"> e per lo stabile Bossi</w:t>
            </w:r>
            <w:r w:rsidRPr="003C3B2D">
              <w:rPr>
                <w:rFonts w:cs="Arial"/>
                <w:sz w:val="22"/>
                <w:lang w:val="it-CH" w:eastAsia="it-CH"/>
              </w:rPr>
              <w:t xml:space="preserve"> </w:t>
            </w:r>
          </w:p>
        </w:tc>
        <w:tc>
          <w:tcPr>
            <w:tcW w:w="917" w:type="pct"/>
          </w:tcPr>
          <w:p w:rsidR="00B21A9A" w:rsidRPr="003C3B2D" w:rsidRDefault="00B21A9A" w:rsidP="00B21A9A">
            <w:pPr>
              <w:jc w:val="right"/>
              <w:rPr>
                <w:rFonts w:cs="Arial"/>
                <w:sz w:val="22"/>
                <w:lang w:eastAsia="it-CH"/>
              </w:rPr>
            </w:pPr>
            <w:r>
              <w:rPr>
                <w:rFonts w:cs="Arial"/>
                <w:sz w:val="22"/>
                <w:lang w:eastAsia="it-CH"/>
              </w:rPr>
              <w:t>1° trim. 2023</w:t>
            </w:r>
            <w:r w:rsidRPr="003C3B2D">
              <w:rPr>
                <w:rFonts w:cs="Arial"/>
                <w:sz w:val="22"/>
                <w:lang w:eastAsia="it-CH"/>
              </w:rPr>
              <w:t xml:space="preserve"> </w:t>
            </w:r>
            <w:r w:rsidRPr="003C3B2D" w:rsidDel="00D52B9C">
              <w:rPr>
                <w:rFonts w:cs="Arial"/>
                <w:sz w:val="22"/>
                <w:lang w:eastAsia="it-CH"/>
              </w:rPr>
              <w:t xml:space="preserve"> </w:t>
            </w:r>
          </w:p>
        </w:tc>
      </w:tr>
      <w:tr w:rsidR="00B21A9A" w:rsidRPr="003C3B2D" w:rsidTr="00B21A9A">
        <w:trPr>
          <w:trHeight w:val="56"/>
        </w:trPr>
        <w:tc>
          <w:tcPr>
            <w:tcW w:w="270" w:type="pct"/>
          </w:tcPr>
          <w:p w:rsidR="00B21A9A" w:rsidRPr="003C3B2D" w:rsidRDefault="00B21A9A" w:rsidP="00B21A9A">
            <w:pPr>
              <w:jc w:val="left"/>
              <w:rPr>
                <w:rFonts w:cs="Arial"/>
                <w:sz w:val="22"/>
              </w:rPr>
            </w:pPr>
          </w:p>
        </w:tc>
        <w:tc>
          <w:tcPr>
            <w:tcW w:w="3812" w:type="pct"/>
          </w:tcPr>
          <w:p w:rsidR="00B21A9A" w:rsidRPr="003C3B2D" w:rsidRDefault="00B21A9A" w:rsidP="00B21A9A">
            <w:pPr>
              <w:jc w:val="left"/>
              <w:rPr>
                <w:rFonts w:cs="Arial"/>
                <w:sz w:val="22"/>
                <w:lang w:eastAsia="it-CH"/>
              </w:rPr>
            </w:pPr>
          </w:p>
        </w:tc>
        <w:tc>
          <w:tcPr>
            <w:tcW w:w="917" w:type="pct"/>
          </w:tcPr>
          <w:p w:rsidR="00B21A9A" w:rsidRPr="003C3B2D" w:rsidRDefault="00B21A9A" w:rsidP="00B21A9A">
            <w:pPr>
              <w:jc w:val="right"/>
              <w:rPr>
                <w:rFonts w:cs="Arial"/>
                <w:sz w:val="22"/>
                <w:lang w:eastAsia="it-CH"/>
              </w:rPr>
            </w:pPr>
          </w:p>
        </w:tc>
      </w:tr>
      <w:tr w:rsidR="00B21A9A" w:rsidRPr="003C3B2D" w:rsidTr="00B21A9A">
        <w:trPr>
          <w:trHeight w:val="56"/>
        </w:trPr>
        <w:tc>
          <w:tcPr>
            <w:tcW w:w="270" w:type="pct"/>
          </w:tcPr>
          <w:p w:rsidR="00B21A9A" w:rsidRPr="003C3B2D" w:rsidRDefault="00B21A9A" w:rsidP="00B21A9A">
            <w:pPr>
              <w:jc w:val="left"/>
              <w:rPr>
                <w:rFonts w:cs="Arial"/>
                <w:sz w:val="22"/>
              </w:rPr>
            </w:pPr>
            <w:r w:rsidRPr="003C3B2D">
              <w:rPr>
                <w:rFonts w:cs="Arial"/>
                <w:sz w:val="22"/>
              </w:rPr>
              <w:t xml:space="preserve">6. </w:t>
            </w:r>
          </w:p>
        </w:tc>
        <w:tc>
          <w:tcPr>
            <w:tcW w:w="3812" w:type="pct"/>
          </w:tcPr>
          <w:p w:rsidR="00B21A9A" w:rsidRPr="00110A9A" w:rsidRDefault="00B21A9A" w:rsidP="00B21A9A">
            <w:pPr>
              <w:rPr>
                <w:rFonts w:cs="Arial"/>
                <w:sz w:val="22"/>
                <w:lang w:val="it-CH" w:eastAsia="it-CH"/>
              </w:rPr>
            </w:pPr>
            <w:r>
              <w:rPr>
                <w:rFonts w:cs="Arial"/>
                <w:sz w:val="22"/>
                <w:lang w:eastAsia="it-CH"/>
              </w:rPr>
              <w:t>Consegna spazi dopo</w:t>
            </w:r>
            <w:r w:rsidRPr="003C3B2D">
              <w:rPr>
                <w:rFonts w:cs="Arial"/>
                <w:sz w:val="22"/>
                <w:lang w:eastAsia="it-CH"/>
              </w:rPr>
              <w:t xml:space="preserve"> ristrutturazione e adeguamento dell</w:t>
            </w:r>
            <w:r>
              <w:rPr>
                <w:rFonts w:cs="Arial"/>
                <w:sz w:val="22"/>
                <w:lang w:eastAsia="it-CH"/>
              </w:rPr>
              <w:t xml:space="preserve">o stabile </w:t>
            </w:r>
            <w:r w:rsidRPr="003C3B2D">
              <w:rPr>
                <w:rFonts w:cs="Arial"/>
                <w:sz w:val="22"/>
                <w:lang w:eastAsia="it-CH"/>
              </w:rPr>
              <w:t xml:space="preserve">ex Banca del Gottardo </w:t>
            </w:r>
            <w:r>
              <w:rPr>
                <w:rFonts w:cs="Arial"/>
                <w:sz w:val="22"/>
                <w:lang w:eastAsia="it-CH"/>
              </w:rPr>
              <w:t>per le autorità giudiziarie con sede allo stabile Bossi (</w:t>
            </w:r>
            <w:r w:rsidRPr="00110A9A">
              <w:rPr>
                <w:rFonts w:cs="Arial"/>
                <w:sz w:val="22"/>
                <w:lang w:eastAsia="it-CH"/>
              </w:rPr>
              <w:t xml:space="preserve">Pretura civile Lugano, Tribunale d'espropriazione, </w:t>
            </w:r>
            <w:r>
              <w:rPr>
                <w:rFonts w:cs="Arial"/>
                <w:sz w:val="22"/>
                <w:lang w:eastAsia="it-CH"/>
              </w:rPr>
              <w:t>Ufficio del g</w:t>
            </w:r>
            <w:r w:rsidRPr="00110A9A">
              <w:rPr>
                <w:rFonts w:cs="Arial"/>
                <w:sz w:val="22"/>
                <w:lang w:eastAsia="it-CH"/>
              </w:rPr>
              <w:t>iudice dei provvediment</w:t>
            </w:r>
            <w:r>
              <w:rPr>
                <w:rFonts w:cs="Arial"/>
                <w:sz w:val="22"/>
                <w:lang w:eastAsia="it-CH"/>
              </w:rPr>
              <w:t>i</w:t>
            </w:r>
            <w:r w:rsidRPr="00110A9A">
              <w:rPr>
                <w:rFonts w:cs="Arial"/>
                <w:sz w:val="22"/>
                <w:lang w:eastAsia="it-CH"/>
              </w:rPr>
              <w:t xml:space="preserve"> coercitivi</w:t>
            </w:r>
            <w:r>
              <w:rPr>
                <w:rFonts w:cs="Arial"/>
                <w:sz w:val="22"/>
                <w:lang w:eastAsia="it-CH"/>
              </w:rPr>
              <w:t>)</w:t>
            </w:r>
          </w:p>
        </w:tc>
        <w:tc>
          <w:tcPr>
            <w:tcW w:w="917" w:type="pct"/>
          </w:tcPr>
          <w:p w:rsidR="00B21A9A" w:rsidRPr="003C3B2D" w:rsidRDefault="00B21A9A" w:rsidP="00B21A9A">
            <w:pPr>
              <w:jc w:val="right"/>
              <w:rPr>
                <w:rFonts w:cs="Arial"/>
                <w:sz w:val="22"/>
                <w:lang w:eastAsia="it-CH"/>
              </w:rPr>
            </w:pPr>
            <w:r>
              <w:rPr>
                <w:rFonts w:cs="Arial"/>
                <w:sz w:val="22"/>
                <w:lang w:eastAsia="it-CH"/>
              </w:rPr>
              <w:t>2</w:t>
            </w:r>
            <w:r w:rsidRPr="009415C3">
              <w:rPr>
                <w:rFonts w:cs="Arial"/>
                <w:sz w:val="22"/>
                <w:lang w:eastAsia="it-CH"/>
              </w:rPr>
              <w:t>° trim. 2025</w:t>
            </w:r>
          </w:p>
          <w:p w:rsidR="00B21A9A" w:rsidRPr="003C3B2D" w:rsidRDefault="00B21A9A" w:rsidP="00B21A9A">
            <w:pPr>
              <w:jc w:val="right"/>
              <w:rPr>
                <w:rFonts w:cs="Arial"/>
                <w:sz w:val="22"/>
                <w:lang w:eastAsia="it-CH"/>
              </w:rPr>
            </w:pPr>
          </w:p>
        </w:tc>
      </w:tr>
      <w:tr w:rsidR="00B21A9A" w:rsidRPr="003C3B2D" w:rsidTr="00B21A9A">
        <w:trPr>
          <w:trHeight w:val="56"/>
        </w:trPr>
        <w:tc>
          <w:tcPr>
            <w:tcW w:w="270" w:type="pct"/>
          </w:tcPr>
          <w:p w:rsidR="00B21A9A" w:rsidRPr="003C3B2D" w:rsidRDefault="00B21A9A" w:rsidP="00B21A9A">
            <w:pPr>
              <w:jc w:val="left"/>
              <w:rPr>
                <w:rFonts w:cs="Arial"/>
                <w:sz w:val="22"/>
              </w:rPr>
            </w:pPr>
          </w:p>
        </w:tc>
        <w:tc>
          <w:tcPr>
            <w:tcW w:w="3812" w:type="pct"/>
          </w:tcPr>
          <w:p w:rsidR="00B21A9A" w:rsidRPr="003C3B2D" w:rsidRDefault="00B21A9A" w:rsidP="00B21A9A">
            <w:pPr>
              <w:jc w:val="left"/>
              <w:rPr>
                <w:rFonts w:cs="Arial"/>
                <w:sz w:val="22"/>
                <w:lang w:eastAsia="it-CH"/>
              </w:rPr>
            </w:pPr>
          </w:p>
        </w:tc>
        <w:tc>
          <w:tcPr>
            <w:tcW w:w="917" w:type="pct"/>
          </w:tcPr>
          <w:p w:rsidR="00B21A9A" w:rsidRPr="003C3B2D" w:rsidRDefault="00B21A9A" w:rsidP="00B21A9A">
            <w:pPr>
              <w:jc w:val="right"/>
              <w:rPr>
                <w:rFonts w:cs="Arial"/>
                <w:sz w:val="22"/>
                <w:lang w:eastAsia="it-CH"/>
              </w:rPr>
            </w:pPr>
          </w:p>
        </w:tc>
      </w:tr>
      <w:tr w:rsidR="00B21A9A" w:rsidRPr="003C3B2D" w:rsidTr="00B21A9A">
        <w:trPr>
          <w:trHeight w:val="56"/>
        </w:trPr>
        <w:tc>
          <w:tcPr>
            <w:tcW w:w="270" w:type="pct"/>
          </w:tcPr>
          <w:p w:rsidR="00B21A9A" w:rsidRPr="003C3B2D" w:rsidRDefault="00B21A9A" w:rsidP="00B21A9A">
            <w:pPr>
              <w:jc w:val="left"/>
              <w:rPr>
                <w:rFonts w:cs="Arial"/>
                <w:sz w:val="22"/>
              </w:rPr>
            </w:pPr>
            <w:r>
              <w:rPr>
                <w:rFonts w:cs="Arial"/>
                <w:sz w:val="22"/>
              </w:rPr>
              <w:t>7.</w:t>
            </w:r>
          </w:p>
        </w:tc>
        <w:tc>
          <w:tcPr>
            <w:tcW w:w="3812" w:type="pct"/>
          </w:tcPr>
          <w:p w:rsidR="00B21A9A" w:rsidRPr="003C3B2D" w:rsidRDefault="00B21A9A" w:rsidP="00B21A9A">
            <w:pPr>
              <w:jc w:val="left"/>
              <w:rPr>
                <w:rFonts w:cs="Arial"/>
                <w:sz w:val="22"/>
                <w:lang w:eastAsia="it-CH"/>
              </w:rPr>
            </w:pPr>
            <w:r>
              <w:rPr>
                <w:rFonts w:cs="Arial"/>
                <w:sz w:val="22"/>
                <w:lang w:eastAsia="it-CH"/>
              </w:rPr>
              <w:t>Consegna edifici stabile ex Banca del Gottardo e stabile Bossi</w:t>
            </w:r>
          </w:p>
        </w:tc>
        <w:tc>
          <w:tcPr>
            <w:tcW w:w="917" w:type="pct"/>
          </w:tcPr>
          <w:p w:rsidR="00B21A9A" w:rsidRPr="003C3B2D" w:rsidRDefault="00B21A9A" w:rsidP="00B21A9A">
            <w:pPr>
              <w:jc w:val="right"/>
              <w:rPr>
                <w:rFonts w:cs="Arial"/>
                <w:sz w:val="22"/>
                <w:lang w:eastAsia="it-CH"/>
              </w:rPr>
            </w:pPr>
            <w:r>
              <w:rPr>
                <w:rFonts w:cs="Arial"/>
                <w:sz w:val="22"/>
                <w:lang w:eastAsia="it-CH"/>
              </w:rPr>
              <w:t>3° trim. 2026</w:t>
            </w:r>
          </w:p>
        </w:tc>
      </w:tr>
      <w:tr w:rsidR="00B21A9A" w:rsidRPr="003C3B2D" w:rsidTr="00B21A9A">
        <w:trPr>
          <w:trHeight w:val="56"/>
        </w:trPr>
        <w:tc>
          <w:tcPr>
            <w:tcW w:w="270" w:type="pct"/>
          </w:tcPr>
          <w:p w:rsidR="00B21A9A" w:rsidRPr="003C3B2D" w:rsidRDefault="00B21A9A" w:rsidP="00B21A9A">
            <w:pPr>
              <w:jc w:val="left"/>
              <w:rPr>
                <w:rFonts w:cs="Arial"/>
                <w:sz w:val="22"/>
              </w:rPr>
            </w:pPr>
          </w:p>
        </w:tc>
        <w:tc>
          <w:tcPr>
            <w:tcW w:w="3812" w:type="pct"/>
          </w:tcPr>
          <w:p w:rsidR="00B21A9A" w:rsidRPr="003C3B2D" w:rsidRDefault="00B21A9A" w:rsidP="00B21A9A">
            <w:pPr>
              <w:jc w:val="left"/>
              <w:rPr>
                <w:rFonts w:cs="Arial"/>
                <w:sz w:val="22"/>
                <w:lang w:eastAsia="it-CH"/>
              </w:rPr>
            </w:pPr>
          </w:p>
        </w:tc>
        <w:tc>
          <w:tcPr>
            <w:tcW w:w="917" w:type="pct"/>
          </w:tcPr>
          <w:p w:rsidR="00B21A9A" w:rsidRPr="003C3B2D" w:rsidRDefault="00B21A9A" w:rsidP="00B21A9A">
            <w:pPr>
              <w:jc w:val="right"/>
              <w:rPr>
                <w:rFonts w:cs="Arial"/>
                <w:sz w:val="22"/>
                <w:lang w:eastAsia="it-CH"/>
              </w:rPr>
            </w:pPr>
          </w:p>
        </w:tc>
      </w:tr>
      <w:tr w:rsidR="00B21A9A" w:rsidRPr="003C3B2D" w:rsidTr="00B21A9A">
        <w:trPr>
          <w:trHeight w:val="56"/>
        </w:trPr>
        <w:tc>
          <w:tcPr>
            <w:tcW w:w="270" w:type="pct"/>
          </w:tcPr>
          <w:p w:rsidR="00B21A9A" w:rsidRPr="003C3B2D" w:rsidRDefault="00B21A9A" w:rsidP="00B21A9A">
            <w:pPr>
              <w:jc w:val="left"/>
              <w:rPr>
                <w:rFonts w:cs="Arial"/>
                <w:sz w:val="22"/>
              </w:rPr>
            </w:pPr>
            <w:r>
              <w:rPr>
                <w:rFonts w:cs="Arial"/>
                <w:sz w:val="22"/>
              </w:rPr>
              <w:t>8</w:t>
            </w:r>
            <w:r w:rsidRPr="003C3B2D">
              <w:rPr>
                <w:rFonts w:cs="Arial"/>
                <w:sz w:val="22"/>
              </w:rPr>
              <w:t xml:space="preserve">. </w:t>
            </w:r>
          </w:p>
        </w:tc>
        <w:tc>
          <w:tcPr>
            <w:tcW w:w="3812" w:type="pct"/>
          </w:tcPr>
          <w:p w:rsidR="00B21A9A" w:rsidRPr="003C3B2D" w:rsidRDefault="00B21A9A" w:rsidP="00B21A9A">
            <w:pPr>
              <w:jc w:val="left"/>
              <w:rPr>
                <w:rFonts w:cs="Arial"/>
                <w:sz w:val="22"/>
                <w:lang w:eastAsia="it-CH"/>
              </w:rPr>
            </w:pPr>
            <w:r w:rsidRPr="003C3B2D">
              <w:rPr>
                <w:rFonts w:cs="Arial"/>
                <w:sz w:val="22"/>
                <w:lang w:eastAsia="it-CH"/>
              </w:rPr>
              <w:t>Progettazione fino alla fase appalti per il PGL</w:t>
            </w:r>
          </w:p>
        </w:tc>
        <w:tc>
          <w:tcPr>
            <w:tcW w:w="917" w:type="pct"/>
          </w:tcPr>
          <w:p w:rsidR="00B21A9A" w:rsidRPr="003C3B2D" w:rsidRDefault="00B21A9A" w:rsidP="00B21A9A">
            <w:pPr>
              <w:jc w:val="right"/>
              <w:rPr>
                <w:rFonts w:cs="Arial"/>
                <w:sz w:val="22"/>
                <w:lang w:eastAsia="it-CH"/>
              </w:rPr>
            </w:pPr>
            <w:r w:rsidRPr="009415C3">
              <w:rPr>
                <w:rFonts w:cs="Arial"/>
                <w:sz w:val="22"/>
                <w:lang w:eastAsia="it-CH"/>
              </w:rPr>
              <w:t>4° trim. 2025</w:t>
            </w:r>
            <w:r>
              <w:rPr>
                <w:rFonts w:cs="Arial"/>
                <w:sz w:val="22"/>
                <w:lang w:eastAsia="it-CH"/>
              </w:rPr>
              <w:t xml:space="preserve"> </w:t>
            </w:r>
          </w:p>
        </w:tc>
      </w:tr>
      <w:tr w:rsidR="00B21A9A" w:rsidRPr="003C3B2D" w:rsidTr="00B21A9A">
        <w:trPr>
          <w:trHeight w:val="56"/>
        </w:trPr>
        <w:tc>
          <w:tcPr>
            <w:tcW w:w="270" w:type="pct"/>
          </w:tcPr>
          <w:p w:rsidR="00B21A9A" w:rsidRPr="003C3B2D" w:rsidRDefault="00B21A9A" w:rsidP="00B21A9A">
            <w:pPr>
              <w:jc w:val="left"/>
              <w:rPr>
                <w:rFonts w:cs="Arial"/>
                <w:sz w:val="22"/>
              </w:rPr>
            </w:pPr>
          </w:p>
        </w:tc>
        <w:tc>
          <w:tcPr>
            <w:tcW w:w="3812" w:type="pct"/>
          </w:tcPr>
          <w:p w:rsidR="00B21A9A" w:rsidRPr="003C3B2D" w:rsidRDefault="00B21A9A" w:rsidP="00B21A9A">
            <w:pPr>
              <w:jc w:val="left"/>
              <w:rPr>
                <w:rFonts w:cs="Arial"/>
                <w:sz w:val="22"/>
                <w:lang w:eastAsia="it-CH"/>
              </w:rPr>
            </w:pPr>
          </w:p>
        </w:tc>
        <w:tc>
          <w:tcPr>
            <w:tcW w:w="917" w:type="pct"/>
          </w:tcPr>
          <w:p w:rsidR="00B21A9A" w:rsidRPr="003C3B2D" w:rsidRDefault="00B21A9A" w:rsidP="00B21A9A">
            <w:pPr>
              <w:jc w:val="right"/>
              <w:rPr>
                <w:rFonts w:cs="Arial"/>
                <w:sz w:val="22"/>
                <w:lang w:eastAsia="it-CH"/>
              </w:rPr>
            </w:pPr>
          </w:p>
        </w:tc>
      </w:tr>
      <w:tr w:rsidR="00B21A9A" w:rsidRPr="003C3B2D" w:rsidTr="00B21A9A">
        <w:trPr>
          <w:trHeight w:val="56"/>
        </w:trPr>
        <w:tc>
          <w:tcPr>
            <w:tcW w:w="270" w:type="pct"/>
          </w:tcPr>
          <w:p w:rsidR="00B21A9A" w:rsidRPr="003C3B2D" w:rsidRDefault="00B21A9A" w:rsidP="00B21A9A">
            <w:pPr>
              <w:jc w:val="left"/>
              <w:rPr>
                <w:rFonts w:cs="Arial"/>
                <w:sz w:val="22"/>
              </w:rPr>
            </w:pPr>
            <w:r>
              <w:rPr>
                <w:rFonts w:cs="Arial"/>
                <w:sz w:val="22"/>
              </w:rPr>
              <w:t>9</w:t>
            </w:r>
            <w:r w:rsidRPr="003C3B2D">
              <w:rPr>
                <w:rFonts w:cs="Arial"/>
                <w:sz w:val="22"/>
              </w:rPr>
              <w:t xml:space="preserve">. </w:t>
            </w:r>
          </w:p>
          <w:p w:rsidR="00B21A9A" w:rsidRPr="003C3B2D" w:rsidRDefault="00B21A9A" w:rsidP="00B21A9A">
            <w:pPr>
              <w:jc w:val="left"/>
              <w:rPr>
                <w:rFonts w:cs="Arial"/>
                <w:sz w:val="22"/>
              </w:rPr>
            </w:pPr>
          </w:p>
        </w:tc>
        <w:tc>
          <w:tcPr>
            <w:tcW w:w="3812" w:type="pct"/>
          </w:tcPr>
          <w:p w:rsidR="00B21A9A" w:rsidRPr="003C3B2D" w:rsidRDefault="00B21A9A" w:rsidP="00B21A9A">
            <w:pPr>
              <w:jc w:val="left"/>
              <w:rPr>
                <w:rFonts w:cs="Arial"/>
                <w:sz w:val="22"/>
                <w:lang w:eastAsia="it-CH"/>
              </w:rPr>
            </w:pPr>
            <w:r w:rsidRPr="003C3B2D">
              <w:rPr>
                <w:rFonts w:cs="Arial"/>
                <w:sz w:val="22"/>
                <w:lang w:eastAsia="it-CH"/>
              </w:rPr>
              <w:t>Messaggio governativo per</w:t>
            </w:r>
            <w:r>
              <w:rPr>
                <w:rFonts w:cs="Arial"/>
                <w:sz w:val="22"/>
                <w:lang w:eastAsia="it-CH"/>
              </w:rPr>
              <w:t xml:space="preserve"> i</w:t>
            </w:r>
            <w:r w:rsidRPr="003C3B2D">
              <w:rPr>
                <w:rFonts w:cs="Arial"/>
                <w:sz w:val="22"/>
                <w:lang w:eastAsia="it-CH"/>
              </w:rPr>
              <w:t xml:space="preserve"> crediti di costruzione per la ristrutturazione del PG</w:t>
            </w:r>
            <w:r>
              <w:rPr>
                <w:rFonts w:cs="Arial"/>
                <w:sz w:val="22"/>
                <w:lang w:eastAsia="it-CH"/>
              </w:rPr>
              <w:t>L</w:t>
            </w:r>
          </w:p>
        </w:tc>
        <w:tc>
          <w:tcPr>
            <w:tcW w:w="917" w:type="pct"/>
          </w:tcPr>
          <w:p w:rsidR="00B21A9A" w:rsidRPr="003C3B2D" w:rsidRDefault="00B21A9A" w:rsidP="00B21A9A">
            <w:pPr>
              <w:jc w:val="right"/>
              <w:rPr>
                <w:rFonts w:cs="Arial"/>
                <w:sz w:val="22"/>
                <w:lang w:eastAsia="it-CH"/>
              </w:rPr>
            </w:pPr>
            <w:r>
              <w:rPr>
                <w:rFonts w:cs="Arial"/>
                <w:sz w:val="22"/>
                <w:lang w:eastAsia="it-CH"/>
              </w:rPr>
              <w:t>2° trim. 2026</w:t>
            </w:r>
          </w:p>
          <w:p w:rsidR="00B21A9A" w:rsidRPr="003C3B2D" w:rsidRDefault="00B21A9A" w:rsidP="00B21A9A">
            <w:pPr>
              <w:rPr>
                <w:rFonts w:cs="Arial"/>
                <w:sz w:val="22"/>
                <w:lang w:eastAsia="it-CH"/>
              </w:rPr>
            </w:pPr>
          </w:p>
        </w:tc>
      </w:tr>
      <w:tr w:rsidR="00B21A9A" w:rsidRPr="003C3B2D" w:rsidTr="00B21A9A">
        <w:trPr>
          <w:trHeight w:val="56"/>
        </w:trPr>
        <w:tc>
          <w:tcPr>
            <w:tcW w:w="270" w:type="pct"/>
          </w:tcPr>
          <w:p w:rsidR="00B21A9A" w:rsidRPr="003C3B2D" w:rsidRDefault="00B21A9A" w:rsidP="00B21A9A">
            <w:pPr>
              <w:jc w:val="left"/>
              <w:rPr>
                <w:rFonts w:cs="Arial"/>
                <w:sz w:val="22"/>
              </w:rPr>
            </w:pPr>
          </w:p>
        </w:tc>
        <w:tc>
          <w:tcPr>
            <w:tcW w:w="3812" w:type="pct"/>
          </w:tcPr>
          <w:p w:rsidR="00B21A9A" w:rsidRPr="003C3B2D" w:rsidRDefault="00B21A9A" w:rsidP="00B21A9A">
            <w:pPr>
              <w:jc w:val="left"/>
              <w:rPr>
                <w:rFonts w:cs="Arial"/>
                <w:sz w:val="22"/>
                <w:lang w:eastAsia="it-CH"/>
              </w:rPr>
            </w:pPr>
          </w:p>
        </w:tc>
        <w:tc>
          <w:tcPr>
            <w:tcW w:w="917" w:type="pct"/>
          </w:tcPr>
          <w:p w:rsidR="00B21A9A" w:rsidRPr="003C3B2D" w:rsidDel="0016255D" w:rsidRDefault="00B21A9A" w:rsidP="00B21A9A">
            <w:pPr>
              <w:jc w:val="right"/>
              <w:rPr>
                <w:rFonts w:cs="Arial"/>
                <w:sz w:val="22"/>
                <w:lang w:eastAsia="it-CH"/>
              </w:rPr>
            </w:pPr>
          </w:p>
        </w:tc>
      </w:tr>
      <w:tr w:rsidR="00B21A9A" w:rsidRPr="003C3B2D" w:rsidTr="00B21A9A">
        <w:trPr>
          <w:trHeight w:val="56"/>
        </w:trPr>
        <w:tc>
          <w:tcPr>
            <w:tcW w:w="270" w:type="pct"/>
          </w:tcPr>
          <w:p w:rsidR="00B21A9A" w:rsidRPr="003C3B2D" w:rsidRDefault="00B21A9A" w:rsidP="00B21A9A">
            <w:pPr>
              <w:jc w:val="left"/>
              <w:rPr>
                <w:rFonts w:cs="Arial"/>
                <w:sz w:val="22"/>
              </w:rPr>
            </w:pPr>
            <w:r>
              <w:rPr>
                <w:rFonts w:cs="Arial"/>
                <w:sz w:val="22"/>
              </w:rPr>
              <w:t>10.</w:t>
            </w:r>
          </w:p>
        </w:tc>
        <w:tc>
          <w:tcPr>
            <w:tcW w:w="3812" w:type="pct"/>
          </w:tcPr>
          <w:p w:rsidR="00B21A9A" w:rsidRPr="003C3B2D" w:rsidRDefault="00B21A9A" w:rsidP="00B21A9A">
            <w:pPr>
              <w:jc w:val="left"/>
              <w:rPr>
                <w:rFonts w:cs="Arial"/>
                <w:sz w:val="22"/>
                <w:lang w:eastAsia="it-CH"/>
              </w:rPr>
            </w:pPr>
            <w:r w:rsidRPr="003C3B2D">
              <w:rPr>
                <w:rFonts w:cs="Arial"/>
                <w:sz w:val="22"/>
                <w:lang w:eastAsia="it-CH"/>
              </w:rPr>
              <w:t>Realizzazione della sede provvisoria presso il blocco A del PGL</w:t>
            </w:r>
          </w:p>
        </w:tc>
        <w:tc>
          <w:tcPr>
            <w:tcW w:w="917" w:type="pct"/>
          </w:tcPr>
          <w:p w:rsidR="00B21A9A" w:rsidRPr="003C3B2D" w:rsidDel="0016255D" w:rsidRDefault="00B21A9A" w:rsidP="00B21A9A">
            <w:pPr>
              <w:jc w:val="right"/>
              <w:rPr>
                <w:rFonts w:cs="Arial"/>
                <w:sz w:val="22"/>
                <w:lang w:eastAsia="it-CH"/>
              </w:rPr>
            </w:pPr>
            <w:r>
              <w:rPr>
                <w:rFonts w:cs="Arial"/>
                <w:sz w:val="22"/>
                <w:lang w:eastAsia="it-CH"/>
              </w:rPr>
              <w:t>4° trim. 2027</w:t>
            </w:r>
          </w:p>
        </w:tc>
      </w:tr>
      <w:tr w:rsidR="00B21A9A" w:rsidRPr="003C3B2D" w:rsidTr="00B21A9A">
        <w:trPr>
          <w:trHeight w:val="56"/>
        </w:trPr>
        <w:tc>
          <w:tcPr>
            <w:tcW w:w="270" w:type="pct"/>
          </w:tcPr>
          <w:p w:rsidR="00B21A9A" w:rsidRDefault="00B21A9A" w:rsidP="00B21A9A">
            <w:pPr>
              <w:jc w:val="left"/>
              <w:rPr>
                <w:rFonts w:cs="Arial"/>
                <w:sz w:val="22"/>
              </w:rPr>
            </w:pPr>
          </w:p>
        </w:tc>
        <w:tc>
          <w:tcPr>
            <w:tcW w:w="3812" w:type="pct"/>
          </w:tcPr>
          <w:p w:rsidR="00B21A9A" w:rsidRPr="003C3B2D" w:rsidRDefault="00B21A9A" w:rsidP="00B21A9A">
            <w:pPr>
              <w:jc w:val="left"/>
              <w:rPr>
                <w:rFonts w:cs="Arial"/>
                <w:sz w:val="22"/>
                <w:lang w:eastAsia="it-CH"/>
              </w:rPr>
            </w:pPr>
          </w:p>
        </w:tc>
        <w:tc>
          <w:tcPr>
            <w:tcW w:w="917" w:type="pct"/>
          </w:tcPr>
          <w:p w:rsidR="00B21A9A" w:rsidRDefault="00B21A9A" w:rsidP="00B21A9A">
            <w:pPr>
              <w:jc w:val="right"/>
              <w:rPr>
                <w:rFonts w:cs="Arial"/>
                <w:sz w:val="22"/>
                <w:lang w:eastAsia="it-CH"/>
              </w:rPr>
            </w:pPr>
          </w:p>
        </w:tc>
      </w:tr>
      <w:tr w:rsidR="00B21A9A" w:rsidRPr="003C3B2D" w:rsidTr="00B21A9A">
        <w:trPr>
          <w:trHeight w:val="56"/>
        </w:trPr>
        <w:tc>
          <w:tcPr>
            <w:tcW w:w="270" w:type="pct"/>
          </w:tcPr>
          <w:p w:rsidR="00B21A9A" w:rsidRPr="003C3B2D" w:rsidRDefault="00B21A9A" w:rsidP="00B21A9A">
            <w:pPr>
              <w:jc w:val="left"/>
              <w:rPr>
                <w:rFonts w:cs="Arial"/>
                <w:sz w:val="22"/>
              </w:rPr>
            </w:pPr>
            <w:r>
              <w:rPr>
                <w:rFonts w:cs="Arial"/>
                <w:sz w:val="22"/>
              </w:rPr>
              <w:t>11.</w:t>
            </w:r>
          </w:p>
        </w:tc>
        <w:tc>
          <w:tcPr>
            <w:tcW w:w="3812" w:type="pct"/>
          </w:tcPr>
          <w:p w:rsidR="00B21A9A" w:rsidRPr="003C3B2D" w:rsidRDefault="00B21A9A" w:rsidP="00B21A9A">
            <w:pPr>
              <w:jc w:val="left"/>
              <w:rPr>
                <w:rFonts w:cs="Arial"/>
                <w:sz w:val="22"/>
                <w:lang w:eastAsia="it-CH"/>
              </w:rPr>
            </w:pPr>
            <w:r>
              <w:rPr>
                <w:rFonts w:cs="Arial"/>
                <w:sz w:val="22"/>
                <w:lang w:eastAsia="it-CH"/>
              </w:rPr>
              <w:t>Ristrutturazione PGL</w:t>
            </w:r>
          </w:p>
        </w:tc>
        <w:tc>
          <w:tcPr>
            <w:tcW w:w="917" w:type="pct"/>
          </w:tcPr>
          <w:p w:rsidR="00B21A9A" w:rsidRPr="003C3B2D" w:rsidDel="0016255D" w:rsidRDefault="00B21A9A" w:rsidP="00B21A9A">
            <w:pPr>
              <w:jc w:val="right"/>
              <w:rPr>
                <w:rFonts w:cs="Arial"/>
                <w:sz w:val="22"/>
                <w:lang w:eastAsia="it-CH"/>
              </w:rPr>
            </w:pPr>
            <w:r>
              <w:rPr>
                <w:rFonts w:cs="Arial"/>
                <w:sz w:val="22"/>
                <w:lang w:eastAsia="it-CH"/>
              </w:rPr>
              <w:t>2° trim. 2031</w:t>
            </w:r>
          </w:p>
        </w:tc>
      </w:tr>
    </w:tbl>
    <w:p w:rsidR="00B21A9A" w:rsidRDefault="00B21A9A" w:rsidP="00B21A9A">
      <w:pPr>
        <w:jc w:val="left"/>
        <w:rPr>
          <w:b/>
          <w:caps/>
          <w:szCs w:val="24"/>
        </w:rPr>
      </w:pPr>
    </w:p>
    <w:p w:rsidR="00A85314" w:rsidRDefault="00A85314">
      <w:pPr>
        <w:jc w:val="left"/>
        <w:rPr>
          <w:u w:val="single"/>
        </w:rPr>
      </w:pPr>
      <w:r>
        <w:rPr>
          <w:u w:val="single"/>
        </w:rPr>
        <w:br w:type="page"/>
      </w:r>
    </w:p>
    <w:p w:rsidR="00B21A9A" w:rsidRDefault="00B21A9A" w:rsidP="00B21A9A">
      <w:pPr>
        <w:autoSpaceDE w:val="0"/>
        <w:autoSpaceDN w:val="0"/>
        <w:adjustRightInd w:val="0"/>
        <w:spacing w:line="276" w:lineRule="auto"/>
        <w:rPr>
          <w:u w:val="single"/>
        </w:rPr>
      </w:pPr>
      <w:r w:rsidRPr="00E25098">
        <w:rPr>
          <w:u w:val="single"/>
        </w:rPr>
        <w:t>Schema temporale</w:t>
      </w:r>
    </w:p>
    <w:p w:rsidR="00B21A9A" w:rsidRDefault="00B21A9A" w:rsidP="00B21A9A">
      <w:pPr>
        <w:autoSpaceDE w:val="0"/>
        <w:autoSpaceDN w:val="0"/>
        <w:adjustRightInd w:val="0"/>
        <w:spacing w:line="276" w:lineRule="auto"/>
        <w:rPr>
          <w:u w:val="single"/>
        </w:rPr>
      </w:pPr>
    </w:p>
    <w:p w:rsidR="00B21A9A" w:rsidRPr="00E25098" w:rsidRDefault="00B21A9A" w:rsidP="00B21A9A">
      <w:pPr>
        <w:autoSpaceDE w:val="0"/>
        <w:autoSpaceDN w:val="0"/>
        <w:adjustRightInd w:val="0"/>
        <w:spacing w:line="276" w:lineRule="auto"/>
        <w:rPr>
          <w:u w:val="single"/>
        </w:rPr>
      </w:pPr>
      <w:r>
        <w:rPr>
          <w:noProof/>
          <w:lang w:val="it-CH" w:eastAsia="it-CH"/>
        </w:rPr>
        <w:drawing>
          <wp:inline distT="0" distB="0" distL="0" distR="0" wp14:anchorId="5E5C0BEA" wp14:editId="0C41F996">
            <wp:extent cx="6120130" cy="19259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20130" cy="1925955"/>
                    </a:xfrm>
                    <a:prstGeom prst="rect">
                      <a:avLst/>
                    </a:prstGeom>
                  </pic:spPr>
                </pic:pic>
              </a:graphicData>
            </a:graphic>
          </wp:inline>
        </w:drawing>
      </w:r>
    </w:p>
    <w:p w:rsidR="00B21A9A" w:rsidRDefault="00B21A9A" w:rsidP="00B21A9A">
      <w:pPr>
        <w:jc w:val="left"/>
        <w:rPr>
          <w:caps/>
          <w:szCs w:val="24"/>
        </w:rPr>
      </w:pPr>
    </w:p>
    <w:p w:rsidR="00A85314" w:rsidRDefault="00A85314" w:rsidP="00B21A9A">
      <w:pPr>
        <w:jc w:val="left"/>
        <w:rPr>
          <w:caps/>
          <w:szCs w:val="24"/>
        </w:rPr>
      </w:pPr>
    </w:p>
    <w:p w:rsidR="000A553C" w:rsidRPr="00D8387E" w:rsidRDefault="000A553C" w:rsidP="00B21A9A">
      <w:pPr>
        <w:jc w:val="left"/>
        <w:rPr>
          <w:caps/>
          <w:szCs w:val="24"/>
        </w:rPr>
      </w:pPr>
    </w:p>
    <w:p w:rsidR="00B21A9A" w:rsidRPr="00D8387E" w:rsidRDefault="00B21A9A" w:rsidP="00B21A9A">
      <w:pPr>
        <w:jc w:val="left"/>
        <w:rPr>
          <w:caps/>
          <w:szCs w:val="24"/>
        </w:rPr>
      </w:pPr>
    </w:p>
    <w:p w:rsidR="00B21A9A" w:rsidRPr="00FD7609" w:rsidRDefault="00B21A9A" w:rsidP="00B21A9A">
      <w:pPr>
        <w:pStyle w:val="Titolo1"/>
        <w:tabs>
          <w:tab w:val="clear" w:pos="567"/>
          <w:tab w:val="left" w:pos="709"/>
        </w:tabs>
      </w:pPr>
      <w:r>
        <w:t>8</w:t>
      </w:r>
      <w:r w:rsidRPr="00A04FBA">
        <w:t>.</w:t>
      </w:r>
      <w:r w:rsidRPr="00A04FBA">
        <w:tab/>
      </w:r>
      <w:r>
        <w:t>corrispondenza con le linee direttive e il piano finanziario</w:t>
      </w:r>
    </w:p>
    <w:p w:rsidR="00B21A9A" w:rsidRDefault="00B21A9A" w:rsidP="00A85314">
      <w:pPr>
        <w:pStyle w:val="Titolo2"/>
        <w:tabs>
          <w:tab w:val="clear" w:pos="567"/>
          <w:tab w:val="left" w:pos="709"/>
        </w:tabs>
        <w:ind w:left="709" w:hanging="709"/>
      </w:pPr>
      <w:r>
        <w:t>8.1</w:t>
      </w:r>
      <w:r>
        <w:tab/>
        <w:t>Relazioni con le Linee direttive e collegamenti con il Piano finanziario degli investimenti</w:t>
      </w:r>
    </w:p>
    <w:p w:rsidR="00B21A9A" w:rsidRDefault="00B21A9A" w:rsidP="00B21A9A">
      <w:pPr>
        <w:rPr>
          <w:rFonts w:cs="Arial"/>
          <w:lang w:val="it-CH"/>
        </w:rPr>
      </w:pPr>
      <w:r>
        <w:rPr>
          <w:rFonts w:cs="Arial"/>
          <w:lang w:val="it-CH"/>
        </w:rPr>
        <w:t>Gli investimenti previsti con questo messaggio sono coerenti con l’obiettivo di dotare le autorità giudiziarie di sedi logistiche rinnovate e conformi al loro ruolo.</w:t>
      </w:r>
    </w:p>
    <w:p w:rsidR="00B21A9A" w:rsidRDefault="00B21A9A" w:rsidP="00B21A9A">
      <w:pPr>
        <w:rPr>
          <w:rFonts w:cs="Arial"/>
          <w:lang w:val="it-CH"/>
        </w:rPr>
      </w:pPr>
    </w:p>
    <w:p w:rsidR="00B21A9A" w:rsidRDefault="00B21A9A" w:rsidP="00B21A9A">
      <w:pPr>
        <w:rPr>
          <w:rFonts w:cs="Arial"/>
          <w:lang w:val="it-CH"/>
        </w:rPr>
      </w:pPr>
      <w:r w:rsidRPr="0001431D">
        <w:rPr>
          <w:rFonts w:cs="Arial"/>
          <w:lang w:val="it-CH"/>
        </w:rPr>
        <w:t>Il credito di franchi 80.00 milioni per l’</w:t>
      </w:r>
      <w:r w:rsidRPr="0001431D">
        <w:rPr>
          <w:rFonts w:cs="Arial"/>
          <w:szCs w:val="24"/>
          <w:lang w:val="it-CH" w:eastAsia="it-CH"/>
        </w:rPr>
        <w:t xml:space="preserve">acquisto dell’edificio ex Banca del Gottardo e il credito di franchi 5.55 milioni per le spese d’acquisto e la progettazione dell’adeguamento logistico e impiantistico, per un totale di franchi 85.55 milioni </w:t>
      </w:r>
      <w:r w:rsidRPr="0001431D">
        <w:rPr>
          <w:rFonts w:cs="Arial"/>
          <w:lang w:val="it-CH"/>
        </w:rPr>
        <w:t>è inserito nel PFI al settore 11 “Amministrazione generale” posizione 111 411</w:t>
      </w:r>
      <w:r>
        <w:rPr>
          <w:rFonts w:cs="Arial"/>
          <w:lang w:val="it-CH"/>
        </w:rPr>
        <w:t xml:space="preserve"> </w:t>
      </w:r>
      <w:r w:rsidRPr="0001431D">
        <w:rPr>
          <w:rFonts w:cs="Arial"/>
          <w:lang w:val="it-CH"/>
        </w:rPr>
        <w:t>9 ed è collegato all’elemento WBS 941 59 6033.</w:t>
      </w:r>
    </w:p>
    <w:p w:rsidR="00B21A9A" w:rsidRPr="00C75675" w:rsidRDefault="00B21A9A" w:rsidP="00B21A9A">
      <w:pPr>
        <w:rPr>
          <w:rFonts w:cs="Arial"/>
          <w:szCs w:val="24"/>
          <w:lang w:val="it-CH"/>
        </w:rPr>
      </w:pPr>
    </w:p>
    <w:p w:rsidR="00B21A9A" w:rsidRPr="008660A9" w:rsidRDefault="00B21A9A" w:rsidP="00B21A9A">
      <w:pPr>
        <w:autoSpaceDE w:val="0"/>
        <w:autoSpaceDN w:val="0"/>
        <w:adjustRightInd w:val="0"/>
        <w:rPr>
          <w:rFonts w:cs="Arial"/>
          <w:szCs w:val="24"/>
          <w:lang w:val="it-CH" w:eastAsia="it-CH"/>
        </w:rPr>
      </w:pPr>
      <w:r w:rsidRPr="008660A9">
        <w:rPr>
          <w:rFonts w:cs="Arial"/>
          <w:lang w:val="it-CH"/>
        </w:rPr>
        <w:t xml:space="preserve">Il credito </w:t>
      </w:r>
      <w:r>
        <w:rPr>
          <w:rFonts w:cs="Arial"/>
          <w:lang w:val="it-CH"/>
        </w:rPr>
        <w:t xml:space="preserve">di franchi 0.49 milioni </w:t>
      </w:r>
      <w:r w:rsidRPr="008660A9">
        <w:rPr>
          <w:rFonts w:cs="Arial"/>
          <w:szCs w:val="24"/>
          <w:lang w:val="it-CH" w:eastAsia="it-CH"/>
        </w:rPr>
        <w:t xml:space="preserve">per </w:t>
      </w:r>
      <w:r>
        <w:rPr>
          <w:rFonts w:cs="Arial"/>
          <w:szCs w:val="24"/>
          <w:lang w:val="it-CH" w:eastAsia="it-CH"/>
        </w:rPr>
        <w:t xml:space="preserve">lo studio di fattibilità e </w:t>
      </w:r>
      <w:r w:rsidRPr="008660A9">
        <w:rPr>
          <w:rFonts w:cs="Arial"/>
          <w:szCs w:val="24"/>
          <w:lang w:val="it-CH" w:eastAsia="it-CH"/>
        </w:rPr>
        <w:t>la progettazione degli spazi destinati alla sede provvisoria necessaria durante la fase di ristrutturazione del PGL</w:t>
      </w:r>
      <w:r>
        <w:rPr>
          <w:rFonts w:cs="Arial"/>
          <w:szCs w:val="24"/>
          <w:lang w:val="it-CH" w:eastAsia="it-CH"/>
        </w:rPr>
        <w:t xml:space="preserve"> nonché il credito di franchi 0.40 milioni per un </w:t>
      </w:r>
      <w:r w:rsidRPr="00F06C91">
        <w:rPr>
          <w:rFonts w:cs="Arial"/>
          <w:bCs/>
          <w:color w:val="000000"/>
          <w:szCs w:val="24"/>
          <w:lang w:eastAsia="it-CH"/>
        </w:rPr>
        <w:t xml:space="preserve">consulente esterno a supporto </w:t>
      </w:r>
      <w:r>
        <w:rPr>
          <w:rFonts w:cs="Arial"/>
          <w:bCs/>
          <w:color w:val="000000"/>
          <w:szCs w:val="24"/>
          <w:lang w:eastAsia="it-CH"/>
        </w:rPr>
        <w:t xml:space="preserve">del Capoprogetto per le attività della Sezione della logistica, per un totale di franchi 0.89 milioni, </w:t>
      </w:r>
      <w:r>
        <w:rPr>
          <w:rFonts w:cs="Arial"/>
          <w:lang w:val="it-CH"/>
        </w:rPr>
        <w:t xml:space="preserve">è inserito a PFI al settore 11 “Amministrazione generale” </w:t>
      </w:r>
      <w:r w:rsidRPr="00276E18">
        <w:rPr>
          <w:rFonts w:cs="Arial"/>
          <w:lang w:val="it-CH"/>
        </w:rPr>
        <w:t>posizione 111 411</w:t>
      </w:r>
      <w:r>
        <w:rPr>
          <w:rFonts w:cs="Arial"/>
          <w:lang w:val="it-CH"/>
        </w:rPr>
        <w:t xml:space="preserve"> </w:t>
      </w:r>
      <w:r w:rsidRPr="00276E18">
        <w:rPr>
          <w:rFonts w:cs="Arial"/>
          <w:lang w:val="it-CH"/>
        </w:rPr>
        <w:t>5</w:t>
      </w:r>
      <w:r>
        <w:rPr>
          <w:rFonts w:cs="Arial"/>
          <w:lang w:val="it-CH"/>
        </w:rPr>
        <w:t xml:space="preserve"> e collegato </w:t>
      </w:r>
      <w:r w:rsidRPr="00C10C10">
        <w:rPr>
          <w:rFonts w:cs="Arial"/>
          <w:lang w:val="it-CH"/>
        </w:rPr>
        <w:t>al</w:t>
      </w:r>
      <w:r>
        <w:rPr>
          <w:rFonts w:cs="Arial"/>
          <w:lang w:val="it-CH"/>
        </w:rPr>
        <w:t>l’</w:t>
      </w:r>
      <w:r w:rsidRPr="00C10C10">
        <w:rPr>
          <w:rFonts w:cs="Arial"/>
          <w:lang w:val="it-CH"/>
        </w:rPr>
        <w:t xml:space="preserve">elemento WBS </w:t>
      </w:r>
      <w:r>
        <w:rPr>
          <w:rFonts w:cs="Arial"/>
          <w:lang w:val="it-CH"/>
        </w:rPr>
        <w:t>941 59 3451.</w:t>
      </w:r>
    </w:p>
    <w:p w:rsidR="00B21A9A" w:rsidRDefault="00B21A9A" w:rsidP="00B21A9A">
      <w:pPr>
        <w:rPr>
          <w:rFonts w:cs="Arial"/>
          <w:szCs w:val="24"/>
        </w:rPr>
      </w:pPr>
    </w:p>
    <w:p w:rsidR="00B21A9A" w:rsidRDefault="00B21A9A" w:rsidP="00B21A9A">
      <w:pPr>
        <w:rPr>
          <w:rFonts w:cs="Arial"/>
          <w:szCs w:val="24"/>
        </w:rPr>
      </w:pPr>
    </w:p>
    <w:p w:rsidR="00B21A9A" w:rsidRDefault="00B21A9A" w:rsidP="00B21A9A">
      <w:pPr>
        <w:pStyle w:val="Titolo2"/>
        <w:tabs>
          <w:tab w:val="clear" w:pos="567"/>
          <w:tab w:val="left" w:pos="709"/>
        </w:tabs>
      </w:pPr>
      <w:r>
        <w:t>8.2</w:t>
      </w:r>
      <w:r>
        <w:tab/>
        <w:t>Conseguenze sul personale</w:t>
      </w:r>
    </w:p>
    <w:p w:rsidR="00B21A9A" w:rsidRPr="002F107E" w:rsidRDefault="00B21A9A" w:rsidP="00B21A9A">
      <w:pPr>
        <w:tabs>
          <w:tab w:val="left" w:pos="426"/>
        </w:tabs>
      </w:pPr>
      <w:r w:rsidRPr="002F107E">
        <w:rPr>
          <w:rFonts w:cs="Arial"/>
          <w:szCs w:val="24"/>
          <w:lang w:val="it-CH" w:eastAsia="it-CH"/>
        </w:rPr>
        <w:t>Per la gestione degli edifici</w:t>
      </w:r>
      <w:r w:rsidRPr="002F107E">
        <w:rPr>
          <w:rFonts w:cs="Arial"/>
          <w:szCs w:val="24"/>
          <w:lang w:eastAsia="it-CH"/>
        </w:rPr>
        <w:t xml:space="preserve"> ex Banca del Gottardo e PGL</w:t>
      </w:r>
      <w:r w:rsidRPr="002F107E">
        <w:rPr>
          <w:rFonts w:cs="Arial"/>
          <w:szCs w:val="24"/>
          <w:lang w:val="it-CH" w:eastAsia="it-CH"/>
        </w:rPr>
        <w:t>, in particolare per mansioni tecniche, di sicurezza, custodia e ricezione, sarà necessario un adeguamento del personale oppure l’attribuzione di mandati esterni. L’entità di tale adeguamento o dei mandati esterni necessari sarà valutata in base a un progetto organizzativo che sarà allestito dai Dipartimenti delle istituzioni e delle finanze e dell’economia</w:t>
      </w:r>
      <w:r w:rsidRPr="002F107E">
        <w:t>.</w:t>
      </w:r>
    </w:p>
    <w:p w:rsidR="00B21A9A" w:rsidRPr="002F107E" w:rsidRDefault="00B21A9A" w:rsidP="00B21A9A">
      <w:pPr>
        <w:rPr>
          <w:rFonts w:cs="Arial"/>
          <w:szCs w:val="24"/>
          <w:lang w:val="it-CH" w:eastAsia="it-CH"/>
        </w:rPr>
      </w:pPr>
    </w:p>
    <w:p w:rsidR="00B21A9A" w:rsidRDefault="00B21A9A" w:rsidP="00B21A9A">
      <w:pPr>
        <w:tabs>
          <w:tab w:val="left" w:pos="426"/>
        </w:tabs>
        <w:rPr>
          <w:rFonts w:cs="Arial"/>
          <w:szCs w:val="24"/>
          <w:lang w:eastAsia="it-CH"/>
        </w:rPr>
      </w:pPr>
      <w:r w:rsidRPr="002F107E">
        <w:rPr>
          <w:szCs w:val="24"/>
        </w:rPr>
        <w:t xml:space="preserve">Nell’ambito dei messaggi </w:t>
      </w:r>
      <w:r w:rsidRPr="002F107E">
        <w:rPr>
          <w:rFonts w:cs="Arial"/>
          <w:szCs w:val="24"/>
          <w:lang w:eastAsia="it-CH"/>
        </w:rPr>
        <w:t>per la richiesta dei crediti di costruzione potranno essere forniti maggiori dettagli. La progettazione fornirà infatti le specifiche relative alle modalità di accesso e gestione interna dei flussi, al momento non ancora definiti.</w:t>
      </w:r>
    </w:p>
    <w:p w:rsidR="00B21A9A" w:rsidRDefault="00B21A9A" w:rsidP="00B21A9A">
      <w:pPr>
        <w:tabs>
          <w:tab w:val="left" w:pos="426"/>
        </w:tabs>
        <w:rPr>
          <w:rFonts w:cs="Arial"/>
          <w:szCs w:val="24"/>
          <w:lang w:eastAsia="it-CH"/>
        </w:rPr>
      </w:pPr>
    </w:p>
    <w:p w:rsidR="00B21A9A" w:rsidRDefault="00B21A9A" w:rsidP="00B21A9A">
      <w:pPr>
        <w:tabs>
          <w:tab w:val="left" w:pos="426"/>
        </w:tabs>
        <w:rPr>
          <w:rFonts w:cs="Arial"/>
          <w:szCs w:val="24"/>
          <w:lang w:eastAsia="it-CH"/>
        </w:rPr>
      </w:pPr>
    </w:p>
    <w:p w:rsidR="00B21A9A" w:rsidRPr="003D0084" w:rsidRDefault="00B21A9A" w:rsidP="00B21A9A">
      <w:pPr>
        <w:pStyle w:val="Titolo2"/>
        <w:tabs>
          <w:tab w:val="clear" w:pos="567"/>
          <w:tab w:val="left" w:pos="709"/>
        </w:tabs>
      </w:pPr>
      <w:r w:rsidRPr="003D0084">
        <w:t>8.3</w:t>
      </w:r>
      <w:r>
        <w:tab/>
      </w:r>
      <w:r w:rsidRPr="003D0084">
        <w:t>Messaggio n. 7080 del 14 aprile 2015</w:t>
      </w:r>
    </w:p>
    <w:p w:rsidR="00B21A9A" w:rsidRDefault="00B21A9A" w:rsidP="00B21A9A">
      <w:r>
        <w:t xml:space="preserve">Il messaggio presentava la richiesta di un credito complessivo di franchi 4'060'000.- per il comparto logistico dei servizi giudiziari e della Polizia cantonale del luganese suddiviso in: </w:t>
      </w:r>
    </w:p>
    <w:p w:rsidR="00B21A9A" w:rsidRPr="00B21A9A" w:rsidRDefault="00B21A9A" w:rsidP="00235850">
      <w:pPr>
        <w:numPr>
          <w:ilvl w:val="0"/>
          <w:numId w:val="1"/>
        </w:numPr>
        <w:autoSpaceDE w:val="0"/>
        <w:autoSpaceDN w:val="0"/>
        <w:adjustRightInd w:val="0"/>
        <w:spacing w:before="60"/>
        <w:ind w:left="284" w:hanging="284"/>
        <w:rPr>
          <w:rFonts w:cs="Arial"/>
          <w:szCs w:val="24"/>
          <w:lang w:val="it-CH" w:eastAsia="it-CH"/>
        </w:rPr>
      </w:pPr>
      <w:r w:rsidRPr="00B21A9A">
        <w:rPr>
          <w:rFonts w:cs="Arial"/>
          <w:szCs w:val="24"/>
          <w:lang w:val="it-CH" w:eastAsia="it-CH"/>
        </w:rPr>
        <w:t xml:space="preserve">un credito supplementare di franchi 3'700'000.- per la progettazione del risanamento edile, impiantistico ed energetico nonché per la riorganizzazione logistica del Palazzo di giustizia di Lugano; </w:t>
      </w:r>
    </w:p>
    <w:p w:rsidR="00B21A9A" w:rsidRPr="00B21A9A" w:rsidRDefault="00B21A9A" w:rsidP="00235850">
      <w:pPr>
        <w:numPr>
          <w:ilvl w:val="0"/>
          <w:numId w:val="1"/>
        </w:numPr>
        <w:autoSpaceDE w:val="0"/>
        <w:autoSpaceDN w:val="0"/>
        <w:adjustRightInd w:val="0"/>
        <w:spacing w:before="60"/>
        <w:ind w:left="284" w:hanging="284"/>
        <w:rPr>
          <w:rFonts w:cs="Arial"/>
          <w:szCs w:val="24"/>
          <w:lang w:val="it-CH" w:eastAsia="it-CH"/>
        </w:rPr>
      </w:pPr>
      <w:r w:rsidRPr="00B21A9A">
        <w:rPr>
          <w:rFonts w:cs="Arial"/>
          <w:szCs w:val="24"/>
          <w:lang w:val="it-CH" w:eastAsia="it-CH"/>
        </w:rPr>
        <w:t xml:space="preserve">un credito di franchi 200'000.- per lo studio di fattibilità per una nuova sede esterna (provvisoria o definitiva) dei servizi giudiziari; </w:t>
      </w:r>
    </w:p>
    <w:p w:rsidR="00B21A9A" w:rsidRPr="00B21A9A" w:rsidRDefault="00B21A9A" w:rsidP="00235850">
      <w:pPr>
        <w:numPr>
          <w:ilvl w:val="0"/>
          <w:numId w:val="1"/>
        </w:numPr>
        <w:autoSpaceDE w:val="0"/>
        <w:autoSpaceDN w:val="0"/>
        <w:adjustRightInd w:val="0"/>
        <w:spacing w:before="60"/>
        <w:ind w:left="284" w:hanging="284"/>
        <w:rPr>
          <w:rFonts w:cs="Arial"/>
          <w:szCs w:val="24"/>
          <w:lang w:val="it-CH" w:eastAsia="it-CH"/>
        </w:rPr>
      </w:pPr>
      <w:r w:rsidRPr="00B21A9A">
        <w:rPr>
          <w:rFonts w:cs="Arial"/>
          <w:szCs w:val="24"/>
          <w:lang w:val="it-CH" w:eastAsia="it-CH"/>
        </w:rPr>
        <w:t>un credito di franchi 160'000.- per interventi di carattere urgente per esigenze della Polizia cantonale presso il Palazzo di giustizia di Lugano.</w:t>
      </w:r>
    </w:p>
    <w:p w:rsidR="00A85314" w:rsidRDefault="00A85314" w:rsidP="00B21A9A"/>
    <w:p w:rsidR="00B21A9A" w:rsidRDefault="00B21A9A" w:rsidP="00B21A9A">
      <w:pPr>
        <w:rPr>
          <w:lang w:eastAsia="it-CH"/>
        </w:rPr>
      </w:pPr>
      <w:r>
        <w:t xml:space="preserve">Come indicato nella cronologia (punto 1.1) il 22 giugno 2015 il Gran Consiglio ha approvato i crediti per lo studio di fattibilità per una sede esterna e per gli interventi urgenti per le esigenze di Polizia. Il rimanente credito supplementare di </w:t>
      </w:r>
      <w:r>
        <w:rPr>
          <w:lang w:eastAsia="it-CH"/>
        </w:rPr>
        <w:t>franchi 3'700'000.- è stato invece sospeso poiché sarebbe stato oggetto di maggiori approfondimenti da parte della Commissione della gestione e delle finanze.</w:t>
      </w:r>
    </w:p>
    <w:p w:rsidR="00B21A9A" w:rsidRDefault="00B21A9A" w:rsidP="00B21A9A"/>
    <w:p w:rsidR="00B21A9A" w:rsidRDefault="00B21A9A" w:rsidP="00B21A9A">
      <w:r>
        <w:t>Lo sviluppo delle trattative, dapprima relative allo stabile Sant’Anna e successivamente riguardanti l’immobile ex Banca del Gottardo, ha indotto lo scrivente Consiglio, in data 9 novembre 2016, a chiedere alla Commissione della gestione e delle finanze di sospendere l’esame della parte inevasa del messaggio n. 7080.</w:t>
      </w:r>
    </w:p>
    <w:p w:rsidR="00B21A9A" w:rsidRDefault="00B21A9A" w:rsidP="00B21A9A"/>
    <w:p w:rsidR="00B21A9A" w:rsidRDefault="00B21A9A" w:rsidP="00B21A9A">
      <w:pPr>
        <w:tabs>
          <w:tab w:val="left" w:pos="426"/>
        </w:tabs>
      </w:pPr>
      <w:r>
        <w:t xml:space="preserve">Visto quanto illustrato nel presente messaggio, che prevede l’insediamento dei servizi cantonali presso l’ex Banca del Gottardo e presso il Palazzo di giustizia, si chiede il ritiro della parte non ancora decisa dal Gran Consiglio (3.70 milioni progettazione del Palazzo di giustizia) del messaggio n. 7080 del 14 aprile 2015. </w:t>
      </w:r>
    </w:p>
    <w:p w:rsidR="00B21A9A" w:rsidRDefault="00B21A9A" w:rsidP="00B21A9A">
      <w:pPr>
        <w:tabs>
          <w:tab w:val="left" w:pos="426"/>
        </w:tabs>
      </w:pPr>
    </w:p>
    <w:p w:rsidR="00B21A9A" w:rsidRDefault="00B21A9A" w:rsidP="00B21A9A">
      <w:pPr>
        <w:tabs>
          <w:tab w:val="left" w:pos="426"/>
        </w:tabs>
      </w:pPr>
    </w:p>
    <w:p w:rsidR="00A85314" w:rsidRPr="00784D69" w:rsidRDefault="00A85314" w:rsidP="00B21A9A">
      <w:pPr>
        <w:tabs>
          <w:tab w:val="left" w:pos="426"/>
        </w:tabs>
      </w:pPr>
    </w:p>
    <w:p w:rsidR="00B21A9A" w:rsidRPr="00BC2021" w:rsidRDefault="00B21A9A" w:rsidP="00B21A9A">
      <w:pPr>
        <w:pStyle w:val="Titolo1"/>
        <w:tabs>
          <w:tab w:val="clear" w:pos="567"/>
          <w:tab w:val="left" w:pos="709"/>
        </w:tabs>
      </w:pPr>
      <w:r>
        <w:t>9</w:t>
      </w:r>
      <w:r w:rsidRPr="00D75202">
        <w:t>.</w:t>
      </w:r>
      <w:r w:rsidRPr="00D75202">
        <w:tab/>
        <w:t>conclusioni</w:t>
      </w:r>
    </w:p>
    <w:p w:rsidR="00B21A9A" w:rsidRDefault="00B21A9A" w:rsidP="00B21A9A">
      <w:pPr>
        <w:rPr>
          <w:rFonts w:cs="Arial"/>
          <w:szCs w:val="24"/>
        </w:rPr>
      </w:pPr>
      <w:r>
        <w:rPr>
          <w:rFonts w:cs="Arial"/>
          <w:szCs w:val="24"/>
        </w:rPr>
        <w:t>Per le motivazioni sopra espresse raccomandiamo l’approvazione del presente messaggio.</w:t>
      </w:r>
    </w:p>
    <w:p w:rsidR="00B21A9A" w:rsidRDefault="00B21A9A" w:rsidP="00B21A9A">
      <w:pPr>
        <w:rPr>
          <w:rFonts w:cs="Arial"/>
          <w:szCs w:val="24"/>
        </w:rPr>
      </w:pPr>
    </w:p>
    <w:p w:rsidR="00B21A9A" w:rsidRPr="00DA5DCE" w:rsidRDefault="00B21A9A" w:rsidP="00B21A9A">
      <w:pPr>
        <w:tabs>
          <w:tab w:val="left" w:pos="540"/>
        </w:tabs>
        <w:rPr>
          <w:szCs w:val="24"/>
        </w:rPr>
      </w:pPr>
      <w:r w:rsidRPr="00DA5DCE">
        <w:rPr>
          <w:szCs w:val="24"/>
        </w:rPr>
        <w:t xml:space="preserve">Lo stanziamento del credito proposto con l’allegato decreto legislativo richiede l’approvazione </w:t>
      </w:r>
      <w:r>
        <w:rPr>
          <w:szCs w:val="24"/>
        </w:rPr>
        <w:t>d</w:t>
      </w:r>
      <w:r w:rsidRPr="00DA5DCE">
        <w:rPr>
          <w:szCs w:val="24"/>
        </w:rPr>
        <w:t>a parte della maggioranza assoluta dei membri del Gran Consiglio (cfr. art. 5 cpv. 3 LGF).</w:t>
      </w:r>
    </w:p>
    <w:p w:rsidR="00B21A9A" w:rsidRDefault="00B21A9A" w:rsidP="00B21A9A">
      <w:pPr>
        <w:tabs>
          <w:tab w:val="left" w:pos="284"/>
          <w:tab w:val="left" w:pos="426"/>
          <w:tab w:val="left" w:pos="4962"/>
        </w:tabs>
        <w:rPr>
          <w:szCs w:val="24"/>
        </w:rPr>
      </w:pPr>
    </w:p>
    <w:p w:rsidR="00B21A9A" w:rsidRPr="005B3E0C" w:rsidRDefault="00B21A9A" w:rsidP="00B21A9A">
      <w:pPr>
        <w:tabs>
          <w:tab w:val="left" w:pos="284"/>
          <w:tab w:val="left" w:pos="426"/>
          <w:tab w:val="left" w:pos="4962"/>
        </w:tabs>
        <w:rPr>
          <w:szCs w:val="24"/>
        </w:rPr>
      </w:pPr>
    </w:p>
    <w:p w:rsidR="00B21A9A" w:rsidRPr="005B3E0C" w:rsidRDefault="00B21A9A" w:rsidP="00B21A9A">
      <w:pPr>
        <w:rPr>
          <w:szCs w:val="24"/>
        </w:rPr>
      </w:pPr>
      <w:r w:rsidRPr="005B3E0C">
        <w:rPr>
          <w:szCs w:val="24"/>
        </w:rPr>
        <w:t>Vogliate gradire, signor Presidente, signore e signori deputati, l'espressione della nostra massima stima.</w:t>
      </w:r>
    </w:p>
    <w:p w:rsidR="00B21A9A" w:rsidRPr="005B3E0C" w:rsidRDefault="00B21A9A" w:rsidP="00B21A9A">
      <w:pPr>
        <w:rPr>
          <w:szCs w:val="24"/>
        </w:rPr>
      </w:pPr>
    </w:p>
    <w:p w:rsidR="00B21A9A" w:rsidRDefault="00B21A9A" w:rsidP="00B21A9A">
      <w:pPr>
        <w:rPr>
          <w:szCs w:val="24"/>
        </w:rPr>
      </w:pPr>
    </w:p>
    <w:p w:rsidR="00B21A9A" w:rsidRDefault="00B21A9A" w:rsidP="00B21A9A">
      <w:pPr>
        <w:rPr>
          <w:szCs w:val="24"/>
        </w:rPr>
      </w:pPr>
    </w:p>
    <w:p w:rsidR="00B21A9A" w:rsidRPr="005B3E0C" w:rsidRDefault="00B21A9A" w:rsidP="00B21A9A">
      <w:pPr>
        <w:spacing w:after="120"/>
        <w:rPr>
          <w:szCs w:val="24"/>
        </w:rPr>
      </w:pPr>
      <w:r w:rsidRPr="005B3E0C">
        <w:rPr>
          <w:szCs w:val="24"/>
        </w:rPr>
        <w:t>Per il Consiglio di Stato:</w:t>
      </w:r>
    </w:p>
    <w:p w:rsidR="00B21A9A" w:rsidRPr="005B3E0C" w:rsidRDefault="00B21A9A" w:rsidP="00B21A9A">
      <w:pPr>
        <w:rPr>
          <w:szCs w:val="24"/>
        </w:rPr>
      </w:pPr>
      <w:r w:rsidRPr="005B3E0C">
        <w:rPr>
          <w:szCs w:val="24"/>
        </w:rPr>
        <w:t xml:space="preserve">Il Presidente, </w:t>
      </w:r>
      <w:r>
        <w:rPr>
          <w:szCs w:val="24"/>
        </w:rPr>
        <w:t>Christian Vitta</w:t>
      </w:r>
    </w:p>
    <w:p w:rsidR="00B21A9A" w:rsidRDefault="00B21A9A" w:rsidP="00B21A9A">
      <w:pPr>
        <w:rPr>
          <w:szCs w:val="24"/>
        </w:rPr>
      </w:pPr>
      <w:r w:rsidRPr="005B3E0C">
        <w:rPr>
          <w:szCs w:val="24"/>
        </w:rPr>
        <w:t>Il Cancelliere, A</w:t>
      </w:r>
      <w:r>
        <w:rPr>
          <w:szCs w:val="24"/>
        </w:rPr>
        <w:t>rnoldo</w:t>
      </w:r>
      <w:r w:rsidRPr="005B3E0C">
        <w:rPr>
          <w:szCs w:val="24"/>
        </w:rPr>
        <w:t xml:space="preserve"> Coduri</w:t>
      </w:r>
    </w:p>
    <w:p w:rsidR="00B21A9A" w:rsidRPr="005B3E0C" w:rsidRDefault="00B21A9A" w:rsidP="00B21A9A">
      <w:pPr>
        <w:rPr>
          <w:szCs w:val="24"/>
        </w:rPr>
      </w:pPr>
    </w:p>
    <w:p w:rsidR="00B21A9A" w:rsidRDefault="00B21A9A">
      <w:pPr>
        <w:jc w:val="left"/>
      </w:pPr>
      <w:r>
        <w:br w:type="page"/>
      </w:r>
    </w:p>
    <w:p w:rsidR="00B21A9A" w:rsidRPr="00A85314" w:rsidRDefault="00B21A9A" w:rsidP="00B21A9A">
      <w:pPr>
        <w:jc w:val="left"/>
        <w:rPr>
          <w:sz w:val="23"/>
          <w:szCs w:val="23"/>
        </w:rPr>
      </w:pPr>
      <w:r w:rsidRPr="00A85314">
        <w:rPr>
          <w:sz w:val="23"/>
          <w:szCs w:val="23"/>
        </w:rPr>
        <w:t>Disegno di</w:t>
      </w:r>
    </w:p>
    <w:p w:rsidR="00B21A9A" w:rsidRPr="00A85314" w:rsidRDefault="00B21A9A" w:rsidP="00B21A9A">
      <w:pPr>
        <w:rPr>
          <w:sz w:val="20"/>
        </w:rPr>
      </w:pPr>
    </w:p>
    <w:p w:rsidR="00B21A9A" w:rsidRPr="00A85314" w:rsidRDefault="00B21A9A" w:rsidP="00B21A9A">
      <w:pPr>
        <w:spacing w:before="120" w:after="120"/>
        <w:rPr>
          <w:b/>
          <w:sz w:val="23"/>
          <w:szCs w:val="23"/>
        </w:rPr>
      </w:pPr>
      <w:r w:rsidRPr="00A85314">
        <w:rPr>
          <w:b/>
          <w:sz w:val="23"/>
          <w:szCs w:val="23"/>
        </w:rPr>
        <w:t>DECRETO LEGISLATIVO</w:t>
      </w:r>
    </w:p>
    <w:p w:rsidR="00B21A9A" w:rsidRPr="00A85314" w:rsidRDefault="00B21A9A" w:rsidP="00B21A9A">
      <w:pPr>
        <w:outlineLvl w:val="0"/>
        <w:rPr>
          <w:sz w:val="23"/>
          <w:szCs w:val="23"/>
        </w:rPr>
      </w:pPr>
      <w:r w:rsidRPr="00A85314">
        <w:rPr>
          <w:b/>
          <w:sz w:val="23"/>
          <w:szCs w:val="23"/>
        </w:rPr>
        <w:t>concernente lo stanziamento di un credito di 80'000'000 di franchi per l’acquisto dell’edificio ex Banca del Gottardo di proprietà di EFG Bank SA e di un credito di 6'440'000 franchi per la progettazione della sua ristrutturazione e dell’adeguamento logistico nonché per uno studio di fattibilità e progettazione per gli spazi destinati alla sede provvisoria necessaria per la ristrutturazione del Palazzo di giustizia</w:t>
      </w:r>
    </w:p>
    <w:p w:rsidR="00B21A9A" w:rsidRPr="00A85314" w:rsidRDefault="00B21A9A" w:rsidP="00B21A9A">
      <w:pPr>
        <w:rPr>
          <w:sz w:val="20"/>
        </w:rPr>
      </w:pPr>
    </w:p>
    <w:p w:rsidR="00B21A9A" w:rsidRPr="00A85314" w:rsidRDefault="00B21A9A" w:rsidP="00B21A9A">
      <w:pPr>
        <w:rPr>
          <w:sz w:val="20"/>
        </w:rPr>
      </w:pPr>
    </w:p>
    <w:p w:rsidR="00B21A9A" w:rsidRPr="00A85314" w:rsidRDefault="00B21A9A" w:rsidP="00B21A9A">
      <w:pPr>
        <w:rPr>
          <w:sz w:val="23"/>
          <w:szCs w:val="23"/>
          <w:lang w:eastAsia="en-US"/>
        </w:rPr>
      </w:pPr>
      <w:r w:rsidRPr="00A85314">
        <w:rPr>
          <w:sz w:val="23"/>
          <w:szCs w:val="23"/>
          <w:lang w:eastAsia="en-US"/>
        </w:rPr>
        <w:t>IL GRAN CONSIGLIO</w:t>
      </w:r>
    </w:p>
    <w:p w:rsidR="00B21A9A" w:rsidRPr="00A85314" w:rsidRDefault="00B21A9A" w:rsidP="00B21A9A">
      <w:pPr>
        <w:rPr>
          <w:sz w:val="23"/>
          <w:szCs w:val="23"/>
          <w:lang w:eastAsia="en-US"/>
        </w:rPr>
      </w:pPr>
      <w:r w:rsidRPr="00A85314">
        <w:rPr>
          <w:sz w:val="23"/>
          <w:szCs w:val="23"/>
          <w:lang w:eastAsia="en-US"/>
        </w:rPr>
        <w:t>DELLA REPUBBLICA E CANTONE TICINO</w:t>
      </w:r>
    </w:p>
    <w:p w:rsidR="00B21A9A" w:rsidRPr="00A85314" w:rsidRDefault="00B21A9A" w:rsidP="00B21A9A">
      <w:pPr>
        <w:rPr>
          <w:sz w:val="20"/>
        </w:rPr>
      </w:pPr>
    </w:p>
    <w:p w:rsidR="00B21A9A" w:rsidRPr="00A85314" w:rsidRDefault="00B21A9A" w:rsidP="00B21A9A">
      <w:pPr>
        <w:rPr>
          <w:sz w:val="23"/>
          <w:szCs w:val="23"/>
        </w:rPr>
      </w:pPr>
      <w:r w:rsidRPr="00A85314">
        <w:rPr>
          <w:sz w:val="23"/>
          <w:szCs w:val="23"/>
        </w:rPr>
        <w:t>visto il messaggio 27 novembre 2019 n. 7761 del Consiglio di Stato,</w:t>
      </w:r>
    </w:p>
    <w:p w:rsidR="00B21A9A" w:rsidRPr="00A85314" w:rsidRDefault="00B21A9A" w:rsidP="00B21A9A">
      <w:pPr>
        <w:rPr>
          <w:sz w:val="20"/>
        </w:rPr>
      </w:pPr>
    </w:p>
    <w:p w:rsidR="00B21A9A" w:rsidRPr="00A85314" w:rsidRDefault="00B21A9A" w:rsidP="00B21A9A">
      <w:pPr>
        <w:rPr>
          <w:sz w:val="20"/>
        </w:rPr>
      </w:pPr>
    </w:p>
    <w:p w:rsidR="00B21A9A" w:rsidRPr="00A85314" w:rsidRDefault="00B21A9A" w:rsidP="00B21A9A">
      <w:pPr>
        <w:rPr>
          <w:b/>
          <w:sz w:val="23"/>
          <w:szCs w:val="23"/>
        </w:rPr>
      </w:pPr>
      <w:r w:rsidRPr="00A85314">
        <w:rPr>
          <w:b/>
          <w:sz w:val="23"/>
          <w:szCs w:val="23"/>
        </w:rPr>
        <w:t>d e c r e t a :</w:t>
      </w:r>
    </w:p>
    <w:p w:rsidR="00B21A9A" w:rsidRPr="00A85314" w:rsidRDefault="00B21A9A" w:rsidP="00B21A9A">
      <w:pPr>
        <w:rPr>
          <w:sz w:val="20"/>
        </w:rPr>
      </w:pPr>
    </w:p>
    <w:p w:rsidR="00B21A9A" w:rsidRPr="00A85314" w:rsidRDefault="00B21A9A" w:rsidP="00B21A9A">
      <w:pPr>
        <w:rPr>
          <w:sz w:val="20"/>
        </w:rPr>
      </w:pPr>
    </w:p>
    <w:p w:rsidR="00B21A9A" w:rsidRPr="00A85314" w:rsidRDefault="00B21A9A" w:rsidP="00B21A9A">
      <w:pPr>
        <w:spacing w:after="120"/>
        <w:rPr>
          <w:b/>
          <w:bCs/>
          <w:sz w:val="23"/>
          <w:szCs w:val="23"/>
          <w:u w:val="single"/>
          <w:lang w:val="it-CH"/>
        </w:rPr>
      </w:pPr>
      <w:r w:rsidRPr="00A85314">
        <w:rPr>
          <w:b/>
          <w:bCs/>
          <w:sz w:val="23"/>
          <w:szCs w:val="23"/>
          <w:u w:val="single"/>
          <w:lang w:val="it-CH"/>
        </w:rPr>
        <w:t>Articolo 1</w:t>
      </w:r>
    </w:p>
    <w:p w:rsidR="00B21A9A" w:rsidRPr="00A85314" w:rsidRDefault="00B21A9A" w:rsidP="00B21A9A">
      <w:pPr>
        <w:autoSpaceDE w:val="0"/>
        <w:autoSpaceDN w:val="0"/>
        <w:adjustRightInd w:val="0"/>
        <w:spacing w:after="40"/>
        <w:rPr>
          <w:rFonts w:cs="Arial"/>
          <w:sz w:val="23"/>
          <w:szCs w:val="23"/>
          <w:lang w:val="it-CH" w:eastAsia="it-CH"/>
        </w:rPr>
      </w:pPr>
      <w:r w:rsidRPr="00A85314">
        <w:rPr>
          <w:sz w:val="23"/>
          <w:szCs w:val="23"/>
        </w:rPr>
        <w:t>Sono stanziati i seguenti crediti</w:t>
      </w:r>
      <w:r w:rsidRPr="00A85314">
        <w:rPr>
          <w:rFonts w:cs="Arial"/>
          <w:sz w:val="23"/>
          <w:szCs w:val="23"/>
          <w:lang w:val="it-CH" w:eastAsia="it-CH"/>
        </w:rPr>
        <w:t xml:space="preserve">: </w:t>
      </w:r>
    </w:p>
    <w:p w:rsidR="00B21A9A" w:rsidRPr="00A85314" w:rsidRDefault="00B21A9A" w:rsidP="00235850">
      <w:pPr>
        <w:numPr>
          <w:ilvl w:val="0"/>
          <w:numId w:val="1"/>
        </w:numPr>
        <w:autoSpaceDE w:val="0"/>
        <w:autoSpaceDN w:val="0"/>
        <w:adjustRightInd w:val="0"/>
        <w:spacing w:before="60"/>
        <w:ind w:left="284" w:hanging="284"/>
        <w:rPr>
          <w:rFonts w:cs="Arial"/>
          <w:sz w:val="23"/>
          <w:szCs w:val="23"/>
          <w:lang w:val="it-CH" w:eastAsia="it-CH"/>
        </w:rPr>
      </w:pPr>
      <w:r w:rsidRPr="00A85314">
        <w:rPr>
          <w:rFonts w:cs="Arial"/>
          <w:sz w:val="23"/>
          <w:szCs w:val="23"/>
          <w:lang w:val="it-CH" w:eastAsia="it-CH"/>
        </w:rPr>
        <w:t>80'000'000 di franchi destinati all’acquisto dell’edificio ex Banca del Gottardo;</w:t>
      </w:r>
    </w:p>
    <w:p w:rsidR="00B21A9A" w:rsidRPr="00A85314" w:rsidRDefault="00B21A9A" w:rsidP="00235850">
      <w:pPr>
        <w:numPr>
          <w:ilvl w:val="0"/>
          <w:numId w:val="1"/>
        </w:numPr>
        <w:autoSpaceDE w:val="0"/>
        <w:autoSpaceDN w:val="0"/>
        <w:adjustRightInd w:val="0"/>
        <w:spacing w:before="60"/>
        <w:ind w:left="284" w:hanging="284"/>
        <w:rPr>
          <w:rFonts w:cs="Arial"/>
          <w:sz w:val="23"/>
          <w:szCs w:val="23"/>
          <w:lang w:val="it-CH" w:eastAsia="it-CH"/>
        </w:rPr>
      </w:pPr>
      <w:r w:rsidRPr="00A85314">
        <w:rPr>
          <w:rFonts w:cs="Arial"/>
          <w:sz w:val="23"/>
          <w:szCs w:val="23"/>
          <w:lang w:val="it-CH" w:eastAsia="it-CH"/>
        </w:rPr>
        <w:t>50'000 franchi per le spese legali e notarili, rogito e tasse dell’acquisto sopra citato;</w:t>
      </w:r>
    </w:p>
    <w:p w:rsidR="00B21A9A" w:rsidRPr="00A85314" w:rsidRDefault="00B21A9A" w:rsidP="00235850">
      <w:pPr>
        <w:numPr>
          <w:ilvl w:val="0"/>
          <w:numId w:val="1"/>
        </w:numPr>
        <w:autoSpaceDE w:val="0"/>
        <w:autoSpaceDN w:val="0"/>
        <w:adjustRightInd w:val="0"/>
        <w:spacing w:before="60"/>
        <w:ind w:left="284" w:hanging="284"/>
        <w:rPr>
          <w:rFonts w:cs="Arial"/>
          <w:sz w:val="23"/>
          <w:szCs w:val="23"/>
          <w:lang w:val="it-CH" w:eastAsia="it-CH"/>
        </w:rPr>
      </w:pPr>
      <w:r w:rsidRPr="00A85314">
        <w:rPr>
          <w:rFonts w:cs="Arial"/>
          <w:sz w:val="23"/>
          <w:szCs w:val="23"/>
          <w:lang w:val="it-CH" w:eastAsia="it-CH"/>
        </w:rPr>
        <w:t>5'500'000 franchi per la progettazione della ristrutturazione e dell’adeguamento logistico, fino alla fase della procedura d’appalto compresa (4.41 del regolamento SIA 112), degli spazi destinati alle autorità giudiziarie presso l’edificio ex Banca del Gottardo;</w:t>
      </w:r>
    </w:p>
    <w:p w:rsidR="00B21A9A" w:rsidRPr="00A85314" w:rsidRDefault="00B21A9A" w:rsidP="00235850">
      <w:pPr>
        <w:numPr>
          <w:ilvl w:val="0"/>
          <w:numId w:val="1"/>
        </w:numPr>
        <w:autoSpaceDE w:val="0"/>
        <w:autoSpaceDN w:val="0"/>
        <w:adjustRightInd w:val="0"/>
        <w:spacing w:before="60"/>
        <w:ind w:left="284" w:hanging="284"/>
        <w:rPr>
          <w:rFonts w:cs="Arial"/>
          <w:sz w:val="23"/>
          <w:szCs w:val="23"/>
          <w:lang w:val="it-CH" w:eastAsia="it-CH"/>
        </w:rPr>
      </w:pPr>
      <w:r w:rsidRPr="00A85314">
        <w:rPr>
          <w:rFonts w:cs="Arial"/>
          <w:sz w:val="23"/>
          <w:szCs w:val="23"/>
          <w:lang w:val="it-CH" w:eastAsia="it-CH"/>
        </w:rPr>
        <w:t>490'000 franchi per uno studio di fattibilità e la progettazione fino alla fase della procedura d’appalto compresa (4.41 del regolamento SIA 112) degli spazi destinati alla sede provvisoria necessaria durante la fase di ristrutturazione del PGL presso lo stabile Bossi (E2009);</w:t>
      </w:r>
    </w:p>
    <w:p w:rsidR="00B21A9A" w:rsidRPr="00A85314" w:rsidRDefault="00B21A9A" w:rsidP="00235850">
      <w:pPr>
        <w:numPr>
          <w:ilvl w:val="0"/>
          <w:numId w:val="1"/>
        </w:numPr>
        <w:autoSpaceDE w:val="0"/>
        <w:autoSpaceDN w:val="0"/>
        <w:adjustRightInd w:val="0"/>
        <w:spacing w:before="60"/>
        <w:ind w:left="284" w:hanging="284"/>
        <w:rPr>
          <w:rFonts w:cs="Arial"/>
          <w:sz w:val="23"/>
          <w:szCs w:val="23"/>
          <w:lang w:val="it-CH" w:eastAsia="it-CH"/>
        </w:rPr>
      </w:pPr>
      <w:r w:rsidRPr="00A85314">
        <w:rPr>
          <w:rFonts w:cs="Arial"/>
          <w:sz w:val="23"/>
          <w:szCs w:val="23"/>
          <w:lang w:val="it-CH" w:eastAsia="it-CH"/>
        </w:rPr>
        <w:t>400'000 franchi  per un consulente esterno a supporto del Capoprogetto per le attività della Sezione della logistica.</w:t>
      </w:r>
    </w:p>
    <w:p w:rsidR="00B21A9A" w:rsidRPr="00A85314" w:rsidRDefault="00B21A9A" w:rsidP="00B21A9A">
      <w:pPr>
        <w:rPr>
          <w:sz w:val="18"/>
          <w:szCs w:val="18"/>
        </w:rPr>
      </w:pPr>
    </w:p>
    <w:p w:rsidR="00B21A9A" w:rsidRPr="00A85314" w:rsidRDefault="00B21A9A" w:rsidP="00B21A9A">
      <w:pPr>
        <w:rPr>
          <w:sz w:val="18"/>
          <w:szCs w:val="18"/>
        </w:rPr>
      </w:pPr>
    </w:p>
    <w:p w:rsidR="00B21A9A" w:rsidRPr="00A85314" w:rsidRDefault="00B21A9A" w:rsidP="00B21A9A">
      <w:pPr>
        <w:spacing w:after="120"/>
        <w:rPr>
          <w:b/>
          <w:bCs/>
          <w:sz w:val="23"/>
          <w:szCs w:val="23"/>
          <w:u w:val="single"/>
          <w:lang w:val="it-CH"/>
        </w:rPr>
      </w:pPr>
      <w:r w:rsidRPr="00A85314">
        <w:rPr>
          <w:b/>
          <w:bCs/>
          <w:sz w:val="23"/>
          <w:szCs w:val="23"/>
          <w:u w:val="single"/>
          <w:lang w:val="it-CH"/>
        </w:rPr>
        <w:t>Articolo 2</w:t>
      </w:r>
    </w:p>
    <w:p w:rsidR="00B21A9A" w:rsidRPr="00A85314" w:rsidRDefault="00B21A9A" w:rsidP="00B21A9A">
      <w:pPr>
        <w:rPr>
          <w:sz w:val="23"/>
          <w:szCs w:val="23"/>
        </w:rPr>
      </w:pPr>
      <w:r w:rsidRPr="00A85314">
        <w:rPr>
          <w:sz w:val="23"/>
          <w:szCs w:val="23"/>
        </w:rPr>
        <w:t>Il credito è iscritto nel conto degli investimenti del Dipartimento delle finanze e dell’economia, Sezione della logistica.</w:t>
      </w:r>
    </w:p>
    <w:p w:rsidR="00B21A9A" w:rsidRPr="00A85314" w:rsidRDefault="00B21A9A" w:rsidP="00B21A9A">
      <w:pPr>
        <w:rPr>
          <w:bCs/>
          <w:sz w:val="18"/>
          <w:szCs w:val="18"/>
          <w:lang w:val="it-CH"/>
        </w:rPr>
      </w:pPr>
    </w:p>
    <w:p w:rsidR="00B21A9A" w:rsidRPr="00A85314" w:rsidRDefault="00B21A9A" w:rsidP="00B21A9A">
      <w:pPr>
        <w:rPr>
          <w:bCs/>
          <w:sz w:val="18"/>
          <w:szCs w:val="18"/>
          <w:lang w:val="it-CH"/>
        </w:rPr>
      </w:pPr>
    </w:p>
    <w:p w:rsidR="00B21A9A" w:rsidRPr="00A85314" w:rsidRDefault="00B21A9A" w:rsidP="00B21A9A">
      <w:pPr>
        <w:spacing w:after="120"/>
        <w:rPr>
          <w:b/>
          <w:bCs/>
          <w:sz w:val="23"/>
          <w:szCs w:val="23"/>
          <w:u w:val="single"/>
          <w:lang w:val="it-CH"/>
        </w:rPr>
      </w:pPr>
      <w:r w:rsidRPr="00A85314">
        <w:rPr>
          <w:b/>
          <w:bCs/>
          <w:sz w:val="23"/>
          <w:szCs w:val="23"/>
          <w:u w:val="single"/>
          <w:lang w:val="it-CH"/>
        </w:rPr>
        <w:t>Articolo 3</w:t>
      </w:r>
    </w:p>
    <w:p w:rsidR="00B21A9A" w:rsidRPr="00A85314" w:rsidRDefault="00B21A9A" w:rsidP="00B21A9A">
      <w:pPr>
        <w:rPr>
          <w:rFonts w:cs="Arial"/>
          <w:sz w:val="23"/>
          <w:szCs w:val="23"/>
        </w:rPr>
      </w:pPr>
      <w:r w:rsidRPr="00A85314">
        <w:rPr>
          <w:rFonts w:cs="Arial"/>
          <w:sz w:val="23"/>
          <w:szCs w:val="23"/>
        </w:rPr>
        <w:t>Il Consiglio di Stato per il tramite della Sezione della logistica è autorizzato a sottoscrivere gli atti ufficiali relativi l’acquisto dello stabile ex Banca del Gottardo situato al mappale RFD 880 del Comune di Lugano con la EFG Bank SA.</w:t>
      </w:r>
    </w:p>
    <w:p w:rsidR="00B21A9A" w:rsidRPr="00A85314" w:rsidRDefault="00B21A9A" w:rsidP="00B21A9A">
      <w:pPr>
        <w:rPr>
          <w:bCs/>
          <w:sz w:val="18"/>
          <w:szCs w:val="18"/>
          <w:lang w:val="it-CH"/>
        </w:rPr>
      </w:pPr>
    </w:p>
    <w:p w:rsidR="00B21A9A" w:rsidRPr="00A85314" w:rsidRDefault="00B21A9A" w:rsidP="00B21A9A">
      <w:pPr>
        <w:rPr>
          <w:bCs/>
          <w:sz w:val="18"/>
          <w:szCs w:val="18"/>
          <w:lang w:val="it-CH"/>
        </w:rPr>
      </w:pPr>
    </w:p>
    <w:p w:rsidR="00B21A9A" w:rsidRPr="00A85314" w:rsidRDefault="00B21A9A" w:rsidP="00B21A9A">
      <w:pPr>
        <w:spacing w:after="120"/>
        <w:rPr>
          <w:b/>
          <w:bCs/>
          <w:sz w:val="23"/>
          <w:szCs w:val="23"/>
          <w:u w:val="single"/>
          <w:lang w:val="it-CH"/>
        </w:rPr>
      </w:pPr>
      <w:r w:rsidRPr="00A85314">
        <w:rPr>
          <w:b/>
          <w:bCs/>
          <w:sz w:val="23"/>
          <w:szCs w:val="23"/>
          <w:u w:val="single"/>
          <w:lang w:val="it-CH"/>
        </w:rPr>
        <w:t>Articolo 4</w:t>
      </w:r>
    </w:p>
    <w:p w:rsidR="00B21A9A" w:rsidRPr="00A85314" w:rsidRDefault="00B21A9A" w:rsidP="00B21A9A">
      <w:pPr>
        <w:rPr>
          <w:rFonts w:cs="Arial"/>
          <w:sz w:val="23"/>
          <w:szCs w:val="23"/>
        </w:rPr>
      </w:pPr>
      <w:r w:rsidRPr="00A85314">
        <w:rPr>
          <w:rFonts w:cs="Arial"/>
          <w:sz w:val="23"/>
          <w:szCs w:val="23"/>
        </w:rPr>
        <w:t>Il Consiglio di Stato è autorizzato a concordare le modalità di trapasso e a sottoscrivere gli accordi relativi al diritto d’uso.</w:t>
      </w:r>
    </w:p>
    <w:p w:rsidR="00B21A9A" w:rsidRPr="00A85314" w:rsidRDefault="00B21A9A" w:rsidP="00B21A9A">
      <w:pPr>
        <w:rPr>
          <w:rFonts w:cs="Arial"/>
          <w:sz w:val="18"/>
          <w:szCs w:val="18"/>
        </w:rPr>
      </w:pPr>
    </w:p>
    <w:p w:rsidR="00B21A9A" w:rsidRPr="00A85314" w:rsidRDefault="00B21A9A" w:rsidP="00B21A9A">
      <w:pPr>
        <w:rPr>
          <w:rFonts w:cs="Arial"/>
          <w:sz w:val="18"/>
          <w:szCs w:val="18"/>
        </w:rPr>
      </w:pPr>
    </w:p>
    <w:p w:rsidR="00B21A9A" w:rsidRPr="00A85314" w:rsidRDefault="00B21A9A" w:rsidP="00A85314">
      <w:pPr>
        <w:spacing w:after="120"/>
        <w:rPr>
          <w:b/>
          <w:bCs/>
          <w:sz w:val="23"/>
          <w:szCs w:val="23"/>
          <w:u w:val="single"/>
          <w:lang w:val="it-CH"/>
        </w:rPr>
      </w:pPr>
      <w:r w:rsidRPr="00A85314">
        <w:rPr>
          <w:b/>
          <w:bCs/>
          <w:sz w:val="23"/>
          <w:szCs w:val="23"/>
          <w:u w:val="single"/>
          <w:lang w:val="it-CH"/>
        </w:rPr>
        <w:t>Articolo 5</w:t>
      </w:r>
    </w:p>
    <w:p w:rsidR="00B21A9A" w:rsidRPr="00117DE5" w:rsidRDefault="00B21A9A" w:rsidP="00B21A9A">
      <w:pPr>
        <w:rPr>
          <w:szCs w:val="24"/>
        </w:rPr>
      </w:pPr>
      <w:r w:rsidRPr="00A85314">
        <w:rPr>
          <w:sz w:val="23"/>
          <w:szCs w:val="23"/>
        </w:rPr>
        <w:t>Trascorsi i termini per l’esercizio del diritto di referendum, il presente decreto legislativo è pubblicato nel Bollettino ufficiale delle leggi ed entra immediatamente in vigore.</w:t>
      </w:r>
    </w:p>
    <w:sectPr w:rsidR="00B21A9A" w:rsidRPr="00117DE5" w:rsidSect="00DF434B">
      <w:footerReference w:type="default" r:id="rId9"/>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C7F" w:rsidRDefault="00C73C7F">
      <w:r>
        <w:separator/>
      </w:r>
    </w:p>
  </w:endnote>
  <w:endnote w:type="continuationSeparator" w:id="0">
    <w:p w:rsidR="00C73C7F" w:rsidRDefault="00C7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Light">
    <w:altName w:val="Mangal"/>
    <w:charset w:val="00"/>
    <w:family w:val="auto"/>
    <w:pitch w:val="variable"/>
    <w:sig w:usb0="00000003" w:usb1="00000000" w:usb2="00000000" w:usb3="00000000" w:csb0="00000001" w:csb1="00000000"/>
  </w:font>
  <w:font w:name="Gill Sans">
    <w:panose1 w:val="020B0602020204020204"/>
    <w:charset w:val="00"/>
    <w:family w:val="swiss"/>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A9A" w:rsidRPr="000A553C" w:rsidRDefault="00B21A9A">
    <w:pPr>
      <w:jc w:val="center"/>
      <w:rPr>
        <w:b/>
        <w:i/>
        <w:sz w:val="20"/>
      </w:rPr>
    </w:pPr>
    <w:r w:rsidRPr="000A553C">
      <w:rPr>
        <w:rStyle w:val="Titolo3Carattere"/>
        <w:b w:val="0"/>
        <w:i w:val="0"/>
        <w:sz w:val="20"/>
      </w:rPr>
      <w:fldChar w:fldCharType="begin"/>
    </w:r>
    <w:r w:rsidRPr="000A553C">
      <w:rPr>
        <w:rStyle w:val="Titolo3Carattere"/>
        <w:b w:val="0"/>
        <w:i w:val="0"/>
        <w:sz w:val="20"/>
      </w:rPr>
      <w:instrText xml:space="preserve"> PAGE </w:instrText>
    </w:r>
    <w:r w:rsidRPr="000A553C">
      <w:rPr>
        <w:rStyle w:val="Titolo3Carattere"/>
        <w:b w:val="0"/>
        <w:i w:val="0"/>
        <w:sz w:val="20"/>
      </w:rPr>
      <w:fldChar w:fldCharType="separate"/>
    </w:r>
    <w:r w:rsidR="001F438E">
      <w:rPr>
        <w:rStyle w:val="Titolo3Carattere"/>
        <w:b w:val="0"/>
        <w:i w:val="0"/>
        <w:noProof/>
        <w:sz w:val="20"/>
      </w:rPr>
      <w:t>1</w:t>
    </w:r>
    <w:r w:rsidRPr="000A553C">
      <w:rPr>
        <w:rStyle w:val="Titolo3Carattere"/>
        <w:b w:val="0"/>
        <w:i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C7F" w:rsidRDefault="00C73C7F">
      <w:r>
        <w:separator/>
      </w:r>
    </w:p>
  </w:footnote>
  <w:footnote w:type="continuationSeparator" w:id="0">
    <w:p w:rsidR="00C73C7F" w:rsidRDefault="00C73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7B42"/>
    <w:multiLevelType w:val="hybridMultilevel"/>
    <w:tmpl w:val="C5DC0ADC"/>
    <w:lvl w:ilvl="0" w:tplc="08100003">
      <w:start w:val="1"/>
      <w:numFmt w:val="bullet"/>
      <w:lvlText w:val="o"/>
      <w:lvlJc w:val="left"/>
      <w:pPr>
        <w:ind w:left="1440" w:hanging="360"/>
      </w:pPr>
      <w:rPr>
        <w:rFonts w:ascii="Courier New" w:hAnsi="Courier New" w:cs="Courier New"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 w15:restartNumberingAfterBreak="0">
    <w:nsid w:val="4B831573"/>
    <w:multiLevelType w:val="multilevel"/>
    <w:tmpl w:val="4844C7EE"/>
    <w:lvl w:ilvl="0">
      <w:start w:val="1"/>
      <w:numFmt w:val="decimal"/>
      <w:lvlText w:val="%1."/>
      <w:lvlJc w:val="left"/>
      <w:pPr>
        <w:ind w:left="720" w:hanging="360"/>
      </w:pPr>
      <w:rPr>
        <w:rFonts w:hint="default"/>
        <w:strike w:val="0"/>
        <w:color w:val="auto"/>
      </w:rPr>
    </w:lvl>
    <w:lvl w:ilvl="1">
      <w:start w:val="5"/>
      <w:numFmt w:val="decimal"/>
      <w:isLgl/>
      <w:lvlText w:val="%1.%2"/>
      <w:lvlJc w:val="left"/>
      <w:pPr>
        <w:ind w:left="930" w:hanging="57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3AA6556"/>
    <w:multiLevelType w:val="hybridMultilevel"/>
    <w:tmpl w:val="FE828F1C"/>
    <w:lvl w:ilvl="0" w:tplc="08100001">
      <w:start w:val="1"/>
      <w:numFmt w:val="bullet"/>
      <w:lvlText w:val=""/>
      <w:lvlJc w:val="left"/>
      <w:pPr>
        <w:tabs>
          <w:tab w:val="num" w:pos="720"/>
        </w:tabs>
        <w:ind w:left="720" w:hanging="360"/>
      </w:pPr>
      <w:rPr>
        <w:rFonts w:ascii="Symbol" w:hAnsi="Symbol" w:hint="default"/>
      </w:rPr>
    </w:lvl>
    <w:lvl w:ilvl="1" w:tplc="13560924">
      <w:start w:val="5"/>
      <w:numFmt w:val="bullet"/>
      <w:lvlText w:val="-"/>
      <w:lvlJc w:val="left"/>
      <w:pPr>
        <w:tabs>
          <w:tab w:val="num" w:pos="1440"/>
        </w:tabs>
        <w:ind w:left="1440" w:hanging="360"/>
      </w:pPr>
      <w:rPr>
        <w:rFonts w:ascii="Arial" w:eastAsia="Times New Roman" w:hAnsi="Arial" w:cs="Arial" w:hint="default"/>
      </w:rPr>
    </w:lvl>
    <w:lvl w:ilvl="2" w:tplc="A85EBA42" w:tentative="1">
      <w:start w:val="1"/>
      <w:numFmt w:val="bullet"/>
      <w:lvlText w:val="●"/>
      <w:lvlJc w:val="left"/>
      <w:pPr>
        <w:tabs>
          <w:tab w:val="num" w:pos="2160"/>
        </w:tabs>
        <w:ind w:left="2160" w:hanging="360"/>
      </w:pPr>
      <w:rPr>
        <w:rFonts w:ascii="Arial" w:hAnsi="Arial" w:hint="default"/>
      </w:rPr>
    </w:lvl>
    <w:lvl w:ilvl="3" w:tplc="04882C48" w:tentative="1">
      <w:start w:val="1"/>
      <w:numFmt w:val="bullet"/>
      <w:lvlText w:val="●"/>
      <w:lvlJc w:val="left"/>
      <w:pPr>
        <w:tabs>
          <w:tab w:val="num" w:pos="2880"/>
        </w:tabs>
        <w:ind w:left="2880" w:hanging="360"/>
      </w:pPr>
      <w:rPr>
        <w:rFonts w:ascii="Arial" w:hAnsi="Arial" w:hint="default"/>
      </w:rPr>
    </w:lvl>
    <w:lvl w:ilvl="4" w:tplc="1B747952" w:tentative="1">
      <w:start w:val="1"/>
      <w:numFmt w:val="bullet"/>
      <w:lvlText w:val="●"/>
      <w:lvlJc w:val="left"/>
      <w:pPr>
        <w:tabs>
          <w:tab w:val="num" w:pos="3600"/>
        </w:tabs>
        <w:ind w:left="3600" w:hanging="360"/>
      </w:pPr>
      <w:rPr>
        <w:rFonts w:ascii="Arial" w:hAnsi="Arial" w:hint="default"/>
      </w:rPr>
    </w:lvl>
    <w:lvl w:ilvl="5" w:tplc="E0083C0A" w:tentative="1">
      <w:start w:val="1"/>
      <w:numFmt w:val="bullet"/>
      <w:lvlText w:val="●"/>
      <w:lvlJc w:val="left"/>
      <w:pPr>
        <w:tabs>
          <w:tab w:val="num" w:pos="4320"/>
        </w:tabs>
        <w:ind w:left="4320" w:hanging="360"/>
      </w:pPr>
      <w:rPr>
        <w:rFonts w:ascii="Arial" w:hAnsi="Arial" w:hint="default"/>
      </w:rPr>
    </w:lvl>
    <w:lvl w:ilvl="6" w:tplc="AFCA5CE4" w:tentative="1">
      <w:start w:val="1"/>
      <w:numFmt w:val="bullet"/>
      <w:lvlText w:val="●"/>
      <w:lvlJc w:val="left"/>
      <w:pPr>
        <w:tabs>
          <w:tab w:val="num" w:pos="5040"/>
        </w:tabs>
        <w:ind w:left="5040" w:hanging="360"/>
      </w:pPr>
      <w:rPr>
        <w:rFonts w:ascii="Arial" w:hAnsi="Arial" w:hint="default"/>
      </w:rPr>
    </w:lvl>
    <w:lvl w:ilvl="7" w:tplc="FB768EDE" w:tentative="1">
      <w:start w:val="1"/>
      <w:numFmt w:val="bullet"/>
      <w:lvlText w:val="●"/>
      <w:lvlJc w:val="left"/>
      <w:pPr>
        <w:tabs>
          <w:tab w:val="num" w:pos="5760"/>
        </w:tabs>
        <w:ind w:left="5760" w:hanging="360"/>
      </w:pPr>
      <w:rPr>
        <w:rFonts w:ascii="Arial" w:hAnsi="Arial" w:hint="default"/>
      </w:rPr>
    </w:lvl>
    <w:lvl w:ilvl="8" w:tplc="62D62F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43363DB"/>
    <w:multiLevelType w:val="hybridMultilevel"/>
    <w:tmpl w:val="192ABB94"/>
    <w:lvl w:ilvl="0" w:tplc="13560924">
      <w:start w:val="5"/>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FB"/>
    <w:rsid w:val="00056425"/>
    <w:rsid w:val="0009445D"/>
    <w:rsid w:val="000A553C"/>
    <w:rsid w:val="000D6EDD"/>
    <w:rsid w:val="00107C86"/>
    <w:rsid w:val="00152187"/>
    <w:rsid w:val="0017133E"/>
    <w:rsid w:val="00180F3B"/>
    <w:rsid w:val="001F438E"/>
    <w:rsid w:val="00235850"/>
    <w:rsid w:val="00296F84"/>
    <w:rsid w:val="002B3873"/>
    <w:rsid w:val="002B698B"/>
    <w:rsid w:val="002C0D3F"/>
    <w:rsid w:val="002F4A1C"/>
    <w:rsid w:val="0032692E"/>
    <w:rsid w:val="003362B4"/>
    <w:rsid w:val="00341CED"/>
    <w:rsid w:val="003453D1"/>
    <w:rsid w:val="00381A93"/>
    <w:rsid w:val="0039601B"/>
    <w:rsid w:val="003B4DEE"/>
    <w:rsid w:val="003C16EA"/>
    <w:rsid w:val="00432073"/>
    <w:rsid w:val="00435BA3"/>
    <w:rsid w:val="00452A7E"/>
    <w:rsid w:val="00483B1C"/>
    <w:rsid w:val="004B6B6F"/>
    <w:rsid w:val="004E6BC7"/>
    <w:rsid w:val="0051430C"/>
    <w:rsid w:val="00522EC0"/>
    <w:rsid w:val="0053660F"/>
    <w:rsid w:val="0059602E"/>
    <w:rsid w:val="005B03BF"/>
    <w:rsid w:val="006470C0"/>
    <w:rsid w:val="006E1E7D"/>
    <w:rsid w:val="0073572C"/>
    <w:rsid w:val="00747C39"/>
    <w:rsid w:val="007860C0"/>
    <w:rsid w:val="0082115E"/>
    <w:rsid w:val="008B2EE9"/>
    <w:rsid w:val="00942AAE"/>
    <w:rsid w:val="00963F36"/>
    <w:rsid w:val="009832AD"/>
    <w:rsid w:val="00983B5B"/>
    <w:rsid w:val="00995265"/>
    <w:rsid w:val="00A05B99"/>
    <w:rsid w:val="00A133CF"/>
    <w:rsid w:val="00A85314"/>
    <w:rsid w:val="00A8611B"/>
    <w:rsid w:val="00A9424E"/>
    <w:rsid w:val="00AA68D5"/>
    <w:rsid w:val="00AE6F3D"/>
    <w:rsid w:val="00AF5992"/>
    <w:rsid w:val="00B01474"/>
    <w:rsid w:val="00B21A9A"/>
    <w:rsid w:val="00B260F8"/>
    <w:rsid w:val="00B364FB"/>
    <w:rsid w:val="00B378FB"/>
    <w:rsid w:val="00B56C78"/>
    <w:rsid w:val="00B93BA2"/>
    <w:rsid w:val="00BB3B75"/>
    <w:rsid w:val="00BF3FC3"/>
    <w:rsid w:val="00C73C7F"/>
    <w:rsid w:val="00C92A1A"/>
    <w:rsid w:val="00C946E4"/>
    <w:rsid w:val="00CE008E"/>
    <w:rsid w:val="00D54A9E"/>
    <w:rsid w:val="00D76075"/>
    <w:rsid w:val="00DF434B"/>
    <w:rsid w:val="00E15EE0"/>
    <w:rsid w:val="00E2192F"/>
    <w:rsid w:val="00E762E7"/>
    <w:rsid w:val="00EA22D9"/>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9A6D8D-94FA-4303-98D8-319D62B4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4"/>
      <w:lang w:val="it-IT" w:eastAsia="it-IT"/>
    </w:rPr>
  </w:style>
  <w:style w:type="paragraph" w:styleId="Titolo1">
    <w:name w:val="heading 1"/>
    <w:aliases w:val="H Titolo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aliases w:val="H Titolo 2"/>
    <w:basedOn w:val="Normale"/>
    <w:next w:val="Normale"/>
    <w:link w:val="Titolo2Carattere"/>
    <w:qFormat/>
    <w:rsid w:val="00483B1C"/>
    <w:pPr>
      <w:keepNext/>
      <w:tabs>
        <w:tab w:val="left" w:pos="567"/>
      </w:tabs>
      <w:spacing w:after="120"/>
      <w:outlineLvl w:val="1"/>
    </w:pPr>
    <w:rPr>
      <w:b/>
    </w:rPr>
  </w:style>
  <w:style w:type="paragraph" w:styleId="Titolo3">
    <w:name w:val="heading 3"/>
    <w:aliases w:val="H Titolo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aliases w:val="H Titolo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aliases w:val="H Titolo 5"/>
    <w:basedOn w:val="Normale"/>
    <w:next w:val="Normale"/>
    <w:link w:val="Titolo5Carattere"/>
    <w:qFormat/>
    <w:rsid w:val="00483B1C"/>
    <w:pPr>
      <w:keepNext/>
      <w:tabs>
        <w:tab w:val="left" w:pos="851"/>
      </w:tabs>
      <w:spacing w:after="120"/>
      <w:outlineLvl w:val="4"/>
    </w:pPr>
    <w:rPr>
      <w:b/>
      <w:i/>
      <w:sz w:val="22"/>
      <w:szCs w:val="22"/>
      <w:lang w:val="it-CH"/>
    </w:rPr>
  </w:style>
  <w:style w:type="paragraph" w:styleId="Titolo6">
    <w:name w:val="heading 6"/>
    <w:basedOn w:val="Normale"/>
    <w:next w:val="Normale"/>
    <w:link w:val="Titolo6Carattere"/>
    <w:qFormat/>
    <w:rsid w:val="00B21A9A"/>
    <w:pPr>
      <w:keepNext/>
      <w:tabs>
        <w:tab w:val="num" w:pos="3960"/>
      </w:tabs>
      <w:ind w:left="3600"/>
      <w:jc w:val="left"/>
      <w:outlineLvl w:val="5"/>
    </w:pPr>
    <w:rPr>
      <w:b/>
      <w:sz w:val="20"/>
    </w:rPr>
  </w:style>
  <w:style w:type="paragraph" w:styleId="Titolo7">
    <w:name w:val="heading 7"/>
    <w:basedOn w:val="Normale"/>
    <w:next w:val="Normale"/>
    <w:link w:val="Titolo7Carattere"/>
    <w:qFormat/>
    <w:rsid w:val="00B21A9A"/>
    <w:pPr>
      <w:tabs>
        <w:tab w:val="num" w:pos="4680"/>
      </w:tabs>
      <w:spacing w:before="240" w:after="60"/>
      <w:ind w:left="4320"/>
      <w:jc w:val="left"/>
      <w:outlineLvl w:val="6"/>
    </w:pPr>
    <w:rPr>
      <w:rFonts w:ascii="Times New Roman" w:hAnsi="Times New Roman"/>
      <w:szCs w:val="24"/>
    </w:rPr>
  </w:style>
  <w:style w:type="paragraph" w:styleId="Titolo8">
    <w:name w:val="heading 8"/>
    <w:basedOn w:val="Normale"/>
    <w:next w:val="Normale"/>
    <w:link w:val="Titolo8Carattere"/>
    <w:qFormat/>
    <w:rsid w:val="00B21A9A"/>
    <w:pPr>
      <w:tabs>
        <w:tab w:val="num" w:pos="5400"/>
      </w:tabs>
      <w:spacing w:before="240" w:after="60"/>
      <w:ind w:left="5040"/>
      <w:jc w:val="left"/>
      <w:outlineLvl w:val="7"/>
    </w:pPr>
    <w:rPr>
      <w:rFonts w:ascii="Times New Roman" w:hAnsi="Times New Roman"/>
      <w:i/>
      <w:iCs/>
      <w:szCs w:val="24"/>
    </w:rPr>
  </w:style>
  <w:style w:type="paragraph" w:styleId="Titolo9">
    <w:name w:val="heading 9"/>
    <w:basedOn w:val="Normale"/>
    <w:next w:val="Normale"/>
    <w:link w:val="Titolo9Carattere"/>
    <w:qFormat/>
    <w:rsid w:val="00B21A9A"/>
    <w:pPr>
      <w:tabs>
        <w:tab w:val="num" w:pos="6120"/>
      </w:tabs>
      <w:spacing w:before="240" w:after="60"/>
      <w:ind w:left="5760"/>
      <w:jc w:val="left"/>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rsid w:val="00435BA3"/>
    <w:rPr>
      <w:rFonts w:ascii="Tahoma" w:hAnsi="Tahoma" w:cs="Tahoma"/>
      <w:sz w:val="16"/>
      <w:szCs w:val="16"/>
    </w:rPr>
  </w:style>
  <w:style w:type="paragraph" w:styleId="Sommario1">
    <w:name w:val="toc 1"/>
    <w:basedOn w:val="Normale"/>
    <w:next w:val="Normale"/>
    <w:autoRedefine/>
    <w:uiPriority w:val="39"/>
    <w:rsid w:val="00FF32DE"/>
    <w:pPr>
      <w:tabs>
        <w:tab w:val="left" w:pos="709"/>
        <w:tab w:val="right" w:leader="dot" w:pos="9639"/>
      </w:tabs>
      <w:spacing w:before="240"/>
    </w:pPr>
    <w:rPr>
      <w:caps/>
      <w:sz w:val="22"/>
      <w:szCs w:val="22"/>
    </w:rPr>
  </w:style>
  <w:style w:type="paragraph" w:styleId="Sommario2">
    <w:name w:val="toc 2"/>
    <w:basedOn w:val="Normale"/>
    <w:next w:val="Normale"/>
    <w:autoRedefine/>
    <w:uiPriority w:val="39"/>
    <w:rsid w:val="00FF32DE"/>
    <w:pPr>
      <w:tabs>
        <w:tab w:val="left" w:pos="709"/>
        <w:tab w:val="right" w:leader="dot" w:pos="9639"/>
      </w:tabs>
      <w:spacing w:before="120"/>
    </w:pPr>
    <w:rPr>
      <w:sz w:val="22"/>
      <w:szCs w:val="22"/>
    </w:rPr>
  </w:style>
  <w:style w:type="paragraph" w:styleId="Sommario3">
    <w:name w:val="toc 3"/>
    <w:basedOn w:val="Normale"/>
    <w:next w:val="Normale"/>
    <w:autoRedefine/>
    <w:uiPriority w:val="39"/>
    <w:rsid w:val="00FF32DE"/>
    <w:pPr>
      <w:tabs>
        <w:tab w:val="left" w:pos="709"/>
        <w:tab w:val="right" w:leader="dot" w:pos="9639"/>
      </w:tabs>
      <w:spacing w:before="80"/>
    </w:pPr>
    <w:rPr>
      <w:sz w:val="22"/>
      <w:szCs w:val="22"/>
    </w:rPr>
  </w:style>
  <w:style w:type="paragraph" w:styleId="Sommario4">
    <w:name w:val="toc 4"/>
    <w:basedOn w:val="Normale"/>
    <w:next w:val="Normale"/>
    <w:autoRedefine/>
    <w:rsid w:val="00FF32DE"/>
    <w:pPr>
      <w:tabs>
        <w:tab w:val="left" w:pos="709"/>
        <w:tab w:val="right" w:leader="dot" w:pos="9639"/>
      </w:tabs>
      <w:spacing w:before="40"/>
    </w:pPr>
    <w:rPr>
      <w:sz w:val="22"/>
      <w:szCs w:val="22"/>
    </w:rPr>
  </w:style>
  <w:style w:type="paragraph" w:styleId="Sommario5">
    <w:name w:val="toc 5"/>
    <w:basedOn w:val="Normale"/>
    <w:next w:val="Normale"/>
    <w:autoRedefine/>
    <w:rsid w:val="00FF32DE"/>
    <w:pPr>
      <w:tabs>
        <w:tab w:val="left" w:pos="709"/>
        <w:tab w:val="right" w:leader="dot" w:pos="9639"/>
      </w:tabs>
      <w:spacing w:before="40"/>
    </w:pPr>
    <w:rPr>
      <w:sz w:val="22"/>
      <w:szCs w:val="22"/>
    </w:rPr>
  </w:style>
  <w:style w:type="character" w:customStyle="1" w:styleId="Titolo1Carattere">
    <w:name w:val="Titolo 1 Carattere"/>
    <w:aliases w:val="H 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aliases w:val="H Titolo 2 Carattere"/>
    <w:basedOn w:val="Carpredefinitoparagrafo"/>
    <w:link w:val="Titolo2"/>
    <w:rsid w:val="00B01474"/>
    <w:rPr>
      <w:rFonts w:ascii="Arial" w:hAnsi="Arial"/>
      <w:b/>
      <w:sz w:val="24"/>
      <w:lang w:val="it-IT" w:eastAsia="it-IT"/>
    </w:rPr>
  </w:style>
  <w:style w:type="character" w:customStyle="1" w:styleId="Titolo3Carattere">
    <w:name w:val="Titolo 3 Carattere"/>
    <w:aliases w:val="H 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iPriority w:val="99"/>
    <w:unhideWhenUsed/>
    <w:rsid w:val="00B01474"/>
    <w:rPr>
      <w:color w:val="0000FF"/>
      <w:u w:val="single"/>
    </w:rPr>
  </w:style>
  <w:style w:type="character" w:customStyle="1" w:styleId="Titolo4Carattere">
    <w:name w:val="Titolo 4 Carattere"/>
    <w:aliases w:val="H 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aliases w:val="H 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uiPriority w:val="99"/>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unhideWhenUsed/>
    <w:rsid w:val="004E6BC7"/>
    <w:rPr>
      <w:sz w:val="16"/>
      <w:szCs w:val="16"/>
    </w:rPr>
  </w:style>
  <w:style w:type="paragraph" w:styleId="Testocommento">
    <w:name w:val="annotation text"/>
    <w:basedOn w:val="Normale"/>
    <w:link w:val="TestocommentoCarattere"/>
    <w:uiPriority w:val="99"/>
    <w:unhideWhenUsed/>
    <w:rsid w:val="004E6BC7"/>
    <w:pPr>
      <w:tabs>
        <w:tab w:val="left" w:pos="540"/>
      </w:tabs>
    </w:pPr>
    <w:rPr>
      <w:sz w:val="20"/>
    </w:rPr>
  </w:style>
  <w:style w:type="character" w:customStyle="1" w:styleId="TestocommentoCarattere">
    <w:name w:val="Testo commento Carattere"/>
    <w:basedOn w:val="Carpredefinitoparagrafo"/>
    <w:link w:val="Testocommento"/>
    <w:uiPriority w:val="99"/>
    <w:rsid w:val="004E6BC7"/>
    <w:rPr>
      <w:rFonts w:ascii="Arial" w:hAnsi="Arial"/>
      <w:lang w:val="it-IT" w:eastAsia="it-IT"/>
    </w:rPr>
  </w:style>
  <w:style w:type="paragraph" w:styleId="Soggettocommento">
    <w:name w:val="annotation subject"/>
    <w:basedOn w:val="Testocommento"/>
    <w:next w:val="Testocommento"/>
    <w:link w:val="SoggettocommentoCarattere"/>
    <w:unhideWhenUsed/>
    <w:rsid w:val="004E6BC7"/>
    <w:rPr>
      <w:b/>
      <w:bCs/>
    </w:rPr>
  </w:style>
  <w:style w:type="character" w:customStyle="1" w:styleId="SoggettocommentoCarattere">
    <w:name w:val="Soggetto commento Carattere"/>
    <w:basedOn w:val="TestocommentoCarattere"/>
    <w:link w:val="Soggettocommento"/>
    <w:rsid w:val="004E6BC7"/>
    <w:rPr>
      <w:rFonts w:ascii="Arial" w:hAnsi="Arial"/>
      <w:b/>
      <w:bCs/>
      <w:lang w:val="it-IT" w:eastAsia="it-IT"/>
    </w:rPr>
  </w:style>
  <w:style w:type="paragraph" w:styleId="Revisione">
    <w:name w:val="Revision"/>
    <w:hidden/>
    <w:uiPriority w:val="99"/>
    <w:semiHidden/>
    <w:rsid w:val="004E6BC7"/>
    <w:rPr>
      <w:rFonts w:ascii="Arial" w:hAnsi="Arial"/>
      <w:sz w:val="24"/>
      <w:szCs w:val="24"/>
      <w:lang w:val="it-IT" w:eastAsia="it-IT"/>
    </w:rPr>
  </w:style>
  <w:style w:type="character" w:customStyle="1" w:styleId="Titolo6Carattere">
    <w:name w:val="Titolo 6 Carattere"/>
    <w:basedOn w:val="Carpredefinitoparagrafo"/>
    <w:link w:val="Titolo6"/>
    <w:rsid w:val="00B21A9A"/>
    <w:rPr>
      <w:rFonts w:ascii="Arial" w:hAnsi="Arial"/>
      <w:b/>
      <w:lang w:val="it-IT" w:eastAsia="it-IT"/>
    </w:rPr>
  </w:style>
  <w:style w:type="character" w:customStyle="1" w:styleId="Titolo7Carattere">
    <w:name w:val="Titolo 7 Carattere"/>
    <w:basedOn w:val="Carpredefinitoparagrafo"/>
    <w:link w:val="Titolo7"/>
    <w:rsid w:val="00B21A9A"/>
    <w:rPr>
      <w:sz w:val="24"/>
      <w:szCs w:val="24"/>
      <w:lang w:val="it-IT" w:eastAsia="it-IT"/>
    </w:rPr>
  </w:style>
  <w:style w:type="character" w:customStyle="1" w:styleId="Titolo8Carattere">
    <w:name w:val="Titolo 8 Carattere"/>
    <w:basedOn w:val="Carpredefinitoparagrafo"/>
    <w:link w:val="Titolo8"/>
    <w:rsid w:val="00B21A9A"/>
    <w:rPr>
      <w:i/>
      <w:iCs/>
      <w:sz w:val="24"/>
      <w:szCs w:val="24"/>
      <w:lang w:val="it-IT" w:eastAsia="it-IT"/>
    </w:rPr>
  </w:style>
  <w:style w:type="character" w:customStyle="1" w:styleId="Titolo9Carattere">
    <w:name w:val="Titolo 9 Carattere"/>
    <w:basedOn w:val="Carpredefinitoparagrafo"/>
    <w:link w:val="Titolo9"/>
    <w:rsid w:val="00B21A9A"/>
    <w:rPr>
      <w:rFonts w:ascii="Arial" w:hAnsi="Arial" w:cs="Arial"/>
      <w:sz w:val="22"/>
      <w:szCs w:val="22"/>
      <w:lang w:val="it-IT" w:eastAsia="it-IT"/>
    </w:rPr>
  </w:style>
  <w:style w:type="paragraph" w:styleId="NormaleWeb">
    <w:name w:val="Normal (Web)"/>
    <w:basedOn w:val="Normale"/>
    <w:rsid w:val="00B21A9A"/>
    <w:pPr>
      <w:spacing w:before="100" w:beforeAutospacing="1" w:after="100" w:afterAutospacing="1"/>
      <w:jc w:val="left"/>
    </w:pPr>
    <w:rPr>
      <w:rFonts w:ascii="Times New Roman" w:hAnsi="Times New Roman"/>
      <w:szCs w:val="24"/>
    </w:rPr>
  </w:style>
  <w:style w:type="paragraph" w:styleId="Sottotitolo">
    <w:name w:val="Subtitle"/>
    <w:basedOn w:val="Normale"/>
    <w:next w:val="Normale"/>
    <w:link w:val="SottotitoloCarattere"/>
    <w:qFormat/>
    <w:rsid w:val="00B21A9A"/>
    <w:pPr>
      <w:numPr>
        <w:ilvl w:val="1"/>
      </w:numPr>
      <w:jc w:val="left"/>
    </w:pPr>
    <w:rPr>
      <w:rFonts w:ascii="Cambria" w:hAnsi="Cambria"/>
      <w:i/>
      <w:iCs/>
      <w:color w:val="4F81BD"/>
      <w:spacing w:val="15"/>
      <w:szCs w:val="24"/>
      <w:lang w:val="it-CH"/>
    </w:rPr>
  </w:style>
  <w:style w:type="character" w:customStyle="1" w:styleId="SottotitoloCarattere">
    <w:name w:val="Sottotitolo Carattere"/>
    <w:basedOn w:val="Carpredefinitoparagrafo"/>
    <w:link w:val="Sottotitolo"/>
    <w:rsid w:val="00B21A9A"/>
    <w:rPr>
      <w:rFonts w:ascii="Cambria" w:hAnsi="Cambria"/>
      <w:i/>
      <w:iCs/>
      <w:color w:val="4F81BD"/>
      <w:spacing w:val="15"/>
      <w:sz w:val="24"/>
      <w:szCs w:val="24"/>
      <w:lang w:eastAsia="it-IT"/>
    </w:rPr>
  </w:style>
  <w:style w:type="paragraph" w:customStyle="1" w:styleId="bodytext">
    <w:name w:val="bodytext"/>
    <w:basedOn w:val="Normale"/>
    <w:rsid w:val="00B21A9A"/>
    <w:pPr>
      <w:spacing w:before="100" w:beforeAutospacing="1" w:after="100" w:afterAutospacing="1"/>
    </w:pPr>
    <w:rPr>
      <w:rFonts w:ascii="Times New Roman" w:hAnsi="Times New Roman"/>
      <w:szCs w:val="24"/>
    </w:rPr>
  </w:style>
  <w:style w:type="character" w:styleId="Collegamentovisitato">
    <w:name w:val="FollowedHyperlink"/>
    <w:rsid w:val="00B21A9A"/>
    <w:rPr>
      <w:color w:val="800080"/>
      <w:u w:val="single"/>
    </w:rPr>
  </w:style>
  <w:style w:type="paragraph" w:styleId="Corpodeltesto3">
    <w:name w:val="Body Text 3"/>
    <w:basedOn w:val="Normale"/>
    <w:link w:val="Corpodeltesto3Carattere"/>
    <w:rsid w:val="00B21A9A"/>
    <w:pPr>
      <w:spacing w:before="1120" w:line="160" w:lineRule="exact"/>
      <w:jc w:val="right"/>
    </w:pPr>
    <w:rPr>
      <w:rFonts w:ascii="GillSans-Light" w:hAnsi="GillSans-Light"/>
      <w:sz w:val="16"/>
    </w:rPr>
  </w:style>
  <w:style w:type="character" w:customStyle="1" w:styleId="Corpodeltesto3Carattere">
    <w:name w:val="Corpo del testo 3 Carattere"/>
    <w:basedOn w:val="Carpredefinitoparagrafo"/>
    <w:link w:val="Corpodeltesto3"/>
    <w:rsid w:val="00B21A9A"/>
    <w:rPr>
      <w:rFonts w:ascii="GillSans-Light" w:hAnsi="GillSans-Light"/>
      <w:sz w:val="16"/>
      <w:lang w:val="it-IT" w:eastAsia="it-IT"/>
    </w:rPr>
  </w:style>
  <w:style w:type="paragraph" w:styleId="Data">
    <w:name w:val="Date"/>
    <w:basedOn w:val="Normale"/>
    <w:next w:val="Normale"/>
    <w:link w:val="DataCarattere"/>
    <w:rsid w:val="00B21A9A"/>
    <w:pPr>
      <w:jc w:val="left"/>
    </w:pPr>
  </w:style>
  <w:style w:type="character" w:customStyle="1" w:styleId="DataCarattere">
    <w:name w:val="Data Carattere"/>
    <w:basedOn w:val="Carpredefinitoparagrafo"/>
    <w:link w:val="Data"/>
    <w:rsid w:val="00B21A9A"/>
    <w:rPr>
      <w:rFonts w:ascii="Arial" w:hAnsi="Arial"/>
      <w:sz w:val="24"/>
      <w:lang w:val="it-IT" w:eastAsia="it-IT"/>
    </w:rPr>
  </w:style>
  <w:style w:type="paragraph" w:styleId="Rientrocorpodeltesto">
    <w:name w:val="Body Text Indent"/>
    <w:basedOn w:val="Normale"/>
    <w:link w:val="RientrocorpodeltestoCarattere"/>
    <w:rsid w:val="00B21A9A"/>
    <w:pPr>
      <w:pBdr>
        <w:top w:val="single" w:sz="4" w:space="0" w:color="auto"/>
      </w:pBdr>
      <w:tabs>
        <w:tab w:val="left" w:pos="1985"/>
        <w:tab w:val="left" w:pos="4253"/>
      </w:tabs>
      <w:ind w:left="1985" w:hanging="1985"/>
      <w:jc w:val="left"/>
    </w:pPr>
  </w:style>
  <w:style w:type="character" w:customStyle="1" w:styleId="RientrocorpodeltestoCarattere">
    <w:name w:val="Rientro corpo del testo Carattere"/>
    <w:basedOn w:val="Carpredefinitoparagrafo"/>
    <w:link w:val="Rientrocorpodeltesto"/>
    <w:rsid w:val="00B21A9A"/>
    <w:rPr>
      <w:rFonts w:ascii="Arial" w:hAnsi="Arial"/>
      <w:sz w:val="24"/>
      <w:lang w:val="it-IT" w:eastAsia="it-IT"/>
    </w:rPr>
  </w:style>
  <w:style w:type="paragraph" w:customStyle="1" w:styleId="INDICE">
    <w:name w:val="INDICE"/>
    <w:basedOn w:val="Titolo1"/>
    <w:rsid w:val="00B21A9A"/>
    <w:pPr>
      <w:spacing w:after="0"/>
      <w:jc w:val="left"/>
    </w:pPr>
    <w:rPr>
      <w:rFonts w:cs="Arial"/>
      <w:caps w:val="0"/>
      <w:sz w:val="22"/>
      <w:szCs w:val="22"/>
    </w:rPr>
  </w:style>
  <w:style w:type="paragraph" w:styleId="Sommario6">
    <w:name w:val="toc 6"/>
    <w:basedOn w:val="Normale"/>
    <w:next w:val="Normale"/>
    <w:autoRedefine/>
    <w:rsid w:val="00B21A9A"/>
    <w:pPr>
      <w:jc w:val="left"/>
    </w:pPr>
    <w:rPr>
      <w:rFonts w:ascii="Times New Roman" w:hAnsi="Times New Roman"/>
      <w:szCs w:val="26"/>
    </w:rPr>
  </w:style>
  <w:style w:type="paragraph" w:styleId="Sommario7">
    <w:name w:val="toc 7"/>
    <w:basedOn w:val="Normale"/>
    <w:next w:val="Normale"/>
    <w:autoRedefine/>
    <w:rsid w:val="00B21A9A"/>
    <w:pPr>
      <w:jc w:val="left"/>
    </w:pPr>
    <w:rPr>
      <w:rFonts w:ascii="Times New Roman" w:hAnsi="Times New Roman"/>
      <w:szCs w:val="26"/>
    </w:rPr>
  </w:style>
  <w:style w:type="paragraph" w:styleId="Sommario8">
    <w:name w:val="toc 8"/>
    <w:basedOn w:val="Normale"/>
    <w:next w:val="Normale"/>
    <w:autoRedefine/>
    <w:rsid w:val="00B21A9A"/>
    <w:pPr>
      <w:jc w:val="left"/>
    </w:pPr>
    <w:rPr>
      <w:rFonts w:ascii="Times New Roman" w:hAnsi="Times New Roman"/>
      <w:szCs w:val="26"/>
    </w:rPr>
  </w:style>
  <w:style w:type="paragraph" w:styleId="Sommario9">
    <w:name w:val="toc 9"/>
    <w:basedOn w:val="Normale"/>
    <w:next w:val="Normale"/>
    <w:autoRedefine/>
    <w:rsid w:val="00B21A9A"/>
    <w:pPr>
      <w:jc w:val="left"/>
    </w:pPr>
    <w:rPr>
      <w:rFonts w:ascii="Times New Roman" w:hAnsi="Times New Roman"/>
      <w:szCs w:val="26"/>
    </w:rPr>
  </w:style>
  <w:style w:type="paragraph" w:customStyle="1" w:styleId="titolopasso">
    <w:name w:val="titolo passo"/>
    <w:basedOn w:val="Normale"/>
    <w:rsid w:val="00B21A9A"/>
    <w:pPr>
      <w:shd w:val="clear" w:color="auto" w:fill="D9D9D9"/>
      <w:jc w:val="left"/>
    </w:pPr>
    <w:rPr>
      <w:rFonts w:cs="Arial"/>
      <w:b/>
      <w:szCs w:val="24"/>
    </w:rPr>
  </w:style>
  <w:style w:type="paragraph" w:customStyle="1" w:styleId="RAPPORTO">
    <w:name w:val="RAPPORTO"/>
    <w:basedOn w:val="Titolo5"/>
    <w:rsid w:val="00B21A9A"/>
    <w:pPr>
      <w:tabs>
        <w:tab w:val="clear" w:pos="851"/>
        <w:tab w:val="num" w:pos="3240"/>
      </w:tabs>
      <w:spacing w:after="0"/>
      <w:ind w:left="2880"/>
      <w:jc w:val="left"/>
    </w:pPr>
    <w:rPr>
      <w:rFonts w:ascii="Gill Sans" w:hAnsi="Gill Sans"/>
      <w:bCs/>
      <w:i w:val="0"/>
      <w:sz w:val="52"/>
      <w:szCs w:val="20"/>
      <w:lang w:val="it-IT"/>
    </w:rPr>
  </w:style>
  <w:style w:type="paragraph" w:customStyle="1" w:styleId="Hcorpo-testo">
    <w:name w:val="H corpo - testo"/>
    <w:basedOn w:val="Normale"/>
    <w:link w:val="Hcorpo-testoCarattere"/>
    <w:qFormat/>
    <w:rsid w:val="00B21A9A"/>
    <w:pPr>
      <w:spacing w:after="120"/>
      <w:ind w:right="282"/>
    </w:pPr>
    <w:rPr>
      <w:sz w:val="22"/>
      <w:szCs w:val="22"/>
      <w:lang w:val="it-CH"/>
    </w:rPr>
  </w:style>
  <w:style w:type="character" w:customStyle="1" w:styleId="Hcorpo-testoCarattere">
    <w:name w:val="H corpo - testo Carattere"/>
    <w:link w:val="Hcorpo-testo"/>
    <w:rsid w:val="00B21A9A"/>
    <w:rPr>
      <w:rFonts w:ascii="Arial" w:hAnsi="Arial"/>
      <w:sz w:val="22"/>
      <w:szCs w:val="22"/>
      <w:lang w:eastAsia="it-IT"/>
    </w:rPr>
  </w:style>
  <w:style w:type="paragraph" w:customStyle="1" w:styleId="Hfirma-linea">
    <w:name w:val="H firma - linea"/>
    <w:basedOn w:val="Normale"/>
    <w:rsid w:val="00B21A9A"/>
    <w:pPr>
      <w:tabs>
        <w:tab w:val="left" w:pos="3969"/>
        <w:tab w:val="left" w:pos="5103"/>
      </w:tabs>
      <w:ind w:right="284"/>
    </w:pPr>
    <w:rPr>
      <w:sz w:val="8"/>
      <w:u w:val="single"/>
      <w:lang w:val="it-CH"/>
    </w:rPr>
  </w:style>
  <w:style w:type="paragraph" w:customStyle="1" w:styleId="Hfirma-testo">
    <w:name w:val="H firma - testo"/>
    <w:basedOn w:val="Normale"/>
    <w:rsid w:val="00B21A9A"/>
    <w:pPr>
      <w:ind w:right="282"/>
    </w:pPr>
    <w:rPr>
      <w:sz w:val="22"/>
      <w:lang w:val="it-CH"/>
    </w:rPr>
  </w:style>
  <w:style w:type="paragraph" w:customStyle="1" w:styleId="Hfirma-unitorganizzativa">
    <w:name w:val="H firma - unità organizzativa"/>
    <w:basedOn w:val="Normale"/>
    <w:rsid w:val="00B21A9A"/>
    <w:pPr>
      <w:ind w:right="282"/>
    </w:pPr>
    <w:rPr>
      <w:sz w:val="16"/>
      <w:lang w:val="it-CH"/>
    </w:rPr>
  </w:style>
  <w:style w:type="character" w:customStyle="1" w:styleId="longtext1">
    <w:name w:val="long_text1"/>
    <w:rsid w:val="00B21A9A"/>
    <w:rPr>
      <w:sz w:val="20"/>
      <w:szCs w:val="20"/>
    </w:rPr>
  </w:style>
  <w:style w:type="paragraph" w:styleId="Testomacro">
    <w:name w:val="macro"/>
    <w:link w:val="TestomacroCarattere"/>
    <w:rsid w:val="00B21A9A"/>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8"/>
      <w:lang w:val="en-US" w:eastAsia="en-US"/>
    </w:rPr>
  </w:style>
  <w:style w:type="character" w:customStyle="1" w:styleId="TestomacroCarattere">
    <w:name w:val="Testo macro Carattere"/>
    <w:basedOn w:val="Carpredefinitoparagrafo"/>
    <w:link w:val="Testomacro"/>
    <w:rsid w:val="00B21A9A"/>
    <w:rPr>
      <w:rFonts w:ascii="Courier New" w:hAnsi="Courier New"/>
      <w:kern w:val="28"/>
      <w:lang w:val="en-US" w:eastAsia="en-US"/>
    </w:rPr>
  </w:style>
  <w:style w:type="paragraph" w:styleId="Titolosommario">
    <w:name w:val="TOC Heading"/>
    <w:basedOn w:val="Titolo1"/>
    <w:next w:val="Normale"/>
    <w:uiPriority w:val="39"/>
    <w:unhideWhenUsed/>
    <w:qFormat/>
    <w:rsid w:val="00B21A9A"/>
    <w:pPr>
      <w:keepLines/>
      <w:tabs>
        <w:tab w:val="clear" w:pos="567"/>
        <w:tab w:val="left" w:pos="851"/>
      </w:tabs>
      <w:spacing w:before="480" w:after="0" w:line="276" w:lineRule="auto"/>
      <w:jc w:val="left"/>
      <w:outlineLvl w:val="9"/>
    </w:pPr>
    <w:rPr>
      <w:rFonts w:ascii="Cambria" w:hAnsi="Cambria"/>
      <w:bCs/>
      <w:caps w:val="0"/>
      <w:noProof/>
      <w:color w:val="365F91"/>
      <w:sz w:val="28"/>
      <w:szCs w:val="28"/>
      <w:lang w:val="it-CH" w:eastAsia="it-CH"/>
    </w:rPr>
  </w:style>
  <w:style w:type="paragraph" w:customStyle="1" w:styleId="Elencoacolori-Colore11">
    <w:name w:val="Elenco a colori - Colore 11"/>
    <w:basedOn w:val="Normale"/>
    <w:uiPriority w:val="34"/>
    <w:qFormat/>
    <w:rsid w:val="00B21A9A"/>
    <w:pPr>
      <w:ind w:left="720"/>
      <w:contextualSpacing/>
      <w:jc w:val="left"/>
    </w:pPr>
    <w:rPr>
      <w:rFonts w:ascii="Cambria" w:eastAsia="MS Mincho" w:hAnsi="Cambria"/>
      <w:szCs w:val="24"/>
    </w:rPr>
  </w:style>
  <w:style w:type="table" w:customStyle="1" w:styleId="Grigliatabella1">
    <w:name w:val="Griglia tabella1"/>
    <w:basedOn w:val="Tabellanormale"/>
    <w:next w:val="Grigliatabella"/>
    <w:uiPriority w:val="39"/>
    <w:rsid w:val="00B21A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1A9A"/>
    <w:pPr>
      <w:autoSpaceDE w:val="0"/>
      <w:autoSpaceDN w:val="0"/>
      <w:adjustRightInd w:val="0"/>
    </w:pPr>
    <w:rPr>
      <w:rFonts w:ascii="Arial" w:hAnsi="Arial" w:cs="Arial"/>
      <w:color w:val="000000"/>
      <w:sz w:val="24"/>
      <w:szCs w:val="24"/>
    </w:rPr>
  </w:style>
  <w:style w:type="character" w:customStyle="1" w:styleId="st1">
    <w:name w:val="st1"/>
    <w:basedOn w:val="Carpredefinitoparagrafo"/>
    <w:rsid w:val="00B21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7BA09-363F-419C-A813-59DE0945A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9850</Words>
  <Characters>56148</Characters>
  <Application>Microsoft Office Word</Application>
  <DocSecurity>4</DocSecurity>
  <Lines>467</Lines>
  <Paragraphs>131</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65867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Righetti Paolo</cp:lastModifiedBy>
  <cp:revision>2</cp:revision>
  <cp:lastPrinted>2019-11-28T10:56:00Z</cp:lastPrinted>
  <dcterms:created xsi:type="dcterms:W3CDTF">2019-11-29T08:22:00Z</dcterms:created>
  <dcterms:modified xsi:type="dcterms:W3CDTF">2019-11-29T08:22:00Z</dcterms:modified>
</cp:coreProperties>
</file>