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8B" w:rsidRDefault="007A708B" w:rsidP="007A708B">
      <w:pPr>
        <w:rPr>
          <w:rFonts w:ascii="Gill Sans MT" w:hAnsi="Gill Sans MT"/>
          <w:b/>
          <w:sz w:val="56"/>
          <w:szCs w:val="56"/>
        </w:rPr>
      </w:pPr>
      <w:r>
        <w:rPr>
          <w:rFonts w:ascii="Gill Sans MT" w:hAnsi="Gill Sans MT"/>
          <w:b/>
          <w:sz w:val="56"/>
          <w:szCs w:val="56"/>
        </w:rPr>
        <w:t>Messaggio</w:t>
      </w:r>
    </w:p>
    <w:p w:rsidR="00346C2D" w:rsidRDefault="00346C2D" w:rsidP="003135BC">
      <w:pPr>
        <w:tabs>
          <w:tab w:val="left" w:pos="426"/>
        </w:tabs>
      </w:pPr>
    </w:p>
    <w:p w:rsidR="00DF434B" w:rsidRPr="007A6261" w:rsidRDefault="00DF434B" w:rsidP="003135BC">
      <w:pPr>
        <w:tabs>
          <w:tab w:val="left" w:pos="426"/>
        </w:tabs>
        <w:rPr>
          <w:sz w:val="22"/>
          <w:szCs w:val="22"/>
        </w:rPr>
      </w:pPr>
    </w:p>
    <w:p w:rsidR="00BF3FC3" w:rsidRPr="007A6261" w:rsidRDefault="00BF3FC3" w:rsidP="003135BC">
      <w:pPr>
        <w:tabs>
          <w:tab w:val="left" w:pos="426"/>
        </w:tabs>
        <w:rPr>
          <w:sz w:val="22"/>
          <w:szCs w:val="22"/>
        </w:rPr>
      </w:pPr>
    </w:p>
    <w:p w:rsidR="00BF3FC3" w:rsidRDefault="00EE43B4" w:rsidP="003135BC">
      <w:pPr>
        <w:tabs>
          <w:tab w:val="left" w:pos="426"/>
          <w:tab w:val="left" w:pos="2098"/>
          <w:tab w:val="left" w:pos="4933"/>
        </w:tabs>
      </w:pPr>
      <w:r w:rsidRPr="00EE43B4">
        <w:rPr>
          <w:b/>
          <w:sz w:val="32"/>
        </w:rPr>
        <w:t>80</w:t>
      </w:r>
      <w:r w:rsidR="003135BC">
        <w:rPr>
          <w:b/>
          <w:sz w:val="32"/>
        </w:rPr>
        <w:t>29</w:t>
      </w:r>
      <w:r w:rsidR="00BF3FC3" w:rsidRPr="00EE43B4">
        <w:rPr>
          <w:sz w:val="28"/>
        </w:rPr>
        <w:tab/>
      </w:r>
      <w:r w:rsidR="00B62147">
        <w:rPr>
          <w:sz w:val="28"/>
        </w:rPr>
        <w:t xml:space="preserve">7 luglio </w:t>
      </w:r>
      <w:r w:rsidRPr="00EE43B4">
        <w:rPr>
          <w:sz w:val="28"/>
        </w:rPr>
        <w:t>2021</w:t>
      </w:r>
      <w:r w:rsidR="00BF3FC3" w:rsidRPr="00EE43B4">
        <w:rPr>
          <w:sz w:val="28"/>
        </w:rPr>
        <w:tab/>
      </w:r>
      <w:r w:rsidR="00771758" w:rsidRPr="00EB09B2">
        <w:rPr>
          <w:sz w:val="28"/>
        </w:rPr>
        <w:t>TERRITORIO</w:t>
      </w:r>
      <w:r w:rsidR="00B62147">
        <w:rPr>
          <w:sz w:val="28"/>
        </w:rPr>
        <w:t xml:space="preserve"> </w:t>
      </w:r>
    </w:p>
    <w:p w:rsidR="00BF3FC3" w:rsidRDefault="00BF3FC3" w:rsidP="003135BC">
      <w:pPr>
        <w:tabs>
          <w:tab w:val="left" w:pos="426"/>
        </w:tabs>
      </w:pPr>
    </w:p>
    <w:p w:rsidR="00FD5A47" w:rsidRDefault="00FD5A47" w:rsidP="003135BC">
      <w:pPr>
        <w:tabs>
          <w:tab w:val="left" w:pos="426"/>
        </w:tabs>
      </w:pPr>
    </w:p>
    <w:p w:rsidR="00BF3FC3" w:rsidRDefault="00BF3FC3" w:rsidP="003135BC">
      <w:pPr>
        <w:tabs>
          <w:tab w:val="left" w:pos="426"/>
        </w:tabs>
      </w:pPr>
    </w:p>
    <w:p w:rsidR="003135BC" w:rsidRDefault="003135BC" w:rsidP="003135BC">
      <w:pPr>
        <w:rPr>
          <w:rFonts w:cs="Arial"/>
          <w:b/>
          <w:sz w:val="28"/>
          <w:szCs w:val="28"/>
          <w:lang w:val="it-CH"/>
        </w:rPr>
      </w:pPr>
      <w:r w:rsidRPr="007068EC">
        <w:rPr>
          <w:rFonts w:cs="Arial"/>
          <w:b/>
          <w:sz w:val="28"/>
          <w:szCs w:val="28"/>
          <w:lang w:val="it-CH"/>
        </w:rPr>
        <w:t xml:space="preserve">Stanziamento di un credito di </w:t>
      </w:r>
      <w:r>
        <w:rPr>
          <w:rFonts w:cs="Arial"/>
          <w:b/>
          <w:sz w:val="28"/>
          <w:szCs w:val="28"/>
          <w:lang w:val="it-CH"/>
        </w:rPr>
        <w:t>11</w:t>
      </w:r>
      <w:r w:rsidRPr="007068EC">
        <w:rPr>
          <w:rFonts w:cs="Arial"/>
          <w:b/>
          <w:sz w:val="28"/>
          <w:szCs w:val="28"/>
          <w:lang w:val="it-CH"/>
        </w:rPr>
        <w:t>'000'000</w:t>
      </w:r>
      <w:r>
        <w:rPr>
          <w:rFonts w:cs="Arial"/>
          <w:b/>
          <w:sz w:val="28"/>
          <w:szCs w:val="28"/>
          <w:lang w:val="it-CH"/>
        </w:rPr>
        <w:t xml:space="preserve"> di franchi</w:t>
      </w:r>
      <w:r w:rsidRPr="007068EC">
        <w:rPr>
          <w:rFonts w:cs="Arial"/>
          <w:b/>
          <w:sz w:val="28"/>
          <w:szCs w:val="28"/>
          <w:lang w:val="it-CH"/>
        </w:rPr>
        <w:t xml:space="preserve"> </w:t>
      </w:r>
      <w:r>
        <w:rPr>
          <w:rFonts w:cs="Arial"/>
          <w:b/>
          <w:sz w:val="28"/>
          <w:szCs w:val="28"/>
          <w:lang w:val="it-CH"/>
        </w:rPr>
        <w:t>destinato a incentivi all'acquisto di veicoli totalmente elettrici, allo sviluppo dell'infrastruttura di ricarica elettrica domestica e presso i datori di lavoro e all'acquisto di veicoli di ultima generazione vincolato alla messa fuori servizio di veicoli ad alte emissioni di CO</w:t>
      </w:r>
      <w:r w:rsidRPr="007F148E">
        <w:rPr>
          <w:rFonts w:cs="Arial"/>
          <w:b/>
          <w:sz w:val="28"/>
          <w:szCs w:val="28"/>
          <w:lang w:val="it-CH"/>
        </w:rPr>
        <w:t>2</w:t>
      </w:r>
      <w:r>
        <w:rPr>
          <w:rFonts w:cs="Arial"/>
          <w:b/>
          <w:sz w:val="28"/>
          <w:szCs w:val="28"/>
          <w:lang w:val="it-CH"/>
        </w:rPr>
        <w:t xml:space="preserve"> e inquinanti</w:t>
      </w:r>
    </w:p>
    <w:p w:rsidR="00771758" w:rsidRDefault="00771758" w:rsidP="003135BC"/>
    <w:p w:rsidR="00771758" w:rsidRDefault="00771758" w:rsidP="003135BC"/>
    <w:p w:rsidR="00771758" w:rsidRDefault="00771758" w:rsidP="003135BC"/>
    <w:p w:rsidR="00771758" w:rsidRDefault="00771758" w:rsidP="003135BC">
      <w:r w:rsidRPr="00F45DA6">
        <w:t>Signor Presidente,</w:t>
      </w:r>
    </w:p>
    <w:p w:rsidR="00771758" w:rsidRDefault="004107AE" w:rsidP="003135BC">
      <w:r>
        <w:t>s</w:t>
      </w:r>
      <w:r w:rsidR="00771758">
        <w:t xml:space="preserve">ignore e </w:t>
      </w:r>
      <w:r>
        <w:t>s</w:t>
      </w:r>
      <w:r w:rsidR="00771758">
        <w:t>ignori deputati,</w:t>
      </w:r>
    </w:p>
    <w:p w:rsidR="00FC4B09" w:rsidRDefault="00FC4B09" w:rsidP="003135BC"/>
    <w:p w:rsidR="003135BC" w:rsidRDefault="003135BC" w:rsidP="003135BC">
      <w:pPr>
        <w:rPr>
          <w:rFonts w:cs="Arial"/>
          <w:lang w:val="it-CH"/>
        </w:rPr>
      </w:pPr>
      <w:r w:rsidRPr="008F0577">
        <w:rPr>
          <w:rFonts w:cs="Arial"/>
          <w:lang w:val="it-CH"/>
        </w:rPr>
        <w:t xml:space="preserve">con il presente messaggio abbiamo il piacere di sottoporvi la richiesta di un credito di </w:t>
      </w:r>
      <w:r>
        <w:rPr>
          <w:rFonts w:cs="Arial"/>
          <w:lang w:val="it-CH"/>
        </w:rPr>
        <w:br/>
        <w:t>fr. 11</w:t>
      </w:r>
      <w:r w:rsidRPr="008F0577">
        <w:rPr>
          <w:rFonts w:cs="Arial"/>
          <w:lang w:val="it-CH"/>
        </w:rPr>
        <w:t xml:space="preserve">'000'000.- da destinare a misure a favore della mobilità </w:t>
      </w:r>
      <w:r>
        <w:rPr>
          <w:rFonts w:cs="Arial"/>
          <w:lang w:val="it-CH"/>
        </w:rPr>
        <w:t>elettrica e dell'infrastruttura di ricarica, nonché alla messa fuori servizio di veicoli altamente inquinanti legata all'acquisto di veicoli di ultima generazione.</w:t>
      </w:r>
    </w:p>
    <w:p w:rsidR="003135BC" w:rsidRDefault="003135BC" w:rsidP="003135BC">
      <w:pPr>
        <w:rPr>
          <w:rFonts w:cs="Arial"/>
          <w:lang w:val="it-CH"/>
        </w:rPr>
      </w:pPr>
    </w:p>
    <w:p w:rsidR="003135BC" w:rsidRDefault="003135BC" w:rsidP="003135BC">
      <w:pPr>
        <w:rPr>
          <w:rFonts w:cs="Arial"/>
          <w:lang w:val="it-CH"/>
        </w:rPr>
      </w:pPr>
    </w:p>
    <w:sdt>
      <w:sdtPr>
        <w:rPr>
          <w:rFonts w:ascii="Arial" w:eastAsia="Times New Roman" w:hAnsi="Arial" w:cs="Times New Roman"/>
          <w:b/>
          <w:bCs/>
          <w:color w:val="auto"/>
          <w:sz w:val="24"/>
          <w:szCs w:val="24"/>
        </w:rPr>
        <w:id w:val="422151182"/>
        <w:docPartObj>
          <w:docPartGallery w:val="Table of Contents"/>
          <w:docPartUnique/>
        </w:docPartObj>
      </w:sdtPr>
      <w:sdtEndPr>
        <w:rPr>
          <w:b w:val="0"/>
          <w:bCs w:val="0"/>
          <w:szCs w:val="20"/>
        </w:rPr>
      </w:sdtEndPr>
      <w:sdtContent>
        <w:p w:rsidR="003135BC" w:rsidRPr="000972BC" w:rsidRDefault="003135BC" w:rsidP="000972BC">
          <w:pPr>
            <w:pStyle w:val="Titolosommario"/>
            <w:spacing w:before="120"/>
            <w:rPr>
              <w:b/>
              <w:color w:val="auto"/>
              <w:sz w:val="22"/>
              <w:szCs w:val="22"/>
            </w:rPr>
          </w:pPr>
          <w:r w:rsidRPr="000972BC">
            <w:rPr>
              <w:rFonts w:ascii="Arial" w:eastAsia="Times New Roman" w:hAnsi="Arial" w:cs="Times New Roman"/>
              <w:b/>
              <w:bCs/>
              <w:color w:val="auto"/>
              <w:sz w:val="22"/>
              <w:szCs w:val="22"/>
            </w:rPr>
            <w:t>INDICE</w:t>
          </w:r>
        </w:p>
        <w:p w:rsidR="003135BC" w:rsidRPr="000972BC" w:rsidRDefault="003135BC" w:rsidP="000972BC">
          <w:pPr>
            <w:pStyle w:val="Sommario1"/>
            <w:tabs>
              <w:tab w:val="clear" w:pos="709"/>
              <w:tab w:val="left" w:pos="426"/>
            </w:tabs>
            <w:rPr>
              <w:rFonts w:asciiTheme="minorHAnsi" w:eastAsiaTheme="minorEastAsia" w:hAnsiTheme="minorHAnsi" w:cstheme="minorBidi"/>
              <w:noProof/>
              <w:lang w:val="it-CH" w:eastAsia="it-CH"/>
            </w:rPr>
          </w:pPr>
          <w:r w:rsidRPr="000972BC">
            <w:rPr>
              <w:b/>
              <w:noProof/>
              <w:lang w:val="it-CH"/>
            </w:rPr>
            <w:fldChar w:fldCharType="begin"/>
          </w:r>
          <w:r w:rsidRPr="000972BC">
            <w:instrText xml:space="preserve"> TOC \o "1-3" \h \z \u </w:instrText>
          </w:r>
          <w:r w:rsidRPr="000972BC">
            <w:rPr>
              <w:b/>
              <w:noProof/>
              <w:lang w:val="it-CH"/>
            </w:rPr>
            <w:fldChar w:fldCharType="separate"/>
          </w:r>
          <w:hyperlink w:anchor="_Toc76370127" w:history="1">
            <w:r w:rsidRPr="000972BC">
              <w:rPr>
                <w:rStyle w:val="Collegamentoipertestuale"/>
                <w:noProof/>
              </w:rPr>
              <w:t>1.</w:t>
            </w:r>
            <w:r w:rsidRPr="000972BC">
              <w:rPr>
                <w:rFonts w:asciiTheme="minorHAnsi" w:eastAsiaTheme="minorEastAsia" w:hAnsiTheme="minorHAnsi" w:cstheme="minorBidi"/>
                <w:noProof/>
                <w:lang w:val="it-CH" w:eastAsia="it-CH"/>
              </w:rPr>
              <w:tab/>
            </w:r>
            <w:r w:rsidRPr="000972BC">
              <w:rPr>
                <w:rStyle w:val="Collegamentoipertestuale"/>
                <w:noProof/>
              </w:rPr>
              <w:t>Cronistoria</w:t>
            </w:r>
            <w:r w:rsidRPr="000972BC">
              <w:rPr>
                <w:noProof/>
                <w:webHidden/>
              </w:rPr>
              <w:tab/>
            </w:r>
            <w:r w:rsidRPr="000972BC">
              <w:rPr>
                <w:noProof/>
                <w:webHidden/>
              </w:rPr>
              <w:fldChar w:fldCharType="begin"/>
            </w:r>
            <w:r w:rsidRPr="000972BC">
              <w:rPr>
                <w:noProof/>
                <w:webHidden/>
              </w:rPr>
              <w:instrText xml:space="preserve"> PAGEREF _Toc76370127 \h </w:instrText>
            </w:r>
            <w:r w:rsidRPr="000972BC">
              <w:rPr>
                <w:noProof/>
                <w:webHidden/>
              </w:rPr>
            </w:r>
            <w:r w:rsidRPr="000972BC">
              <w:rPr>
                <w:noProof/>
                <w:webHidden/>
              </w:rPr>
              <w:fldChar w:fldCharType="separate"/>
            </w:r>
            <w:r w:rsidR="00245105">
              <w:rPr>
                <w:noProof/>
                <w:webHidden/>
              </w:rPr>
              <w:t>1</w:t>
            </w:r>
            <w:r w:rsidRPr="000972BC">
              <w:rPr>
                <w:noProof/>
                <w:webHidden/>
              </w:rPr>
              <w:fldChar w:fldCharType="end"/>
            </w:r>
          </w:hyperlink>
        </w:p>
        <w:p w:rsidR="003135BC" w:rsidRPr="000972BC" w:rsidRDefault="007A708B" w:rsidP="000972BC">
          <w:pPr>
            <w:pStyle w:val="Sommario1"/>
            <w:tabs>
              <w:tab w:val="clear" w:pos="709"/>
              <w:tab w:val="left" w:pos="426"/>
            </w:tabs>
            <w:rPr>
              <w:rFonts w:asciiTheme="minorHAnsi" w:eastAsiaTheme="minorEastAsia" w:hAnsiTheme="minorHAnsi" w:cstheme="minorBidi"/>
              <w:noProof/>
              <w:lang w:val="it-CH" w:eastAsia="it-CH"/>
            </w:rPr>
          </w:pPr>
          <w:hyperlink w:anchor="_Toc76370128" w:history="1">
            <w:r w:rsidR="003135BC" w:rsidRPr="000972BC">
              <w:rPr>
                <w:rStyle w:val="Collegamentoipertestuale"/>
                <w:noProof/>
              </w:rPr>
              <w:t>2.</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Contesto e obiettivi del credito quadro</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_Toc76370128 \h </w:instrText>
            </w:r>
            <w:r w:rsidR="003135BC" w:rsidRPr="000972BC">
              <w:rPr>
                <w:noProof/>
                <w:webHidden/>
              </w:rPr>
            </w:r>
            <w:r w:rsidR="003135BC" w:rsidRPr="000972BC">
              <w:rPr>
                <w:noProof/>
                <w:webHidden/>
              </w:rPr>
              <w:fldChar w:fldCharType="separate"/>
            </w:r>
            <w:r w:rsidR="00245105">
              <w:rPr>
                <w:noProof/>
                <w:webHidden/>
              </w:rPr>
              <w:t>2</w:t>
            </w:r>
            <w:r w:rsidR="003135BC" w:rsidRPr="000972BC">
              <w:rPr>
                <w:noProof/>
                <w:webHidden/>
              </w:rPr>
              <w:fldChar w:fldCharType="end"/>
            </w:r>
          </w:hyperlink>
        </w:p>
        <w:p w:rsidR="003135BC" w:rsidRPr="000972BC" w:rsidRDefault="007A708B" w:rsidP="000972BC">
          <w:pPr>
            <w:pStyle w:val="Sommario1"/>
            <w:tabs>
              <w:tab w:val="clear" w:pos="709"/>
              <w:tab w:val="left" w:pos="426"/>
            </w:tabs>
            <w:rPr>
              <w:rFonts w:asciiTheme="minorHAnsi" w:eastAsiaTheme="minorEastAsia" w:hAnsiTheme="minorHAnsi" w:cstheme="minorBidi"/>
              <w:noProof/>
              <w:lang w:val="it-CH" w:eastAsia="it-CH"/>
            </w:rPr>
          </w:pPr>
          <w:hyperlink w:anchor="_Toc76370129" w:history="1">
            <w:r w:rsidR="003135BC" w:rsidRPr="000972BC">
              <w:rPr>
                <w:rStyle w:val="Collegamentoipertestuale"/>
                <w:noProof/>
              </w:rPr>
              <w:t>3.</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Bilancio del messaggio n. 7540 del 30 maggio 2018</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_Toc76370129 \h </w:instrText>
            </w:r>
            <w:r w:rsidR="003135BC" w:rsidRPr="000972BC">
              <w:rPr>
                <w:noProof/>
                <w:webHidden/>
              </w:rPr>
            </w:r>
            <w:r w:rsidR="003135BC" w:rsidRPr="000972BC">
              <w:rPr>
                <w:noProof/>
                <w:webHidden/>
              </w:rPr>
              <w:fldChar w:fldCharType="separate"/>
            </w:r>
            <w:r w:rsidR="00245105">
              <w:rPr>
                <w:noProof/>
                <w:webHidden/>
              </w:rPr>
              <w:t>6</w:t>
            </w:r>
            <w:r w:rsidR="003135BC" w:rsidRPr="000972BC">
              <w:rPr>
                <w:noProof/>
                <w:webHidden/>
              </w:rPr>
              <w:fldChar w:fldCharType="end"/>
            </w:r>
          </w:hyperlink>
        </w:p>
        <w:p w:rsidR="003135BC" w:rsidRPr="000972BC" w:rsidRDefault="007A708B" w:rsidP="000972BC">
          <w:pPr>
            <w:pStyle w:val="Sommario1"/>
            <w:tabs>
              <w:tab w:val="clear" w:pos="709"/>
              <w:tab w:val="left" w:pos="426"/>
            </w:tabs>
            <w:rPr>
              <w:rFonts w:asciiTheme="minorHAnsi" w:eastAsiaTheme="minorEastAsia" w:hAnsiTheme="minorHAnsi" w:cstheme="minorBidi"/>
              <w:noProof/>
              <w:lang w:val="it-CH" w:eastAsia="it-CH"/>
            </w:rPr>
          </w:pPr>
          <w:hyperlink w:anchor="_Toc76370130" w:history="1">
            <w:r w:rsidR="003135BC" w:rsidRPr="000972BC">
              <w:rPr>
                <w:rStyle w:val="Collegamentoipertestuale"/>
                <w:noProof/>
              </w:rPr>
              <w:t>4.</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Indirizzi di utilizzo del credito quadro</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_Toc76370130 \h </w:instrText>
            </w:r>
            <w:r w:rsidR="003135BC" w:rsidRPr="000972BC">
              <w:rPr>
                <w:noProof/>
                <w:webHidden/>
              </w:rPr>
            </w:r>
            <w:r w:rsidR="003135BC" w:rsidRPr="000972BC">
              <w:rPr>
                <w:noProof/>
                <w:webHidden/>
              </w:rPr>
              <w:fldChar w:fldCharType="separate"/>
            </w:r>
            <w:r w:rsidR="00245105">
              <w:rPr>
                <w:noProof/>
                <w:webHidden/>
              </w:rPr>
              <w:t>8</w:t>
            </w:r>
            <w:r w:rsidR="003135BC" w:rsidRPr="000972BC">
              <w:rPr>
                <w:noProof/>
                <w:webHidden/>
              </w:rPr>
              <w:fldChar w:fldCharType="end"/>
            </w:r>
          </w:hyperlink>
        </w:p>
        <w:p w:rsidR="003135BC" w:rsidRPr="000972BC" w:rsidRDefault="007A708B" w:rsidP="000972BC">
          <w:pPr>
            <w:pStyle w:val="Sommario1"/>
            <w:tabs>
              <w:tab w:val="clear" w:pos="709"/>
              <w:tab w:val="left" w:pos="426"/>
            </w:tabs>
            <w:ind w:left="420" w:hanging="420"/>
            <w:rPr>
              <w:rFonts w:asciiTheme="minorHAnsi" w:eastAsiaTheme="minorEastAsia" w:hAnsiTheme="minorHAnsi" w:cstheme="minorBidi"/>
              <w:noProof/>
              <w:lang w:val="it-CH" w:eastAsia="it-CH"/>
            </w:rPr>
          </w:pPr>
          <w:hyperlink w:anchor="_Toc76370131" w:history="1">
            <w:r w:rsidR="003135BC" w:rsidRPr="000972BC">
              <w:rPr>
                <w:rStyle w:val="Collegamentoipertestuale"/>
                <w:noProof/>
              </w:rPr>
              <w:t>5.</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RELAZIONE CON LE LINEE DIRETTIVE, CON IL PIANO FINANZIARIO E</w:t>
            </w:r>
            <w:r w:rsidR="00FC4B09" w:rsidRPr="000972BC">
              <w:rPr>
                <w:rStyle w:val="Collegamentoipertestuale"/>
                <w:noProof/>
              </w:rPr>
              <w:t xml:space="preserve"> CON </w:t>
            </w:r>
            <w:r w:rsidR="00FC4B09" w:rsidRPr="000972BC">
              <w:rPr>
                <w:rStyle w:val="Collegamentoipertestuale"/>
                <w:noProof/>
              </w:rPr>
              <w:tab/>
            </w:r>
            <w:r w:rsidR="003135BC" w:rsidRPr="000972BC">
              <w:rPr>
                <w:rStyle w:val="Collegamentoipertestuale"/>
                <w:noProof/>
              </w:rPr>
              <w:t>L’AMBIENTE</w:t>
            </w:r>
            <w:r w:rsidR="000972BC" w:rsidRPr="000972BC">
              <w:rPr>
                <w:rStyle w:val="Collegamentoipertestuale"/>
                <w:noProof/>
              </w:rPr>
              <w:t xml:space="preserve"> </w:t>
            </w:r>
            <w:r w:rsidR="003135BC" w:rsidRPr="000972BC">
              <w:rPr>
                <w:rStyle w:val="Collegamentoipertestuale"/>
                <w:noProof/>
              </w:rPr>
              <w:t>e l'energia</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_Toc76370131 \h </w:instrText>
            </w:r>
            <w:r w:rsidR="003135BC" w:rsidRPr="000972BC">
              <w:rPr>
                <w:noProof/>
                <w:webHidden/>
              </w:rPr>
            </w:r>
            <w:r w:rsidR="003135BC" w:rsidRPr="000972BC">
              <w:rPr>
                <w:noProof/>
                <w:webHidden/>
              </w:rPr>
              <w:fldChar w:fldCharType="separate"/>
            </w:r>
            <w:r w:rsidR="00245105">
              <w:rPr>
                <w:noProof/>
                <w:webHidden/>
              </w:rPr>
              <w:t>13</w:t>
            </w:r>
            <w:r w:rsidR="003135BC" w:rsidRPr="000972BC">
              <w:rPr>
                <w:noProof/>
                <w:webHidden/>
              </w:rPr>
              <w:fldChar w:fldCharType="end"/>
            </w:r>
          </w:hyperlink>
        </w:p>
        <w:p w:rsidR="003135BC" w:rsidRPr="000972BC" w:rsidRDefault="007A708B" w:rsidP="000972BC">
          <w:pPr>
            <w:pStyle w:val="Sommario1"/>
            <w:tabs>
              <w:tab w:val="clear" w:pos="709"/>
              <w:tab w:val="left" w:pos="426"/>
            </w:tabs>
            <w:rPr>
              <w:rFonts w:asciiTheme="minorHAnsi" w:eastAsiaTheme="minorEastAsia" w:hAnsiTheme="minorHAnsi" w:cstheme="minorBidi"/>
              <w:noProof/>
              <w:lang w:val="it-CH" w:eastAsia="it-CH"/>
            </w:rPr>
          </w:pPr>
          <w:hyperlink w:anchor="_Toc76370132" w:history="1">
            <w:r w:rsidR="003135BC" w:rsidRPr="000972BC">
              <w:rPr>
                <w:rStyle w:val="Collegamentoipertestuale"/>
                <w:noProof/>
              </w:rPr>
              <w:t>6.</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Mozione del 14 dicembre 2020</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_Toc76370132 \h </w:instrText>
            </w:r>
            <w:r w:rsidR="003135BC" w:rsidRPr="000972BC">
              <w:rPr>
                <w:noProof/>
                <w:webHidden/>
              </w:rPr>
            </w:r>
            <w:r w:rsidR="003135BC" w:rsidRPr="000972BC">
              <w:rPr>
                <w:noProof/>
                <w:webHidden/>
              </w:rPr>
              <w:fldChar w:fldCharType="separate"/>
            </w:r>
            <w:r w:rsidR="00245105">
              <w:rPr>
                <w:noProof/>
                <w:webHidden/>
              </w:rPr>
              <w:t>14</w:t>
            </w:r>
            <w:r w:rsidR="003135BC" w:rsidRPr="000972BC">
              <w:rPr>
                <w:noProof/>
                <w:webHidden/>
              </w:rPr>
              <w:fldChar w:fldCharType="end"/>
            </w:r>
          </w:hyperlink>
        </w:p>
        <w:p w:rsidR="003135BC" w:rsidRPr="000972BC" w:rsidRDefault="007A708B" w:rsidP="000972BC">
          <w:pPr>
            <w:pStyle w:val="Sommario1"/>
            <w:tabs>
              <w:tab w:val="clear" w:pos="709"/>
              <w:tab w:val="left" w:pos="426"/>
            </w:tabs>
            <w:rPr>
              <w:rFonts w:asciiTheme="minorHAnsi" w:eastAsiaTheme="minorEastAsia" w:hAnsiTheme="minorHAnsi" w:cstheme="minorBidi"/>
              <w:noProof/>
              <w:lang w:val="it-CH" w:eastAsia="it-CH"/>
            </w:rPr>
          </w:pPr>
          <w:hyperlink w:anchor="_Toc76370133" w:history="1">
            <w:r w:rsidR="003135BC" w:rsidRPr="000972BC">
              <w:rPr>
                <w:rStyle w:val="Collegamentoipertestuale"/>
                <w:noProof/>
              </w:rPr>
              <w:t>7.</w:t>
            </w:r>
            <w:r w:rsidR="003135BC" w:rsidRPr="000972BC">
              <w:rPr>
                <w:rFonts w:asciiTheme="minorHAnsi" w:eastAsiaTheme="minorEastAsia" w:hAnsiTheme="minorHAnsi" w:cstheme="minorBidi"/>
                <w:noProof/>
                <w:lang w:val="it-CH" w:eastAsia="it-CH"/>
              </w:rPr>
              <w:tab/>
            </w:r>
            <w:r w:rsidR="003135BC" w:rsidRPr="000972BC">
              <w:rPr>
                <w:rStyle w:val="Collegamentoipertestuale"/>
                <w:noProof/>
              </w:rPr>
              <w:t>Conclusione</w:t>
            </w:r>
            <w:r w:rsidR="003135BC" w:rsidRPr="000972BC">
              <w:rPr>
                <w:noProof/>
                <w:webHidden/>
              </w:rPr>
              <w:tab/>
            </w:r>
            <w:r w:rsidR="003135BC" w:rsidRPr="000972BC">
              <w:rPr>
                <w:noProof/>
                <w:webHidden/>
              </w:rPr>
              <w:fldChar w:fldCharType="begin"/>
            </w:r>
            <w:r w:rsidR="003135BC" w:rsidRPr="000972BC">
              <w:rPr>
                <w:noProof/>
                <w:webHidden/>
              </w:rPr>
              <w:instrText xml:space="preserve"> PAGEREF _Toc76370133 \h </w:instrText>
            </w:r>
            <w:r w:rsidR="003135BC" w:rsidRPr="000972BC">
              <w:rPr>
                <w:noProof/>
                <w:webHidden/>
              </w:rPr>
            </w:r>
            <w:r w:rsidR="003135BC" w:rsidRPr="000972BC">
              <w:rPr>
                <w:noProof/>
                <w:webHidden/>
              </w:rPr>
              <w:fldChar w:fldCharType="separate"/>
            </w:r>
            <w:r w:rsidR="00245105">
              <w:rPr>
                <w:noProof/>
                <w:webHidden/>
              </w:rPr>
              <w:t>14</w:t>
            </w:r>
            <w:r w:rsidR="003135BC" w:rsidRPr="000972BC">
              <w:rPr>
                <w:noProof/>
                <w:webHidden/>
              </w:rPr>
              <w:fldChar w:fldCharType="end"/>
            </w:r>
          </w:hyperlink>
        </w:p>
        <w:p w:rsidR="003135BC" w:rsidRPr="006B3FD0" w:rsidRDefault="003135BC" w:rsidP="000972BC">
          <w:pPr>
            <w:spacing w:before="120"/>
          </w:pPr>
          <w:r w:rsidRPr="000972BC">
            <w:rPr>
              <w:bCs/>
              <w:sz w:val="22"/>
              <w:szCs w:val="22"/>
            </w:rPr>
            <w:fldChar w:fldCharType="end"/>
          </w:r>
        </w:p>
      </w:sdtContent>
    </w:sdt>
    <w:p w:rsidR="00EB4983" w:rsidRDefault="00EB4983" w:rsidP="003135BC">
      <w:pPr>
        <w:jc w:val="left"/>
        <w:rPr>
          <w:rFonts w:cs="Arial"/>
          <w:lang w:val="it-CH"/>
        </w:rPr>
      </w:pPr>
    </w:p>
    <w:p w:rsidR="003135BC" w:rsidRPr="00BB654D" w:rsidRDefault="003135BC" w:rsidP="003135BC">
      <w:pPr>
        <w:pStyle w:val="StileTitolo1"/>
        <w:numPr>
          <w:ilvl w:val="0"/>
          <w:numId w:val="9"/>
        </w:numPr>
        <w:tabs>
          <w:tab w:val="clear" w:pos="851"/>
        </w:tabs>
        <w:ind w:left="567" w:hanging="567"/>
      </w:pPr>
      <w:bookmarkStart w:id="0" w:name="_Toc76370127"/>
      <w:r>
        <w:t>Cronistoria</w:t>
      </w:r>
      <w:bookmarkEnd w:id="0"/>
    </w:p>
    <w:p w:rsidR="003135BC" w:rsidRDefault="003135BC" w:rsidP="003135BC">
      <w:pPr>
        <w:rPr>
          <w:rFonts w:cs="Arial"/>
        </w:rPr>
      </w:pPr>
      <w:r>
        <w:rPr>
          <w:rFonts w:cs="Arial"/>
          <w:lang w:val="it-CH"/>
        </w:rPr>
        <w:t xml:space="preserve">Il presente messaggio si inserisce nel solco di una serie di proposte sottoposte al Gran Consiglio volte a favorire e incentivare la mobilità sostenibile. Di seguito è riportata una cronistoria dei messaggi governativi relativi ad incentivi per la mobilità sostenibile nonché a più modifiche della </w:t>
      </w:r>
      <w:r w:rsidRPr="003B3AF6">
        <w:rPr>
          <w:rFonts w:cs="Arial"/>
          <w:lang w:val="it-CH"/>
        </w:rPr>
        <w:t>Legge sulle imposte e tasse di circolazione dei veicoli a</w:t>
      </w:r>
      <w:r>
        <w:rPr>
          <w:rFonts w:cs="Arial"/>
          <w:lang w:val="it-CH"/>
        </w:rPr>
        <w:t xml:space="preserve"> </w:t>
      </w:r>
      <w:r w:rsidRPr="003B3AF6">
        <w:rPr>
          <w:rFonts w:cs="Arial"/>
          <w:lang w:val="it-CH"/>
        </w:rPr>
        <w:t>motore del 9 febbraio 1977</w:t>
      </w:r>
      <w:r>
        <w:rPr>
          <w:rFonts w:cs="Arial"/>
          <w:lang w:val="it-CH"/>
        </w:rPr>
        <w:t xml:space="preserve"> al fine di tener conto dell'impatto ambientale dei veicoli. </w:t>
      </w:r>
      <w:r>
        <w:rPr>
          <w:rFonts w:cs="Arial"/>
        </w:rPr>
        <w:t>Per i contenuti di dettaglio si rimanda ai singoli messaggi.</w:t>
      </w:r>
    </w:p>
    <w:p w:rsidR="003135BC" w:rsidRPr="0061027D" w:rsidRDefault="003135BC" w:rsidP="003135BC">
      <w:pPr>
        <w:pStyle w:val="Paragrafoelenco"/>
        <w:numPr>
          <w:ilvl w:val="0"/>
          <w:numId w:val="16"/>
        </w:numPr>
        <w:ind w:left="567" w:hanging="567"/>
        <w:rPr>
          <w:rFonts w:cs="Arial"/>
          <w:lang w:val="it-CH"/>
        </w:rPr>
      </w:pPr>
      <w:bookmarkStart w:id="1" w:name="_GoBack"/>
      <w:bookmarkEnd w:id="1"/>
      <w:r w:rsidRPr="0061027D">
        <w:rPr>
          <w:rFonts w:cs="Arial"/>
          <w:lang w:val="it-CH"/>
        </w:rPr>
        <w:lastRenderedPageBreak/>
        <w:t xml:space="preserve">M4390 del 15 marzo 1995: Messaggio concernente lo stanziamento di un credito di </w:t>
      </w:r>
      <w:r>
        <w:rPr>
          <w:rFonts w:cs="Arial"/>
          <w:lang w:val="it-CH"/>
        </w:rPr>
        <w:br/>
      </w:r>
      <w:r w:rsidRPr="0061027D">
        <w:rPr>
          <w:rFonts w:cs="Arial"/>
          <w:lang w:val="it-CH"/>
        </w:rPr>
        <w:t>fr.</w:t>
      </w:r>
      <w:r>
        <w:rPr>
          <w:rFonts w:cs="Arial"/>
          <w:lang w:val="it-CH"/>
        </w:rPr>
        <w:t xml:space="preserve"> </w:t>
      </w:r>
      <w:r w:rsidRPr="0061027D">
        <w:rPr>
          <w:rFonts w:cs="Arial"/>
          <w:lang w:val="it-CH"/>
        </w:rPr>
        <w:t>1'980'000.- quale contributo al progetto pilota sui veicoli elettrici (VEL) per il comune di Mendrisio</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M5020 del 27 giugno 2000: Concessione di un credito di fr.</w:t>
      </w:r>
      <w:r>
        <w:rPr>
          <w:rFonts w:cs="Arial"/>
          <w:lang w:val="it-CH"/>
        </w:rPr>
        <w:t xml:space="preserve"> </w:t>
      </w:r>
      <w:r w:rsidRPr="0061027D">
        <w:rPr>
          <w:rFonts w:cs="Arial"/>
          <w:lang w:val="it-CH"/>
        </w:rPr>
        <w:t>6'000'000.- per l'espansione del progetto VEL di Mendrisio a tutto il Cantone</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M5881 del 6 febbraio 2007: Modifica della Legge sulle imposte e tasse di circolazione dei veicoli a motore del 9 febbraio 1977 (ecoincentivi)</w:t>
      </w:r>
      <w:r>
        <w:rPr>
          <w:rFonts w:cs="Arial"/>
          <w:lang w:val="it-CH"/>
        </w:rPr>
        <w:t>.</w:t>
      </w:r>
    </w:p>
    <w:p w:rsidR="003135BC" w:rsidRPr="001E234F"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M6558 del 9 novembre 2011: Richiesta di un credito complessivo di fr.</w:t>
      </w:r>
      <w:r>
        <w:rPr>
          <w:rFonts w:cs="Arial"/>
          <w:lang w:val="it-CH"/>
        </w:rPr>
        <w:t xml:space="preserve"> </w:t>
      </w:r>
      <w:r w:rsidRPr="0061027D">
        <w:rPr>
          <w:rFonts w:cs="Arial"/>
          <w:lang w:val="it-CH"/>
        </w:rPr>
        <w:t>2'700'000.- per il quadriennio 2012-2015 per l’attuazione dei provvedimenti per la promozione del trasporto pubblico e della mobilità aziendale previsti nell’ambito del Piano di risanamento dell’aria (PRA)</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M6774 del 9 aprile 2013: Modifica della Legge sulle imposte e tasse di circolazione dei veicoli a motore del 9 febbraio 1977 concernente gli ecoincentivi e stanziamento di un credito quadro di fr. 30'000'000, per il periodo 2014-2020, per il finanziamento della mobilità sostenibile</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M6947 del 28 maggio 2014: Modifica della Legge sulle imposte e tasse di circolazione dei veicoli a motore del 9 febbraio 1977 per il finanziamento di provvedimenti a favore della mobilità sostenibile e stanziamento di un credito quadro di fr.</w:t>
      </w:r>
      <w:r>
        <w:rPr>
          <w:rFonts w:cs="Arial"/>
          <w:lang w:val="it-CH"/>
        </w:rPr>
        <w:t xml:space="preserve"> </w:t>
      </w:r>
      <w:r w:rsidRPr="0061027D">
        <w:rPr>
          <w:rFonts w:cs="Arial"/>
          <w:lang w:val="it-CH"/>
        </w:rPr>
        <w:t>16'000'000.- per il periodo 2014-2018</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M7106 dell'8 luglio 2015: Stanziamento di un credito quadro di fr.</w:t>
      </w:r>
      <w:r>
        <w:rPr>
          <w:rFonts w:cs="Arial"/>
          <w:lang w:val="it-CH"/>
        </w:rPr>
        <w:t xml:space="preserve"> </w:t>
      </w:r>
      <w:r w:rsidRPr="0061027D">
        <w:rPr>
          <w:rFonts w:cs="Arial"/>
          <w:lang w:val="it-CH"/>
        </w:rPr>
        <w:t>1'000'000.- per il finanziamento di provvedimenti a favore della mobilità aziendale</w:t>
      </w:r>
      <w:r>
        <w:rPr>
          <w:rFonts w:cs="Arial"/>
          <w:lang w:val="it-CH"/>
        </w:rPr>
        <w:t>.</w:t>
      </w:r>
    </w:p>
    <w:p w:rsidR="003135BC" w:rsidRDefault="003135BC" w:rsidP="003135BC">
      <w:pPr>
        <w:ind w:left="567" w:hanging="567"/>
        <w:rPr>
          <w:rFonts w:cs="Arial"/>
          <w:lang w:val="it-CH"/>
        </w:rPr>
      </w:pPr>
    </w:p>
    <w:p w:rsidR="003135BC" w:rsidRPr="0061027D" w:rsidRDefault="003135BC" w:rsidP="003135BC">
      <w:pPr>
        <w:pStyle w:val="Paragrafoelenco"/>
        <w:numPr>
          <w:ilvl w:val="0"/>
          <w:numId w:val="16"/>
        </w:numPr>
        <w:ind w:left="567" w:hanging="567"/>
        <w:rPr>
          <w:rFonts w:cs="Arial"/>
          <w:lang w:val="it-CH"/>
        </w:rPr>
      </w:pPr>
      <w:r w:rsidRPr="0061027D">
        <w:rPr>
          <w:rFonts w:cs="Arial"/>
          <w:lang w:val="it-CH"/>
        </w:rPr>
        <w:t>M7540 del 30 maggio 2018: Stanziamento di un credito quadro di fr.</w:t>
      </w:r>
      <w:r>
        <w:rPr>
          <w:rFonts w:cs="Arial"/>
          <w:lang w:val="it-CH"/>
        </w:rPr>
        <w:t xml:space="preserve"> </w:t>
      </w:r>
      <w:r w:rsidRPr="0061027D">
        <w:rPr>
          <w:rFonts w:cs="Arial"/>
          <w:lang w:val="it-CH"/>
        </w:rPr>
        <w:t>3'000’000.- destinato a incentivare l’acquisto di veicoli totalmente elettrici e lo sviluppo dell’infrastruttura di ricarica elettrica domestica e sul posto di lavoro</w:t>
      </w:r>
      <w:r>
        <w:rPr>
          <w:rFonts w:cs="Arial"/>
          <w:lang w:val="it-CH"/>
        </w:rPr>
        <w:t>.</w:t>
      </w:r>
    </w:p>
    <w:p w:rsidR="003135BC" w:rsidRDefault="003135BC" w:rsidP="003135BC">
      <w:pPr>
        <w:ind w:left="567" w:hanging="567"/>
        <w:rPr>
          <w:rFonts w:cs="Arial"/>
          <w:lang w:val="it-CH"/>
        </w:rPr>
      </w:pPr>
    </w:p>
    <w:p w:rsidR="003135BC" w:rsidRDefault="003135BC" w:rsidP="003135BC">
      <w:pPr>
        <w:pStyle w:val="Paragrafoelenco"/>
        <w:numPr>
          <w:ilvl w:val="0"/>
          <w:numId w:val="16"/>
        </w:numPr>
        <w:ind w:left="567" w:hanging="567"/>
      </w:pPr>
      <w:r w:rsidRPr="0061027D">
        <w:rPr>
          <w:rFonts w:cs="Arial"/>
          <w:lang w:val="it-CH"/>
        </w:rPr>
        <w:t xml:space="preserve">M7670 del 13 giugno 2019: </w:t>
      </w:r>
      <w:r>
        <w:t>Modifica della Legge sulle imposte e tasse di circolazione dei veicoli a motore del 9 febbraio 1977.</w:t>
      </w:r>
    </w:p>
    <w:p w:rsidR="003135BC" w:rsidRDefault="003135BC" w:rsidP="003135BC">
      <w:pPr>
        <w:ind w:left="567" w:hanging="567"/>
        <w:rPr>
          <w:rFonts w:cs="Arial"/>
          <w:lang w:val="it-CH"/>
        </w:rPr>
      </w:pPr>
    </w:p>
    <w:p w:rsidR="003135BC" w:rsidRDefault="003135BC" w:rsidP="003135BC">
      <w:pPr>
        <w:pStyle w:val="Paragrafoelenco"/>
        <w:numPr>
          <w:ilvl w:val="0"/>
          <w:numId w:val="16"/>
        </w:numPr>
        <w:ind w:left="567" w:hanging="567"/>
        <w:rPr>
          <w:rFonts w:cs="Arial"/>
          <w:lang w:val="it-CH"/>
        </w:rPr>
      </w:pPr>
      <w:r w:rsidRPr="0061027D">
        <w:rPr>
          <w:rFonts w:cs="Arial"/>
          <w:lang w:val="it-CH"/>
        </w:rPr>
        <w:t>M7953 del 20 gennaio 2021: Stanziamento di un credito di fr.</w:t>
      </w:r>
      <w:r>
        <w:rPr>
          <w:rFonts w:cs="Arial"/>
          <w:lang w:val="it-CH"/>
        </w:rPr>
        <w:t xml:space="preserve"> </w:t>
      </w:r>
      <w:r w:rsidRPr="0061027D">
        <w:rPr>
          <w:rFonts w:cs="Arial"/>
          <w:lang w:val="it-CH"/>
        </w:rPr>
        <w:t xml:space="preserve">2'000'000.- per il finanziamento di provvedimenti a favore della mobilità aziendale e di un credito di </w:t>
      </w:r>
      <w:r>
        <w:rPr>
          <w:rFonts w:cs="Arial"/>
          <w:lang w:val="it-CH"/>
        </w:rPr>
        <w:br/>
      </w:r>
      <w:r w:rsidRPr="0061027D">
        <w:rPr>
          <w:rFonts w:cs="Arial"/>
          <w:lang w:val="it-CH"/>
        </w:rPr>
        <w:t>fr.</w:t>
      </w:r>
      <w:r>
        <w:rPr>
          <w:rFonts w:cs="Arial"/>
          <w:lang w:val="it-CH"/>
        </w:rPr>
        <w:t xml:space="preserve"> </w:t>
      </w:r>
      <w:r w:rsidRPr="0061027D">
        <w:rPr>
          <w:rFonts w:cs="Arial"/>
          <w:lang w:val="it-CH"/>
        </w:rPr>
        <w:t>1'000'000.- per contribuire alla realizzazione di posteggi per biciclette (B+R) presso le stazioni e le principali fermate del trasporto pubblico</w:t>
      </w:r>
      <w:r>
        <w:rPr>
          <w:rFonts w:cs="Arial"/>
          <w:lang w:val="it-CH"/>
        </w:rPr>
        <w:t>.</w:t>
      </w:r>
    </w:p>
    <w:p w:rsidR="003135BC" w:rsidRDefault="003135BC" w:rsidP="003135BC">
      <w:pPr>
        <w:rPr>
          <w:rFonts w:cs="Arial"/>
          <w:lang w:val="it-CH"/>
        </w:rPr>
      </w:pPr>
    </w:p>
    <w:p w:rsidR="003135BC" w:rsidRDefault="003135BC" w:rsidP="003135BC">
      <w:pPr>
        <w:rPr>
          <w:rFonts w:cs="Arial"/>
          <w:lang w:val="it-CH"/>
        </w:rPr>
      </w:pPr>
    </w:p>
    <w:p w:rsidR="00EB4983" w:rsidRPr="003135BC" w:rsidRDefault="00EB4983" w:rsidP="003135BC">
      <w:pPr>
        <w:rPr>
          <w:rFonts w:cs="Arial"/>
          <w:lang w:val="it-CH"/>
        </w:rPr>
      </w:pPr>
    </w:p>
    <w:p w:rsidR="003135BC" w:rsidRPr="004561D0" w:rsidRDefault="003135BC" w:rsidP="003135BC">
      <w:pPr>
        <w:pStyle w:val="StileTitolo1"/>
        <w:numPr>
          <w:ilvl w:val="0"/>
          <w:numId w:val="9"/>
        </w:numPr>
        <w:tabs>
          <w:tab w:val="clear" w:pos="851"/>
        </w:tabs>
        <w:ind w:left="567" w:hanging="567"/>
      </w:pPr>
      <w:bookmarkStart w:id="2" w:name="_Ref71221712"/>
      <w:bookmarkStart w:id="3" w:name="_Toc76370128"/>
      <w:r>
        <w:t xml:space="preserve">Contesto e obiettivi del </w:t>
      </w:r>
      <w:r w:rsidRPr="004561D0">
        <w:t>credito quadro</w:t>
      </w:r>
      <w:bookmarkEnd w:id="2"/>
      <w:bookmarkEnd w:id="3"/>
    </w:p>
    <w:p w:rsidR="003135BC" w:rsidRPr="00710940" w:rsidRDefault="003135BC" w:rsidP="003135BC">
      <w:pPr>
        <w:rPr>
          <w:rFonts w:cs="Arial"/>
          <w:lang w:val="it-CH"/>
        </w:rPr>
      </w:pPr>
      <w:r w:rsidRPr="00EC419C">
        <w:rPr>
          <w:rFonts w:cs="Arial"/>
          <w:lang w:val="it-CH"/>
        </w:rPr>
        <w:t xml:space="preserve">Il contesto e gli obiettivi che portano alla richiesta di un nuovo credito quadro sono sostanzialmente gli stessi già espressi nell'ambito del messaggio 7540 del 30 maggio </w:t>
      </w:r>
      <w:r w:rsidRPr="00DF0F72">
        <w:rPr>
          <w:rFonts w:cs="Arial"/>
          <w:lang w:val="it-CH"/>
        </w:rPr>
        <w:t>2018, a cui si fa rimando</w:t>
      </w:r>
      <w:r>
        <w:rPr>
          <w:rFonts w:cs="Arial"/>
          <w:lang w:val="it-CH"/>
        </w:rPr>
        <w:t>. Con il presente messaggio, però, si pone un ulteriore obiettivo: oltre a promuovere</w:t>
      </w:r>
      <w:r w:rsidRPr="00710940">
        <w:rPr>
          <w:rFonts w:cs="Arial"/>
          <w:lang w:val="it-CH"/>
        </w:rPr>
        <w:t xml:space="preserve"> l’acquisto di veicoli totalmente elettrici e lo sviluppo dell’infrastruttura di ricarica elettrica, </w:t>
      </w:r>
      <w:r>
        <w:rPr>
          <w:rFonts w:cs="Arial"/>
          <w:lang w:val="it-CH"/>
        </w:rPr>
        <w:t>il programma di incentivi che ora si propone intende promuovere anche l’acquisto di motocicli, quadricicli e tricicli elettrici e la</w:t>
      </w:r>
      <w:r w:rsidRPr="00710940">
        <w:rPr>
          <w:rFonts w:cs="Arial"/>
          <w:lang w:val="it-CH"/>
        </w:rPr>
        <w:t xml:space="preserve"> messa fuori </w:t>
      </w:r>
      <w:r>
        <w:rPr>
          <w:rFonts w:cs="Arial"/>
          <w:lang w:val="it-CH"/>
        </w:rPr>
        <w:t>servizio</w:t>
      </w:r>
      <w:r w:rsidRPr="00710940">
        <w:rPr>
          <w:rFonts w:cs="Arial"/>
          <w:lang w:val="it-CH"/>
        </w:rPr>
        <w:t xml:space="preserve"> di veicoli</w:t>
      </w:r>
      <w:r>
        <w:rPr>
          <w:rFonts w:cs="Arial"/>
          <w:lang w:val="it-CH"/>
        </w:rPr>
        <w:t xml:space="preserve"> ad alte emissioni di CO2 e inoltre </w:t>
      </w:r>
      <w:r w:rsidRPr="00710940">
        <w:rPr>
          <w:rFonts w:cs="Arial"/>
          <w:lang w:val="it-CH"/>
        </w:rPr>
        <w:t>altamente inquinanti.</w:t>
      </w:r>
    </w:p>
    <w:p w:rsidR="003135BC" w:rsidRDefault="003135BC" w:rsidP="003135BC">
      <w:pPr>
        <w:rPr>
          <w:rFonts w:cs="Arial"/>
          <w:lang w:val="it-CH"/>
        </w:rPr>
      </w:pPr>
    </w:p>
    <w:p w:rsidR="003135BC" w:rsidRPr="00DF0F72" w:rsidRDefault="003135BC" w:rsidP="00EB4983">
      <w:pPr>
        <w:spacing w:after="120"/>
        <w:rPr>
          <w:rFonts w:cs="Arial"/>
          <w:lang w:val="it-CH"/>
        </w:rPr>
      </w:pPr>
      <w:r>
        <w:rPr>
          <w:rFonts w:cs="Arial"/>
          <w:lang w:val="it-CH"/>
        </w:rPr>
        <w:lastRenderedPageBreak/>
        <w:t xml:space="preserve">Grazie a ciò sarà possibile tendere in modo più rapido verso </w:t>
      </w:r>
      <w:r w:rsidRPr="00DF0F72">
        <w:rPr>
          <w:rFonts w:cs="Arial"/>
          <w:lang w:val="it-CH"/>
        </w:rPr>
        <w:t xml:space="preserve">gli obiettivi </w:t>
      </w:r>
      <w:r>
        <w:rPr>
          <w:rFonts w:cs="Arial"/>
          <w:lang w:val="it-CH"/>
        </w:rPr>
        <w:t>della politica energetica e climatica cantonale, in particolare di riduzione delle emissioni di gas a effetto serra generate dal settore dei trasporti.</w:t>
      </w:r>
    </w:p>
    <w:p w:rsidR="003135BC" w:rsidRPr="00710940" w:rsidRDefault="003135BC" w:rsidP="003135BC">
      <w:pPr>
        <w:rPr>
          <w:rFonts w:cs="Arial"/>
          <w:lang w:val="it-CH"/>
        </w:rPr>
      </w:pPr>
    </w:p>
    <w:p w:rsidR="003135BC" w:rsidRPr="00245233" w:rsidRDefault="003135BC" w:rsidP="003135BC">
      <w:pPr>
        <w:spacing w:after="120"/>
        <w:rPr>
          <w:rFonts w:cs="Arial"/>
          <w:u w:val="single"/>
          <w:lang w:val="it-CH"/>
        </w:rPr>
      </w:pPr>
      <w:r w:rsidRPr="00710940">
        <w:rPr>
          <w:rFonts w:cs="Arial"/>
          <w:u w:val="single"/>
          <w:lang w:val="it-CH"/>
        </w:rPr>
        <w:t xml:space="preserve">Politica </w:t>
      </w:r>
      <w:r>
        <w:rPr>
          <w:rFonts w:cs="Arial"/>
          <w:u w:val="single"/>
          <w:lang w:val="it-CH"/>
        </w:rPr>
        <w:t xml:space="preserve">energetica e climatica </w:t>
      </w:r>
      <w:r w:rsidRPr="00710940">
        <w:rPr>
          <w:rFonts w:cs="Arial"/>
          <w:u w:val="single"/>
          <w:lang w:val="it-CH"/>
        </w:rPr>
        <w:t>cantonale</w:t>
      </w:r>
    </w:p>
    <w:p w:rsidR="003135BC" w:rsidRDefault="003135BC" w:rsidP="003135BC">
      <w:r w:rsidRPr="00710940">
        <w:t>La strategia energetica cantonale è definita dal Piano energetico cantonale – Piano d’azione 2013 (PEC-2013)</w:t>
      </w:r>
      <w:r w:rsidRPr="00710940">
        <w:rPr>
          <w:rStyle w:val="Rimandonotaapidipagina"/>
        </w:rPr>
        <w:footnoteReference w:id="1"/>
      </w:r>
      <w:r w:rsidRPr="00710940">
        <w:t xml:space="preserve">, adottato dal Consiglio di Stato il 9 aprile 2013 e approvato dal Gran Consiglio il 5 novembre 2014. </w:t>
      </w:r>
    </w:p>
    <w:p w:rsidR="003135BC" w:rsidRDefault="003135BC" w:rsidP="003135BC">
      <w:pPr>
        <w:rPr>
          <w:rFonts w:cs="Arial"/>
          <w:lang w:val="it-CH"/>
        </w:rPr>
      </w:pPr>
      <w:r>
        <w:t xml:space="preserve">Per quanti riguarda gli indirizzi e gli obiettivi del PEC, ivi incluso il suo aggiornamento, si rimanda al messaggio n. 7894 del 1° ottobre 2020. </w:t>
      </w:r>
      <w:r>
        <w:rPr>
          <w:rFonts w:cs="Arial"/>
          <w:lang w:val="it-CH"/>
        </w:rPr>
        <w:t>Sono di seguito riassunti sinteticamente gli aspetti legati alla mobilità.</w:t>
      </w:r>
    </w:p>
    <w:p w:rsidR="003135BC" w:rsidRDefault="003135BC" w:rsidP="003135BC"/>
    <w:p w:rsidR="003135BC" w:rsidRPr="00710940" w:rsidRDefault="003135BC" w:rsidP="00E06AF4">
      <w:pPr>
        <w:spacing w:after="100"/>
      </w:pPr>
      <w:r>
        <w:t>Gli indirizzi strategici della politica energetica cantonale, si fondano sui tre punti seguenti:</w:t>
      </w:r>
    </w:p>
    <w:p w:rsidR="003135BC" w:rsidRPr="00710940" w:rsidRDefault="003135BC" w:rsidP="00E06AF4">
      <w:pPr>
        <w:pStyle w:val="Paragrafoelenco"/>
        <w:numPr>
          <w:ilvl w:val="0"/>
          <w:numId w:val="12"/>
        </w:numPr>
        <w:spacing w:after="60"/>
        <w:ind w:left="425" w:hanging="357"/>
        <w:contextualSpacing w:val="0"/>
        <w:rPr>
          <w:lang w:val="it-CH"/>
        </w:rPr>
      </w:pPr>
      <w:r w:rsidRPr="00710940">
        <w:rPr>
          <w:b/>
          <w:lang w:val="it-CH"/>
        </w:rPr>
        <w:t>efficienza, efficacia e risparmio energetico</w:t>
      </w:r>
      <w:r w:rsidRPr="00710940">
        <w:rPr>
          <w:lang w:val="it-CH"/>
        </w:rPr>
        <w:t>: riduzione dei consumi negli usi finali dell’energia, attraverso l’attivazione generalizzata di misure tecniche di efficienza energetica, scelte strategiche per un uso efficace dell’energia e modalità comportamentali orientate al risparmio energetico: a lungo termine, consumi stabilizzati a 2000 watt;</w:t>
      </w:r>
    </w:p>
    <w:p w:rsidR="003135BC" w:rsidRPr="00710940" w:rsidRDefault="003135BC" w:rsidP="00E06AF4">
      <w:pPr>
        <w:pStyle w:val="Paragrafoelenco"/>
        <w:numPr>
          <w:ilvl w:val="0"/>
          <w:numId w:val="12"/>
        </w:numPr>
        <w:spacing w:after="60"/>
        <w:ind w:left="425" w:hanging="357"/>
        <w:contextualSpacing w:val="0"/>
        <w:rPr>
          <w:lang w:val="it-CH"/>
        </w:rPr>
      </w:pPr>
      <w:r w:rsidRPr="00710940">
        <w:rPr>
          <w:b/>
          <w:lang w:val="it-CH"/>
        </w:rPr>
        <w:t>conversione energetica</w:t>
      </w:r>
      <w:r w:rsidRPr="00710940">
        <w:rPr>
          <w:lang w:val="it-CH"/>
        </w:rPr>
        <w:t xml:space="preserve">: sostituzione dei vettori energetici, con progressivo abbandono </w:t>
      </w:r>
      <w:r>
        <w:rPr>
          <w:lang w:val="it-CH"/>
        </w:rPr>
        <w:t>delle fonti</w:t>
      </w:r>
      <w:r w:rsidRPr="00710940">
        <w:rPr>
          <w:lang w:val="it-CH"/>
        </w:rPr>
        <w:t xml:space="preserve"> fossili, in particolare olio combustibile e carburanti liquidi: a medio termine, emissioni stabilizzate a 1 ton CO2 pro capite;</w:t>
      </w:r>
    </w:p>
    <w:p w:rsidR="003135BC" w:rsidRPr="00710940" w:rsidRDefault="003135BC" w:rsidP="003135BC">
      <w:pPr>
        <w:pStyle w:val="Paragrafoelenco"/>
        <w:numPr>
          <w:ilvl w:val="0"/>
          <w:numId w:val="12"/>
        </w:numPr>
        <w:ind w:left="426"/>
        <w:rPr>
          <w:lang w:val="it-CH"/>
        </w:rPr>
      </w:pPr>
      <w:r w:rsidRPr="00710940">
        <w:rPr>
          <w:b/>
          <w:lang w:val="it-CH"/>
        </w:rPr>
        <w:t>produzione energetica ed approvvigionamento efficienti, sicuri e sostenibili</w:t>
      </w:r>
      <w:r w:rsidRPr="00710940">
        <w:rPr>
          <w:lang w:val="it-CH"/>
        </w:rPr>
        <w:t>: diversificazione dell’approvvigionamento, valorizzazione della risorsa acqua, confermando ed assicurando le riversioni ed il ruolo dell’AET, e promozione delle altre fonti rinnovabili indigene, quali solare (termico e fotovoltaico), eolico, biomassa, calore ambiente e geotermia di profondità.</w:t>
      </w:r>
    </w:p>
    <w:p w:rsidR="003135BC" w:rsidRPr="00E06AF4" w:rsidRDefault="003135BC" w:rsidP="003135BC">
      <w:pPr>
        <w:rPr>
          <w:rFonts w:cs="Arial"/>
          <w:sz w:val="20"/>
          <w:lang w:val="it-CH"/>
        </w:rPr>
      </w:pPr>
    </w:p>
    <w:p w:rsidR="003135BC" w:rsidRDefault="003135BC" w:rsidP="003135BC">
      <w:r>
        <w:rPr>
          <w:rFonts w:cs="Arial"/>
          <w:lang w:val="it-CH"/>
        </w:rPr>
        <w:t xml:space="preserve">Nell'aggiornamento del PEC, la conversione dei vettori </w:t>
      </w:r>
      <w:r w:rsidRPr="009464E5">
        <w:rPr>
          <w:rFonts w:cs="Arial"/>
          <w:lang w:val="it-CH"/>
        </w:rPr>
        <w:t xml:space="preserve">di energia di origine fossile </w:t>
      </w:r>
      <w:r>
        <w:rPr>
          <w:rFonts w:cs="Arial"/>
          <w:lang w:val="it-CH"/>
        </w:rPr>
        <w:t xml:space="preserve">assume un ruolo fondamentale per tendere a una società con </w:t>
      </w:r>
      <w:r w:rsidRPr="009464E5">
        <w:rPr>
          <w:rFonts w:cs="Arial"/>
          <w:lang w:val="it-CH"/>
        </w:rPr>
        <w:t>un saldo netto di emissioni di gas a effetto serra pari a zero</w:t>
      </w:r>
      <w:r>
        <w:rPr>
          <w:rFonts w:cs="Arial"/>
          <w:lang w:val="it-CH"/>
        </w:rPr>
        <w:t xml:space="preserve">. </w:t>
      </w:r>
      <w:r>
        <w:t>Coerentemente a questo principio, nel Programma di legislatura 2019-2023</w:t>
      </w:r>
      <w:r>
        <w:rPr>
          <w:rStyle w:val="Rimandonotaapidipagina"/>
        </w:rPr>
        <w:footnoteReference w:id="2"/>
      </w:r>
      <w:r>
        <w:t xml:space="preserve"> è stato </w:t>
      </w:r>
      <w:r w:rsidRPr="009464E5">
        <w:t>inserito l’Obiettivo 15</w:t>
      </w:r>
      <w:r>
        <w:t xml:space="preserve"> "</w:t>
      </w:r>
      <w:r w:rsidRPr="00710940">
        <w:t>Procedere verso una società rinnovabile al 100%</w:t>
      </w:r>
      <w:r>
        <w:t>".</w:t>
      </w:r>
    </w:p>
    <w:p w:rsidR="003135BC" w:rsidRPr="00E06AF4" w:rsidRDefault="003135BC" w:rsidP="003135BC">
      <w:pPr>
        <w:rPr>
          <w:sz w:val="20"/>
        </w:rPr>
      </w:pPr>
    </w:p>
    <w:p w:rsidR="003135BC" w:rsidRDefault="003135BC" w:rsidP="003135BC">
      <w:r>
        <w:t>Gli obiettivi sui consumi di energia, ancora in fase di affinamento, sono quelli riportati nella tabella seguente.</w:t>
      </w:r>
    </w:p>
    <w:p w:rsidR="003135BC" w:rsidRDefault="003135BC" w:rsidP="003135BC"/>
    <w:p w:rsidR="003135BC" w:rsidRDefault="003135BC" w:rsidP="003135BC">
      <w:r w:rsidRPr="00FF4343">
        <w:rPr>
          <w:noProof/>
          <w:lang w:val="it-CH" w:eastAsia="it-CH"/>
        </w:rPr>
        <w:drawing>
          <wp:inline distT="0" distB="0" distL="0" distR="0" wp14:anchorId="2C6478BE" wp14:editId="2578E6D1">
            <wp:extent cx="6120130" cy="223139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231390"/>
                    </a:xfrm>
                    <a:prstGeom prst="rect">
                      <a:avLst/>
                    </a:prstGeom>
                    <a:noFill/>
                    <a:ln>
                      <a:noFill/>
                    </a:ln>
                  </pic:spPr>
                </pic:pic>
              </a:graphicData>
            </a:graphic>
          </wp:inline>
        </w:drawing>
      </w:r>
    </w:p>
    <w:p w:rsidR="003135BC" w:rsidRPr="00710940" w:rsidRDefault="003135BC" w:rsidP="003135BC">
      <w:pPr>
        <w:rPr>
          <w:rFonts w:eastAsia="Calibri"/>
        </w:rPr>
      </w:pPr>
      <w:r>
        <w:rPr>
          <w:rFonts w:eastAsia="Calibri"/>
        </w:rPr>
        <w:lastRenderedPageBreak/>
        <w:t>I</w:t>
      </w:r>
      <w:r w:rsidRPr="002A5B91">
        <w:rPr>
          <w:rFonts w:eastAsia="Calibri"/>
        </w:rPr>
        <w:t xml:space="preserve">l settore della mobilità determina </w:t>
      </w:r>
      <w:r w:rsidRPr="00710940">
        <w:rPr>
          <w:rFonts w:eastAsia="Calibri"/>
        </w:rPr>
        <w:t xml:space="preserve">circa un terzo del </w:t>
      </w:r>
      <w:r>
        <w:rPr>
          <w:rFonts w:eastAsia="Calibri"/>
        </w:rPr>
        <w:t xml:space="preserve">consumo </w:t>
      </w:r>
      <w:r w:rsidRPr="002A5B91">
        <w:rPr>
          <w:rFonts w:eastAsia="Calibri"/>
        </w:rPr>
        <w:t xml:space="preserve">di energia e delle emissioni di CO2 e costituisce uno dei settori critici, per il quale occorre predisporre dei provvedimenti incisivi se si vogliono raggiungere gli obiettivi che la politica energetica si pone, nell’ottica sia della riduzione dei consumi, sia della riduzione delle emissioni di CO2 attraverso l’efficienza (conversione a veicoli a basse o zero emissioni) </w:t>
      </w:r>
      <w:r>
        <w:rPr>
          <w:rFonts w:eastAsia="Calibri"/>
        </w:rPr>
        <w:t>e</w:t>
      </w:r>
      <w:r w:rsidRPr="002A5B91">
        <w:rPr>
          <w:rFonts w:eastAsia="Calibri"/>
        </w:rPr>
        <w:t xml:space="preserve"> l’efficacia (gestione della mobilità).</w:t>
      </w:r>
    </w:p>
    <w:p w:rsidR="003135BC" w:rsidRPr="00710940" w:rsidRDefault="003135BC" w:rsidP="003135BC">
      <w:pPr>
        <w:rPr>
          <w:rFonts w:eastAsia="Calibri"/>
        </w:rPr>
      </w:pPr>
    </w:p>
    <w:p w:rsidR="003135BC" w:rsidRDefault="003135BC" w:rsidP="003135BC">
      <w:r w:rsidRPr="00FD366F">
        <w:t>Per quanto attiene alla mobilità, l'obiettivo dei consumi energetici al 2050 del PEC vede da</w:t>
      </w:r>
      <w:r>
        <w:t xml:space="preserve"> una parte una riduzione del 30% dei consumi - questo anche grazie all'impiego di motori elettrici, notoriamente più efficienti rispetto ai motori a combustione interna - dall'altra un cambiamento drastico nelle fonti energetiche utilizzate, dove quella elettrica sarà nettamente preponderante.</w:t>
      </w:r>
    </w:p>
    <w:p w:rsidR="003135BC" w:rsidRDefault="003135BC" w:rsidP="003135BC"/>
    <w:p w:rsidR="003135BC" w:rsidRDefault="003135BC" w:rsidP="003135BC">
      <w:pPr>
        <w:rPr>
          <w:rFonts w:eastAsia="Calibri"/>
        </w:rPr>
      </w:pPr>
      <w:r w:rsidRPr="00710940">
        <w:rPr>
          <w:rFonts w:eastAsia="Calibri"/>
        </w:rPr>
        <w:t xml:space="preserve">Il </w:t>
      </w:r>
      <w:r w:rsidRPr="002A5B91">
        <w:rPr>
          <w:rFonts w:eastAsia="Calibri"/>
        </w:rPr>
        <w:t>Ticino è confrontato con una situazione di eccessivo traffico lungo la rete stradale - in particolare nelle ore di punta – che causa una forte pressione sull’ambiente (</w:t>
      </w:r>
      <w:r>
        <w:rPr>
          <w:rFonts w:eastAsia="Calibri"/>
        </w:rPr>
        <w:t>in particolare inquinamento dell'aria e ecce</w:t>
      </w:r>
      <w:r w:rsidRPr="002A5B91">
        <w:rPr>
          <w:rFonts w:eastAsia="Calibri"/>
        </w:rPr>
        <w:t>ssive immissioni foniche) e di riflesso sulla salute pubblica.</w:t>
      </w:r>
      <w:r>
        <w:rPr>
          <w:rFonts w:eastAsia="Calibri"/>
        </w:rPr>
        <w:t xml:space="preserve"> </w:t>
      </w:r>
      <w:r w:rsidRPr="002A5B91">
        <w:rPr>
          <w:rFonts w:eastAsia="Calibri"/>
        </w:rPr>
        <w:t>Occorre pertanto attuare una strategia, coerente e coordinata, di mobilità sostenibile, composta d</w:t>
      </w:r>
      <w:r>
        <w:rPr>
          <w:rFonts w:eastAsia="Calibri"/>
        </w:rPr>
        <w:t>a</w:t>
      </w:r>
      <w:r w:rsidRPr="002A5B91">
        <w:rPr>
          <w:rFonts w:eastAsia="Calibri"/>
        </w:rPr>
        <w:t xml:space="preserve"> più misure intersettoriali e complementari. Fra queste, rientrano ad esempio </w:t>
      </w:r>
      <w:r w:rsidRPr="003B6255">
        <w:rPr>
          <w:rFonts w:eastAsia="Calibri"/>
        </w:rPr>
        <w:t>la promozione di forme di mobilità alternative a basse emissioni</w:t>
      </w:r>
      <w:r w:rsidRPr="002A5B91">
        <w:rPr>
          <w:rFonts w:eastAsia="Calibri"/>
        </w:rPr>
        <w:t xml:space="preserve">, </w:t>
      </w:r>
      <w:r w:rsidRPr="00D80978">
        <w:rPr>
          <w:rFonts w:eastAsia="Calibri"/>
        </w:rPr>
        <w:t>il completamento della rete di percorsi ciclabili</w:t>
      </w:r>
      <w:r w:rsidRPr="002A5B91">
        <w:rPr>
          <w:rFonts w:eastAsia="Calibri"/>
        </w:rPr>
        <w:t xml:space="preserve"> </w:t>
      </w:r>
      <w:r>
        <w:rPr>
          <w:rFonts w:eastAsia="Calibri"/>
        </w:rPr>
        <w:t xml:space="preserve">e </w:t>
      </w:r>
      <w:r w:rsidRPr="002A5B91">
        <w:rPr>
          <w:rFonts w:eastAsia="Calibri"/>
        </w:rPr>
        <w:t>il miglioramento del trasporto pubblico</w:t>
      </w:r>
      <w:r>
        <w:rPr>
          <w:rFonts w:eastAsia="Calibri"/>
        </w:rPr>
        <w:t xml:space="preserve">. Per quest'ultimo va rimarcato che lo scrivente Consiglio ha già avviato i lavori per una strategia di progressivo abbandono della trazione diesel che </w:t>
      </w:r>
      <w:r w:rsidRPr="00C911C9">
        <w:rPr>
          <w:rFonts w:eastAsia="Calibri"/>
        </w:rPr>
        <w:t>passa, tra le altre, dall'elettrificazione</w:t>
      </w:r>
      <w:r>
        <w:rPr>
          <w:rFonts w:eastAsia="Calibri"/>
        </w:rPr>
        <w:t xml:space="preserve"> dei mezzi di trasporto pubblici tramite l'impiego di motori elettrici alimentati direttamente da batterie o, per il tramite di celle a combustibile, da idrogeno.</w:t>
      </w:r>
    </w:p>
    <w:p w:rsidR="003135BC" w:rsidRDefault="003135BC" w:rsidP="003135BC"/>
    <w:p w:rsidR="003135BC" w:rsidRDefault="003135BC" w:rsidP="003135BC">
      <w:pPr>
        <w:rPr>
          <w:rFonts w:cs="Arial"/>
          <w:lang w:val="it-CH"/>
        </w:rPr>
      </w:pPr>
      <w:r>
        <w:rPr>
          <w:rFonts w:cs="Arial"/>
          <w:lang w:val="it-CH"/>
        </w:rPr>
        <w:t xml:space="preserve">Con il "pacchetto ambiente", la cui prima parte legata all'energia e al clima composta dai messaggi </w:t>
      </w:r>
      <w:r w:rsidR="00FC4B09">
        <w:rPr>
          <w:rFonts w:cs="Arial"/>
          <w:lang w:val="it-CH"/>
        </w:rPr>
        <w:t xml:space="preserve">n. </w:t>
      </w:r>
      <w:r>
        <w:rPr>
          <w:rFonts w:cs="Arial"/>
          <w:lang w:val="it-CH"/>
        </w:rPr>
        <w:t>7894, 7895 e 7896 è stata presentata dal Consiglio di Stato il 1° ottobre 2020, si sono consolidati e aggiornati gli indirizzi della politica energetica e climatica cantonale. Il Gran Consiglio ha già deciso a favore di questa prima parte approvando, a larga maggioranza, tutti e i tre messaggi.</w:t>
      </w:r>
    </w:p>
    <w:p w:rsidR="003135BC" w:rsidRDefault="003135BC" w:rsidP="003135BC">
      <w:pPr>
        <w:rPr>
          <w:rFonts w:eastAsia="Calibri"/>
        </w:rPr>
      </w:pPr>
      <w:r>
        <w:rPr>
          <w:rFonts w:eastAsia="Calibri"/>
          <w:lang w:val="it-CH"/>
        </w:rPr>
        <w:t xml:space="preserve">Con particolare riferimento alla mobilità, </w:t>
      </w:r>
      <w:r>
        <w:rPr>
          <w:rFonts w:eastAsia="Calibri"/>
        </w:rPr>
        <w:t xml:space="preserve">il messaggio 7894 garantisce la continuità del Fondo per le energie </w:t>
      </w:r>
      <w:r w:rsidRPr="00C911C9">
        <w:rPr>
          <w:rFonts w:eastAsia="Calibri"/>
        </w:rPr>
        <w:t>rinnovabili, che permette ai Comuni di utilizzare i riversamenti a loro favore per promuovere e attuare una propria politica di mobilità sostenibile, mentre</w:t>
      </w:r>
      <w:r>
        <w:rPr>
          <w:rFonts w:eastAsia="Calibri"/>
        </w:rPr>
        <w:t xml:space="preserve"> il messaggio 7896 consolida gli indirizzi inserendo in legge l'esigenza di una pianificazione sostenibile della mobilità sia per gli enti pubblici che per quelli privati.</w:t>
      </w:r>
    </w:p>
    <w:p w:rsidR="003135BC" w:rsidRDefault="003135BC" w:rsidP="003135BC">
      <w:pPr>
        <w:rPr>
          <w:rFonts w:eastAsia="Calibri"/>
        </w:rPr>
      </w:pPr>
    </w:p>
    <w:p w:rsidR="003135BC" w:rsidRDefault="003135BC" w:rsidP="003135BC">
      <w:r>
        <w:rPr>
          <w:rFonts w:cs="Arial"/>
          <w:lang w:val="it-CH"/>
        </w:rPr>
        <w:t xml:space="preserve">La seconda parte del pacchetto ambiente, legata specificatamente alla mobilità sostenibile, è costituita </w:t>
      </w:r>
      <w:r w:rsidRPr="00157752">
        <w:rPr>
          <w:rFonts w:cs="Arial"/>
          <w:lang w:val="it-CH"/>
        </w:rPr>
        <w:t xml:space="preserve">dal messaggio </w:t>
      </w:r>
      <w:r w:rsidR="00FC4B09">
        <w:rPr>
          <w:rFonts w:cs="Arial"/>
          <w:lang w:val="it-CH"/>
        </w:rPr>
        <w:t xml:space="preserve">n. </w:t>
      </w:r>
      <w:r w:rsidRPr="00157752">
        <w:rPr>
          <w:rFonts w:cs="Arial"/>
          <w:lang w:val="it-CH"/>
        </w:rPr>
        <w:t xml:space="preserve">7953 del 20 gennaio 2021 </w:t>
      </w:r>
      <w:r>
        <w:rPr>
          <w:rFonts w:cs="Arial"/>
          <w:lang w:val="it-CH"/>
        </w:rPr>
        <w:t xml:space="preserve">sulla mobilità aziendale, attualmente al vaglio del Gran Consiglio, e dal presente messaggio: questi intendono dare continuità ai </w:t>
      </w:r>
      <w:r>
        <w:t xml:space="preserve">provvedimenti nel settore della mobilità già in fase attuativa, contenuti nel </w:t>
      </w:r>
      <w:r w:rsidRPr="00044C99">
        <w:t xml:space="preserve">messaggio </w:t>
      </w:r>
      <w:r w:rsidR="00FC4B09">
        <w:br/>
      </w:r>
      <w:r w:rsidRPr="00044C99">
        <w:t>n. 7106</w:t>
      </w:r>
      <w:r>
        <w:t xml:space="preserve"> del 8 luglio 2015</w:t>
      </w:r>
      <w:r w:rsidRPr="00044C99">
        <w:t xml:space="preserve">, </w:t>
      </w:r>
      <w:r>
        <w:t xml:space="preserve">approvato dal Gran Consiglio il 14 dicembre 2015, </w:t>
      </w:r>
      <w:r w:rsidRPr="00044C99">
        <w:t>che promuove gli interventi a favore di una mobilità aziendale sostenibile</w:t>
      </w:r>
      <w:r>
        <w:t xml:space="preserve"> (credito già esaurito) e nel messaggio </w:t>
      </w:r>
      <w:r w:rsidRPr="00985E07">
        <w:t>n. 7540 del 30 maggio 2018</w:t>
      </w:r>
      <w:r>
        <w:t>, approvato dal Gran Consiglio i</w:t>
      </w:r>
      <w:r w:rsidRPr="00985E07">
        <w:t>l 13 marzo 2019</w:t>
      </w:r>
      <w:r>
        <w:t>, grazie al quale si incentiva</w:t>
      </w:r>
      <w:r w:rsidRPr="00985E07">
        <w:t xml:space="preserve"> l’acquisto di veicoli elettrici e lo sviluppo dell’infrastruttura di ricarica elettrica domestica </w:t>
      </w:r>
      <w:r>
        <w:t>e sul posto di lavoro, il cui credito si esaurirà</w:t>
      </w:r>
      <w:r>
        <w:rPr>
          <w:rStyle w:val="Rimandonotaapidipagina"/>
        </w:rPr>
        <w:footnoteReference w:id="3"/>
      </w:r>
      <w:r>
        <w:t xml:space="preserve"> nel corso del 2021.</w:t>
      </w:r>
    </w:p>
    <w:p w:rsidR="003135BC" w:rsidRDefault="003135BC" w:rsidP="003135BC">
      <w:pPr>
        <w:rPr>
          <w:rFonts w:cs="Arial"/>
          <w:lang w:val="it-CH"/>
        </w:rPr>
      </w:pPr>
    </w:p>
    <w:p w:rsidR="003135BC" w:rsidRDefault="003135BC" w:rsidP="003135BC">
      <w:pPr>
        <w:rPr>
          <w:rFonts w:cs="Arial"/>
          <w:lang w:val="it-CH"/>
        </w:rPr>
      </w:pPr>
      <w:r w:rsidRPr="00157752">
        <w:rPr>
          <w:rFonts w:cs="Arial"/>
          <w:lang w:val="it-CH"/>
        </w:rPr>
        <w:t xml:space="preserve">L’attuazione congiunta </w:t>
      </w:r>
      <w:r>
        <w:rPr>
          <w:rFonts w:cs="Arial"/>
          <w:lang w:val="it-CH"/>
        </w:rPr>
        <w:t>dei</w:t>
      </w:r>
      <w:r w:rsidRPr="00157752">
        <w:rPr>
          <w:rFonts w:cs="Arial"/>
          <w:lang w:val="it-CH"/>
        </w:rPr>
        <w:t xml:space="preserve"> provvedimenti </w:t>
      </w:r>
      <w:r>
        <w:rPr>
          <w:rFonts w:cs="Arial"/>
          <w:lang w:val="it-CH"/>
        </w:rPr>
        <w:t xml:space="preserve">citati </w:t>
      </w:r>
      <w:r w:rsidRPr="00157752">
        <w:rPr>
          <w:rFonts w:cs="Arial"/>
          <w:lang w:val="it-CH"/>
        </w:rPr>
        <w:t>permetterà di fronteggiare le sfide che attendono il Cantone nel settore dell’energia e della politica climatica, il tutto nell’ottica di un sostegno all’economia locale, ma pure di un cambiamento verso un’economia strutturalmente più sostenibile.</w:t>
      </w:r>
    </w:p>
    <w:p w:rsidR="003135BC" w:rsidRPr="00710940" w:rsidRDefault="003135BC" w:rsidP="003135BC">
      <w:pPr>
        <w:spacing w:after="120"/>
        <w:rPr>
          <w:rFonts w:cs="Arial"/>
          <w:u w:val="single"/>
          <w:lang w:val="it-CH"/>
        </w:rPr>
      </w:pPr>
      <w:r w:rsidRPr="00710940">
        <w:rPr>
          <w:rFonts w:cs="Arial"/>
          <w:u w:val="single"/>
          <w:lang w:val="it-CH"/>
        </w:rPr>
        <w:lastRenderedPageBreak/>
        <w:t>Associazioni</w:t>
      </w:r>
    </w:p>
    <w:p w:rsidR="003135BC" w:rsidRDefault="003135BC" w:rsidP="003135BC">
      <w:pPr>
        <w:rPr>
          <w:rFonts w:cs="Arial"/>
          <w:lang w:val="it-CH"/>
        </w:rPr>
      </w:pPr>
      <w:r>
        <w:rPr>
          <w:rFonts w:cs="Arial"/>
          <w:lang w:val="it-CH"/>
        </w:rPr>
        <w:t xml:space="preserve">L'importanza data alla crescita dell'elettromobilità e al corretto sviluppo dell'infrastruttura di ricarica è confermata anche dall'impegno messo in atto dalla Società </w:t>
      </w:r>
      <w:r w:rsidRPr="00AD458C">
        <w:rPr>
          <w:rFonts w:cs="Arial"/>
          <w:lang w:val="it-CH"/>
        </w:rPr>
        <w:t xml:space="preserve">svizzera degli ingegneri e degli architetti </w:t>
      </w:r>
      <w:r>
        <w:rPr>
          <w:rFonts w:cs="Arial"/>
          <w:lang w:val="it-CH"/>
        </w:rPr>
        <w:t xml:space="preserve">(SIA), </w:t>
      </w:r>
      <w:r w:rsidRPr="00FE1FA0">
        <w:rPr>
          <w:rFonts w:cs="Arial"/>
          <w:lang w:val="it-CH"/>
        </w:rPr>
        <w:t>l'associazione professionale di riferimento per specialisti nell'ambito della costruzione, della tecnica e dell'ambiente</w:t>
      </w:r>
      <w:r>
        <w:rPr>
          <w:rFonts w:cs="Arial"/>
          <w:lang w:val="it-CH"/>
        </w:rPr>
        <w:t xml:space="preserve">, </w:t>
      </w:r>
      <w:r w:rsidRPr="00FE1FA0">
        <w:rPr>
          <w:rFonts w:cs="Arial"/>
          <w:lang w:val="it-CH"/>
        </w:rPr>
        <w:t>che si prefigge</w:t>
      </w:r>
      <w:r>
        <w:rPr>
          <w:rFonts w:cs="Arial"/>
          <w:lang w:val="it-CH"/>
        </w:rPr>
        <w:t>,</w:t>
      </w:r>
      <w:r w:rsidRPr="00FE1FA0">
        <w:rPr>
          <w:rFonts w:cs="Arial"/>
          <w:lang w:val="it-CH"/>
        </w:rPr>
        <w:t xml:space="preserve"> </w:t>
      </w:r>
      <w:r>
        <w:rPr>
          <w:rFonts w:cs="Arial"/>
          <w:lang w:val="it-CH"/>
        </w:rPr>
        <w:t xml:space="preserve">tramite le apposite pubblicazioni, </w:t>
      </w:r>
      <w:r w:rsidRPr="00FE1FA0">
        <w:rPr>
          <w:rFonts w:cs="Arial"/>
          <w:lang w:val="it-CH"/>
        </w:rPr>
        <w:t>di pianificare in modo sostenibile</w:t>
      </w:r>
      <w:r>
        <w:rPr>
          <w:rFonts w:cs="Arial"/>
          <w:lang w:val="it-CH"/>
        </w:rPr>
        <w:t xml:space="preserve"> conformemente allo stato dell’arte.</w:t>
      </w:r>
    </w:p>
    <w:p w:rsidR="003135BC" w:rsidRDefault="003135BC" w:rsidP="003135BC">
      <w:pPr>
        <w:rPr>
          <w:rFonts w:cs="Arial"/>
          <w:lang w:val="it-CH"/>
        </w:rPr>
      </w:pPr>
    </w:p>
    <w:p w:rsidR="003135BC" w:rsidRPr="00D86298" w:rsidRDefault="003135BC" w:rsidP="00E06AF4">
      <w:pPr>
        <w:rPr>
          <w:rFonts w:cs="Arial"/>
          <w:lang w:val="it-CH"/>
        </w:rPr>
      </w:pPr>
      <w:r>
        <w:rPr>
          <w:rFonts w:cs="Arial"/>
          <w:lang w:val="it-CH"/>
        </w:rPr>
        <w:t xml:space="preserve">Nell'ambito dell'elettromobilità la SIA ha pubblicato il </w:t>
      </w:r>
      <w:r w:rsidRPr="00D86298">
        <w:rPr>
          <w:rFonts w:cs="Arial"/>
          <w:lang w:val="it-CH"/>
        </w:rPr>
        <w:t xml:space="preserve">1° giugno 2020 il nuovo quaderno tecnico SIA 2060 “Infrastruttura per veicoli elettrici negli edifici”. Con questa </w:t>
      </w:r>
      <w:r>
        <w:rPr>
          <w:rFonts w:cs="Arial"/>
          <w:lang w:val="it-CH"/>
        </w:rPr>
        <w:t xml:space="preserve">prima pubblicazione legata a questo tema </w:t>
      </w:r>
      <w:r w:rsidRPr="00D86298">
        <w:rPr>
          <w:rFonts w:cs="Arial"/>
          <w:lang w:val="it-CH"/>
        </w:rPr>
        <w:t xml:space="preserve">la SIA affronta </w:t>
      </w:r>
      <w:r>
        <w:rPr>
          <w:rFonts w:cs="Arial"/>
          <w:lang w:val="it-CH"/>
        </w:rPr>
        <w:t>la</w:t>
      </w:r>
      <w:r w:rsidRPr="00D86298">
        <w:rPr>
          <w:rFonts w:cs="Arial"/>
          <w:lang w:val="it-CH"/>
        </w:rPr>
        <w:t xml:space="preserve"> mobilità elettrica in relazione agli edifici</w:t>
      </w:r>
      <w:r>
        <w:rPr>
          <w:rFonts w:cs="Arial"/>
          <w:lang w:val="it-CH"/>
        </w:rPr>
        <w:t xml:space="preserve"> toccando tutte le fasi di progettazione, dalla pianificazione strategica alla realizzazione, fino alla gestione del carico di richiesta di potenza elettrica dei veicoli in carica. Tramite questo nuovo strumento si gettano le basi per definire </w:t>
      </w:r>
      <w:r w:rsidRPr="00D86298">
        <w:rPr>
          <w:rFonts w:cs="Arial"/>
          <w:lang w:val="it-CH"/>
        </w:rPr>
        <w:t xml:space="preserve">una progettazione corretta e sostenibile delle stazioni di ricarica per veicoli a 2 e 4 ruote </w:t>
      </w:r>
      <w:r>
        <w:rPr>
          <w:rFonts w:cs="Arial"/>
          <w:lang w:val="it-CH"/>
        </w:rPr>
        <w:t>negli edifici</w:t>
      </w:r>
      <w:r w:rsidRPr="00D86298">
        <w:rPr>
          <w:rFonts w:cs="Arial"/>
          <w:lang w:val="it-CH"/>
        </w:rPr>
        <w:t>.</w:t>
      </w:r>
    </w:p>
    <w:p w:rsidR="00FC4B09" w:rsidRDefault="00FC4B09" w:rsidP="003135BC">
      <w:pPr>
        <w:rPr>
          <w:rFonts w:cs="Arial"/>
          <w:lang w:val="it-CH"/>
        </w:rPr>
      </w:pPr>
    </w:p>
    <w:p w:rsidR="00E06AF4" w:rsidRDefault="00E06AF4" w:rsidP="003135BC">
      <w:pPr>
        <w:rPr>
          <w:rFonts w:cs="Arial"/>
          <w:lang w:val="it-CH"/>
        </w:rPr>
      </w:pPr>
    </w:p>
    <w:p w:rsidR="003135BC" w:rsidRPr="00AA5025" w:rsidRDefault="003135BC" w:rsidP="003135BC">
      <w:pPr>
        <w:spacing w:after="120"/>
        <w:rPr>
          <w:rFonts w:cs="Arial"/>
          <w:u w:val="single"/>
          <w:lang w:val="it-CH"/>
        </w:rPr>
      </w:pPr>
      <w:r w:rsidRPr="00AA5025">
        <w:rPr>
          <w:rFonts w:cs="Arial"/>
          <w:u w:val="single"/>
          <w:lang w:val="it-CH"/>
        </w:rPr>
        <w:t>Stato del parco veicoli elettrici in Ticino</w:t>
      </w:r>
    </w:p>
    <w:p w:rsidR="003135BC" w:rsidRDefault="003135BC" w:rsidP="003135BC">
      <w:pPr>
        <w:rPr>
          <w:rFonts w:cs="Arial"/>
        </w:rPr>
      </w:pPr>
      <w:r>
        <w:rPr>
          <w:rFonts w:cs="Arial"/>
        </w:rPr>
        <w:t>Secondo i dati statistici la quota di nuove immatricolazioni di automobili a propulsione elettrica e ibrida</w:t>
      </w:r>
      <w:r w:rsidRPr="006072C8">
        <w:rPr>
          <w:rStyle w:val="Rimandonotaapidipagina"/>
          <w:rFonts w:cs="Arial"/>
          <w:sz w:val="20"/>
        </w:rPr>
        <w:footnoteReference w:id="4"/>
      </w:r>
      <w:r>
        <w:rPr>
          <w:rFonts w:cs="Arial"/>
        </w:rPr>
        <w:t xml:space="preserve"> nel nostro Cantone è in continuo aumento. Nel 2019 è stata superata la soglia del 10%, per arrivare al 24.8% nel 2020. Questa quota è composta dal 18.8% di auto ibride e dal 5.9% di auto totalmente elettriche.</w:t>
      </w:r>
    </w:p>
    <w:p w:rsidR="003135BC" w:rsidRDefault="003135BC" w:rsidP="00E06AF4">
      <w:pPr>
        <w:rPr>
          <w:rFonts w:cs="Arial"/>
          <w:lang w:val="it-CH"/>
        </w:rPr>
      </w:pPr>
      <w:r>
        <w:rPr>
          <w:rFonts w:cs="Arial"/>
        </w:rPr>
        <w:t xml:space="preserve">Per i soli veicoli elettrici, il notevole incremento dell’ultimo biennio (+152%) può essere attribuito in buona parte agli incentivi cantonali </w:t>
      </w:r>
      <w:r>
        <w:rPr>
          <w:rFonts w:cs="Arial"/>
          <w:lang w:val="it-CH"/>
        </w:rPr>
        <w:t xml:space="preserve">a favore dell’acquisto di auto elettriche e dell’installazione di stazioni di ricarica, il cui decreto legislativo è stato licenziato con il messaggio </w:t>
      </w:r>
      <w:r w:rsidR="00FC4B09">
        <w:rPr>
          <w:rFonts w:cs="Arial"/>
          <w:lang w:val="it-CH"/>
        </w:rPr>
        <w:t xml:space="preserve">n. </w:t>
      </w:r>
      <w:r>
        <w:rPr>
          <w:rFonts w:cs="Arial"/>
          <w:lang w:val="it-CH"/>
        </w:rPr>
        <w:t>7540 del 30 maggio 2018 e di cui ne viene in seguito riportato un bilancio sintetico.</w:t>
      </w:r>
    </w:p>
    <w:p w:rsidR="003135BC" w:rsidRDefault="003135BC" w:rsidP="003135BC">
      <w:pPr>
        <w:rPr>
          <w:rFonts w:cs="Arial"/>
        </w:rPr>
      </w:pPr>
    </w:p>
    <w:tbl>
      <w:tblPr>
        <w:tblW w:w="9327" w:type="dxa"/>
        <w:tblInd w:w="55" w:type="dxa"/>
        <w:tblCellMar>
          <w:left w:w="70" w:type="dxa"/>
          <w:right w:w="70" w:type="dxa"/>
        </w:tblCellMar>
        <w:tblLook w:val="04A0" w:firstRow="1" w:lastRow="0" w:firstColumn="1" w:lastColumn="0" w:noHBand="0" w:noVBand="1"/>
      </w:tblPr>
      <w:tblGrid>
        <w:gridCol w:w="1291"/>
        <w:gridCol w:w="734"/>
        <w:gridCol w:w="562"/>
        <w:gridCol w:w="734"/>
        <w:gridCol w:w="562"/>
        <w:gridCol w:w="734"/>
        <w:gridCol w:w="562"/>
        <w:gridCol w:w="734"/>
        <w:gridCol w:w="562"/>
        <w:gridCol w:w="734"/>
        <w:gridCol w:w="692"/>
        <w:gridCol w:w="734"/>
        <w:gridCol w:w="692"/>
      </w:tblGrid>
      <w:tr w:rsidR="003135BC" w:rsidRPr="0043758C" w:rsidTr="00FC4B09">
        <w:trPr>
          <w:trHeight w:val="315"/>
        </w:trPr>
        <w:tc>
          <w:tcPr>
            <w:tcW w:w="932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Nuove immatricolazioni di automobili</w:t>
            </w:r>
            <w:r>
              <w:rPr>
                <w:rFonts w:cs="Arial"/>
                <w:b/>
                <w:bCs/>
                <w:sz w:val="18"/>
                <w:lang w:val="it-CH" w:eastAsia="it-CH"/>
              </w:rPr>
              <w:t xml:space="preserve"> in Ticino</w:t>
            </w:r>
          </w:p>
        </w:tc>
      </w:tr>
      <w:tr w:rsidR="003135BC" w:rsidRPr="0043758C" w:rsidTr="00FC4B09">
        <w:trPr>
          <w:trHeight w:val="300"/>
        </w:trPr>
        <w:tc>
          <w:tcPr>
            <w:tcW w:w="1291" w:type="dxa"/>
            <w:tcBorders>
              <w:top w:val="nil"/>
              <w:left w:val="single" w:sz="4" w:space="0" w:color="auto"/>
              <w:bottom w:val="single" w:sz="4" w:space="0" w:color="auto"/>
              <w:right w:val="nil"/>
            </w:tcBorders>
            <w:shd w:val="clear" w:color="auto" w:fill="auto"/>
            <w:noWrap/>
            <w:vAlign w:val="center"/>
            <w:hideMark/>
          </w:tcPr>
          <w:p w:rsidR="003135BC" w:rsidRPr="0043758C" w:rsidRDefault="003135BC" w:rsidP="003135BC">
            <w:pPr>
              <w:jc w:val="center"/>
              <w:rPr>
                <w:rFonts w:cs="Arial"/>
                <w:sz w:val="18"/>
                <w:lang w:val="it-CH" w:eastAsia="it-CH"/>
              </w:rPr>
            </w:pPr>
            <w:r>
              <w:rPr>
                <w:rFonts w:cs="Arial"/>
                <w:sz w:val="18"/>
                <w:lang w:val="it-CH" w:eastAsia="it-CH"/>
              </w:rPr>
              <w:t>P</w:t>
            </w:r>
            <w:r w:rsidRPr="0043758C">
              <w:rPr>
                <w:rFonts w:cs="Arial"/>
                <w:sz w:val="18"/>
                <w:lang w:val="it-CH" w:eastAsia="it-CH"/>
              </w:rPr>
              <w:t>ropulsione</w:t>
            </w:r>
          </w:p>
        </w:tc>
        <w:tc>
          <w:tcPr>
            <w:tcW w:w="12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2015</w:t>
            </w:r>
          </w:p>
        </w:tc>
        <w:tc>
          <w:tcPr>
            <w:tcW w:w="12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2016</w:t>
            </w:r>
          </w:p>
        </w:tc>
        <w:tc>
          <w:tcPr>
            <w:tcW w:w="12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2017</w:t>
            </w:r>
          </w:p>
        </w:tc>
        <w:tc>
          <w:tcPr>
            <w:tcW w:w="12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2018</w:t>
            </w:r>
          </w:p>
        </w:tc>
        <w:tc>
          <w:tcPr>
            <w:tcW w:w="14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2019</w:t>
            </w:r>
          </w:p>
        </w:tc>
        <w:tc>
          <w:tcPr>
            <w:tcW w:w="14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lang w:val="it-CH" w:eastAsia="it-CH"/>
              </w:rPr>
            </w:pPr>
            <w:r w:rsidRPr="0043758C">
              <w:rPr>
                <w:rFonts w:cs="Arial"/>
                <w:b/>
                <w:bCs/>
                <w:sz w:val="18"/>
                <w:lang w:val="it-CH" w:eastAsia="it-CH"/>
              </w:rPr>
              <w:t>2020</w:t>
            </w:r>
          </w:p>
        </w:tc>
      </w:tr>
      <w:tr w:rsidR="003135BC" w:rsidRPr="0043758C" w:rsidTr="00FC4B09">
        <w:trPr>
          <w:trHeight w:val="315"/>
        </w:trPr>
        <w:tc>
          <w:tcPr>
            <w:tcW w:w="1291"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Elettrico</w:t>
            </w:r>
          </w:p>
        </w:tc>
        <w:tc>
          <w:tcPr>
            <w:tcW w:w="734"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155</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0.6%</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137</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0.6%</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154</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0.7%</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173</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0.9%</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515</w:t>
            </w:r>
          </w:p>
        </w:tc>
        <w:tc>
          <w:tcPr>
            <w:tcW w:w="69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2.7%</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906</w:t>
            </w:r>
          </w:p>
        </w:tc>
        <w:tc>
          <w:tcPr>
            <w:tcW w:w="69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5.9%</w:t>
            </w:r>
          </w:p>
        </w:tc>
      </w:tr>
      <w:tr w:rsidR="003135BC" w:rsidRPr="0043758C" w:rsidTr="00FC4B09">
        <w:trPr>
          <w:trHeight w:val="315"/>
        </w:trPr>
        <w:tc>
          <w:tcPr>
            <w:tcW w:w="1291"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Ibrido</w:t>
            </w:r>
          </w:p>
        </w:tc>
        <w:tc>
          <w:tcPr>
            <w:tcW w:w="734"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842</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3.5%</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964</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4.1%</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989</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4.5%</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1'173</w:t>
            </w:r>
          </w:p>
        </w:tc>
        <w:tc>
          <w:tcPr>
            <w:tcW w:w="56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5.9%</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1'677</w:t>
            </w:r>
          </w:p>
        </w:tc>
        <w:tc>
          <w:tcPr>
            <w:tcW w:w="69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8.7%</w:t>
            </w:r>
          </w:p>
        </w:tc>
        <w:tc>
          <w:tcPr>
            <w:tcW w:w="734"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2'888</w:t>
            </w:r>
          </w:p>
        </w:tc>
        <w:tc>
          <w:tcPr>
            <w:tcW w:w="692"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lang w:val="it-CH" w:eastAsia="it-CH"/>
              </w:rPr>
            </w:pPr>
            <w:r w:rsidRPr="0043758C">
              <w:rPr>
                <w:rFonts w:cs="Arial"/>
                <w:sz w:val="18"/>
                <w:lang w:val="it-CH" w:eastAsia="it-CH"/>
              </w:rPr>
              <w:t>18.8%</w:t>
            </w:r>
          </w:p>
        </w:tc>
      </w:tr>
      <w:tr w:rsidR="003135BC" w:rsidRPr="0043758C" w:rsidTr="00FC4B09">
        <w:trPr>
          <w:trHeight w:val="315"/>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Totale</w:t>
            </w:r>
          </w:p>
        </w:tc>
        <w:tc>
          <w:tcPr>
            <w:tcW w:w="734" w:type="dxa"/>
            <w:tcBorders>
              <w:top w:val="single" w:sz="4" w:space="0" w:color="auto"/>
              <w:left w:val="single" w:sz="4" w:space="0" w:color="auto"/>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24'325</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4.1%</w:t>
            </w:r>
          </w:p>
        </w:tc>
        <w:tc>
          <w:tcPr>
            <w:tcW w:w="734" w:type="dxa"/>
            <w:tcBorders>
              <w:top w:val="single" w:sz="4" w:space="0" w:color="auto"/>
              <w:left w:val="nil"/>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23'537</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4.7%</w:t>
            </w:r>
          </w:p>
        </w:tc>
        <w:tc>
          <w:tcPr>
            <w:tcW w:w="734" w:type="dxa"/>
            <w:tcBorders>
              <w:top w:val="single" w:sz="4" w:space="0" w:color="auto"/>
              <w:left w:val="nil"/>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22'217</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5.1%</w:t>
            </w:r>
          </w:p>
        </w:tc>
        <w:tc>
          <w:tcPr>
            <w:tcW w:w="734" w:type="dxa"/>
            <w:tcBorders>
              <w:top w:val="single" w:sz="4" w:space="0" w:color="auto"/>
              <w:left w:val="nil"/>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19'957</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6.7%</w:t>
            </w:r>
          </w:p>
        </w:tc>
        <w:tc>
          <w:tcPr>
            <w:tcW w:w="734" w:type="dxa"/>
            <w:tcBorders>
              <w:top w:val="single" w:sz="4" w:space="0" w:color="auto"/>
              <w:left w:val="nil"/>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19'320</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11.3%</w:t>
            </w:r>
          </w:p>
        </w:tc>
        <w:tc>
          <w:tcPr>
            <w:tcW w:w="734" w:type="dxa"/>
            <w:tcBorders>
              <w:top w:val="single" w:sz="4" w:space="0" w:color="auto"/>
              <w:left w:val="nil"/>
              <w:bottom w:val="single" w:sz="4" w:space="0" w:color="auto"/>
              <w:right w:val="nil"/>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15'324</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3135BC" w:rsidRPr="0043758C" w:rsidRDefault="003135BC" w:rsidP="003135BC">
            <w:pPr>
              <w:jc w:val="center"/>
              <w:rPr>
                <w:rFonts w:cs="Arial"/>
                <w:b/>
                <w:bCs/>
                <w:i/>
                <w:iCs/>
                <w:sz w:val="18"/>
                <w:lang w:val="it-CH" w:eastAsia="it-CH"/>
              </w:rPr>
            </w:pPr>
            <w:r w:rsidRPr="0043758C">
              <w:rPr>
                <w:rFonts w:cs="Arial"/>
                <w:b/>
                <w:bCs/>
                <w:i/>
                <w:iCs/>
                <w:sz w:val="18"/>
                <w:lang w:val="it-CH" w:eastAsia="it-CH"/>
              </w:rPr>
              <w:t>24.8%</w:t>
            </w:r>
          </w:p>
        </w:tc>
      </w:tr>
    </w:tbl>
    <w:p w:rsidR="003135BC" w:rsidRDefault="003135BC" w:rsidP="00E06AF4">
      <w:pPr>
        <w:spacing w:after="120"/>
        <w:rPr>
          <w:rFonts w:cs="Arial"/>
        </w:rPr>
      </w:pPr>
    </w:p>
    <w:p w:rsidR="003135BC" w:rsidRDefault="003135BC" w:rsidP="00E06AF4">
      <w:pPr>
        <w:rPr>
          <w:rFonts w:cs="Arial"/>
        </w:rPr>
      </w:pPr>
      <w:r>
        <w:rPr>
          <w:rFonts w:cs="Arial"/>
        </w:rPr>
        <w:t>Benché circolino sempre più veicoli elettrici sul nostro territorio, è importante notare che se la percentuale di nuove immatricolazioni di auto ibride tra Ticino e Svizzera è simile, quella per le automobili elettriche in Ticino è invece sempre minore rispetto alla quota nazionale. Per l’anno appena trascorso la quota svizzera era infatti dell’8.2%, mentre quella ticinese del 5.9%, posizionando il nostro Cantone in quart’ultima posizione rispetto agli altri Cantoni.</w:t>
      </w:r>
    </w:p>
    <w:p w:rsidR="003135BC" w:rsidRDefault="003135BC" w:rsidP="003135BC">
      <w:pPr>
        <w:rPr>
          <w:rFonts w:cs="Arial"/>
        </w:rPr>
      </w:pPr>
    </w:p>
    <w:tbl>
      <w:tblPr>
        <w:tblW w:w="9791" w:type="dxa"/>
        <w:tblInd w:w="55" w:type="dxa"/>
        <w:tblCellMar>
          <w:left w:w="70" w:type="dxa"/>
          <w:right w:w="70" w:type="dxa"/>
        </w:tblCellMar>
        <w:tblLook w:val="04A0" w:firstRow="1" w:lastRow="0" w:firstColumn="1" w:lastColumn="0" w:noHBand="0" w:noVBand="1"/>
      </w:tblPr>
      <w:tblGrid>
        <w:gridCol w:w="1149"/>
        <w:gridCol w:w="846"/>
        <w:gridCol w:w="552"/>
        <w:gridCol w:w="846"/>
        <w:gridCol w:w="552"/>
        <w:gridCol w:w="846"/>
        <w:gridCol w:w="552"/>
        <w:gridCol w:w="846"/>
        <w:gridCol w:w="552"/>
        <w:gridCol w:w="846"/>
        <w:gridCol w:w="679"/>
        <w:gridCol w:w="846"/>
        <w:gridCol w:w="679"/>
      </w:tblGrid>
      <w:tr w:rsidR="003135BC" w:rsidRPr="00A3593C" w:rsidTr="00FC4B09">
        <w:trPr>
          <w:trHeight w:val="315"/>
        </w:trPr>
        <w:tc>
          <w:tcPr>
            <w:tcW w:w="979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 xml:space="preserve">Nuove </w:t>
            </w:r>
            <w:r>
              <w:rPr>
                <w:rFonts w:cs="Arial"/>
                <w:b/>
                <w:bCs/>
                <w:sz w:val="18"/>
                <w:szCs w:val="18"/>
                <w:lang w:val="it-CH" w:eastAsia="it-CH"/>
              </w:rPr>
              <w:t xml:space="preserve">immatricolazioni di automobili </w:t>
            </w:r>
            <w:r w:rsidRPr="00A3593C">
              <w:rPr>
                <w:rFonts w:cs="Arial"/>
                <w:b/>
                <w:bCs/>
                <w:sz w:val="18"/>
                <w:szCs w:val="18"/>
                <w:lang w:val="it-CH" w:eastAsia="it-CH"/>
              </w:rPr>
              <w:t>in Svizzera</w:t>
            </w:r>
            <w:r>
              <w:rPr>
                <w:rStyle w:val="Rimandonotaapidipagina"/>
                <w:rFonts w:cs="Arial"/>
                <w:bCs/>
                <w:sz w:val="18"/>
                <w:szCs w:val="18"/>
                <w:lang w:val="it-CH" w:eastAsia="it-CH"/>
              </w:rPr>
              <w:footnoteReference w:id="5"/>
            </w:r>
          </w:p>
        </w:tc>
      </w:tr>
      <w:tr w:rsidR="003135BC" w:rsidRPr="00A3593C" w:rsidTr="00FC4B09">
        <w:trPr>
          <w:trHeight w:val="300"/>
        </w:trPr>
        <w:tc>
          <w:tcPr>
            <w:tcW w:w="1149" w:type="dxa"/>
            <w:tcBorders>
              <w:top w:val="nil"/>
              <w:left w:val="single" w:sz="4" w:space="0" w:color="auto"/>
              <w:bottom w:val="single" w:sz="4" w:space="0" w:color="auto"/>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Propulsione</w:t>
            </w:r>
          </w:p>
        </w:tc>
        <w:tc>
          <w:tcPr>
            <w:tcW w:w="13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2015</w:t>
            </w:r>
          </w:p>
        </w:tc>
        <w:tc>
          <w:tcPr>
            <w:tcW w:w="1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2016</w:t>
            </w:r>
          </w:p>
        </w:tc>
        <w:tc>
          <w:tcPr>
            <w:tcW w:w="1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2017</w:t>
            </w:r>
          </w:p>
        </w:tc>
        <w:tc>
          <w:tcPr>
            <w:tcW w:w="1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2018</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2019</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A3593C" w:rsidRDefault="003135BC" w:rsidP="003135BC">
            <w:pPr>
              <w:jc w:val="center"/>
              <w:rPr>
                <w:rFonts w:cs="Arial"/>
                <w:b/>
                <w:bCs/>
                <w:sz w:val="18"/>
                <w:szCs w:val="18"/>
                <w:lang w:val="it-CH" w:eastAsia="it-CH"/>
              </w:rPr>
            </w:pPr>
            <w:r w:rsidRPr="00A3593C">
              <w:rPr>
                <w:rFonts w:cs="Arial"/>
                <w:b/>
                <w:bCs/>
                <w:sz w:val="18"/>
                <w:szCs w:val="18"/>
                <w:lang w:val="it-CH" w:eastAsia="it-CH"/>
              </w:rPr>
              <w:t>2020</w:t>
            </w:r>
          </w:p>
        </w:tc>
      </w:tr>
      <w:tr w:rsidR="003135BC" w:rsidRPr="00A3593C" w:rsidTr="00FC4B09">
        <w:trPr>
          <w:trHeight w:val="315"/>
        </w:trPr>
        <w:tc>
          <w:tcPr>
            <w:tcW w:w="1149" w:type="dxa"/>
            <w:tcBorders>
              <w:top w:val="nil"/>
              <w:left w:val="single" w:sz="4" w:space="0" w:color="auto"/>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Elettrico</w:t>
            </w:r>
          </w:p>
        </w:tc>
        <w:tc>
          <w:tcPr>
            <w:tcW w:w="846" w:type="dxa"/>
            <w:tcBorders>
              <w:top w:val="nil"/>
              <w:left w:val="single" w:sz="4" w:space="0" w:color="auto"/>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3'213</w:t>
            </w:r>
          </w:p>
        </w:tc>
        <w:tc>
          <w:tcPr>
            <w:tcW w:w="552"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1.0%</w:t>
            </w:r>
          </w:p>
        </w:tc>
        <w:tc>
          <w:tcPr>
            <w:tcW w:w="846" w:type="dxa"/>
            <w:tcBorders>
              <w:top w:val="nil"/>
              <w:left w:val="nil"/>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3'236</w:t>
            </w:r>
          </w:p>
        </w:tc>
        <w:tc>
          <w:tcPr>
            <w:tcW w:w="552"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1.1%</w:t>
            </w:r>
          </w:p>
        </w:tc>
        <w:tc>
          <w:tcPr>
            <w:tcW w:w="846" w:type="dxa"/>
            <w:tcBorders>
              <w:top w:val="nil"/>
              <w:left w:val="nil"/>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4'697</w:t>
            </w:r>
          </w:p>
        </w:tc>
        <w:tc>
          <w:tcPr>
            <w:tcW w:w="552"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1.5%</w:t>
            </w:r>
          </w:p>
        </w:tc>
        <w:tc>
          <w:tcPr>
            <w:tcW w:w="846" w:type="dxa"/>
            <w:tcBorders>
              <w:top w:val="nil"/>
              <w:left w:val="nil"/>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5'041</w:t>
            </w:r>
          </w:p>
        </w:tc>
        <w:tc>
          <w:tcPr>
            <w:tcW w:w="552"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1.7%</w:t>
            </w:r>
          </w:p>
        </w:tc>
        <w:tc>
          <w:tcPr>
            <w:tcW w:w="846" w:type="dxa"/>
            <w:tcBorders>
              <w:top w:val="nil"/>
              <w:left w:val="nil"/>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12'991</w:t>
            </w:r>
          </w:p>
        </w:tc>
        <w:tc>
          <w:tcPr>
            <w:tcW w:w="679"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4.2%</w:t>
            </w:r>
          </w:p>
        </w:tc>
        <w:tc>
          <w:tcPr>
            <w:tcW w:w="846" w:type="dxa"/>
            <w:tcBorders>
              <w:top w:val="nil"/>
              <w:left w:val="nil"/>
              <w:bottom w:val="nil"/>
              <w:right w:val="nil"/>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19'163</w:t>
            </w:r>
          </w:p>
        </w:tc>
        <w:tc>
          <w:tcPr>
            <w:tcW w:w="679" w:type="dxa"/>
            <w:tcBorders>
              <w:top w:val="nil"/>
              <w:left w:val="nil"/>
              <w:bottom w:val="nil"/>
              <w:right w:val="single" w:sz="4" w:space="0" w:color="auto"/>
            </w:tcBorders>
            <w:shd w:val="clear" w:color="auto" w:fill="auto"/>
            <w:noWrap/>
            <w:vAlign w:val="center"/>
            <w:hideMark/>
          </w:tcPr>
          <w:p w:rsidR="003135BC" w:rsidRPr="00A3593C" w:rsidRDefault="003135BC" w:rsidP="003135BC">
            <w:pPr>
              <w:jc w:val="center"/>
              <w:rPr>
                <w:rFonts w:cs="Arial"/>
                <w:sz w:val="18"/>
                <w:szCs w:val="18"/>
                <w:lang w:val="it-CH" w:eastAsia="it-CH"/>
              </w:rPr>
            </w:pPr>
            <w:r w:rsidRPr="00A3593C">
              <w:rPr>
                <w:rFonts w:cs="Arial"/>
                <w:sz w:val="18"/>
                <w:szCs w:val="18"/>
                <w:lang w:val="it-CH" w:eastAsia="it-CH"/>
              </w:rPr>
              <w:t>8.2%</w:t>
            </w:r>
          </w:p>
        </w:tc>
      </w:tr>
      <w:tr w:rsidR="003135BC" w:rsidRPr="00A3593C" w:rsidTr="00FC4B09">
        <w:trPr>
          <w:trHeight w:val="315"/>
        </w:trPr>
        <w:tc>
          <w:tcPr>
            <w:tcW w:w="1149" w:type="dxa"/>
            <w:tcBorders>
              <w:top w:val="nil"/>
              <w:left w:val="single" w:sz="4" w:space="0" w:color="auto"/>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Ibrido</w:t>
            </w:r>
            <w:r w:rsidRPr="00710940">
              <w:rPr>
                <w:rFonts w:cs="Arial"/>
                <w:sz w:val="18"/>
                <w:szCs w:val="18"/>
                <w:vertAlign w:val="superscript"/>
                <w:lang w:val="it-CH" w:eastAsia="it-CH"/>
              </w:rPr>
              <w:t>8</w:t>
            </w:r>
          </w:p>
        </w:tc>
        <w:tc>
          <w:tcPr>
            <w:tcW w:w="846" w:type="dxa"/>
            <w:tcBorders>
              <w:top w:val="nil"/>
              <w:left w:val="single" w:sz="4" w:space="0" w:color="auto"/>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7'040</w:t>
            </w:r>
          </w:p>
        </w:tc>
        <w:tc>
          <w:tcPr>
            <w:tcW w:w="552"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2.3%</w:t>
            </w:r>
          </w:p>
        </w:tc>
        <w:tc>
          <w:tcPr>
            <w:tcW w:w="846"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10'585</w:t>
            </w:r>
          </w:p>
        </w:tc>
        <w:tc>
          <w:tcPr>
            <w:tcW w:w="552"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3.4%</w:t>
            </w:r>
          </w:p>
        </w:tc>
        <w:tc>
          <w:tcPr>
            <w:tcW w:w="846"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11'807</w:t>
            </w:r>
          </w:p>
        </w:tc>
        <w:tc>
          <w:tcPr>
            <w:tcW w:w="552"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3.8%</w:t>
            </w:r>
          </w:p>
        </w:tc>
        <w:tc>
          <w:tcPr>
            <w:tcW w:w="846"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15'379</w:t>
            </w:r>
          </w:p>
        </w:tc>
        <w:tc>
          <w:tcPr>
            <w:tcW w:w="552"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5.2%</w:t>
            </w:r>
          </w:p>
        </w:tc>
        <w:tc>
          <w:tcPr>
            <w:tcW w:w="846"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25'849</w:t>
            </w:r>
          </w:p>
        </w:tc>
        <w:tc>
          <w:tcPr>
            <w:tcW w:w="67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8.4%</w:t>
            </w:r>
          </w:p>
        </w:tc>
        <w:tc>
          <w:tcPr>
            <w:tcW w:w="846"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45'825</w:t>
            </w:r>
          </w:p>
        </w:tc>
        <w:tc>
          <w:tcPr>
            <w:tcW w:w="67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19.7%</w:t>
            </w:r>
          </w:p>
        </w:tc>
      </w:tr>
      <w:tr w:rsidR="003135BC" w:rsidRPr="00A3593C" w:rsidTr="00FC4B09">
        <w:trPr>
          <w:trHeight w:val="315"/>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Totale (approx.)</w:t>
            </w:r>
          </w:p>
        </w:tc>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312'000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3.3%</w:t>
            </w:r>
          </w:p>
        </w:tc>
        <w:tc>
          <w:tcPr>
            <w:tcW w:w="846"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308'000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4.5%</w:t>
            </w:r>
          </w:p>
        </w:tc>
        <w:tc>
          <w:tcPr>
            <w:tcW w:w="846"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307'000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5.4%</w:t>
            </w:r>
          </w:p>
        </w:tc>
        <w:tc>
          <w:tcPr>
            <w:tcW w:w="846"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293'000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7.0%</w:t>
            </w:r>
          </w:p>
        </w:tc>
        <w:tc>
          <w:tcPr>
            <w:tcW w:w="846"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306'000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12.7%</w:t>
            </w:r>
          </w:p>
        </w:tc>
        <w:tc>
          <w:tcPr>
            <w:tcW w:w="846"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233'000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27.9%</w:t>
            </w:r>
          </w:p>
        </w:tc>
      </w:tr>
    </w:tbl>
    <w:p w:rsidR="003135BC" w:rsidRDefault="003135BC" w:rsidP="003135BC">
      <w:pPr>
        <w:rPr>
          <w:rFonts w:cs="Arial"/>
        </w:rPr>
      </w:pPr>
    </w:p>
    <w:p w:rsidR="003135BC" w:rsidRDefault="003135BC" w:rsidP="00E06AF4">
      <w:pPr>
        <w:rPr>
          <w:rFonts w:cs="Arial"/>
        </w:rPr>
      </w:pPr>
      <w:r>
        <w:rPr>
          <w:rFonts w:cs="Arial"/>
        </w:rPr>
        <w:lastRenderedPageBreak/>
        <w:t>È bene anche considerare che nonostante ci sia stato un aumento del 152% di immatricolazioni di automobili elettriche in Ticino, queste costituiscono meno dell’1% rispetto al totale del parco automobili in circolazione a fine 2020.</w:t>
      </w:r>
    </w:p>
    <w:p w:rsidR="003135BC" w:rsidRDefault="003135BC" w:rsidP="003135BC">
      <w:pPr>
        <w:rPr>
          <w:rFonts w:cs="Arial"/>
        </w:rPr>
      </w:pPr>
    </w:p>
    <w:tbl>
      <w:tblPr>
        <w:tblW w:w="6580" w:type="dxa"/>
        <w:tblInd w:w="55" w:type="dxa"/>
        <w:tblCellMar>
          <w:left w:w="70" w:type="dxa"/>
          <w:right w:w="70" w:type="dxa"/>
        </w:tblCellMar>
        <w:tblLook w:val="04A0" w:firstRow="1" w:lastRow="0" w:firstColumn="1" w:lastColumn="0" w:noHBand="0" w:noVBand="1"/>
      </w:tblPr>
      <w:tblGrid>
        <w:gridCol w:w="2494"/>
        <w:gridCol w:w="1235"/>
        <w:gridCol w:w="808"/>
        <w:gridCol w:w="1235"/>
        <w:gridCol w:w="808"/>
      </w:tblGrid>
      <w:tr w:rsidR="003135BC" w:rsidRPr="0043758C" w:rsidTr="00FC4B09">
        <w:trPr>
          <w:trHeight w:val="315"/>
        </w:trPr>
        <w:tc>
          <w:tcPr>
            <w:tcW w:w="65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szCs w:val="18"/>
                <w:lang w:val="it-CH" w:eastAsia="it-CH"/>
              </w:rPr>
            </w:pPr>
            <w:r w:rsidRPr="0043758C">
              <w:rPr>
                <w:rFonts w:cs="Arial"/>
                <w:b/>
                <w:bCs/>
                <w:sz w:val="18"/>
                <w:szCs w:val="18"/>
                <w:lang w:val="it-CH" w:eastAsia="it-CH"/>
              </w:rPr>
              <w:t>Parco automobili in circolazione</w:t>
            </w:r>
            <w:r>
              <w:rPr>
                <w:rFonts w:cs="Arial"/>
                <w:b/>
                <w:bCs/>
                <w:sz w:val="18"/>
                <w:szCs w:val="18"/>
                <w:lang w:val="it-CH" w:eastAsia="it-CH"/>
              </w:rPr>
              <w:t xml:space="preserve"> in Ticino</w:t>
            </w:r>
          </w:p>
        </w:tc>
      </w:tr>
      <w:tr w:rsidR="003135BC" w:rsidRPr="0043758C" w:rsidTr="00FC4B09">
        <w:trPr>
          <w:trHeight w:val="300"/>
        </w:trPr>
        <w:tc>
          <w:tcPr>
            <w:tcW w:w="2494" w:type="dxa"/>
            <w:tcBorders>
              <w:top w:val="nil"/>
              <w:left w:val="single" w:sz="4" w:space="0" w:color="auto"/>
              <w:bottom w:val="single" w:sz="4" w:space="0" w:color="auto"/>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Pr>
                <w:rFonts w:cs="Arial"/>
                <w:sz w:val="18"/>
                <w:szCs w:val="18"/>
                <w:lang w:val="it-CH" w:eastAsia="it-CH"/>
              </w:rPr>
              <w:t>P</w:t>
            </w:r>
            <w:r w:rsidRPr="0043758C">
              <w:rPr>
                <w:rFonts w:cs="Arial"/>
                <w:sz w:val="18"/>
                <w:szCs w:val="18"/>
                <w:lang w:val="it-CH" w:eastAsia="it-CH"/>
              </w:rPr>
              <w:t>ropulsione</w:t>
            </w:r>
          </w:p>
        </w:tc>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szCs w:val="18"/>
                <w:lang w:val="it-CH" w:eastAsia="it-CH"/>
              </w:rPr>
            </w:pPr>
            <w:r w:rsidRPr="0043758C">
              <w:rPr>
                <w:rFonts w:cs="Arial"/>
                <w:b/>
                <w:bCs/>
                <w:sz w:val="18"/>
                <w:szCs w:val="18"/>
                <w:lang w:val="it-CH" w:eastAsia="it-CH"/>
              </w:rPr>
              <w:t>Totale al 31.12.2019</w:t>
            </w: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35BC" w:rsidRPr="0043758C" w:rsidRDefault="003135BC" w:rsidP="003135BC">
            <w:pPr>
              <w:jc w:val="center"/>
              <w:rPr>
                <w:rFonts w:cs="Arial"/>
                <w:b/>
                <w:bCs/>
                <w:sz w:val="18"/>
                <w:szCs w:val="18"/>
                <w:lang w:val="it-CH" w:eastAsia="it-CH"/>
              </w:rPr>
            </w:pPr>
            <w:r w:rsidRPr="0043758C">
              <w:rPr>
                <w:rFonts w:cs="Arial"/>
                <w:b/>
                <w:bCs/>
                <w:sz w:val="18"/>
                <w:szCs w:val="18"/>
                <w:lang w:val="it-CH" w:eastAsia="it-CH"/>
              </w:rPr>
              <w:t>Totale al 31.12.2020</w:t>
            </w:r>
          </w:p>
        </w:tc>
      </w:tr>
      <w:tr w:rsidR="003135BC" w:rsidRPr="0043758C" w:rsidTr="00FC4B09">
        <w:trPr>
          <w:trHeight w:val="315"/>
        </w:trPr>
        <w:tc>
          <w:tcPr>
            <w:tcW w:w="2494"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Elettrico</w:t>
            </w:r>
          </w:p>
        </w:tc>
        <w:tc>
          <w:tcPr>
            <w:tcW w:w="1235"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1'336</w:t>
            </w:r>
          </w:p>
        </w:tc>
        <w:tc>
          <w:tcPr>
            <w:tcW w:w="808"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0.6%</w:t>
            </w:r>
          </w:p>
        </w:tc>
        <w:tc>
          <w:tcPr>
            <w:tcW w:w="1235"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1'963</w:t>
            </w:r>
          </w:p>
        </w:tc>
        <w:tc>
          <w:tcPr>
            <w:tcW w:w="808"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0.9%</w:t>
            </w:r>
          </w:p>
        </w:tc>
      </w:tr>
      <w:tr w:rsidR="003135BC" w:rsidRPr="0043758C" w:rsidTr="00FC4B09">
        <w:trPr>
          <w:trHeight w:val="315"/>
        </w:trPr>
        <w:tc>
          <w:tcPr>
            <w:tcW w:w="2494"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Ibrido</w:t>
            </w:r>
          </w:p>
        </w:tc>
        <w:tc>
          <w:tcPr>
            <w:tcW w:w="1235" w:type="dxa"/>
            <w:tcBorders>
              <w:top w:val="nil"/>
              <w:left w:val="single" w:sz="4" w:space="0" w:color="auto"/>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7'876</w:t>
            </w:r>
          </w:p>
        </w:tc>
        <w:tc>
          <w:tcPr>
            <w:tcW w:w="808"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3.5%</w:t>
            </w:r>
          </w:p>
        </w:tc>
        <w:tc>
          <w:tcPr>
            <w:tcW w:w="1235" w:type="dxa"/>
            <w:tcBorders>
              <w:top w:val="nil"/>
              <w:left w:val="nil"/>
              <w:bottom w:val="nil"/>
              <w:right w:val="nil"/>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9'492</w:t>
            </w:r>
          </w:p>
        </w:tc>
        <w:tc>
          <w:tcPr>
            <w:tcW w:w="808" w:type="dxa"/>
            <w:tcBorders>
              <w:top w:val="nil"/>
              <w:left w:val="nil"/>
              <w:bottom w:val="nil"/>
              <w:right w:val="single" w:sz="4" w:space="0" w:color="auto"/>
            </w:tcBorders>
            <w:shd w:val="clear" w:color="auto" w:fill="auto"/>
            <w:noWrap/>
            <w:vAlign w:val="center"/>
            <w:hideMark/>
          </w:tcPr>
          <w:p w:rsidR="003135BC" w:rsidRPr="0043758C" w:rsidRDefault="003135BC" w:rsidP="003135BC">
            <w:pPr>
              <w:jc w:val="center"/>
              <w:rPr>
                <w:rFonts w:cs="Arial"/>
                <w:sz w:val="18"/>
                <w:szCs w:val="18"/>
                <w:lang w:val="it-CH" w:eastAsia="it-CH"/>
              </w:rPr>
            </w:pPr>
            <w:r w:rsidRPr="0043758C">
              <w:rPr>
                <w:rFonts w:cs="Arial"/>
                <w:sz w:val="18"/>
                <w:szCs w:val="18"/>
                <w:lang w:val="it-CH" w:eastAsia="it-CH"/>
              </w:rPr>
              <w:t>4.2%</w:t>
            </w:r>
          </w:p>
        </w:tc>
      </w:tr>
      <w:tr w:rsidR="003135BC" w:rsidRPr="0043758C" w:rsidTr="00FC4B09">
        <w:trPr>
          <w:trHeight w:val="315"/>
        </w:trPr>
        <w:tc>
          <w:tcPr>
            <w:tcW w:w="2494" w:type="dxa"/>
            <w:tcBorders>
              <w:top w:val="single" w:sz="4" w:space="0" w:color="auto"/>
              <w:left w:val="single" w:sz="4" w:space="0" w:color="auto"/>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Totale</w:t>
            </w:r>
          </w:p>
        </w:tc>
        <w:tc>
          <w:tcPr>
            <w:tcW w:w="1235" w:type="dxa"/>
            <w:tcBorders>
              <w:top w:val="single" w:sz="4" w:space="0" w:color="auto"/>
              <w:left w:val="single" w:sz="4" w:space="0" w:color="auto"/>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224'998</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4.1%</w:t>
            </w:r>
          </w:p>
        </w:tc>
        <w:tc>
          <w:tcPr>
            <w:tcW w:w="1235" w:type="dxa"/>
            <w:tcBorders>
              <w:top w:val="single" w:sz="4" w:space="0" w:color="auto"/>
              <w:left w:val="nil"/>
              <w:bottom w:val="single" w:sz="4" w:space="0" w:color="auto"/>
              <w:right w:val="nil"/>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224'887</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3135BC" w:rsidRPr="00710940" w:rsidRDefault="003135BC" w:rsidP="003135BC">
            <w:pPr>
              <w:jc w:val="center"/>
              <w:rPr>
                <w:rFonts w:cs="Arial"/>
                <w:b/>
                <w:bCs/>
                <w:iCs/>
                <w:sz w:val="18"/>
                <w:szCs w:val="18"/>
                <w:lang w:val="it-CH" w:eastAsia="it-CH"/>
              </w:rPr>
            </w:pPr>
            <w:r w:rsidRPr="00710940">
              <w:rPr>
                <w:rFonts w:cs="Arial"/>
                <w:b/>
                <w:bCs/>
                <w:iCs/>
                <w:sz w:val="18"/>
                <w:szCs w:val="18"/>
                <w:lang w:val="it-CH" w:eastAsia="it-CH"/>
              </w:rPr>
              <w:t>5.1%</w:t>
            </w:r>
          </w:p>
        </w:tc>
      </w:tr>
    </w:tbl>
    <w:p w:rsidR="003135BC" w:rsidRDefault="003135BC" w:rsidP="003135BC">
      <w:pPr>
        <w:rPr>
          <w:rFonts w:cs="Arial"/>
        </w:rPr>
      </w:pPr>
    </w:p>
    <w:tbl>
      <w:tblPr>
        <w:tblW w:w="8281" w:type="dxa"/>
        <w:tblInd w:w="55" w:type="dxa"/>
        <w:tblCellMar>
          <w:left w:w="70" w:type="dxa"/>
          <w:right w:w="70" w:type="dxa"/>
        </w:tblCellMar>
        <w:tblLook w:val="04A0" w:firstRow="1" w:lastRow="0" w:firstColumn="1" w:lastColumn="0" w:noHBand="0" w:noVBand="1"/>
      </w:tblPr>
      <w:tblGrid>
        <w:gridCol w:w="2425"/>
        <w:gridCol w:w="928"/>
        <w:gridCol w:w="599"/>
        <w:gridCol w:w="1090"/>
        <w:gridCol w:w="599"/>
        <w:gridCol w:w="1320"/>
        <w:gridCol w:w="1320"/>
      </w:tblGrid>
      <w:tr w:rsidR="003135BC" w:rsidRPr="00473F49" w:rsidTr="00FC4B09">
        <w:trPr>
          <w:trHeight w:val="30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5BC" w:rsidRPr="00473F49" w:rsidRDefault="003135BC" w:rsidP="003135BC">
            <w:pPr>
              <w:jc w:val="center"/>
              <w:rPr>
                <w:rFonts w:cs="Arial"/>
                <w:b/>
                <w:bCs/>
                <w:color w:val="000000"/>
                <w:sz w:val="18"/>
                <w:szCs w:val="18"/>
                <w:lang w:val="it-CH" w:eastAsia="it-CH"/>
              </w:rPr>
            </w:pPr>
            <w:r w:rsidRPr="00473F49">
              <w:rPr>
                <w:rFonts w:cs="Arial"/>
                <w:b/>
                <w:bCs/>
                <w:color w:val="000000"/>
                <w:sz w:val="18"/>
                <w:szCs w:val="18"/>
                <w:lang w:val="it-CH" w:eastAsia="it-CH"/>
              </w:rPr>
              <w:t>Numero di automobili per codice di emissione</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710940" w:rsidRDefault="003135BC" w:rsidP="003135BC">
            <w:pPr>
              <w:jc w:val="left"/>
              <w:rPr>
                <w:rFonts w:cs="Arial"/>
                <w:b/>
                <w:bCs/>
                <w:iCs/>
                <w:color w:val="000000"/>
                <w:sz w:val="18"/>
                <w:szCs w:val="18"/>
                <w:lang w:val="it-CH" w:eastAsia="it-CH"/>
              </w:rPr>
            </w:pPr>
            <w:r w:rsidRPr="00710940">
              <w:rPr>
                <w:rFonts w:cs="Arial"/>
                <w:b/>
                <w:bCs/>
                <w:iCs/>
                <w:color w:val="000000"/>
                <w:sz w:val="18"/>
                <w:szCs w:val="18"/>
                <w:lang w:val="it-CH" w:eastAsia="it-CH"/>
              </w:rPr>
              <w:t>Stato al</w:t>
            </w:r>
          </w:p>
        </w:tc>
        <w:tc>
          <w:tcPr>
            <w:tcW w:w="1527" w:type="dxa"/>
            <w:gridSpan w:val="2"/>
            <w:tcBorders>
              <w:top w:val="single" w:sz="4" w:space="0" w:color="auto"/>
              <w:left w:val="nil"/>
              <w:bottom w:val="nil"/>
              <w:right w:val="single" w:sz="4" w:space="0" w:color="000000"/>
            </w:tcBorders>
            <w:shd w:val="clear" w:color="auto" w:fill="auto"/>
            <w:noWrap/>
            <w:vAlign w:val="center"/>
            <w:hideMark/>
          </w:tcPr>
          <w:p w:rsidR="003135BC" w:rsidRPr="00710940" w:rsidRDefault="003135BC" w:rsidP="003135BC">
            <w:pPr>
              <w:jc w:val="center"/>
              <w:rPr>
                <w:rFonts w:cs="Arial"/>
                <w:b/>
                <w:bCs/>
                <w:iCs/>
                <w:color w:val="000000"/>
                <w:sz w:val="18"/>
                <w:szCs w:val="18"/>
                <w:lang w:val="it-CH" w:eastAsia="it-CH"/>
              </w:rPr>
            </w:pPr>
            <w:r w:rsidRPr="00710940">
              <w:rPr>
                <w:rFonts w:cs="Arial"/>
                <w:b/>
                <w:bCs/>
                <w:iCs/>
                <w:color w:val="000000"/>
                <w:sz w:val="18"/>
                <w:szCs w:val="18"/>
                <w:lang w:val="it-CH" w:eastAsia="it-CH"/>
              </w:rPr>
              <w:t>30.10.2018</w:t>
            </w:r>
          </w:p>
        </w:tc>
        <w:tc>
          <w:tcPr>
            <w:tcW w:w="1689" w:type="dxa"/>
            <w:gridSpan w:val="2"/>
            <w:tcBorders>
              <w:top w:val="nil"/>
              <w:left w:val="nil"/>
              <w:bottom w:val="nil"/>
              <w:right w:val="single" w:sz="4" w:space="0" w:color="000000"/>
            </w:tcBorders>
            <w:shd w:val="clear" w:color="auto" w:fill="auto"/>
            <w:noWrap/>
            <w:vAlign w:val="center"/>
            <w:hideMark/>
          </w:tcPr>
          <w:p w:rsidR="003135BC" w:rsidRPr="00710940" w:rsidRDefault="003135BC" w:rsidP="003135BC">
            <w:pPr>
              <w:jc w:val="center"/>
              <w:rPr>
                <w:rFonts w:cs="Arial"/>
                <w:b/>
                <w:bCs/>
                <w:iCs/>
                <w:color w:val="000000"/>
                <w:sz w:val="18"/>
                <w:szCs w:val="18"/>
                <w:lang w:val="it-CH" w:eastAsia="it-CH"/>
              </w:rPr>
            </w:pPr>
            <w:r w:rsidRPr="00710940">
              <w:rPr>
                <w:rFonts w:cs="Arial"/>
                <w:b/>
                <w:bCs/>
                <w:iCs/>
                <w:color w:val="000000"/>
                <w:sz w:val="18"/>
                <w:szCs w:val="18"/>
                <w:lang w:val="it-CH" w:eastAsia="it-CH"/>
              </w:rPr>
              <w:t>31.12.2020</w:t>
            </w:r>
          </w:p>
        </w:tc>
        <w:tc>
          <w:tcPr>
            <w:tcW w:w="2640" w:type="dxa"/>
            <w:gridSpan w:val="2"/>
            <w:tcBorders>
              <w:top w:val="nil"/>
              <w:left w:val="nil"/>
              <w:bottom w:val="nil"/>
              <w:right w:val="single" w:sz="4" w:space="0" w:color="000000"/>
            </w:tcBorders>
            <w:vAlign w:val="center"/>
          </w:tcPr>
          <w:p w:rsidR="003135BC" w:rsidRPr="00710940" w:rsidRDefault="003135BC" w:rsidP="003135BC">
            <w:pPr>
              <w:jc w:val="center"/>
              <w:rPr>
                <w:rFonts w:cs="Arial"/>
                <w:b/>
                <w:bCs/>
                <w:iCs/>
                <w:color w:val="000000"/>
                <w:sz w:val="18"/>
                <w:szCs w:val="18"/>
                <w:lang w:val="it-CH" w:eastAsia="it-CH"/>
              </w:rPr>
            </w:pPr>
            <w:r w:rsidRPr="00710940">
              <w:rPr>
                <w:rFonts w:cs="Arial"/>
                <w:b/>
                <w:bCs/>
                <w:iCs/>
                <w:color w:val="000000"/>
                <w:sz w:val="18"/>
                <w:szCs w:val="18"/>
                <w:lang w:val="it-CH" w:eastAsia="it-CH"/>
              </w:rPr>
              <w:t>Differenza</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Totale immatricolazioni</w:t>
            </w:r>
          </w:p>
        </w:tc>
        <w:tc>
          <w:tcPr>
            <w:tcW w:w="1527" w:type="dxa"/>
            <w:gridSpan w:val="2"/>
            <w:tcBorders>
              <w:top w:val="nil"/>
              <w:left w:val="nil"/>
              <w:bottom w:val="nil"/>
              <w:right w:val="single" w:sz="4" w:space="0" w:color="000000"/>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227'945</w:t>
            </w:r>
          </w:p>
        </w:tc>
        <w:tc>
          <w:tcPr>
            <w:tcW w:w="1689" w:type="dxa"/>
            <w:gridSpan w:val="2"/>
            <w:tcBorders>
              <w:top w:val="nil"/>
              <w:left w:val="nil"/>
              <w:bottom w:val="nil"/>
              <w:right w:val="single" w:sz="4" w:space="0" w:color="000000"/>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224'352</w:t>
            </w:r>
          </w:p>
        </w:tc>
        <w:tc>
          <w:tcPr>
            <w:tcW w:w="1320" w:type="dxa"/>
            <w:tcBorders>
              <w:top w:val="nil"/>
              <w:left w:val="nil"/>
              <w:bottom w:val="nil"/>
              <w:right w:val="single" w:sz="4" w:space="0" w:color="000000"/>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-3'593</w:t>
            </w:r>
          </w:p>
        </w:tc>
        <w:tc>
          <w:tcPr>
            <w:tcW w:w="1320" w:type="dxa"/>
            <w:tcBorders>
              <w:top w:val="nil"/>
              <w:left w:val="nil"/>
              <w:bottom w:val="nil"/>
              <w:right w:val="single" w:sz="4" w:space="0" w:color="000000"/>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0 (B00)</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2'950</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2'812</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-138</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-5%</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1 (B01)</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4'300</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3'019</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-1'281</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-30%</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2 (B02)</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8'314</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4%</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5'282</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-3'032</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-36%</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3 (B03)</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15'431</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7%</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10'618</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5%</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-4'813</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-31%</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4 (B04)</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53'336</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23%</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41'424</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19%</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-11'912</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-22%</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5 (da B05 a B05b)</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69'466</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30%</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58'557</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26%</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-10'909</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-16%</w:t>
            </w:r>
          </w:p>
        </w:tc>
      </w:tr>
      <w:tr w:rsidR="003135BC" w:rsidRPr="00473F49" w:rsidTr="00FC4B09">
        <w:trPr>
          <w:trHeight w:val="300"/>
        </w:trPr>
        <w:tc>
          <w:tcPr>
            <w:tcW w:w="2425"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Euro 6 (da B06a a B06d)</w:t>
            </w:r>
          </w:p>
        </w:tc>
        <w:tc>
          <w:tcPr>
            <w:tcW w:w="928"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73'369</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32%</w:t>
            </w:r>
          </w:p>
        </w:tc>
        <w:tc>
          <w:tcPr>
            <w:tcW w:w="1090" w:type="dxa"/>
            <w:tcBorders>
              <w:top w:val="nil"/>
              <w:left w:val="nil"/>
              <w:bottom w:val="nil"/>
              <w:right w:val="nil"/>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100'677</w:t>
            </w:r>
          </w:p>
        </w:tc>
        <w:tc>
          <w:tcPr>
            <w:tcW w:w="599" w:type="dxa"/>
            <w:tcBorders>
              <w:top w:val="nil"/>
              <w:left w:val="nil"/>
              <w:bottom w:val="nil"/>
              <w:right w:val="single" w:sz="4" w:space="0" w:color="auto"/>
            </w:tcBorders>
            <w:shd w:val="clear" w:color="auto" w:fill="auto"/>
            <w:noWrap/>
            <w:vAlign w:val="center"/>
            <w:hideMark/>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45%</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27'308</w:t>
            </w:r>
          </w:p>
        </w:tc>
        <w:tc>
          <w:tcPr>
            <w:tcW w:w="1320" w:type="dxa"/>
            <w:tcBorders>
              <w:top w:val="nil"/>
              <w:left w:val="nil"/>
              <w:bottom w:val="nil"/>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+37%</w:t>
            </w:r>
          </w:p>
        </w:tc>
      </w:tr>
      <w:tr w:rsidR="003135BC" w:rsidRPr="00473F49" w:rsidTr="00FC4B09">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tcPr>
          <w:p w:rsidR="003135BC" w:rsidRPr="00473F49" w:rsidRDefault="003135BC" w:rsidP="003135BC">
            <w:pPr>
              <w:jc w:val="left"/>
              <w:rPr>
                <w:rFonts w:cs="Arial"/>
                <w:color w:val="000000"/>
                <w:sz w:val="18"/>
                <w:szCs w:val="18"/>
                <w:lang w:val="it-CH" w:eastAsia="it-CH"/>
              </w:rPr>
            </w:pPr>
            <w:r w:rsidRPr="00473F49">
              <w:rPr>
                <w:rFonts w:cs="Arial"/>
                <w:color w:val="000000"/>
                <w:sz w:val="18"/>
                <w:szCs w:val="18"/>
                <w:lang w:val="it-CH" w:eastAsia="it-CH"/>
              </w:rPr>
              <w:t>Auto elettriche (A24)</w:t>
            </w:r>
          </w:p>
        </w:tc>
        <w:tc>
          <w:tcPr>
            <w:tcW w:w="928" w:type="dxa"/>
            <w:tcBorders>
              <w:top w:val="nil"/>
              <w:left w:val="nil"/>
              <w:bottom w:val="single" w:sz="4" w:space="0" w:color="auto"/>
              <w:right w:val="nil"/>
            </w:tcBorders>
            <w:shd w:val="clear" w:color="auto" w:fill="auto"/>
            <w:noWrap/>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779</w:t>
            </w:r>
          </w:p>
        </w:tc>
        <w:tc>
          <w:tcPr>
            <w:tcW w:w="599" w:type="dxa"/>
            <w:tcBorders>
              <w:top w:val="nil"/>
              <w:left w:val="nil"/>
              <w:bottom w:val="single" w:sz="4" w:space="0" w:color="auto"/>
              <w:right w:val="single" w:sz="4" w:space="0" w:color="auto"/>
            </w:tcBorders>
            <w:shd w:val="clear" w:color="auto" w:fill="auto"/>
            <w:noWrap/>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0.3%</w:t>
            </w:r>
          </w:p>
        </w:tc>
        <w:tc>
          <w:tcPr>
            <w:tcW w:w="1090" w:type="dxa"/>
            <w:tcBorders>
              <w:top w:val="nil"/>
              <w:left w:val="nil"/>
              <w:bottom w:val="single" w:sz="4" w:space="0" w:color="auto"/>
              <w:right w:val="nil"/>
            </w:tcBorders>
            <w:shd w:val="clear" w:color="auto" w:fill="auto"/>
            <w:noWrap/>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1'963</w:t>
            </w:r>
          </w:p>
        </w:tc>
        <w:tc>
          <w:tcPr>
            <w:tcW w:w="599" w:type="dxa"/>
            <w:tcBorders>
              <w:top w:val="nil"/>
              <w:left w:val="nil"/>
              <w:bottom w:val="single" w:sz="4" w:space="0" w:color="auto"/>
              <w:right w:val="single" w:sz="4" w:space="0" w:color="auto"/>
            </w:tcBorders>
            <w:shd w:val="clear" w:color="auto" w:fill="auto"/>
            <w:noWrap/>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0.9%</w:t>
            </w:r>
          </w:p>
        </w:tc>
        <w:tc>
          <w:tcPr>
            <w:tcW w:w="1320" w:type="dxa"/>
            <w:tcBorders>
              <w:top w:val="nil"/>
              <w:left w:val="nil"/>
              <w:bottom w:val="single" w:sz="4" w:space="0" w:color="auto"/>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1'184</w:t>
            </w:r>
          </w:p>
        </w:tc>
        <w:tc>
          <w:tcPr>
            <w:tcW w:w="1320" w:type="dxa"/>
            <w:tcBorders>
              <w:top w:val="nil"/>
              <w:left w:val="nil"/>
              <w:bottom w:val="single" w:sz="4" w:space="0" w:color="auto"/>
              <w:right w:val="single" w:sz="4" w:space="0" w:color="auto"/>
            </w:tcBorders>
            <w:vAlign w:val="center"/>
          </w:tcPr>
          <w:p w:rsidR="003135BC" w:rsidRPr="00473F49" w:rsidRDefault="003135BC" w:rsidP="003135BC">
            <w:pPr>
              <w:jc w:val="center"/>
              <w:rPr>
                <w:rFonts w:cs="Arial"/>
                <w:color w:val="000000"/>
                <w:sz w:val="18"/>
                <w:szCs w:val="18"/>
                <w:lang w:val="it-CH" w:eastAsia="it-CH"/>
              </w:rPr>
            </w:pPr>
            <w:r w:rsidRPr="00473F49">
              <w:rPr>
                <w:rFonts w:cs="Arial"/>
                <w:color w:val="000000"/>
                <w:sz w:val="18"/>
                <w:szCs w:val="18"/>
                <w:lang w:val="it-CH" w:eastAsia="it-CH"/>
              </w:rPr>
              <w:t>+152%</w:t>
            </w:r>
          </w:p>
        </w:tc>
      </w:tr>
    </w:tbl>
    <w:p w:rsidR="003135BC" w:rsidRDefault="003135BC" w:rsidP="00E06AF4">
      <w:pPr>
        <w:spacing w:after="120"/>
        <w:rPr>
          <w:rFonts w:cs="Arial"/>
        </w:rPr>
      </w:pPr>
    </w:p>
    <w:p w:rsidR="003135BC" w:rsidRDefault="003135BC" w:rsidP="003135BC">
      <w:pPr>
        <w:rPr>
          <w:rFonts w:cs="Arial"/>
          <w:lang w:val="it-CH"/>
        </w:rPr>
      </w:pPr>
      <w:r>
        <w:rPr>
          <w:rFonts w:cs="Arial"/>
        </w:rPr>
        <w:t xml:space="preserve">Per quanto attiene i motoveicoli, i quadricicli e i tricicli a motore con </w:t>
      </w:r>
      <w:r w:rsidRPr="005C7544">
        <w:rPr>
          <w:rFonts w:cs="Arial"/>
          <w:lang w:val="it-CH"/>
        </w:rPr>
        <w:t xml:space="preserve">velocità massima per loro costruzione </w:t>
      </w:r>
      <w:r>
        <w:rPr>
          <w:rFonts w:cs="Arial"/>
          <w:lang w:val="it-CH"/>
        </w:rPr>
        <w:t>superiore a</w:t>
      </w:r>
      <w:r w:rsidRPr="005C7544">
        <w:rPr>
          <w:rFonts w:cs="Arial"/>
          <w:lang w:val="it-CH"/>
        </w:rPr>
        <w:t xml:space="preserve"> 45 km/h</w:t>
      </w:r>
      <w:r>
        <w:rPr>
          <w:rFonts w:cs="Arial"/>
          <w:lang w:val="it-CH"/>
        </w:rPr>
        <w:t>, le statistiche sul numero del parco veicoli effettivamente in circolazione è molto variabile nel tempo, in quanto sono soggetti a deposito delle targhe per brevi periodi di tempo</w:t>
      </w:r>
      <w:r w:rsidRPr="00F25692">
        <w:rPr>
          <w:rFonts w:cs="Arial"/>
          <w:lang w:val="it-CH"/>
        </w:rPr>
        <w:t xml:space="preserve"> </w:t>
      </w:r>
      <w:r>
        <w:rPr>
          <w:rFonts w:cs="Arial"/>
          <w:lang w:val="it-CH"/>
        </w:rPr>
        <w:t>e dunque non sono rappresentative. Si riportano in ogni caso a titolo informativo il numero di questi veicoli in circolazione al 31.12.2020. Considerando che si tratta della situazione in pieno periodo invernale, si può presupporre che questi dati corrispondano unicamente al numero di veicoli che restano targati durante tutto l'arco dell'anno.</w:t>
      </w:r>
    </w:p>
    <w:p w:rsidR="003135BC" w:rsidRDefault="003135BC" w:rsidP="003135BC">
      <w:pPr>
        <w:jc w:val="left"/>
        <w:rPr>
          <w:rFonts w:cs="Arial"/>
          <w:lang w:val="it-CH"/>
        </w:rPr>
      </w:pPr>
    </w:p>
    <w:tbl>
      <w:tblPr>
        <w:tblW w:w="4551" w:type="dxa"/>
        <w:tblInd w:w="55" w:type="dxa"/>
        <w:tblCellMar>
          <w:left w:w="70" w:type="dxa"/>
          <w:right w:w="70" w:type="dxa"/>
        </w:tblCellMar>
        <w:tblLook w:val="04A0" w:firstRow="1" w:lastRow="0" w:firstColumn="1" w:lastColumn="0" w:noHBand="0" w:noVBand="1"/>
      </w:tblPr>
      <w:tblGrid>
        <w:gridCol w:w="1780"/>
        <w:gridCol w:w="2771"/>
      </w:tblGrid>
      <w:tr w:rsidR="003135BC" w:rsidRPr="00473F49" w:rsidTr="00FC4B09">
        <w:trPr>
          <w:cantSplit/>
          <w:trHeight w:val="57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35BC" w:rsidRPr="00473F49" w:rsidRDefault="003135BC" w:rsidP="003135BC">
            <w:pPr>
              <w:jc w:val="center"/>
              <w:rPr>
                <w:rFonts w:cs="Arial"/>
                <w:b/>
                <w:bCs/>
                <w:sz w:val="18"/>
                <w:szCs w:val="18"/>
                <w:lang w:val="it-CH" w:eastAsia="it-CH"/>
              </w:rPr>
            </w:pPr>
            <w:r w:rsidRPr="00473F49">
              <w:rPr>
                <w:rFonts w:cs="Arial"/>
                <w:b/>
                <w:bCs/>
                <w:sz w:val="18"/>
                <w:szCs w:val="18"/>
                <w:lang w:val="it-CH" w:eastAsia="it-CH"/>
              </w:rPr>
              <w:t>Motoveicoli, Quadricicli e Tricicli, Vmax &gt; 45 km/h</w:t>
            </w:r>
            <w:r w:rsidRPr="00473F49">
              <w:rPr>
                <w:rFonts w:cs="Arial"/>
                <w:b/>
                <w:bCs/>
                <w:sz w:val="18"/>
                <w:szCs w:val="18"/>
                <w:lang w:val="it-CH" w:eastAsia="it-CH"/>
              </w:rPr>
              <w:br/>
            </w:r>
            <w:r>
              <w:rPr>
                <w:rFonts w:cs="Arial"/>
                <w:b/>
                <w:bCs/>
                <w:sz w:val="18"/>
                <w:szCs w:val="18"/>
                <w:lang w:val="it-CH" w:eastAsia="it-CH"/>
              </w:rPr>
              <w:t>i</w:t>
            </w:r>
            <w:r w:rsidRPr="00710940">
              <w:rPr>
                <w:rFonts w:cs="Arial"/>
                <w:b/>
                <w:bCs/>
                <w:sz w:val="18"/>
                <w:szCs w:val="18"/>
                <w:lang w:val="it-CH" w:eastAsia="it-CH"/>
              </w:rPr>
              <w:t>n circolazione al 31.12.2020</w:t>
            </w:r>
          </w:p>
        </w:tc>
      </w:tr>
      <w:tr w:rsidR="003135BC" w:rsidRPr="00473F49" w:rsidTr="00FC4B09">
        <w:trPr>
          <w:cantSplit/>
          <w:trHeight w:val="315"/>
        </w:trPr>
        <w:tc>
          <w:tcPr>
            <w:tcW w:w="1780" w:type="dxa"/>
            <w:tcBorders>
              <w:top w:val="nil"/>
              <w:left w:val="single" w:sz="4" w:space="0" w:color="auto"/>
              <w:bottom w:val="nil"/>
              <w:right w:val="nil"/>
            </w:tcBorders>
            <w:shd w:val="clear" w:color="auto" w:fill="auto"/>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Motoveicoli</w:t>
            </w:r>
          </w:p>
        </w:tc>
        <w:tc>
          <w:tcPr>
            <w:tcW w:w="2771"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9709</w:t>
            </w:r>
          </w:p>
        </w:tc>
      </w:tr>
      <w:tr w:rsidR="003135BC" w:rsidRPr="00473F49" w:rsidTr="00FC4B09">
        <w:trPr>
          <w:cantSplit/>
          <w:trHeight w:val="315"/>
        </w:trPr>
        <w:tc>
          <w:tcPr>
            <w:tcW w:w="1780" w:type="dxa"/>
            <w:tcBorders>
              <w:top w:val="nil"/>
              <w:left w:val="single" w:sz="4" w:space="0" w:color="auto"/>
              <w:bottom w:val="nil"/>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Quadricicli</w:t>
            </w:r>
          </w:p>
        </w:tc>
        <w:tc>
          <w:tcPr>
            <w:tcW w:w="2771" w:type="dxa"/>
            <w:tcBorders>
              <w:top w:val="nil"/>
              <w:left w:val="single" w:sz="4" w:space="0" w:color="auto"/>
              <w:bottom w:val="nil"/>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201</w:t>
            </w:r>
          </w:p>
        </w:tc>
      </w:tr>
      <w:tr w:rsidR="003135BC" w:rsidRPr="00473F49" w:rsidTr="00FC4B09">
        <w:trPr>
          <w:cantSplit/>
          <w:trHeight w:val="315"/>
        </w:trPr>
        <w:tc>
          <w:tcPr>
            <w:tcW w:w="1780" w:type="dxa"/>
            <w:tcBorders>
              <w:top w:val="nil"/>
              <w:left w:val="single" w:sz="4" w:space="0" w:color="auto"/>
              <w:bottom w:val="single" w:sz="4" w:space="0" w:color="auto"/>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Tricicli</w:t>
            </w:r>
          </w:p>
        </w:tc>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260</w:t>
            </w:r>
          </w:p>
        </w:tc>
      </w:tr>
      <w:tr w:rsidR="003135BC" w:rsidRPr="00473F49" w:rsidTr="00FC4B09">
        <w:trPr>
          <w:cantSplit/>
          <w:trHeight w:val="300"/>
        </w:trPr>
        <w:tc>
          <w:tcPr>
            <w:tcW w:w="1780" w:type="dxa"/>
            <w:tcBorders>
              <w:top w:val="nil"/>
              <w:left w:val="single" w:sz="4" w:space="0" w:color="auto"/>
              <w:bottom w:val="single" w:sz="4" w:space="0" w:color="auto"/>
              <w:right w:val="nil"/>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Totale</w:t>
            </w:r>
          </w:p>
        </w:tc>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3135BC" w:rsidRPr="00473F49" w:rsidRDefault="003135BC" w:rsidP="003135BC">
            <w:pPr>
              <w:jc w:val="center"/>
              <w:rPr>
                <w:rFonts w:cs="Arial"/>
                <w:sz w:val="18"/>
                <w:szCs w:val="18"/>
                <w:lang w:val="it-CH" w:eastAsia="it-CH"/>
              </w:rPr>
            </w:pPr>
            <w:r w:rsidRPr="00473F49">
              <w:rPr>
                <w:rFonts w:cs="Arial"/>
                <w:sz w:val="18"/>
                <w:szCs w:val="18"/>
                <w:lang w:val="it-CH" w:eastAsia="it-CH"/>
              </w:rPr>
              <w:t>10'170</w:t>
            </w:r>
          </w:p>
        </w:tc>
      </w:tr>
    </w:tbl>
    <w:p w:rsidR="003135BC" w:rsidRDefault="003135BC" w:rsidP="003135BC">
      <w:pPr>
        <w:rPr>
          <w:rFonts w:cs="Arial"/>
          <w:lang w:val="it-CH"/>
        </w:rPr>
      </w:pPr>
    </w:p>
    <w:p w:rsidR="003135BC" w:rsidRDefault="003135BC" w:rsidP="003135BC">
      <w:pPr>
        <w:rPr>
          <w:rFonts w:cs="Arial"/>
          <w:lang w:val="it-CH"/>
        </w:rPr>
      </w:pPr>
    </w:p>
    <w:p w:rsidR="003135BC" w:rsidRDefault="003135BC" w:rsidP="003135BC">
      <w:pPr>
        <w:rPr>
          <w:rFonts w:cs="Arial"/>
          <w:lang w:val="it-CH"/>
        </w:rPr>
      </w:pPr>
    </w:p>
    <w:p w:rsidR="003135BC" w:rsidRPr="004561D0" w:rsidRDefault="003135BC" w:rsidP="00FC4B09">
      <w:pPr>
        <w:pStyle w:val="StileTitolo1"/>
        <w:numPr>
          <w:ilvl w:val="0"/>
          <w:numId w:val="9"/>
        </w:numPr>
        <w:tabs>
          <w:tab w:val="clear" w:pos="851"/>
        </w:tabs>
        <w:ind w:left="567" w:hanging="567"/>
      </w:pPr>
      <w:bookmarkStart w:id="4" w:name="_Ref70777770"/>
      <w:bookmarkStart w:id="5" w:name="_Toc76370129"/>
      <w:r w:rsidRPr="004561D0">
        <w:t>Bilancio del messaggio n. 7540 del 30 maggio 20</w:t>
      </w:r>
      <w:r>
        <w:t>1</w:t>
      </w:r>
      <w:r w:rsidRPr="004561D0">
        <w:t>8</w:t>
      </w:r>
      <w:bookmarkEnd w:id="4"/>
      <w:bookmarkEnd w:id="5"/>
    </w:p>
    <w:p w:rsidR="003135BC" w:rsidRDefault="003135BC" w:rsidP="00FC4B09">
      <w:pPr>
        <w:spacing w:after="120"/>
        <w:rPr>
          <w:rFonts w:cs="Arial"/>
          <w:lang w:val="it-CH"/>
        </w:rPr>
      </w:pPr>
      <w:r>
        <w:rPr>
          <w:rFonts w:cs="Arial"/>
          <w:lang w:val="it-CH"/>
        </w:rPr>
        <w:t xml:space="preserve">Il messaggio </w:t>
      </w:r>
      <w:r w:rsidR="00FC4B09">
        <w:rPr>
          <w:rFonts w:cs="Arial"/>
          <w:lang w:val="it-CH"/>
        </w:rPr>
        <w:t xml:space="preserve">n. </w:t>
      </w:r>
      <w:r>
        <w:rPr>
          <w:rFonts w:cs="Arial"/>
          <w:lang w:val="it-CH"/>
        </w:rPr>
        <w:t>7540 del 30 maggio 2018 è stato approvato dal Gran Consiglio il 13 marzo 2019 e si concretizza con i decreti seguenti:</w:t>
      </w:r>
    </w:p>
    <w:p w:rsidR="003135BC" w:rsidRPr="00EC0CB3" w:rsidRDefault="003135BC" w:rsidP="00FC4B09">
      <w:pPr>
        <w:pStyle w:val="Paragrafoelenco"/>
        <w:numPr>
          <w:ilvl w:val="0"/>
          <w:numId w:val="12"/>
        </w:numPr>
        <w:spacing w:after="120"/>
        <w:ind w:left="425" w:hanging="425"/>
        <w:contextualSpacing w:val="0"/>
        <w:rPr>
          <w:rFonts w:cs="Arial"/>
          <w:lang w:val="it-CH"/>
        </w:rPr>
      </w:pPr>
      <w:r>
        <w:rPr>
          <w:lang w:val="it-CH"/>
        </w:rPr>
        <w:t>decreto</w:t>
      </w:r>
      <w:r>
        <w:t xml:space="preserve"> legislativo del 13 marzo 2019 concernente lo stanziamento di un credito quadro di 3’000’000 di franchi destinato a incentivare l’acquisto di veicoli elettrici e lo sviluppo dell’infrastruttura di ricarica elettrica domestica e sul posto di lavoro;</w:t>
      </w:r>
    </w:p>
    <w:p w:rsidR="003135BC" w:rsidRDefault="00FC4B09" w:rsidP="00FC4B09">
      <w:pPr>
        <w:pStyle w:val="Paragrafoelenco"/>
        <w:tabs>
          <w:tab w:val="left" w:pos="426"/>
        </w:tabs>
        <w:ind w:left="426" w:hanging="426"/>
      </w:pPr>
      <w:r>
        <w:rPr>
          <w:lang w:val="it-CH"/>
        </w:rPr>
        <w:lastRenderedPageBreak/>
        <w:t>-</w:t>
      </w:r>
      <w:r>
        <w:rPr>
          <w:lang w:val="it-CH"/>
        </w:rPr>
        <w:tab/>
      </w:r>
      <w:r w:rsidR="003135BC">
        <w:rPr>
          <w:lang w:val="it-CH"/>
        </w:rPr>
        <w:t>decreto</w:t>
      </w:r>
      <w:r w:rsidR="003135BC">
        <w:t xml:space="preserve"> esecutivo del 19 giugno 2019 concernente le condizioni per l’ottenimento degli incentivi per l’acquisto di automobili totalmente elettriche e per l’installazione di stazioni di ricarica a domicilio e presso datori di lavoro.</w:t>
      </w:r>
    </w:p>
    <w:p w:rsidR="003135BC" w:rsidRDefault="003135BC" w:rsidP="003135BC">
      <w:pPr>
        <w:ind w:left="426"/>
        <w:rPr>
          <w:rFonts w:cs="Arial"/>
          <w:lang w:val="it-CH"/>
        </w:rPr>
      </w:pPr>
    </w:p>
    <w:p w:rsidR="003135BC" w:rsidRDefault="003135BC" w:rsidP="003135BC">
      <w:pPr>
        <w:rPr>
          <w:rFonts w:cs="Arial"/>
          <w:lang w:val="it-CH"/>
        </w:rPr>
      </w:pPr>
      <w:r>
        <w:rPr>
          <w:rFonts w:cs="Arial"/>
          <w:lang w:val="it-CH"/>
        </w:rPr>
        <w:t xml:space="preserve">Il credito di 3'000'000 di </w:t>
      </w:r>
      <w:r w:rsidRPr="00C911C9">
        <w:rPr>
          <w:rFonts w:cs="Arial"/>
          <w:lang w:val="it-CH"/>
        </w:rPr>
        <w:t xml:space="preserve">franchi è stato inizialmente ripartito in 2'500'000 </w:t>
      </w:r>
      <w:r>
        <w:rPr>
          <w:rFonts w:cs="Arial"/>
          <w:lang w:val="it-CH"/>
        </w:rPr>
        <w:t xml:space="preserve">di </w:t>
      </w:r>
      <w:r w:rsidRPr="00C911C9">
        <w:rPr>
          <w:rFonts w:cs="Arial"/>
          <w:lang w:val="it-CH"/>
        </w:rPr>
        <w:t xml:space="preserve">franchi a favore dell’acquisto di automobili elettriche e 500'000 franchi a favore dell’installazione di stazioni di ricarica per automobili elettriche a domicilio e presso i datori di lavoro. A seguito dell'andamento delle richieste di incentivi, con l'avvicinarsi dell'esaurimento del credito la ripartizione è stata rivista in 2'600'000 </w:t>
      </w:r>
      <w:r>
        <w:rPr>
          <w:rFonts w:cs="Arial"/>
          <w:lang w:val="it-CH"/>
        </w:rPr>
        <w:t xml:space="preserve">di </w:t>
      </w:r>
      <w:r w:rsidRPr="00C911C9">
        <w:rPr>
          <w:rFonts w:cs="Arial"/>
          <w:lang w:val="it-CH"/>
        </w:rPr>
        <w:t>franchi a favore delle automobili e 400'000 franchi a favore delle stazioni di ricarica.</w:t>
      </w:r>
    </w:p>
    <w:p w:rsidR="003135BC" w:rsidRPr="006D62D5" w:rsidRDefault="003135BC" w:rsidP="003135BC">
      <w:pPr>
        <w:rPr>
          <w:rFonts w:cs="Arial"/>
          <w:lang w:val="it-CH"/>
        </w:rPr>
      </w:pPr>
    </w:p>
    <w:p w:rsidR="003135BC" w:rsidRDefault="003135BC" w:rsidP="003135BC">
      <w:pPr>
        <w:rPr>
          <w:rFonts w:cs="Arial"/>
          <w:lang w:val="it-CH"/>
        </w:rPr>
      </w:pPr>
      <w:r>
        <w:rPr>
          <w:rFonts w:cs="Arial"/>
          <w:lang w:val="it-CH"/>
        </w:rPr>
        <w:t>Per le automobili totalmente elettriche è concesso un incentivo forfettario di 2'000 franchi unicamente per automobili di prima immatricolazione acquistate presso un concessionario ufficiale in Ticino. L'incentivo è vincolato alla concessione di un premio specifico di almeno lo stesso importo applicato da parte del</w:t>
      </w:r>
      <w:r w:rsidRPr="008054C1">
        <w:rPr>
          <w:rFonts w:cs="Arial"/>
          <w:lang w:val="it-CH"/>
        </w:rPr>
        <w:t>l'importatore ufficiale</w:t>
      </w:r>
      <w:r>
        <w:rPr>
          <w:rFonts w:cs="Arial"/>
          <w:lang w:val="it-CH"/>
        </w:rPr>
        <w:t>, che va</w:t>
      </w:r>
      <w:r w:rsidRPr="008054C1">
        <w:rPr>
          <w:rFonts w:cs="Arial"/>
          <w:lang w:val="it-CH"/>
        </w:rPr>
        <w:t xml:space="preserve"> ad aggiungersi all'incentivo cantonale.</w:t>
      </w:r>
      <w:r>
        <w:rPr>
          <w:rFonts w:cs="Arial"/>
          <w:lang w:val="it-CH"/>
        </w:rPr>
        <w:t xml:space="preserve"> L'acquirente beneficia dunque di un incentivo totale minimo di 4'000 franchi.</w:t>
      </w:r>
    </w:p>
    <w:p w:rsidR="003135BC" w:rsidRDefault="003135BC" w:rsidP="003135BC">
      <w:pPr>
        <w:rPr>
          <w:rFonts w:cs="Arial"/>
          <w:lang w:val="it-CH"/>
        </w:rPr>
      </w:pPr>
    </w:p>
    <w:p w:rsidR="003135BC" w:rsidRDefault="003135BC" w:rsidP="003135BC">
      <w:pPr>
        <w:rPr>
          <w:rFonts w:cs="Arial"/>
          <w:lang w:val="it-CH"/>
        </w:rPr>
      </w:pPr>
      <w:r>
        <w:rPr>
          <w:rFonts w:cs="Arial"/>
          <w:lang w:val="it-CH"/>
        </w:rPr>
        <w:t xml:space="preserve">Per le stazioni di ricarica è concesso un incentivo forfettario di 500 franchi unicamente per </w:t>
      </w:r>
      <w:r w:rsidRPr="00031179">
        <w:rPr>
          <w:rFonts w:cs="Arial"/>
          <w:lang w:val="it-CH"/>
        </w:rPr>
        <w:t>stazion</w:t>
      </w:r>
      <w:r>
        <w:rPr>
          <w:rFonts w:cs="Arial"/>
          <w:lang w:val="it-CH"/>
        </w:rPr>
        <w:t xml:space="preserve">i di ricarica ad uso privato, installate a domicilio o presso i datori di lavoro, con una </w:t>
      </w:r>
      <w:r w:rsidRPr="00031179">
        <w:rPr>
          <w:rFonts w:cs="Arial"/>
          <w:lang w:val="it-CH"/>
        </w:rPr>
        <w:t>potenza minima di 3 kW</w:t>
      </w:r>
      <w:r>
        <w:rPr>
          <w:rFonts w:cs="Arial"/>
          <w:lang w:val="it-CH"/>
        </w:rPr>
        <w:t>,</w:t>
      </w:r>
      <w:r w:rsidRPr="00031179">
        <w:rPr>
          <w:rFonts w:cs="Arial"/>
          <w:lang w:val="it-CH"/>
        </w:rPr>
        <w:t xml:space="preserve"> </w:t>
      </w:r>
      <w:r>
        <w:rPr>
          <w:rFonts w:cs="Arial"/>
          <w:lang w:val="it-CH"/>
        </w:rPr>
        <w:t xml:space="preserve">a condizione che queste siano fissate </w:t>
      </w:r>
      <w:r w:rsidRPr="00031179">
        <w:rPr>
          <w:rFonts w:cs="Arial"/>
          <w:lang w:val="it-CH"/>
        </w:rPr>
        <w:t>a muro o su di un supporto dedicato</w:t>
      </w:r>
      <w:r>
        <w:rPr>
          <w:rFonts w:cs="Arial"/>
          <w:lang w:val="it-CH"/>
        </w:rPr>
        <w:t>.</w:t>
      </w:r>
    </w:p>
    <w:p w:rsidR="003135BC" w:rsidRDefault="003135BC" w:rsidP="003135BC">
      <w:pPr>
        <w:rPr>
          <w:rFonts w:cs="Arial"/>
          <w:lang w:val="it-CH"/>
        </w:rPr>
      </w:pPr>
    </w:p>
    <w:p w:rsidR="003135BC" w:rsidRDefault="003135BC" w:rsidP="003135BC">
      <w:pPr>
        <w:rPr>
          <w:rFonts w:cs="Arial"/>
          <w:lang w:val="it-CH"/>
        </w:rPr>
      </w:pPr>
      <w:r w:rsidRPr="00A1052B">
        <w:rPr>
          <w:rFonts w:cs="Arial"/>
          <w:lang w:val="it-CH"/>
        </w:rPr>
        <w:t>Durante il periodo dal 25 giugno 2019 al 3</w:t>
      </w:r>
      <w:r>
        <w:rPr>
          <w:rFonts w:cs="Arial"/>
          <w:lang w:val="it-CH"/>
        </w:rPr>
        <w:t>0</w:t>
      </w:r>
      <w:r w:rsidRPr="00A1052B">
        <w:rPr>
          <w:rFonts w:cs="Arial"/>
          <w:lang w:val="it-CH"/>
        </w:rPr>
        <w:t xml:space="preserve"> </w:t>
      </w:r>
      <w:r>
        <w:rPr>
          <w:rFonts w:cs="Arial"/>
          <w:lang w:val="it-CH"/>
        </w:rPr>
        <w:t>giugno</w:t>
      </w:r>
      <w:r w:rsidRPr="00A1052B">
        <w:rPr>
          <w:rFonts w:cs="Arial"/>
          <w:lang w:val="it-CH"/>
        </w:rPr>
        <w:t xml:space="preserve"> 202</w:t>
      </w:r>
      <w:r>
        <w:rPr>
          <w:rFonts w:cs="Arial"/>
          <w:lang w:val="it-CH"/>
        </w:rPr>
        <w:t>1</w:t>
      </w:r>
      <w:r w:rsidRPr="00A1052B">
        <w:rPr>
          <w:rFonts w:cs="Arial"/>
          <w:lang w:val="it-CH"/>
        </w:rPr>
        <w:t xml:space="preserve"> </w:t>
      </w:r>
      <w:r>
        <w:rPr>
          <w:rFonts w:cs="Arial"/>
          <w:lang w:val="it-CH"/>
        </w:rPr>
        <w:t xml:space="preserve">sono </w:t>
      </w:r>
      <w:r w:rsidRPr="00A1052B">
        <w:rPr>
          <w:rFonts w:cs="Arial"/>
          <w:lang w:val="it-CH"/>
        </w:rPr>
        <w:t xml:space="preserve">pervenute </w:t>
      </w:r>
      <w:r>
        <w:rPr>
          <w:rFonts w:cs="Arial"/>
          <w:lang w:val="it-CH"/>
        </w:rPr>
        <w:t>un totale di 2'110</w:t>
      </w:r>
      <w:r w:rsidRPr="00A1052B">
        <w:rPr>
          <w:rFonts w:cs="Arial"/>
          <w:lang w:val="it-CH"/>
        </w:rPr>
        <w:t xml:space="preserve"> </w:t>
      </w:r>
      <w:r>
        <w:rPr>
          <w:rFonts w:cs="Arial"/>
          <w:lang w:val="it-CH"/>
        </w:rPr>
        <w:t xml:space="preserve">richieste, </w:t>
      </w:r>
      <w:r w:rsidRPr="00A1052B">
        <w:rPr>
          <w:rFonts w:cs="Arial"/>
          <w:lang w:val="it-CH"/>
        </w:rPr>
        <w:t>di cui 1’</w:t>
      </w:r>
      <w:r>
        <w:rPr>
          <w:rFonts w:cs="Arial"/>
          <w:lang w:val="it-CH"/>
        </w:rPr>
        <w:t>937</w:t>
      </w:r>
      <w:r w:rsidRPr="00A1052B">
        <w:rPr>
          <w:rFonts w:cs="Arial"/>
          <w:lang w:val="it-CH"/>
        </w:rPr>
        <w:t xml:space="preserve"> accettate</w:t>
      </w:r>
      <w:r>
        <w:rPr>
          <w:rFonts w:cs="Arial"/>
          <w:lang w:val="it-CH"/>
        </w:rPr>
        <w:t>,</w:t>
      </w:r>
      <w:r w:rsidRPr="00A1052B">
        <w:rPr>
          <w:rFonts w:cs="Arial"/>
          <w:lang w:val="it-CH"/>
        </w:rPr>
        <w:t xml:space="preserve"> per u</w:t>
      </w:r>
      <w:r>
        <w:rPr>
          <w:rFonts w:cs="Arial"/>
          <w:lang w:val="it-CH"/>
        </w:rPr>
        <w:t>n importo tota</w:t>
      </w:r>
      <w:r w:rsidRPr="00A1052B">
        <w:rPr>
          <w:rFonts w:cs="Arial"/>
          <w:lang w:val="it-CH"/>
        </w:rPr>
        <w:t>le erogato di fr.</w:t>
      </w:r>
      <w:r w:rsidR="00FC4B09">
        <w:rPr>
          <w:rFonts w:cs="Arial"/>
          <w:lang w:val="it-CH"/>
        </w:rPr>
        <w:t xml:space="preserve"> </w:t>
      </w:r>
      <w:r w:rsidRPr="00A1052B">
        <w:rPr>
          <w:rFonts w:cs="Arial"/>
          <w:lang w:val="it-CH"/>
        </w:rPr>
        <w:t>2'</w:t>
      </w:r>
      <w:r>
        <w:rPr>
          <w:rFonts w:cs="Arial"/>
          <w:lang w:val="it-CH"/>
        </w:rPr>
        <w:t>739'657</w:t>
      </w:r>
      <w:r w:rsidRPr="00A1052B">
        <w:rPr>
          <w:rFonts w:cs="Arial"/>
          <w:lang w:val="it-CH"/>
        </w:rPr>
        <w:t>.-</w:t>
      </w:r>
      <w:r>
        <w:rPr>
          <w:rFonts w:cs="Arial"/>
          <w:lang w:val="it-CH"/>
        </w:rPr>
        <w:t>. Il credito quadro a disposizione delle automobili è già stato consumato per il 91% con 1'181 automobili incentivate, mentre per le stazioni di ricarica si è consumato il 94% del credito a disposizione incentivandone 756.</w:t>
      </w:r>
    </w:p>
    <w:p w:rsidR="003135BC" w:rsidRDefault="003135BC" w:rsidP="003135BC">
      <w:pPr>
        <w:jc w:val="left"/>
        <w:rPr>
          <w:rFonts w:cs="Arial"/>
          <w:lang w:val="it-CH"/>
        </w:rPr>
      </w:pPr>
    </w:p>
    <w:tbl>
      <w:tblPr>
        <w:tblStyle w:val="Grigliatabella"/>
        <w:tblW w:w="9254" w:type="dxa"/>
        <w:tblInd w:w="108" w:type="dxa"/>
        <w:tblLayout w:type="fixed"/>
        <w:tblLook w:val="04A0" w:firstRow="1" w:lastRow="0" w:firstColumn="1" w:lastColumn="0" w:noHBand="0" w:noVBand="1"/>
      </w:tblPr>
      <w:tblGrid>
        <w:gridCol w:w="1221"/>
        <w:gridCol w:w="788"/>
        <w:gridCol w:w="877"/>
        <w:gridCol w:w="877"/>
        <w:gridCol w:w="877"/>
        <w:gridCol w:w="877"/>
        <w:gridCol w:w="877"/>
        <w:gridCol w:w="877"/>
        <w:gridCol w:w="877"/>
        <w:gridCol w:w="1106"/>
      </w:tblGrid>
      <w:tr w:rsidR="003135BC" w:rsidRPr="000E273B" w:rsidTr="00FC4B09">
        <w:tc>
          <w:tcPr>
            <w:tcW w:w="9254" w:type="dxa"/>
            <w:gridSpan w:val="10"/>
            <w:tcBorders>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 xml:space="preserve">Incentivi per </w:t>
            </w:r>
            <w:r w:rsidRPr="001F1295">
              <w:rPr>
                <w:rFonts w:cs="Arial"/>
                <w:b/>
                <w:bCs/>
                <w:sz w:val="16"/>
                <w:szCs w:val="16"/>
                <w:lang w:val="it-CH" w:eastAsia="it-CH"/>
              </w:rPr>
              <w:t>automobili</w:t>
            </w:r>
          </w:p>
        </w:tc>
      </w:tr>
      <w:tr w:rsidR="003135BC" w:rsidRPr="000E273B" w:rsidTr="00FC4B09">
        <w:tc>
          <w:tcPr>
            <w:tcW w:w="1221"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Anno</w:t>
            </w:r>
          </w:p>
        </w:tc>
        <w:tc>
          <w:tcPr>
            <w:tcW w:w="1665" w:type="dxa"/>
            <w:gridSpan w:val="2"/>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2019</w:t>
            </w:r>
          </w:p>
        </w:tc>
        <w:tc>
          <w:tcPr>
            <w:tcW w:w="3508" w:type="dxa"/>
            <w:gridSpan w:val="4"/>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2020</w:t>
            </w:r>
          </w:p>
        </w:tc>
        <w:tc>
          <w:tcPr>
            <w:tcW w:w="1754" w:type="dxa"/>
            <w:gridSpan w:val="2"/>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2021</w:t>
            </w:r>
          </w:p>
        </w:tc>
        <w:tc>
          <w:tcPr>
            <w:tcW w:w="1106" w:type="dxa"/>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Totale al</w:t>
            </w:r>
          </w:p>
        </w:tc>
      </w:tr>
      <w:tr w:rsidR="003135BC" w:rsidRPr="000E273B" w:rsidTr="00FC4B09">
        <w:tc>
          <w:tcPr>
            <w:tcW w:w="1221" w:type="dxa"/>
            <w:tcBorders>
              <w:top w:val="nil"/>
              <w:bottom w:val="single" w:sz="4" w:space="0" w:color="auto"/>
            </w:tcBorders>
            <w:vAlign w:val="center"/>
          </w:tcPr>
          <w:p w:rsidR="003135BC" w:rsidRPr="001F1295" w:rsidRDefault="003135BC" w:rsidP="003135BC">
            <w:pPr>
              <w:jc w:val="center"/>
              <w:rPr>
                <w:rFonts w:cs="Arial"/>
                <w:sz w:val="16"/>
                <w:szCs w:val="16"/>
                <w:lang w:val="it-CH"/>
              </w:rPr>
            </w:pPr>
            <w:r w:rsidRPr="001F1295">
              <w:rPr>
                <w:rFonts w:cs="Arial"/>
                <w:sz w:val="16"/>
                <w:szCs w:val="16"/>
              </w:rPr>
              <w:t>Trimestre</w:t>
            </w:r>
          </w:p>
        </w:tc>
        <w:tc>
          <w:tcPr>
            <w:tcW w:w="788"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3°</w:t>
            </w:r>
          </w:p>
        </w:tc>
        <w:tc>
          <w:tcPr>
            <w:tcW w:w="877"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4°</w:t>
            </w:r>
          </w:p>
        </w:tc>
        <w:tc>
          <w:tcPr>
            <w:tcW w:w="877"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1°</w:t>
            </w:r>
          </w:p>
        </w:tc>
        <w:tc>
          <w:tcPr>
            <w:tcW w:w="877" w:type="dxa"/>
            <w:tcBorders>
              <w:top w:val="nil"/>
              <w:left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w:t>
            </w:r>
          </w:p>
        </w:tc>
        <w:tc>
          <w:tcPr>
            <w:tcW w:w="877" w:type="dxa"/>
            <w:tcBorders>
              <w:top w:val="nil"/>
              <w:left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3°</w:t>
            </w:r>
          </w:p>
        </w:tc>
        <w:tc>
          <w:tcPr>
            <w:tcW w:w="877"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4°</w:t>
            </w:r>
          </w:p>
        </w:tc>
        <w:tc>
          <w:tcPr>
            <w:tcW w:w="877"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1°</w:t>
            </w:r>
          </w:p>
        </w:tc>
        <w:tc>
          <w:tcPr>
            <w:tcW w:w="877"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w:t>
            </w:r>
          </w:p>
        </w:tc>
        <w:tc>
          <w:tcPr>
            <w:tcW w:w="1106" w:type="dxa"/>
            <w:tcBorders>
              <w:top w:val="nil"/>
              <w:bottom w:val="single" w:sz="4" w:space="0" w:color="auto"/>
            </w:tcBorders>
            <w:vAlign w:val="center"/>
          </w:tcPr>
          <w:p w:rsidR="003135BC" w:rsidRPr="001F1295" w:rsidRDefault="003135BC" w:rsidP="003135BC">
            <w:pPr>
              <w:jc w:val="center"/>
              <w:rPr>
                <w:rFonts w:cs="Arial"/>
                <w:b/>
                <w:sz w:val="16"/>
                <w:szCs w:val="16"/>
                <w:lang w:val="it-CH"/>
              </w:rPr>
            </w:pPr>
            <w:r>
              <w:rPr>
                <w:rFonts w:cs="Arial"/>
                <w:b/>
                <w:sz w:val="16"/>
                <w:szCs w:val="16"/>
              </w:rPr>
              <w:t>30</w:t>
            </w:r>
            <w:r w:rsidRPr="001F1295">
              <w:rPr>
                <w:rFonts w:cs="Arial"/>
                <w:b/>
                <w:sz w:val="16"/>
                <w:szCs w:val="16"/>
              </w:rPr>
              <w:t>.06.2021</w:t>
            </w:r>
          </w:p>
        </w:tc>
      </w:tr>
      <w:tr w:rsidR="003135BC" w:rsidRPr="000E273B" w:rsidTr="00FC4B09">
        <w:tc>
          <w:tcPr>
            <w:tcW w:w="1221"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Tot. richieste</w:t>
            </w:r>
          </w:p>
        </w:tc>
        <w:tc>
          <w:tcPr>
            <w:tcW w:w="788"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56</w:t>
            </w:r>
          </w:p>
        </w:tc>
        <w:tc>
          <w:tcPr>
            <w:tcW w:w="877"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115</w:t>
            </w:r>
          </w:p>
        </w:tc>
        <w:tc>
          <w:tcPr>
            <w:tcW w:w="877"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133</w:t>
            </w:r>
          </w:p>
        </w:tc>
        <w:tc>
          <w:tcPr>
            <w:tcW w:w="877" w:type="dxa"/>
            <w:tcBorders>
              <w:left w:val="nil"/>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80</w:t>
            </w:r>
          </w:p>
        </w:tc>
        <w:tc>
          <w:tcPr>
            <w:tcW w:w="877" w:type="dxa"/>
            <w:tcBorders>
              <w:left w:val="nil"/>
              <w:bottom w:val="nil"/>
              <w:right w:val="nil"/>
            </w:tcBorders>
          </w:tcPr>
          <w:p w:rsidR="003135BC" w:rsidRPr="001F1295" w:rsidRDefault="003135BC" w:rsidP="003135BC">
            <w:pPr>
              <w:jc w:val="center"/>
              <w:rPr>
                <w:rFonts w:cs="Arial"/>
                <w:sz w:val="16"/>
                <w:szCs w:val="16"/>
                <w:lang w:val="it-CH"/>
              </w:rPr>
            </w:pPr>
            <w:r w:rsidRPr="001F1295">
              <w:rPr>
                <w:rFonts w:cs="Arial"/>
                <w:sz w:val="16"/>
                <w:szCs w:val="16"/>
                <w:lang w:val="it-CH"/>
              </w:rPr>
              <w:t>154</w:t>
            </w:r>
          </w:p>
        </w:tc>
        <w:tc>
          <w:tcPr>
            <w:tcW w:w="877"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192</w:t>
            </w:r>
          </w:p>
        </w:tc>
        <w:tc>
          <w:tcPr>
            <w:tcW w:w="877"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271</w:t>
            </w:r>
          </w:p>
        </w:tc>
        <w:tc>
          <w:tcPr>
            <w:tcW w:w="877"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282</w:t>
            </w:r>
          </w:p>
        </w:tc>
        <w:tc>
          <w:tcPr>
            <w:tcW w:w="1106"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1'283</w:t>
            </w:r>
          </w:p>
        </w:tc>
      </w:tr>
      <w:tr w:rsidR="003135BC" w:rsidRPr="000E273B" w:rsidTr="00FC4B09">
        <w:tc>
          <w:tcPr>
            <w:tcW w:w="1221" w:type="dxa"/>
            <w:tcBorders>
              <w:top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Accettate</w:t>
            </w:r>
          </w:p>
        </w:tc>
        <w:tc>
          <w:tcPr>
            <w:tcW w:w="788"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49</w:t>
            </w:r>
          </w:p>
        </w:tc>
        <w:tc>
          <w:tcPr>
            <w:tcW w:w="877"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108</w:t>
            </w:r>
          </w:p>
        </w:tc>
        <w:tc>
          <w:tcPr>
            <w:tcW w:w="877"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121</w:t>
            </w:r>
          </w:p>
        </w:tc>
        <w:tc>
          <w:tcPr>
            <w:tcW w:w="877" w:type="dxa"/>
            <w:tcBorders>
              <w:top w:val="nil"/>
              <w:left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72</w:t>
            </w:r>
          </w:p>
        </w:tc>
        <w:tc>
          <w:tcPr>
            <w:tcW w:w="877" w:type="dxa"/>
            <w:tcBorders>
              <w:top w:val="nil"/>
              <w:left w:val="nil"/>
              <w:right w:val="nil"/>
            </w:tcBorders>
          </w:tcPr>
          <w:p w:rsidR="003135BC" w:rsidRPr="001F1295" w:rsidRDefault="003135BC" w:rsidP="003135BC">
            <w:pPr>
              <w:jc w:val="center"/>
              <w:rPr>
                <w:rFonts w:cs="Arial"/>
                <w:sz w:val="16"/>
                <w:szCs w:val="16"/>
                <w:lang w:val="it-CH"/>
              </w:rPr>
            </w:pPr>
            <w:r w:rsidRPr="001F1295">
              <w:rPr>
                <w:rFonts w:cs="Arial"/>
                <w:sz w:val="16"/>
                <w:szCs w:val="16"/>
                <w:lang w:val="it-CH"/>
              </w:rPr>
              <w:t>142</w:t>
            </w:r>
          </w:p>
        </w:tc>
        <w:tc>
          <w:tcPr>
            <w:tcW w:w="877"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178</w:t>
            </w:r>
          </w:p>
        </w:tc>
        <w:tc>
          <w:tcPr>
            <w:tcW w:w="877"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249</w:t>
            </w:r>
          </w:p>
        </w:tc>
        <w:tc>
          <w:tcPr>
            <w:tcW w:w="877"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262</w:t>
            </w:r>
          </w:p>
        </w:tc>
        <w:tc>
          <w:tcPr>
            <w:tcW w:w="1106" w:type="dxa"/>
            <w:tcBorders>
              <w:top w:val="nil"/>
            </w:tcBorders>
            <w:vAlign w:val="center"/>
          </w:tcPr>
          <w:p w:rsidR="003135BC" w:rsidRPr="001F1295" w:rsidRDefault="003135BC" w:rsidP="003135BC">
            <w:pPr>
              <w:jc w:val="center"/>
              <w:rPr>
                <w:rFonts w:cs="Arial"/>
                <w:sz w:val="16"/>
                <w:szCs w:val="16"/>
                <w:lang w:val="it-CH"/>
              </w:rPr>
            </w:pPr>
            <w:r w:rsidRPr="001F1295">
              <w:rPr>
                <w:rFonts w:cs="Arial"/>
                <w:sz w:val="16"/>
                <w:szCs w:val="16"/>
                <w:lang w:val="it-CH" w:eastAsia="it-CH"/>
              </w:rPr>
              <w:t>1'18</w:t>
            </w:r>
            <w:r>
              <w:rPr>
                <w:rFonts w:cs="Arial"/>
                <w:sz w:val="16"/>
                <w:szCs w:val="16"/>
                <w:lang w:val="it-CH" w:eastAsia="it-CH"/>
              </w:rPr>
              <w:t>1</w:t>
            </w:r>
          </w:p>
        </w:tc>
      </w:tr>
      <w:tr w:rsidR="003135BC" w:rsidRPr="000E273B" w:rsidTr="00FC4B09">
        <w:tc>
          <w:tcPr>
            <w:tcW w:w="1221" w:type="dxa"/>
            <w:vAlign w:val="center"/>
          </w:tcPr>
          <w:p w:rsidR="003135BC" w:rsidRPr="001F1295" w:rsidRDefault="003135BC" w:rsidP="003135BC">
            <w:pPr>
              <w:jc w:val="center"/>
              <w:rPr>
                <w:rFonts w:cs="Arial"/>
                <w:b/>
                <w:i/>
                <w:sz w:val="16"/>
                <w:szCs w:val="16"/>
                <w:lang w:val="it-CH"/>
              </w:rPr>
            </w:pPr>
            <w:r w:rsidRPr="001F1295">
              <w:rPr>
                <w:rFonts w:cs="Arial"/>
                <w:b/>
                <w:i/>
                <w:sz w:val="16"/>
                <w:szCs w:val="16"/>
              </w:rPr>
              <w:t>CHF erogati</w:t>
            </w:r>
          </w:p>
        </w:tc>
        <w:tc>
          <w:tcPr>
            <w:tcW w:w="788"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98'000</w:t>
            </w:r>
          </w:p>
        </w:tc>
        <w:tc>
          <w:tcPr>
            <w:tcW w:w="877"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216'000</w:t>
            </w:r>
          </w:p>
        </w:tc>
        <w:tc>
          <w:tcPr>
            <w:tcW w:w="877"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242'000</w:t>
            </w:r>
          </w:p>
        </w:tc>
        <w:tc>
          <w:tcPr>
            <w:tcW w:w="877" w:type="dxa"/>
            <w:tcBorders>
              <w:left w:val="nil"/>
              <w:righ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144'000</w:t>
            </w:r>
          </w:p>
        </w:tc>
        <w:tc>
          <w:tcPr>
            <w:tcW w:w="877" w:type="dxa"/>
            <w:tcBorders>
              <w:left w:val="nil"/>
              <w:right w:val="nil"/>
            </w:tcBorders>
          </w:tcPr>
          <w:p w:rsidR="003135BC" w:rsidRPr="001F1295" w:rsidRDefault="003135BC" w:rsidP="003135BC">
            <w:pPr>
              <w:jc w:val="center"/>
              <w:rPr>
                <w:rFonts w:cs="Arial"/>
                <w:b/>
                <w:i/>
                <w:sz w:val="16"/>
                <w:szCs w:val="16"/>
                <w:lang w:val="it-CH"/>
              </w:rPr>
            </w:pPr>
            <w:r w:rsidRPr="001F1295">
              <w:rPr>
                <w:rFonts w:cs="Arial"/>
                <w:b/>
                <w:i/>
                <w:sz w:val="16"/>
                <w:szCs w:val="16"/>
                <w:lang w:val="it-CH"/>
              </w:rPr>
              <w:t>284'000</w:t>
            </w:r>
          </w:p>
        </w:tc>
        <w:tc>
          <w:tcPr>
            <w:tcW w:w="877"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356'000</w:t>
            </w:r>
          </w:p>
        </w:tc>
        <w:tc>
          <w:tcPr>
            <w:tcW w:w="877"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498'000</w:t>
            </w:r>
          </w:p>
        </w:tc>
        <w:tc>
          <w:tcPr>
            <w:tcW w:w="877"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524'000</w:t>
            </w:r>
          </w:p>
        </w:tc>
        <w:tc>
          <w:tcPr>
            <w:tcW w:w="1106" w:type="dxa"/>
            <w:vAlign w:val="center"/>
          </w:tcPr>
          <w:p w:rsidR="003135BC" w:rsidRPr="001F1295" w:rsidRDefault="003135BC" w:rsidP="003135BC">
            <w:pPr>
              <w:jc w:val="center"/>
              <w:rPr>
                <w:rFonts w:cs="Arial"/>
                <w:b/>
                <w:i/>
                <w:sz w:val="16"/>
                <w:szCs w:val="16"/>
                <w:lang w:val="it-CH"/>
              </w:rPr>
            </w:pPr>
            <w:r w:rsidRPr="001F1295">
              <w:rPr>
                <w:rFonts w:cs="Arial"/>
                <w:b/>
                <w:bCs/>
                <w:i/>
                <w:iCs/>
                <w:sz w:val="16"/>
                <w:szCs w:val="16"/>
                <w:lang w:val="it-CH" w:eastAsia="it-CH"/>
              </w:rPr>
              <w:t>2'362'000</w:t>
            </w:r>
          </w:p>
        </w:tc>
      </w:tr>
    </w:tbl>
    <w:p w:rsidR="003135BC" w:rsidRDefault="003135BC" w:rsidP="00E06AF4">
      <w:pPr>
        <w:spacing w:after="120"/>
        <w:rPr>
          <w:rFonts w:cs="Arial"/>
          <w:lang w:val="it-CH"/>
        </w:rPr>
      </w:pPr>
    </w:p>
    <w:tbl>
      <w:tblPr>
        <w:tblStyle w:val="Grigliatabella"/>
        <w:tblW w:w="8720" w:type="dxa"/>
        <w:tblInd w:w="108" w:type="dxa"/>
        <w:tblLayout w:type="fixed"/>
        <w:tblLook w:val="04A0" w:firstRow="1" w:lastRow="0" w:firstColumn="1" w:lastColumn="0" w:noHBand="0" w:noVBand="1"/>
      </w:tblPr>
      <w:tblGrid>
        <w:gridCol w:w="1221"/>
        <w:gridCol w:w="788"/>
        <w:gridCol w:w="788"/>
        <w:gridCol w:w="788"/>
        <w:gridCol w:w="788"/>
        <w:gridCol w:w="788"/>
        <w:gridCol w:w="788"/>
        <w:gridCol w:w="877"/>
        <w:gridCol w:w="788"/>
        <w:gridCol w:w="1106"/>
      </w:tblGrid>
      <w:tr w:rsidR="003135BC" w:rsidRPr="000E273B" w:rsidTr="00FC4B09">
        <w:tc>
          <w:tcPr>
            <w:tcW w:w="8720" w:type="dxa"/>
            <w:gridSpan w:val="10"/>
            <w:tcBorders>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Incentivi per stazioni di ricarica</w:t>
            </w:r>
          </w:p>
        </w:tc>
      </w:tr>
      <w:tr w:rsidR="003135BC" w:rsidRPr="000E273B" w:rsidTr="00FC4B09">
        <w:tc>
          <w:tcPr>
            <w:tcW w:w="1221"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Anno</w:t>
            </w:r>
          </w:p>
        </w:tc>
        <w:tc>
          <w:tcPr>
            <w:tcW w:w="1576" w:type="dxa"/>
            <w:gridSpan w:val="2"/>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2019</w:t>
            </w:r>
          </w:p>
        </w:tc>
        <w:tc>
          <w:tcPr>
            <w:tcW w:w="3152" w:type="dxa"/>
            <w:gridSpan w:val="4"/>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2020</w:t>
            </w:r>
          </w:p>
        </w:tc>
        <w:tc>
          <w:tcPr>
            <w:tcW w:w="1665" w:type="dxa"/>
            <w:gridSpan w:val="2"/>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2021</w:t>
            </w:r>
          </w:p>
        </w:tc>
        <w:tc>
          <w:tcPr>
            <w:tcW w:w="1106" w:type="dxa"/>
            <w:tcBorders>
              <w:bottom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Totale al</w:t>
            </w:r>
          </w:p>
        </w:tc>
      </w:tr>
      <w:tr w:rsidR="003135BC" w:rsidRPr="000E273B" w:rsidTr="00FC4B09">
        <w:tc>
          <w:tcPr>
            <w:tcW w:w="1221" w:type="dxa"/>
            <w:tcBorders>
              <w:top w:val="nil"/>
              <w:bottom w:val="single" w:sz="4" w:space="0" w:color="auto"/>
            </w:tcBorders>
            <w:vAlign w:val="center"/>
          </w:tcPr>
          <w:p w:rsidR="003135BC" w:rsidRPr="001F1295" w:rsidRDefault="003135BC" w:rsidP="003135BC">
            <w:pPr>
              <w:jc w:val="center"/>
              <w:rPr>
                <w:rFonts w:cs="Arial"/>
                <w:sz w:val="16"/>
                <w:szCs w:val="16"/>
                <w:lang w:val="it-CH"/>
              </w:rPr>
            </w:pPr>
            <w:r w:rsidRPr="001F1295">
              <w:rPr>
                <w:rFonts w:cs="Arial"/>
                <w:sz w:val="16"/>
                <w:szCs w:val="16"/>
              </w:rPr>
              <w:t>Trimestre</w:t>
            </w:r>
          </w:p>
        </w:tc>
        <w:tc>
          <w:tcPr>
            <w:tcW w:w="788"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3°</w:t>
            </w:r>
          </w:p>
        </w:tc>
        <w:tc>
          <w:tcPr>
            <w:tcW w:w="788"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4°</w:t>
            </w:r>
          </w:p>
        </w:tc>
        <w:tc>
          <w:tcPr>
            <w:tcW w:w="788"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1°</w:t>
            </w:r>
          </w:p>
        </w:tc>
        <w:tc>
          <w:tcPr>
            <w:tcW w:w="788" w:type="dxa"/>
            <w:tcBorders>
              <w:top w:val="nil"/>
              <w:left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w:t>
            </w:r>
          </w:p>
        </w:tc>
        <w:tc>
          <w:tcPr>
            <w:tcW w:w="788" w:type="dxa"/>
            <w:tcBorders>
              <w:top w:val="nil"/>
              <w:left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3°</w:t>
            </w:r>
          </w:p>
        </w:tc>
        <w:tc>
          <w:tcPr>
            <w:tcW w:w="788"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4°</w:t>
            </w:r>
          </w:p>
        </w:tc>
        <w:tc>
          <w:tcPr>
            <w:tcW w:w="877" w:type="dxa"/>
            <w:tcBorders>
              <w:top w:val="nil"/>
              <w:bottom w:val="single" w:sz="4" w:space="0" w:color="auto"/>
              <w:right w:val="nil"/>
            </w:tcBorders>
            <w:vAlign w:val="center"/>
          </w:tcPr>
          <w:p w:rsidR="003135BC" w:rsidRPr="001F1295" w:rsidRDefault="003135BC" w:rsidP="003135BC">
            <w:pPr>
              <w:jc w:val="center"/>
              <w:rPr>
                <w:rFonts w:cs="Arial"/>
                <w:b/>
                <w:sz w:val="16"/>
                <w:szCs w:val="16"/>
                <w:lang w:val="it-CH"/>
              </w:rPr>
            </w:pPr>
            <w:r w:rsidRPr="001F1295">
              <w:rPr>
                <w:rFonts w:cs="Arial"/>
                <w:b/>
                <w:sz w:val="16"/>
                <w:szCs w:val="16"/>
              </w:rPr>
              <w:t>1°</w:t>
            </w:r>
          </w:p>
        </w:tc>
        <w:tc>
          <w:tcPr>
            <w:tcW w:w="788" w:type="dxa"/>
            <w:tcBorders>
              <w:top w:val="nil"/>
              <w:left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2</w:t>
            </w:r>
          </w:p>
        </w:tc>
        <w:tc>
          <w:tcPr>
            <w:tcW w:w="1106" w:type="dxa"/>
            <w:tcBorders>
              <w:top w:val="nil"/>
              <w:bottom w:val="single" w:sz="4" w:space="0" w:color="auto"/>
            </w:tcBorders>
            <w:vAlign w:val="center"/>
          </w:tcPr>
          <w:p w:rsidR="003135BC" w:rsidRPr="001F1295" w:rsidRDefault="003135BC" w:rsidP="003135BC">
            <w:pPr>
              <w:jc w:val="center"/>
              <w:rPr>
                <w:rFonts w:cs="Arial"/>
                <w:b/>
                <w:sz w:val="16"/>
                <w:szCs w:val="16"/>
                <w:lang w:val="it-CH"/>
              </w:rPr>
            </w:pPr>
            <w:r w:rsidRPr="001F1295">
              <w:rPr>
                <w:rFonts w:cs="Arial"/>
                <w:b/>
                <w:sz w:val="16"/>
                <w:szCs w:val="16"/>
              </w:rPr>
              <w:t>3</w:t>
            </w:r>
            <w:r>
              <w:rPr>
                <w:rFonts w:cs="Arial"/>
                <w:b/>
                <w:sz w:val="16"/>
                <w:szCs w:val="16"/>
              </w:rPr>
              <w:t>0</w:t>
            </w:r>
            <w:r w:rsidRPr="001F1295">
              <w:rPr>
                <w:rFonts w:cs="Arial"/>
                <w:b/>
                <w:sz w:val="16"/>
                <w:szCs w:val="16"/>
              </w:rPr>
              <w:t>.06.2021</w:t>
            </w:r>
          </w:p>
        </w:tc>
      </w:tr>
      <w:tr w:rsidR="003135BC" w:rsidRPr="000E273B" w:rsidTr="00FC4B09">
        <w:tc>
          <w:tcPr>
            <w:tcW w:w="1221"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Tot. richieste</w:t>
            </w:r>
          </w:p>
        </w:tc>
        <w:tc>
          <w:tcPr>
            <w:tcW w:w="788"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39</w:t>
            </w:r>
          </w:p>
        </w:tc>
        <w:tc>
          <w:tcPr>
            <w:tcW w:w="788"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63</w:t>
            </w:r>
          </w:p>
        </w:tc>
        <w:tc>
          <w:tcPr>
            <w:tcW w:w="788"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68</w:t>
            </w:r>
          </w:p>
        </w:tc>
        <w:tc>
          <w:tcPr>
            <w:tcW w:w="788" w:type="dxa"/>
            <w:tcBorders>
              <w:left w:val="nil"/>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45</w:t>
            </w:r>
          </w:p>
        </w:tc>
        <w:tc>
          <w:tcPr>
            <w:tcW w:w="788" w:type="dxa"/>
            <w:tcBorders>
              <w:left w:val="nil"/>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90</w:t>
            </w:r>
          </w:p>
        </w:tc>
        <w:tc>
          <w:tcPr>
            <w:tcW w:w="788"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113</w:t>
            </w:r>
          </w:p>
        </w:tc>
        <w:tc>
          <w:tcPr>
            <w:tcW w:w="877" w:type="dxa"/>
            <w:tcBorders>
              <w:bottom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232</w:t>
            </w:r>
          </w:p>
        </w:tc>
        <w:tc>
          <w:tcPr>
            <w:tcW w:w="788" w:type="dxa"/>
            <w:tcBorders>
              <w:left w:val="nil"/>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177</w:t>
            </w:r>
          </w:p>
        </w:tc>
        <w:tc>
          <w:tcPr>
            <w:tcW w:w="1106" w:type="dxa"/>
            <w:tcBorders>
              <w:bottom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827</w:t>
            </w:r>
          </w:p>
        </w:tc>
      </w:tr>
      <w:tr w:rsidR="003135BC" w:rsidRPr="000E273B" w:rsidTr="00FC4B09">
        <w:tc>
          <w:tcPr>
            <w:tcW w:w="1221" w:type="dxa"/>
            <w:tcBorders>
              <w:top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Accettate</w:t>
            </w:r>
          </w:p>
        </w:tc>
        <w:tc>
          <w:tcPr>
            <w:tcW w:w="788"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32</w:t>
            </w:r>
          </w:p>
        </w:tc>
        <w:tc>
          <w:tcPr>
            <w:tcW w:w="788"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59</w:t>
            </w:r>
          </w:p>
        </w:tc>
        <w:tc>
          <w:tcPr>
            <w:tcW w:w="788"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62</w:t>
            </w:r>
          </w:p>
        </w:tc>
        <w:tc>
          <w:tcPr>
            <w:tcW w:w="788" w:type="dxa"/>
            <w:tcBorders>
              <w:top w:val="nil"/>
              <w:left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38</w:t>
            </w:r>
          </w:p>
        </w:tc>
        <w:tc>
          <w:tcPr>
            <w:tcW w:w="788" w:type="dxa"/>
            <w:tcBorders>
              <w:top w:val="nil"/>
              <w:left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85</w:t>
            </w:r>
          </w:p>
        </w:tc>
        <w:tc>
          <w:tcPr>
            <w:tcW w:w="788"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101</w:t>
            </w:r>
          </w:p>
        </w:tc>
        <w:tc>
          <w:tcPr>
            <w:tcW w:w="877" w:type="dxa"/>
            <w:tcBorders>
              <w:top w:val="nil"/>
              <w:righ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212</w:t>
            </w:r>
          </w:p>
        </w:tc>
        <w:tc>
          <w:tcPr>
            <w:tcW w:w="788" w:type="dxa"/>
            <w:tcBorders>
              <w:top w:val="nil"/>
              <w:left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167</w:t>
            </w:r>
          </w:p>
        </w:tc>
        <w:tc>
          <w:tcPr>
            <w:tcW w:w="1106" w:type="dxa"/>
            <w:tcBorders>
              <w:top w:val="nil"/>
            </w:tcBorders>
            <w:vAlign w:val="center"/>
          </w:tcPr>
          <w:p w:rsidR="003135BC" w:rsidRPr="001F1295" w:rsidRDefault="003135BC" w:rsidP="003135BC">
            <w:pPr>
              <w:jc w:val="center"/>
              <w:rPr>
                <w:rFonts w:cs="Arial"/>
                <w:sz w:val="16"/>
                <w:szCs w:val="16"/>
                <w:lang w:val="it-CH"/>
              </w:rPr>
            </w:pPr>
            <w:r w:rsidRPr="001F1295">
              <w:rPr>
                <w:rFonts w:cs="Arial"/>
                <w:sz w:val="16"/>
                <w:szCs w:val="16"/>
              </w:rPr>
              <w:t>75</w:t>
            </w:r>
            <w:r>
              <w:rPr>
                <w:rFonts w:cs="Arial"/>
                <w:sz w:val="16"/>
                <w:szCs w:val="16"/>
              </w:rPr>
              <w:t>6</w:t>
            </w:r>
          </w:p>
        </w:tc>
      </w:tr>
      <w:tr w:rsidR="003135BC" w:rsidRPr="000E273B" w:rsidTr="00FC4B09">
        <w:tc>
          <w:tcPr>
            <w:tcW w:w="1221" w:type="dxa"/>
            <w:vAlign w:val="center"/>
          </w:tcPr>
          <w:p w:rsidR="003135BC" w:rsidRPr="001F1295" w:rsidRDefault="003135BC" w:rsidP="003135BC">
            <w:pPr>
              <w:jc w:val="center"/>
              <w:rPr>
                <w:rFonts w:cs="Arial"/>
                <w:b/>
                <w:i/>
                <w:sz w:val="16"/>
                <w:szCs w:val="16"/>
                <w:lang w:val="it-CH"/>
              </w:rPr>
            </w:pPr>
            <w:r w:rsidRPr="001F1295">
              <w:rPr>
                <w:rFonts w:cs="Arial"/>
                <w:b/>
                <w:i/>
                <w:sz w:val="16"/>
                <w:szCs w:val="16"/>
              </w:rPr>
              <w:t>CHF erogati</w:t>
            </w:r>
          </w:p>
        </w:tc>
        <w:tc>
          <w:tcPr>
            <w:tcW w:w="788"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16'000</w:t>
            </w:r>
          </w:p>
        </w:tc>
        <w:tc>
          <w:tcPr>
            <w:tcW w:w="788"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29'500</w:t>
            </w:r>
          </w:p>
        </w:tc>
        <w:tc>
          <w:tcPr>
            <w:tcW w:w="788"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31'000</w:t>
            </w:r>
          </w:p>
        </w:tc>
        <w:tc>
          <w:tcPr>
            <w:tcW w:w="788" w:type="dxa"/>
            <w:tcBorders>
              <w:left w:val="nil"/>
              <w:righ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19'000</w:t>
            </w:r>
          </w:p>
        </w:tc>
        <w:tc>
          <w:tcPr>
            <w:tcW w:w="788" w:type="dxa"/>
            <w:tcBorders>
              <w:left w:val="nil"/>
              <w:righ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42'500</w:t>
            </w:r>
          </w:p>
        </w:tc>
        <w:tc>
          <w:tcPr>
            <w:tcW w:w="788"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50'157</w:t>
            </w:r>
          </w:p>
        </w:tc>
        <w:tc>
          <w:tcPr>
            <w:tcW w:w="877" w:type="dxa"/>
            <w:tcBorders>
              <w:righ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106'000</w:t>
            </w:r>
          </w:p>
        </w:tc>
        <w:tc>
          <w:tcPr>
            <w:tcW w:w="788" w:type="dxa"/>
            <w:tcBorders>
              <w:left w:val="nil"/>
            </w:tcBorders>
            <w:vAlign w:val="center"/>
          </w:tcPr>
          <w:p w:rsidR="003135BC" w:rsidRPr="001F1295" w:rsidRDefault="003135BC" w:rsidP="003135BC">
            <w:pPr>
              <w:jc w:val="center"/>
              <w:rPr>
                <w:rFonts w:cs="Arial"/>
                <w:b/>
                <w:i/>
                <w:sz w:val="16"/>
                <w:szCs w:val="16"/>
                <w:lang w:val="it-CH"/>
              </w:rPr>
            </w:pPr>
            <w:r w:rsidRPr="001F1295">
              <w:rPr>
                <w:rFonts w:cs="Arial"/>
                <w:b/>
                <w:i/>
                <w:sz w:val="16"/>
                <w:szCs w:val="16"/>
              </w:rPr>
              <w:t>83'500</w:t>
            </w:r>
          </w:p>
        </w:tc>
        <w:tc>
          <w:tcPr>
            <w:tcW w:w="1106" w:type="dxa"/>
            <w:vAlign w:val="center"/>
          </w:tcPr>
          <w:p w:rsidR="003135BC" w:rsidRPr="001F1295" w:rsidRDefault="003135BC" w:rsidP="003135BC">
            <w:pPr>
              <w:jc w:val="center"/>
              <w:rPr>
                <w:rFonts w:cs="Arial"/>
                <w:b/>
                <w:i/>
                <w:sz w:val="16"/>
                <w:szCs w:val="16"/>
                <w:lang w:val="it-CH"/>
              </w:rPr>
            </w:pPr>
            <w:r w:rsidRPr="001F1295">
              <w:rPr>
                <w:rFonts w:cs="Arial"/>
                <w:b/>
                <w:i/>
                <w:sz w:val="16"/>
                <w:szCs w:val="16"/>
              </w:rPr>
              <w:t>377'657</w:t>
            </w:r>
          </w:p>
        </w:tc>
      </w:tr>
    </w:tbl>
    <w:p w:rsidR="003135BC" w:rsidRDefault="003135BC" w:rsidP="00E06AF4">
      <w:pPr>
        <w:spacing w:after="120"/>
        <w:rPr>
          <w:rFonts w:cs="Arial"/>
          <w:lang w:val="it-CH"/>
        </w:rPr>
      </w:pPr>
    </w:p>
    <w:p w:rsidR="003135BC" w:rsidRDefault="003135BC" w:rsidP="003135BC">
      <w:pPr>
        <w:rPr>
          <w:rFonts w:cs="Arial"/>
          <w:lang w:val="it-CH"/>
        </w:rPr>
      </w:pPr>
      <w:r w:rsidRPr="00A1052B">
        <w:rPr>
          <w:rFonts w:cs="Arial"/>
          <w:lang w:val="it-CH"/>
        </w:rPr>
        <w:t xml:space="preserve">Fin da subito si è riscontrato un buon interesse </w:t>
      </w:r>
      <w:r>
        <w:rPr>
          <w:rFonts w:cs="Arial"/>
          <w:lang w:val="it-CH"/>
        </w:rPr>
        <w:t xml:space="preserve">a questo programma promozionale </w:t>
      </w:r>
      <w:r w:rsidRPr="00A1052B">
        <w:rPr>
          <w:rFonts w:cs="Arial"/>
          <w:lang w:val="it-CH"/>
        </w:rPr>
        <w:t>da parte della popolazione</w:t>
      </w:r>
      <w:r>
        <w:rPr>
          <w:rFonts w:cs="Arial"/>
          <w:lang w:val="it-CH"/>
        </w:rPr>
        <w:t>, il che porterà all’esaurimento del credito a disposizione nel corso del 2021</w:t>
      </w:r>
      <w:r w:rsidRPr="00A1052B">
        <w:rPr>
          <w:rFonts w:cs="Arial"/>
          <w:lang w:val="it-CH"/>
        </w:rPr>
        <w:t>.</w:t>
      </w:r>
    </w:p>
    <w:p w:rsidR="003135BC" w:rsidRDefault="003135BC" w:rsidP="003135BC">
      <w:pPr>
        <w:rPr>
          <w:rFonts w:cs="Arial"/>
          <w:lang w:val="it-CH"/>
        </w:rPr>
      </w:pPr>
    </w:p>
    <w:p w:rsidR="003135BC" w:rsidRPr="00A1052B" w:rsidRDefault="003135BC" w:rsidP="003135BC">
      <w:pPr>
        <w:rPr>
          <w:rFonts w:cs="Arial"/>
          <w:lang w:val="it-CH"/>
        </w:rPr>
      </w:pPr>
      <w:r>
        <w:rPr>
          <w:rFonts w:cs="Arial"/>
          <w:lang w:val="it-CH"/>
        </w:rPr>
        <w:t xml:space="preserve">Il costante aumento </w:t>
      </w:r>
      <w:r w:rsidRPr="00A1052B">
        <w:rPr>
          <w:rFonts w:cs="Arial"/>
          <w:lang w:val="it-CH"/>
        </w:rPr>
        <w:t xml:space="preserve">del numero di richieste e la continua adesione di nuovi gruppi automobilistici </w:t>
      </w:r>
      <w:r w:rsidRPr="0066705F">
        <w:rPr>
          <w:rFonts w:cs="Arial"/>
          <w:lang w:val="it-CH"/>
        </w:rPr>
        <w:t>(</w:t>
      </w:r>
      <w:r>
        <w:rPr>
          <w:rFonts w:cs="Arial"/>
          <w:lang w:val="it-CH"/>
        </w:rPr>
        <w:t>al momento della stesura del messaggio se ne contano</w:t>
      </w:r>
      <w:r w:rsidRPr="0066705F">
        <w:rPr>
          <w:rFonts w:cs="Arial"/>
          <w:lang w:val="it-CH"/>
        </w:rPr>
        <w:t xml:space="preserve"> </w:t>
      </w:r>
      <w:r w:rsidRPr="00710940">
        <w:rPr>
          <w:rFonts w:cs="Arial"/>
          <w:lang w:val="it-CH"/>
        </w:rPr>
        <w:t>21</w:t>
      </w:r>
      <w:r w:rsidRPr="00A1052B">
        <w:rPr>
          <w:rFonts w:cs="Arial"/>
          <w:lang w:val="it-CH"/>
        </w:rPr>
        <w:t>)</w:t>
      </w:r>
      <w:r w:rsidRPr="0066705F">
        <w:rPr>
          <w:rFonts w:cs="Arial"/>
          <w:lang w:val="it-CH"/>
        </w:rPr>
        <w:t xml:space="preserve"> dimostra il successo del programma promozionale proposto.</w:t>
      </w:r>
      <w:r w:rsidRPr="00A1052B">
        <w:rPr>
          <w:rFonts w:cs="Arial"/>
          <w:lang w:val="it-CH"/>
        </w:rPr>
        <w:t xml:space="preserve"> </w:t>
      </w:r>
    </w:p>
    <w:p w:rsidR="003135BC" w:rsidRDefault="003135BC" w:rsidP="003135BC">
      <w:pPr>
        <w:rPr>
          <w:rFonts w:cs="Arial"/>
          <w:lang w:val="it-CH"/>
        </w:rPr>
      </w:pPr>
    </w:p>
    <w:p w:rsidR="003135BC" w:rsidRDefault="003135BC" w:rsidP="003135BC">
      <w:pPr>
        <w:rPr>
          <w:rFonts w:cs="Arial"/>
          <w:lang w:val="it-CH"/>
        </w:rPr>
      </w:pPr>
      <w:r>
        <w:rPr>
          <w:rFonts w:cs="Arial"/>
          <w:lang w:val="it-CH"/>
        </w:rPr>
        <w:t>Ulteriore</w:t>
      </w:r>
      <w:r w:rsidRPr="00A1052B">
        <w:rPr>
          <w:rFonts w:cs="Arial"/>
          <w:lang w:val="it-CH"/>
        </w:rPr>
        <w:t xml:space="preserve"> documentazione relativa ai programmi promozionali, come altri rapporti inerenti queste tematiche, si trovano alla pagina internet www.ti.ch/incentivi.</w:t>
      </w:r>
    </w:p>
    <w:p w:rsidR="003135BC" w:rsidRDefault="003135BC" w:rsidP="003135BC">
      <w:pPr>
        <w:rPr>
          <w:rFonts w:cs="Arial"/>
          <w:lang w:val="it-CH"/>
        </w:rPr>
      </w:pPr>
    </w:p>
    <w:p w:rsidR="003135BC" w:rsidRDefault="003135BC" w:rsidP="003135BC">
      <w:pPr>
        <w:rPr>
          <w:rFonts w:cs="Arial"/>
          <w:lang w:val="it-CH"/>
        </w:rPr>
      </w:pPr>
    </w:p>
    <w:p w:rsidR="003135BC" w:rsidRPr="004561D0" w:rsidRDefault="003135BC" w:rsidP="00FC4B09">
      <w:pPr>
        <w:pStyle w:val="StileTitolo1"/>
        <w:numPr>
          <w:ilvl w:val="0"/>
          <w:numId w:val="9"/>
        </w:numPr>
        <w:tabs>
          <w:tab w:val="clear" w:pos="851"/>
        </w:tabs>
        <w:ind w:left="567" w:hanging="567"/>
      </w:pPr>
      <w:bookmarkStart w:id="6" w:name="_Toc76370130"/>
      <w:r>
        <w:lastRenderedPageBreak/>
        <w:t xml:space="preserve">Indirizzi di utilizzo del </w:t>
      </w:r>
      <w:r w:rsidRPr="004561D0">
        <w:t>credito quadro</w:t>
      </w:r>
      <w:bookmarkEnd w:id="6"/>
    </w:p>
    <w:p w:rsidR="003135BC" w:rsidRDefault="003135BC" w:rsidP="003135BC">
      <w:pPr>
        <w:rPr>
          <w:rFonts w:cs="Arial"/>
          <w:lang w:val="it-CH"/>
        </w:rPr>
      </w:pPr>
      <w:r w:rsidRPr="00B20617">
        <w:rPr>
          <w:rFonts w:cs="Arial"/>
          <w:lang w:val="it-CH"/>
        </w:rPr>
        <w:t xml:space="preserve">Con </w:t>
      </w:r>
      <w:r>
        <w:rPr>
          <w:rFonts w:cs="Arial"/>
          <w:lang w:val="it-CH"/>
        </w:rPr>
        <w:t>il presente messaggio si chiede di confermare, dando un'ulteriore spinta, la politica in materia di elettrificazione della mobilità attuata in ambito del decreto legislativo di cui al messaggio 7540 prendendo in considerazione, oltre che le automobili, anche i motoveicoli, i quadricicli e i tricicli a propulsione elettrica che rappresentano una valida alternativa all'utilizzo delle automobili per gli spostamenti quotidiani. Parallelamente si vuole anche accelerare la sostituzione di veicoli vetusti e altamente inquinanti a favore di un parco veicoli efficiente e più rispettoso dell'ambiente.</w:t>
      </w:r>
    </w:p>
    <w:p w:rsidR="003135BC" w:rsidRDefault="003135BC" w:rsidP="003135BC">
      <w:pPr>
        <w:rPr>
          <w:rFonts w:cs="Arial"/>
          <w:lang w:val="it-CH"/>
        </w:rPr>
      </w:pPr>
    </w:p>
    <w:p w:rsidR="003135BC" w:rsidRDefault="003135BC" w:rsidP="00FC4B09">
      <w:pPr>
        <w:spacing w:after="120"/>
        <w:rPr>
          <w:rFonts w:cs="Arial"/>
          <w:lang w:val="it-CH"/>
        </w:rPr>
      </w:pPr>
      <w:r>
        <w:rPr>
          <w:rFonts w:cs="Arial"/>
          <w:lang w:val="it-CH"/>
        </w:rPr>
        <w:t>Gli indirizzi di utilizzo del credito quadro sono finalizzati all’attuazione dei seguenti provvedimenti a favore di una mobilità sostenibile:</w:t>
      </w:r>
    </w:p>
    <w:p w:rsidR="003135BC" w:rsidRDefault="003135BC" w:rsidP="00FC4B09">
      <w:pPr>
        <w:pStyle w:val="Paragrafoelenco"/>
        <w:numPr>
          <w:ilvl w:val="0"/>
          <w:numId w:val="11"/>
        </w:numPr>
        <w:spacing w:after="120"/>
        <w:ind w:left="425" w:hanging="425"/>
        <w:contextualSpacing w:val="0"/>
        <w:rPr>
          <w:rFonts w:cs="Arial"/>
          <w:lang w:val="it-CH"/>
        </w:rPr>
      </w:pPr>
      <w:r>
        <w:rPr>
          <w:rFonts w:cs="Arial"/>
          <w:lang w:val="it-CH"/>
        </w:rPr>
        <w:t xml:space="preserve">incentivare, con importi forfettari, l'acquisto di automobili totalmente elettriche e </w:t>
      </w:r>
      <w:r w:rsidRPr="006D4C18">
        <w:rPr>
          <w:rFonts w:cs="Arial"/>
          <w:lang w:val="it-CH"/>
        </w:rPr>
        <w:t>di motoveicoli</w:t>
      </w:r>
      <w:r>
        <w:rPr>
          <w:rFonts w:cs="Arial"/>
          <w:lang w:val="it-CH"/>
        </w:rPr>
        <w:t xml:space="preserve">, quadricicli e tricicli con propulsione totalmente </w:t>
      </w:r>
      <w:r w:rsidRPr="006D4C18">
        <w:rPr>
          <w:rFonts w:cs="Arial"/>
          <w:lang w:val="it-CH"/>
        </w:rPr>
        <w:t>elettric</w:t>
      </w:r>
      <w:r>
        <w:rPr>
          <w:rFonts w:cs="Arial"/>
          <w:lang w:val="it-CH"/>
        </w:rPr>
        <w:t>a</w:t>
      </w:r>
      <w:r w:rsidRPr="006D4C18">
        <w:rPr>
          <w:rFonts w:cs="Arial"/>
          <w:lang w:val="it-CH"/>
        </w:rPr>
        <w:t xml:space="preserve"> </w:t>
      </w:r>
      <w:r w:rsidRPr="005C7544">
        <w:rPr>
          <w:rFonts w:cs="Arial"/>
          <w:lang w:val="it-CH"/>
        </w:rPr>
        <w:t xml:space="preserve">aventi una velocità massima per la loro costruzione </w:t>
      </w:r>
      <w:r>
        <w:rPr>
          <w:rFonts w:cs="Arial"/>
          <w:lang w:val="it-CH"/>
        </w:rPr>
        <w:t>superiore a</w:t>
      </w:r>
      <w:r w:rsidRPr="005C7544">
        <w:rPr>
          <w:rFonts w:cs="Arial"/>
          <w:lang w:val="it-CH"/>
        </w:rPr>
        <w:t xml:space="preserve"> 45 km/h</w:t>
      </w:r>
      <w:r>
        <w:rPr>
          <w:rFonts w:cs="Arial"/>
          <w:lang w:val="it-CH"/>
        </w:rPr>
        <w:t>;</w:t>
      </w:r>
    </w:p>
    <w:p w:rsidR="003135BC" w:rsidRDefault="003135BC" w:rsidP="00FC4B09">
      <w:pPr>
        <w:pStyle w:val="Paragrafoelenco"/>
        <w:numPr>
          <w:ilvl w:val="0"/>
          <w:numId w:val="11"/>
        </w:numPr>
        <w:spacing w:after="120"/>
        <w:ind w:left="425" w:hanging="425"/>
        <w:contextualSpacing w:val="0"/>
        <w:rPr>
          <w:rFonts w:cs="Arial"/>
          <w:lang w:val="it-CH"/>
        </w:rPr>
      </w:pPr>
      <w:r>
        <w:rPr>
          <w:rFonts w:cs="Arial"/>
          <w:lang w:val="it-CH"/>
        </w:rPr>
        <w:t>incentivare, con un importo forfettario, l'installazione di sistemi di ricarica elettrica a domicilio e presso datori di lavoro;</w:t>
      </w:r>
    </w:p>
    <w:p w:rsidR="003135BC" w:rsidRDefault="003135BC" w:rsidP="00FC4B09">
      <w:pPr>
        <w:pStyle w:val="Paragrafoelenco"/>
        <w:numPr>
          <w:ilvl w:val="0"/>
          <w:numId w:val="11"/>
        </w:numPr>
        <w:ind w:left="426" w:hanging="426"/>
        <w:rPr>
          <w:rFonts w:cs="Arial"/>
          <w:lang w:val="it-CH"/>
        </w:rPr>
      </w:pPr>
      <w:r>
        <w:rPr>
          <w:rFonts w:cs="Arial"/>
          <w:lang w:val="it-CH"/>
        </w:rPr>
        <w:t>incentivare, con importi forfettari, l'immatricolazione di nuovi veicoli di ultima generazione</w:t>
      </w:r>
      <w:r w:rsidDel="005B116C">
        <w:rPr>
          <w:rFonts w:cs="Arial"/>
          <w:lang w:val="it-CH"/>
        </w:rPr>
        <w:t xml:space="preserve"> </w:t>
      </w:r>
      <w:r>
        <w:rPr>
          <w:rFonts w:cs="Arial"/>
          <w:lang w:val="it-CH"/>
        </w:rPr>
        <w:t>vincolata alla messa fuori servizio di automobili,</w:t>
      </w:r>
      <w:r w:rsidRPr="00BB444A">
        <w:rPr>
          <w:rFonts w:cs="Arial"/>
          <w:lang w:val="it-CH"/>
        </w:rPr>
        <w:t xml:space="preserve"> </w:t>
      </w:r>
      <w:r w:rsidRPr="006D4C18">
        <w:rPr>
          <w:rFonts w:cs="Arial"/>
          <w:lang w:val="it-CH"/>
        </w:rPr>
        <w:t>motoveicoli</w:t>
      </w:r>
      <w:r>
        <w:rPr>
          <w:rFonts w:cs="Arial"/>
          <w:lang w:val="it-CH"/>
        </w:rPr>
        <w:t>, quadricicli e tricicli ad alte emissioni di CO2 e di inquinanti.</w:t>
      </w:r>
    </w:p>
    <w:p w:rsidR="003135BC" w:rsidRDefault="003135BC" w:rsidP="003135BC">
      <w:pPr>
        <w:rPr>
          <w:rFonts w:cs="Arial"/>
          <w:lang w:val="it-CH"/>
        </w:rPr>
      </w:pPr>
    </w:p>
    <w:p w:rsidR="003135BC" w:rsidRDefault="003135BC" w:rsidP="003135BC">
      <w:pPr>
        <w:rPr>
          <w:rFonts w:cs="Arial"/>
          <w:lang w:val="it-CH"/>
        </w:rPr>
      </w:pPr>
    </w:p>
    <w:p w:rsidR="003135BC" w:rsidRPr="005825FF" w:rsidRDefault="003135BC" w:rsidP="00FC4B09">
      <w:pPr>
        <w:spacing w:after="120"/>
        <w:jc w:val="left"/>
        <w:rPr>
          <w:rFonts w:cs="Arial"/>
          <w:u w:val="single"/>
          <w:lang w:val="it-CH"/>
        </w:rPr>
      </w:pPr>
      <w:r w:rsidRPr="005825FF">
        <w:rPr>
          <w:rFonts w:cs="Arial"/>
          <w:u w:val="single"/>
          <w:lang w:val="it-CH"/>
        </w:rPr>
        <w:t>Incentivo all'acquisto di automobili totalmente elettriche</w:t>
      </w:r>
    </w:p>
    <w:p w:rsidR="003135BC" w:rsidRDefault="003135BC" w:rsidP="003135BC">
      <w:pPr>
        <w:rPr>
          <w:rFonts w:cs="Arial"/>
          <w:lang w:val="it-CH"/>
        </w:rPr>
      </w:pPr>
      <w:r>
        <w:rPr>
          <w:rFonts w:cs="Arial"/>
          <w:lang w:val="it-CH"/>
        </w:rPr>
        <w:t xml:space="preserve">Per questo provvedimento si intende seguire le modalità di applicazione analoghe al decreto esecutivo del 19 giugno (cfr. cap. </w:t>
      </w:r>
      <w:r>
        <w:rPr>
          <w:rFonts w:cs="Arial"/>
          <w:lang w:val="it-CH"/>
        </w:rPr>
        <w:fldChar w:fldCharType="begin"/>
      </w:r>
      <w:r>
        <w:rPr>
          <w:rFonts w:cs="Arial"/>
          <w:lang w:val="it-CH"/>
        </w:rPr>
        <w:instrText xml:space="preserve"> REF _Ref70777770 \r \h </w:instrText>
      </w:r>
      <w:r>
        <w:rPr>
          <w:rFonts w:cs="Arial"/>
          <w:lang w:val="it-CH"/>
        </w:rPr>
      </w:r>
      <w:r>
        <w:rPr>
          <w:rFonts w:cs="Arial"/>
          <w:lang w:val="it-CH"/>
        </w:rPr>
        <w:fldChar w:fldCharType="separate"/>
      </w:r>
      <w:r w:rsidR="00245105">
        <w:rPr>
          <w:rFonts w:cs="Arial"/>
          <w:lang w:val="it-CH"/>
        </w:rPr>
        <w:t>3</w:t>
      </w:r>
      <w:r>
        <w:rPr>
          <w:rFonts w:cs="Arial"/>
          <w:lang w:val="it-CH"/>
        </w:rPr>
        <w:fldChar w:fldCharType="end"/>
      </w:r>
      <w:r>
        <w:rPr>
          <w:rFonts w:cs="Arial"/>
          <w:lang w:val="it-CH"/>
        </w:rPr>
        <w:t>).</w:t>
      </w:r>
    </w:p>
    <w:p w:rsidR="003135BC" w:rsidRDefault="003135BC" w:rsidP="003135BC">
      <w:pPr>
        <w:rPr>
          <w:rFonts w:cs="Arial"/>
          <w:lang w:val="it-CH"/>
        </w:rPr>
      </w:pPr>
      <w:r>
        <w:rPr>
          <w:rFonts w:cs="Arial"/>
          <w:lang w:val="it-CH"/>
        </w:rPr>
        <w:t>L'incentivo cantonale dovrà essere accompagnato da una riduzione del prezzo di acquisto dell'automobile di un importo di almeno pari entità di quello cantonale. Sarà sufficiente dimostrare che l'acquirente ha potuto beneficiare di una riduzione del prezzo di acquisto di almeno pari entità dell'incentivo cantonale. La riduzione, che potrà essere accordata sia dall'importatore che dal concessionario, dovrà essere applicata sul prezzo di acquisto del veicolo (</w:t>
      </w:r>
      <w:r w:rsidRPr="009A3205">
        <w:rPr>
          <w:rFonts w:cs="Arial"/>
          <w:lang w:val="it-CH"/>
        </w:rPr>
        <w:t xml:space="preserve">esclusi </w:t>
      </w:r>
      <w:r>
        <w:rPr>
          <w:rFonts w:cs="Arial"/>
          <w:lang w:val="it-CH"/>
        </w:rPr>
        <w:t>gli accessori).</w:t>
      </w:r>
    </w:p>
    <w:p w:rsidR="003135BC" w:rsidRDefault="003135BC" w:rsidP="003135BC">
      <w:pPr>
        <w:rPr>
          <w:rFonts w:cs="Arial"/>
          <w:lang w:val="it-CH"/>
        </w:rPr>
      </w:pPr>
    </w:p>
    <w:p w:rsidR="003135BC" w:rsidRDefault="003135BC" w:rsidP="003135BC">
      <w:pPr>
        <w:rPr>
          <w:rFonts w:cs="Arial"/>
          <w:lang w:val="it-CH"/>
        </w:rPr>
      </w:pPr>
      <w:r>
        <w:rPr>
          <w:rFonts w:cs="Arial"/>
          <w:lang w:val="it-CH"/>
        </w:rPr>
        <w:t>L'acquirente beneficerà dunque di una riduzione globale di almeno 4'000 franchi.</w:t>
      </w:r>
    </w:p>
    <w:p w:rsidR="003135BC" w:rsidRDefault="003135BC" w:rsidP="003135BC">
      <w:pPr>
        <w:rPr>
          <w:rFonts w:cs="Arial"/>
          <w:lang w:val="it-CH"/>
        </w:rPr>
      </w:pPr>
    </w:p>
    <w:p w:rsidR="003135BC" w:rsidRPr="000E239B" w:rsidRDefault="003135BC" w:rsidP="003135BC">
      <w:pPr>
        <w:rPr>
          <w:rFonts w:cs="Arial"/>
          <w:lang w:val="it-CH"/>
        </w:rPr>
      </w:pPr>
      <w:r w:rsidRPr="000E239B">
        <w:rPr>
          <w:rFonts w:cs="Arial"/>
          <w:lang w:val="it-CH"/>
        </w:rPr>
        <w:t xml:space="preserve">A differenza di quanto proposto sinora, si vuole limitare l'incentivo alle automobili il cui prezzo finale di acquisto, inclusi accessori, IVA, sconti e premi di qualsiasi sorta, ed esclusa l'eventuale ripresa del veicolo usato, non superi i 60'000 franchi. </w:t>
      </w:r>
    </w:p>
    <w:p w:rsidR="003135BC" w:rsidRDefault="003135BC" w:rsidP="003135BC">
      <w:pPr>
        <w:rPr>
          <w:rFonts w:cs="Arial"/>
          <w:lang w:val="it-CH"/>
        </w:rPr>
      </w:pPr>
      <w:r w:rsidRPr="000E239B">
        <w:rPr>
          <w:rFonts w:cs="Arial"/>
          <w:lang w:val="it-CH"/>
        </w:rPr>
        <w:t>Questa limitazione permette l'accesso al programma promozionale per i modelli base della maggior parte delle marche automobilistiche. Esclude invece le automobili di alta gamma, per le quali l'effetto leva dato dall'incentivo cantonale è poco rilevante sulla scelta d'acquisto.</w:t>
      </w:r>
    </w:p>
    <w:p w:rsidR="003135BC" w:rsidRDefault="003135BC" w:rsidP="003135BC">
      <w:pPr>
        <w:rPr>
          <w:rFonts w:cs="Arial"/>
          <w:lang w:val="it-CH"/>
        </w:rPr>
      </w:pPr>
    </w:p>
    <w:p w:rsidR="003135BC" w:rsidRPr="000E239B" w:rsidRDefault="003135BC" w:rsidP="003135BC">
      <w:pPr>
        <w:rPr>
          <w:rFonts w:cs="Arial"/>
        </w:rPr>
      </w:pPr>
    </w:p>
    <w:p w:rsidR="003135BC" w:rsidRPr="005825FF" w:rsidRDefault="003135BC" w:rsidP="00FC4B09">
      <w:pPr>
        <w:spacing w:after="120"/>
        <w:rPr>
          <w:rFonts w:cs="Arial"/>
          <w:u w:val="single"/>
          <w:lang w:val="it-CH"/>
        </w:rPr>
      </w:pPr>
      <w:r w:rsidRPr="005825FF">
        <w:rPr>
          <w:rFonts w:cs="Arial"/>
          <w:u w:val="single"/>
          <w:lang w:val="it-CH"/>
        </w:rPr>
        <w:t>Incentivo all'installazione di sistemi di ricarica</w:t>
      </w:r>
    </w:p>
    <w:p w:rsidR="003135BC" w:rsidRDefault="003135BC" w:rsidP="003135BC">
      <w:pPr>
        <w:rPr>
          <w:rFonts w:cs="Arial"/>
          <w:lang w:val="it-CH"/>
        </w:rPr>
      </w:pPr>
      <w:r>
        <w:rPr>
          <w:rFonts w:cs="Arial"/>
          <w:lang w:val="it-CH"/>
        </w:rPr>
        <w:t xml:space="preserve">Per questo provvedimento si intende seguire le modalità di applicazione di cui al decreto esecutivo del 19 giugno (cfr. cap. </w:t>
      </w:r>
      <w:r>
        <w:rPr>
          <w:rFonts w:cs="Arial"/>
          <w:lang w:val="it-CH"/>
        </w:rPr>
        <w:fldChar w:fldCharType="begin"/>
      </w:r>
      <w:r>
        <w:rPr>
          <w:rFonts w:cs="Arial"/>
          <w:lang w:val="it-CH"/>
        </w:rPr>
        <w:instrText xml:space="preserve"> REF _Ref70777770 \r \h </w:instrText>
      </w:r>
      <w:r>
        <w:rPr>
          <w:rFonts w:cs="Arial"/>
          <w:lang w:val="it-CH"/>
        </w:rPr>
      </w:r>
      <w:r>
        <w:rPr>
          <w:rFonts w:cs="Arial"/>
          <w:lang w:val="it-CH"/>
        </w:rPr>
        <w:fldChar w:fldCharType="separate"/>
      </w:r>
      <w:r w:rsidR="00245105">
        <w:rPr>
          <w:rFonts w:cs="Arial"/>
          <w:lang w:val="it-CH"/>
        </w:rPr>
        <w:t>3</w:t>
      </w:r>
      <w:r>
        <w:rPr>
          <w:rFonts w:cs="Arial"/>
          <w:lang w:val="it-CH"/>
        </w:rPr>
        <w:fldChar w:fldCharType="end"/>
      </w:r>
      <w:r>
        <w:rPr>
          <w:rFonts w:cs="Arial"/>
          <w:lang w:val="it-CH"/>
        </w:rPr>
        <w:t>).</w:t>
      </w:r>
    </w:p>
    <w:p w:rsidR="003135BC" w:rsidRDefault="003135BC" w:rsidP="003135BC">
      <w:pPr>
        <w:rPr>
          <w:rFonts w:cs="Arial"/>
          <w:lang w:val="it-CH"/>
        </w:rPr>
      </w:pPr>
    </w:p>
    <w:p w:rsidR="003135BC" w:rsidRDefault="003135BC" w:rsidP="003135BC">
      <w:pPr>
        <w:rPr>
          <w:rFonts w:cs="Arial"/>
          <w:lang w:val="it-CH"/>
        </w:rPr>
      </w:pPr>
      <w:r>
        <w:rPr>
          <w:rFonts w:cs="Arial"/>
          <w:lang w:val="it-CH"/>
        </w:rPr>
        <w:t>L'unica differenza sarà quella di eliminare la connotazione di utilizzo per automobili elettriche. Qualora lo permettano, queste stazioni di ricarica potranno essere utilizzate per ricaricare qualsiasi tipo di veicolo.</w:t>
      </w:r>
    </w:p>
    <w:p w:rsidR="003135BC" w:rsidRDefault="003135BC" w:rsidP="003135BC">
      <w:pPr>
        <w:rPr>
          <w:rFonts w:cs="Arial"/>
          <w:lang w:val="it-CH"/>
        </w:rPr>
      </w:pPr>
    </w:p>
    <w:p w:rsidR="003135BC" w:rsidRDefault="003135BC" w:rsidP="003135BC">
      <w:pPr>
        <w:rPr>
          <w:rFonts w:cs="Arial"/>
          <w:lang w:val="it-CH"/>
        </w:rPr>
      </w:pPr>
    </w:p>
    <w:p w:rsidR="003135BC" w:rsidRPr="005825FF" w:rsidRDefault="003135BC" w:rsidP="00FC4B09">
      <w:pPr>
        <w:spacing w:after="120"/>
        <w:rPr>
          <w:rFonts w:cs="Arial"/>
          <w:u w:val="single"/>
          <w:lang w:val="it-CH"/>
        </w:rPr>
      </w:pPr>
      <w:r w:rsidRPr="005825FF">
        <w:rPr>
          <w:rFonts w:cs="Arial"/>
          <w:u w:val="single"/>
          <w:lang w:val="it-CH"/>
        </w:rPr>
        <w:lastRenderedPageBreak/>
        <w:t>Incentivo all'acquisto di motoveicoli, quadricicli e tricicli</w:t>
      </w:r>
    </w:p>
    <w:p w:rsidR="003135BC" w:rsidRPr="00710940" w:rsidRDefault="003135BC" w:rsidP="003135BC">
      <w:pPr>
        <w:rPr>
          <w:rFonts w:cs="Arial"/>
          <w:lang w:val="it-CH"/>
        </w:rPr>
      </w:pPr>
      <w:r w:rsidRPr="00710940">
        <w:rPr>
          <w:rFonts w:cs="Arial"/>
          <w:lang w:val="it-CH"/>
        </w:rPr>
        <w:t xml:space="preserve">Le categorie comprendenti motoveicoli, quadricicli e tricicli aventi velocità massima per la loro costruzione superiore a 45km/h stanno </w:t>
      </w:r>
      <w:r>
        <w:rPr>
          <w:rFonts w:cs="Arial"/>
          <w:lang w:val="it-CH"/>
        </w:rPr>
        <w:t>beneficiando di</w:t>
      </w:r>
      <w:r w:rsidRPr="00710940">
        <w:rPr>
          <w:rFonts w:cs="Arial"/>
          <w:lang w:val="it-CH"/>
        </w:rPr>
        <w:t xml:space="preserve"> un notevole sviluppo negli ultimi anni, </w:t>
      </w:r>
      <w:r>
        <w:rPr>
          <w:rFonts w:cs="Arial"/>
          <w:lang w:val="it-CH"/>
        </w:rPr>
        <w:t>proponendo</w:t>
      </w:r>
      <w:r w:rsidRPr="00710940">
        <w:rPr>
          <w:rFonts w:cs="Arial"/>
          <w:lang w:val="it-CH"/>
        </w:rPr>
        <w:t xml:space="preserve"> sul mercato una gamma sempre più vasta di veicoli. Grazie alle loro caratteristiche sono in grado di fornire, anche nelle categorie con potenze limitate (ad esempio categoria A1: Motoveicoli di cilindrata non superiore a 125 cm3 e una potenza del motore massima di 11 kW) delle buone prestazioni in termini </w:t>
      </w:r>
      <w:r w:rsidRPr="00C35196">
        <w:rPr>
          <w:rFonts w:cs="Arial"/>
          <w:lang w:val="it-CH"/>
        </w:rPr>
        <w:t>di potenza, agilità e sicurezza</w:t>
      </w:r>
      <w:r>
        <w:rPr>
          <w:rFonts w:cs="Arial"/>
          <w:lang w:val="it-CH"/>
        </w:rPr>
        <w:t>, diventando sempre più una valida alternativa all'automobile per gli spostamenti quotidiani.</w:t>
      </w:r>
    </w:p>
    <w:p w:rsidR="003135BC" w:rsidRPr="00710940" w:rsidRDefault="003135BC" w:rsidP="003135BC">
      <w:pPr>
        <w:rPr>
          <w:rFonts w:cs="Arial"/>
          <w:lang w:val="it-CH"/>
        </w:rPr>
      </w:pPr>
    </w:p>
    <w:p w:rsidR="003135BC" w:rsidRPr="00710940" w:rsidRDefault="003135BC" w:rsidP="003135BC">
      <w:pPr>
        <w:rPr>
          <w:rFonts w:cs="Arial"/>
          <w:lang w:val="it-CH"/>
        </w:rPr>
      </w:pPr>
      <w:r>
        <w:rPr>
          <w:rFonts w:cs="Arial"/>
          <w:lang w:val="it-CH"/>
        </w:rPr>
        <w:t>Con riferimento all'utilizzo di questi veicoli, va ricordato che a</w:t>
      </w:r>
      <w:r w:rsidRPr="00710940">
        <w:rPr>
          <w:rFonts w:cs="Arial"/>
          <w:lang w:val="it-CH"/>
        </w:rPr>
        <w:t xml:space="preserve"> partire dal 1.1.2021, a seguito delle modifiche relative all'ottenimento della licenza di condurre, l'accesso alla categoria A1 è possibile già a partire dai 16 anni compiuti</w:t>
      </w:r>
      <w:r>
        <w:rPr>
          <w:rFonts w:cs="Arial"/>
          <w:lang w:val="it-CH"/>
        </w:rPr>
        <w:t xml:space="preserve"> (</w:t>
      </w:r>
      <w:r w:rsidRPr="00710940">
        <w:rPr>
          <w:rFonts w:cs="Arial"/>
          <w:lang w:val="it-CH"/>
        </w:rPr>
        <w:t xml:space="preserve">limite </w:t>
      </w:r>
      <w:r>
        <w:rPr>
          <w:rFonts w:cs="Arial"/>
          <w:lang w:val="it-CH"/>
        </w:rPr>
        <w:t xml:space="preserve">di età </w:t>
      </w:r>
      <w:r w:rsidRPr="00710940">
        <w:rPr>
          <w:rFonts w:cs="Arial"/>
          <w:lang w:val="it-CH"/>
        </w:rPr>
        <w:t>precedentemente fissato</w:t>
      </w:r>
      <w:r>
        <w:rPr>
          <w:rFonts w:cs="Arial"/>
          <w:lang w:val="it-CH"/>
        </w:rPr>
        <w:t xml:space="preserve"> a </w:t>
      </w:r>
      <w:r w:rsidRPr="00710940">
        <w:rPr>
          <w:rFonts w:cs="Arial"/>
          <w:lang w:val="it-CH"/>
        </w:rPr>
        <w:t>18 anni</w:t>
      </w:r>
      <w:r>
        <w:rPr>
          <w:rFonts w:cs="Arial"/>
          <w:lang w:val="it-CH"/>
        </w:rPr>
        <w:t>)</w:t>
      </w:r>
      <w:r w:rsidRPr="00710940">
        <w:rPr>
          <w:rFonts w:cs="Arial"/>
          <w:lang w:val="it-CH"/>
        </w:rPr>
        <w:t>.</w:t>
      </w:r>
      <w:r>
        <w:rPr>
          <w:rFonts w:cs="Arial"/>
          <w:lang w:val="it-CH"/>
        </w:rPr>
        <w:t xml:space="preserve"> </w:t>
      </w:r>
      <w:r w:rsidRPr="00710940">
        <w:rPr>
          <w:rFonts w:cs="Arial"/>
          <w:lang w:val="it-CH"/>
        </w:rPr>
        <w:t xml:space="preserve">È dunque lecito presupporre che </w:t>
      </w:r>
      <w:r>
        <w:rPr>
          <w:rFonts w:cs="Arial"/>
          <w:lang w:val="it-CH"/>
        </w:rPr>
        <w:t>questo fattore contribuirà ad incrementare il numero di</w:t>
      </w:r>
      <w:r w:rsidRPr="00710940">
        <w:rPr>
          <w:rFonts w:cs="Arial"/>
          <w:lang w:val="it-CH"/>
        </w:rPr>
        <w:t xml:space="preserve"> immatricolazioni di queste categorie di veicoli.</w:t>
      </w:r>
    </w:p>
    <w:p w:rsidR="003135BC" w:rsidRPr="00710940" w:rsidRDefault="003135BC" w:rsidP="003135BC">
      <w:pPr>
        <w:rPr>
          <w:rFonts w:cs="Arial"/>
          <w:lang w:val="it-CH"/>
        </w:rPr>
      </w:pPr>
    </w:p>
    <w:p w:rsidR="003135BC" w:rsidRDefault="003135BC" w:rsidP="00FC4B09">
      <w:pPr>
        <w:spacing w:after="120"/>
        <w:rPr>
          <w:rFonts w:cs="Arial"/>
          <w:lang w:val="it-CH"/>
        </w:rPr>
      </w:pPr>
      <w:r w:rsidRPr="00710940">
        <w:rPr>
          <w:rFonts w:cs="Arial"/>
          <w:lang w:val="it-CH"/>
        </w:rPr>
        <w:t>Così come per le automobili, anche in queste categorie si sta assistendo a una progressiva elettrificazione della propulsion</w:t>
      </w:r>
      <w:r w:rsidRPr="003810C5">
        <w:rPr>
          <w:rFonts w:cs="Arial"/>
          <w:lang w:val="it-CH"/>
        </w:rPr>
        <w:t>e, che porta a indubbi vantaggi</w:t>
      </w:r>
      <w:r>
        <w:rPr>
          <w:rFonts w:cs="Arial"/>
          <w:lang w:val="it-CH"/>
        </w:rPr>
        <w:t xml:space="preserve"> per l'ambiente:</w:t>
      </w:r>
    </w:p>
    <w:p w:rsidR="003135BC" w:rsidRDefault="003135BC" w:rsidP="00FC4B09">
      <w:pPr>
        <w:pStyle w:val="Paragrafoelenco"/>
        <w:numPr>
          <w:ilvl w:val="0"/>
          <w:numId w:val="12"/>
        </w:numPr>
        <w:spacing w:after="120"/>
        <w:ind w:left="425" w:hanging="425"/>
        <w:contextualSpacing w:val="0"/>
        <w:rPr>
          <w:rFonts w:cs="Arial"/>
          <w:lang w:val="it-CH"/>
        </w:rPr>
      </w:pPr>
      <w:r>
        <w:rPr>
          <w:rFonts w:cs="Arial"/>
          <w:lang w:val="it-CH"/>
        </w:rPr>
        <w:t>d</w:t>
      </w:r>
      <w:r w:rsidRPr="00710940">
        <w:rPr>
          <w:rFonts w:cs="Arial"/>
          <w:lang w:val="it-CH"/>
        </w:rPr>
        <w:t>al</w:t>
      </w:r>
      <w:r w:rsidRPr="003810C5">
        <w:rPr>
          <w:rFonts w:cs="Arial"/>
          <w:lang w:val="it-CH"/>
        </w:rPr>
        <w:t xml:space="preserve"> punto di vista delle emissioni in atmosfera, </w:t>
      </w:r>
      <w:r>
        <w:rPr>
          <w:rFonts w:cs="Arial"/>
          <w:lang w:val="it-CH"/>
        </w:rPr>
        <w:t>ne consegue</w:t>
      </w:r>
      <w:r w:rsidRPr="003810C5">
        <w:rPr>
          <w:rFonts w:cs="Arial"/>
          <w:lang w:val="it-CH"/>
        </w:rPr>
        <w:t xml:space="preserve"> un annullamento di quelle </w:t>
      </w:r>
      <w:r w:rsidRPr="00710940">
        <w:rPr>
          <w:rFonts w:cs="Arial"/>
          <w:lang w:val="it-CH"/>
        </w:rPr>
        <w:t xml:space="preserve">locali </w:t>
      </w:r>
      <w:r w:rsidRPr="003810C5">
        <w:rPr>
          <w:rFonts w:cs="Arial"/>
          <w:lang w:val="it-CH"/>
        </w:rPr>
        <w:t xml:space="preserve">prodotte </w:t>
      </w:r>
      <w:r w:rsidRPr="00710940">
        <w:rPr>
          <w:rFonts w:cs="Arial"/>
          <w:lang w:val="it-CH"/>
        </w:rPr>
        <w:t>dai motori a combustione interna.</w:t>
      </w:r>
      <w:r w:rsidRPr="003810C5">
        <w:rPr>
          <w:rFonts w:cs="Arial"/>
          <w:lang w:val="it-CH"/>
        </w:rPr>
        <w:t xml:space="preserve"> </w:t>
      </w:r>
      <w:r>
        <w:rPr>
          <w:rFonts w:cs="Arial"/>
          <w:lang w:val="it-CH"/>
        </w:rPr>
        <w:t xml:space="preserve">In riferimento alle polveri fini </w:t>
      </w:r>
      <w:r w:rsidRPr="00710940">
        <w:rPr>
          <w:rFonts w:cs="Arial"/>
          <w:lang w:val="it-CH"/>
        </w:rPr>
        <w:t>generate dal rotolamento (abrasione pneumatici, riso</w:t>
      </w:r>
      <w:r w:rsidRPr="003810C5">
        <w:rPr>
          <w:rFonts w:cs="Arial"/>
          <w:lang w:val="it-CH"/>
        </w:rPr>
        <w:t>l</w:t>
      </w:r>
      <w:r w:rsidRPr="00710940">
        <w:rPr>
          <w:rFonts w:cs="Arial"/>
          <w:lang w:val="it-CH"/>
        </w:rPr>
        <w:t>levamento delle polveri dal suolo) e dalla movimentazione delle parti meccaniche (sfregamento di parti metalliche, freni, ecc.), se impiegati al posto delle automobili (elettriche o a combustione interna) questi veicoli portano, grazie al loro peso nettamente i</w:t>
      </w:r>
      <w:r w:rsidRPr="003810C5">
        <w:rPr>
          <w:rFonts w:cs="Arial"/>
          <w:lang w:val="it-CH"/>
        </w:rPr>
        <w:t>nferiore, a un netto vantaggio</w:t>
      </w:r>
      <w:r>
        <w:rPr>
          <w:rFonts w:cs="Arial"/>
          <w:lang w:val="it-CH"/>
        </w:rPr>
        <w:t>;</w:t>
      </w:r>
    </w:p>
    <w:p w:rsidR="003135BC" w:rsidRPr="00710940" w:rsidRDefault="003135BC" w:rsidP="00FC4B09">
      <w:pPr>
        <w:pStyle w:val="Paragrafoelenco"/>
        <w:numPr>
          <w:ilvl w:val="0"/>
          <w:numId w:val="12"/>
        </w:numPr>
        <w:spacing w:after="120"/>
        <w:ind w:left="425" w:hanging="425"/>
        <w:contextualSpacing w:val="0"/>
        <w:rPr>
          <w:rFonts w:cs="Arial"/>
          <w:lang w:val="it-CH"/>
        </w:rPr>
      </w:pPr>
      <w:r>
        <w:rPr>
          <w:rFonts w:cs="Arial"/>
          <w:lang w:val="it-CH"/>
        </w:rPr>
        <w:t>per quanto attiene all</w:t>
      </w:r>
      <w:r w:rsidRPr="00710940">
        <w:rPr>
          <w:rFonts w:cs="Arial"/>
          <w:lang w:val="it-CH"/>
        </w:rPr>
        <w:t xml:space="preserve">'inquinamento fonico, i vantaggi sono superiori a quelli ottenuti con l'elettrificazione delle automobili. </w:t>
      </w:r>
      <w:r>
        <w:rPr>
          <w:rFonts w:cs="Arial"/>
          <w:lang w:val="it-CH"/>
        </w:rPr>
        <w:t>Infatti,</w:t>
      </w:r>
      <w:r w:rsidRPr="00710940">
        <w:rPr>
          <w:rFonts w:cs="Arial"/>
          <w:lang w:val="it-CH"/>
        </w:rPr>
        <w:t xml:space="preserve"> se per le automobili il rumore generato dal rotolamento diventa preponderante sul rumore generato dal motore già a velocità ridotte (a partire già da 25-30 km/h</w:t>
      </w:r>
      <w:r>
        <w:rPr>
          <w:rFonts w:cs="Arial"/>
          <w:lang w:val="it-CH"/>
        </w:rPr>
        <w:t>, tenuto conto del comportamento di guida</w:t>
      </w:r>
      <w:r w:rsidRPr="00710940">
        <w:rPr>
          <w:rFonts w:cs="Arial"/>
          <w:lang w:val="it-CH"/>
        </w:rPr>
        <w:t xml:space="preserve">), per queste altre categorie di veicoli il rumore generato </w:t>
      </w:r>
      <w:r>
        <w:rPr>
          <w:rFonts w:cs="Arial"/>
          <w:lang w:val="it-CH"/>
        </w:rPr>
        <w:t xml:space="preserve">dal </w:t>
      </w:r>
      <w:r w:rsidRPr="00710940">
        <w:rPr>
          <w:rFonts w:cs="Arial"/>
          <w:lang w:val="it-CH"/>
        </w:rPr>
        <w:t xml:space="preserve">motore a combustione interna </w:t>
      </w:r>
      <w:r>
        <w:rPr>
          <w:rFonts w:cs="Arial"/>
          <w:lang w:val="it-CH"/>
        </w:rPr>
        <w:t>contribuisce sempre in maniera rilevante al rumore totale generato dal motoveicolo (rimanendo preponderante se si considera lo stile di guida più "vivace" che spesso caratterizza i motociclisti)</w:t>
      </w:r>
      <w:r w:rsidRPr="00710940">
        <w:rPr>
          <w:rFonts w:cs="Arial"/>
          <w:lang w:val="it-CH"/>
        </w:rPr>
        <w:t xml:space="preserve">. Con l'elettrificazione si ottiene dunque </w:t>
      </w:r>
      <w:r>
        <w:rPr>
          <w:rFonts w:cs="Arial"/>
          <w:lang w:val="it-CH"/>
        </w:rPr>
        <w:t>un'importante</w:t>
      </w:r>
      <w:r w:rsidRPr="00710940">
        <w:rPr>
          <w:rFonts w:cs="Arial"/>
          <w:lang w:val="it-CH"/>
        </w:rPr>
        <w:t xml:space="preserve"> riduzione delle emissioni foniche</w:t>
      </w:r>
      <w:r>
        <w:rPr>
          <w:rFonts w:cs="Arial"/>
          <w:lang w:val="it-CH"/>
        </w:rPr>
        <w:t xml:space="preserve"> non solo all'interno dell'abitato, ma anche al di fuori di esso e lungo le strade nazionali.</w:t>
      </w:r>
    </w:p>
    <w:p w:rsidR="003135BC" w:rsidRDefault="003135BC" w:rsidP="003135BC">
      <w:pPr>
        <w:rPr>
          <w:rFonts w:cs="Arial"/>
          <w:lang w:val="it-CH"/>
        </w:rPr>
      </w:pPr>
    </w:p>
    <w:p w:rsidR="003135BC" w:rsidRDefault="003135BC" w:rsidP="003135BC">
      <w:pPr>
        <w:jc w:val="center"/>
        <w:rPr>
          <w:rFonts w:cs="Arial"/>
          <w:lang w:val="it-CH"/>
        </w:rPr>
      </w:pPr>
      <w:r>
        <w:rPr>
          <w:noProof/>
          <w:lang w:val="it-CH" w:eastAsia="it-CH"/>
        </w:rPr>
        <w:drawing>
          <wp:inline distT="0" distB="0" distL="0" distR="0" wp14:anchorId="2A3BB8F1" wp14:editId="5032C74C">
            <wp:extent cx="2744282" cy="2190307"/>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6725" cy="2192257"/>
                    </a:xfrm>
                    <a:prstGeom prst="rect">
                      <a:avLst/>
                    </a:prstGeom>
                  </pic:spPr>
                </pic:pic>
              </a:graphicData>
            </a:graphic>
          </wp:inline>
        </w:drawing>
      </w:r>
      <w:r>
        <w:rPr>
          <w:noProof/>
          <w:lang w:val="it-CH" w:eastAsia="it-CH"/>
        </w:rPr>
        <w:drawing>
          <wp:inline distT="0" distB="0" distL="0" distR="0" wp14:anchorId="47148EF8" wp14:editId="7ABD8A32">
            <wp:extent cx="2818145" cy="2232837"/>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9915" cy="2234240"/>
                    </a:xfrm>
                    <a:prstGeom prst="rect">
                      <a:avLst/>
                    </a:prstGeom>
                  </pic:spPr>
                </pic:pic>
              </a:graphicData>
            </a:graphic>
          </wp:inline>
        </w:drawing>
      </w:r>
    </w:p>
    <w:p w:rsidR="003135BC" w:rsidRPr="00E06AF4" w:rsidRDefault="003135BC" w:rsidP="00FC4B09">
      <w:pPr>
        <w:spacing w:before="120"/>
        <w:jc w:val="left"/>
        <w:rPr>
          <w:rFonts w:cs="Arial"/>
          <w:sz w:val="21"/>
          <w:szCs w:val="21"/>
          <w:lang w:val="it-CH"/>
        </w:rPr>
      </w:pPr>
      <w:r w:rsidRPr="00E06AF4">
        <w:rPr>
          <w:rFonts w:cs="Arial"/>
          <w:sz w:val="21"/>
          <w:szCs w:val="21"/>
          <w:lang w:val="it-CH"/>
        </w:rPr>
        <w:t>Figura: Potenza sonora con ponderazione A del rumore del motore, di rotolamento e totale in funzione della velocità per la categoria Autovetture (sinistra) e Moto (destra)</w:t>
      </w:r>
      <w:r w:rsidRPr="00E06AF4">
        <w:rPr>
          <w:rStyle w:val="Rimandonotaapidipagina"/>
          <w:rFonts w:cs="Arial"/>
          <w:sz w:val="21"/>
          <w:szCs w:val="21"/>
          <w:lang w:val="it-CH"/>
        </w:rPr>
        <w:footnoteReference w:id="6"/>
      </w:r>
    </w:p>
    <w:p w:rsidR="003135BC" w:rsidRPr="00710940" w:rsidRDefault="003135BC" w:rsidP="003135BC">
      <w:pPr>
        <w:rPr>
          <w:rFonts w:cs="Arial"/>
          <w:lang w:val="it-CH"/>
        </w:rPr>
      </w:pPr>
      <w:r w:rsidRPr="00710940">
        <w:rPr>
          <w:rFonts w:cs="Arial"/>
          <w:lang w:val="it-CH"/>
        </w:rPr>
        <w:lastRenderedPageBreak/>
        <w:t>Considerando infine che l'occupazione media delle automobili è di poco superiore alla singola unità, l'impiego di questi mezzi è sicuramente un'alternativa più razionale rispetto all'utilizzo dell'automobile, contribuendo nel contempo a diminuire gli ingorghi sulle strade.</w:t>
      </w:r>
    </w:p>
    <w:p w:rsidR="003135BC" w:rsidRPr="00710940" w:rsidRDefault="003135BC" w:rsidP="003135BC">
      <w:pPr>
        <w:rPr>
          <w:rFonts w:cs="Arial"/>
          <w:lang w:val="it-CH"/>
        </w:rPr>
      </w:pPr>
    </w:p>
    <w:p w:rsidR="003135BC" w:rsidRPr="00710940" w:rsidRDefault="003135BC" w:rsidP="003135BC">
      <w:pPr>
        <w:rPr>
          <w:rFonts w:cs="Arial"/>
          <w:lang w:val="it-CH"/>
        </w:rPr>
      </w:pPr>
      <w:r w:rsidRPr="00710940">
        <w:rPr>
          <w:rFonts w:cs="Arial"/>
          <w:lang w:val="it-CH"/>
        </w:rPr>
        <w:t>Come si osserva per le automobili</w:t>
      </w:r>
      <w:r>
        <w:rPr>
          <w:rFonts w:cs="Arial"/>
          <w:lang w:val="it-CH"/>
        </w:rPr>
        <w:t>,</w:t>
      </w:r>
      <w:r w:rsidRPr="00710940">
        <w:rPr>
          <w:rFonts w:cs="Arial"/>
          <w:lang w:val="it-CH"/>
        </w:rPr>
        <w:t xml:space="preserve"> anche i</w:t>
      </w:r>
      <w:r>
        <w:rPr>
          <w:rFonts w:cs="Arial"/>
          <w:lang w:val="it-CH"/>
        </w:rPr>
        <w:t>l</w:t>
      </w:r>
      <w:r w:rsidRPr="00710940">
        <w:rPr>
          <w:rFonts w:cs="Arial"/>
          <w:lang w:val="it-CH"/>
        </w:rPr>
        <w:t xml:space="preserve"> prezz</w:t>
      </w:r>
      <w:r>
        <w:rPr>
          <w:rFonts w:cs="Arial"/>
          <w:lang w:val="it-CH"/>
        </w:rPr>
        <w:t>o</w:t>
      </w:r>
      <w:r w:rsidRPr="00710940">
        <w:rPr>
          <w:rFonts w:cs="Arial"/>
          <w:lang w:val="it-CH"/>
        </w:rPr>
        <w:t xml:space="preserve"> di acquisto delle versioni a propulsione totalmente elettrica di questi veicoli è </w:t>
      </w:r>
      <w:r>
        <w:rPr>
          <w:rFonts w:cs="Arial"/>
          <w:lang w:val="it-CH"/>
        </w:rPr>
        <w:t xml:space="preserve">ad oggi </w:t>
      </w:r>
      <w:r w:rsidRPr="00710940">
        <w:rPr>
          <w:rFonts w:cs="Arial"/>
          <w:lang w:val="it-CH"/>
        </w:rPr>
        <w:t xml:space="preserve">superiore </w:t>
      </w:r>
      <w:r>
        <w:rPr>
          <w:rFonts w:cs="Arial"/>
          <w:lang w:val="it-CH"/>
        </w:rPr>
        <w:t>a quello</w:t>
      </w:r>
      <w:r w:rsidRPr="00710940">
        <w:rPr>
          <w:rFonts w:cs="Arial"/>
          <w:lang w:val="it-CH"/>
        </w:rPr>
        <w:t xml:space="preserve"> delle versioni a motore a combustione interna.</w:t>
      </w:r>
    </w:p>
    <w:p w:rsidR="003135BC" w:rsidRPr="00710940" w:rsidRDefault="003135BC" w:rsidP="003135BC">
      <w:pPr>
        <w:rPr>
          <w:rFonts w:cs="Arial"/>
          <w:lang w:val="it-CH"/>
        </w:rPr>
      </w:pPr>
    </w:p>
    <w:p w:rsidR="003135BC" w:rsidRPr="00710940" w:rsidRDefault="003135BC" w:rsidP="003135BC">
      <w:pPr>
        <w:rPr>
          <w:rFonts w:cs="Arial"/>
          <w:lang w:val="it-CH"/>
        </w:rPr>
      </w:pPr>
      <w:r w:rsidRPr="00710940">
        <w:rPr>
          <w:rFonts w:cs="Arial"/>
          <w:lang w:val="it-CH"/>
        </w:rPr>
        <w:t>Per le considerazio</w:t>
      </w:r>
      <w:r w:rsidRPr="003A12BF">
        <w:rPr>
          <w:rFonts w:cs="Arial"/>
          <w:lang w:val="it-CH"/>
        </w:rPr>
        <w:t xml:space="preserve">ni espresse si ritiene dunque </w:t>
      </w:r>
      <w:r w:rsidRPr="00710940">
        <w:rPr>
          <w:rFonts w:cs="Arial"/>
          <w:lang w:val="it-CH"/>
        </w:rPr>
        <w:t xml:space="preserve">sia giustificata l'introduzione di incentivi all'acquisto </w:t>
      </w:r>
      <w:r>
        <w:rPr>
          <w:rFonts w:cs="Arial"/>
          <w:lang w:val="it-CH"/>
        </w:rPr>
        <w:t>di</w:t>
      </w:r>
      <w:r w:rsidRPr="00710940">
        <w:rPr>
          <w:rFonts w:cs="Arial"/>
          <w:lang w:val="it-CH"/>
        </w:rPr>
        <w:t xml:space="preserve"> motoveicoli, quadricicli e tricicli aventi velocità massima per la loro costruzione superiore a 45km/h.</w:t>
      </w:r>
    </w:p>
    <w:p w:rsidR="003135BC" w:rsidRPr="00710940" w:rsidRDefault="003135BC" w:rsidP="003135BC">
      <w:pPr>
        <w:rPr>
          <w:rFonts w:cs="Arial"/>
          <w:lang w:val="it-CH"/>
        </w:rPr>
      </w:pPr>
    </w:p>
    <w:p w:rsidR="003135BC" w:rsidRPr="00710940" w:rsidRDefault="003135BC" w:rsidP="003135BC">
      <w:pPr>
        <w:rPr>
          <w:rFonts w:cs="Arial"/>
          <w:lang w:val="it-CH"/>
        </w:rPr>
      </w:pPr>
      <w:r w:rsidRPr="00710940">
        <w:rPr>
          <w:rFonts w:cs="Arial"/>
          <w:lang w:val="it-CH"/>
        </w:rPr>
        <w:t>A differenza delle automobili</w:t>
      </w:r>
      <w:r>
        <w:rPr>
          <w:rFonts w:cs="Arial"/>
          <w:lang w:val="it-CH"/>
        </w:rPr>
        <w:t>,</w:t>
      </w:r>
      <w:r w:rsidRPr="00710940">
        <w:rPr>
          <w:rFonts w:cs="Arial"/>
          <w:lang w:val="it-CH"/>
        </w:rPr>
        <w:t xml:space="preserve"> </w:t>
      </w:r>
      <w:r>
        <w:rPr>
          <w:rFonts w:cs="Arial"/>
          <w:lang w:val="it-CH"/>
        </w:rPr>
        <w:t xml:space="preserve">si rinuncia a richiedere </w:t>
      </w:r>
      <w:r w:rsidRPr="00710940">
        <w:rPr>
          <w:rFonts w:cs="Arial"/>
          <w:lang w:val="it-CH"/>
        </w:rPr>
        <w:t>un contributo</w:t>
      </w:r>
      <w:r>
        <w:rPr>
          <w:rFonts w:cs="Arial"/>
          <w:lang w:val="it-CH"/>
        </w:rPr>
        <w:t xml:space="preserve"> minimo</w:t>
      </w:r>
      <w:r w:rsidRPr="00710940">
        <w:rPr>
          <w:rFonts w:cs="Arial"/>
          <w:lang w:val="it-CH"/>
        </w:rPr>
        <w:t xml:space="preserve"> di pari entità </w:t>
      </w:r>
      <w:r>
        <w:rPr>
          <w:rFonts w:cs="Arial"/>
          <w:lang w:val="it-CH"/>
        </w:rPr>
        <w:t>agli</w:t>
      </w:r>
      <w:r w:rsidRPr="00710940">
        <w:rPr>
          <w:rFonts w:cs="Arial"/>
          <w:lang w:val="it-CH"/>
        </w:rPr>
        <w:t xml:space="preserve"> importatori</w:t>
      </w:r>
      <w:r>
        <w:rPr>
          <w:rFonts w:cs="Arial"/>
          <w:lang w:val="it-CH"/>
        </w:rPr>
        <w:t xml:space="preserve"> e/o ai concessionari ufficiali</w:t>
      </w:r>
      <w:r w:rsidRPr="00710940">
        <w:rPr>
          <w:rFonts w:cs="Arial"/>
          <w:lang w:val="it-CH"/>
        </w:rPr>
        <w:t xml:space="preserve"> </w:t>
      </w:r>
      <w:r>
        <w:rPr>
          <w:rFonts w:cs="Arial"/>
          <w:lang w:val="it-CH"/>
        </w:rPr>
        <w:t>di</w:t>
      </w:r>
      <w:r w:rsidRPr="00710940">
        <w:rPr>
          <w:rFonts w:cs="Arial"/>
          <w:lang w:val="it-CH"/>
        </w:rPr>
        <w:t xml:space="preserve"> </w:t>
      </w:r>
      <w:r>
        <w:rPr>
          <w:rFonts w:cs="Arial"/>
          <w:lang w:val="it-CH"/>
        </w:rPr>
        <w:t>questa tipologia di</w:t>
      </w:r>
      <w:r w:rsidRPr="00710940">
        <w:rPr>
          <w:rFonts w:cs="Arial"/>
          <w:lang w:val="it-CH"/>
        </w:rPr>
        <w:t xml:space="preserve"> veicoli, in quanto non si ritiene vi siano margini sufficienti per applicare tale riduzione </w:t>
      </w:r>
      <w:r>
        <w:rPr>
          <w:rFonts w:cs="Arial"/>
          <w:lang w:val="it-CH"/>
        </w:rPr>
        <w:t>sul</w:t>
      </w:r>
      <w:r w:rsidRPr="00710940">
        <w:rPr>
          <w:rFonts w:cs="Arial"/>
          <w:lang w:val="it-CH"/>
        </w:rPr>
        <w:t xml:space="preserve"> prezzo di acquisto.</w:t>
      </w:r>
    </w:p>
    <w:p w:rsidR="003135BC" w:rsidRDefault="003135BC" w:rsidP="003135BC">
      <w:pPr>
        <w:rPr>
          <w:rFonts w:cs="Arial"/>
          <w:lang w:val="it-CH"/>
        </w:rPr>
      </w:pPr>
    </w:p>
    <w:p w:rsidR="003135BC" w:rsidRDefault="003135BC" w:rsidP="003135BC">
      <w:pPr>
        <w:jc w:val="left"/>
        <w:rPr>
          <w:rFonts w:cs="Arial"/>
          <w:u w:val="single"/>
          <w:lang w:val="it-CH"/>
        </w:rPr>
      </w:pPr>
    </w:p>
    <w:p w:rsidR="003135BC" w:rsidRPr="005825FF" w:rsidRDefault="003135BC" w:rsidP="00FC4B09">
      <w:pPr>
        <w:spacing w:after="120"/>
        <w:rPr>
          <w:rFonts w:cs="Arial"/>
          <w:u w:val="single"/>
          <w:lang w:val="it-CH"/>
        </w:rPr>
      </w:pPr>
      <w:r w:rsidRPr="005825FF">
        <w:rPr>
          <w:rFonts w:cs="Arial"/>
          <w:u w:val="single"/>
          <w:lang w:val="it-CH"/>
        </w:rPr>
        <w:t xml:space="preserve">Incentivo alla </w:t>
      </w:r>
      <w:r>
        <w:rPr>
          <w:rFonts w:cs="Arial"/>
          <w:u w:val="single"/>
          <w:lang w:val="it-CH"/>
        </w:rPr>
        <w:t>messa fuori servizio</w:t>
      </w:r>
      <w:r w:rsidRPr="005825FF">
        <w:rPr>
          <w:rFonts w:cs="Arial"/>
          <w:u w:val="single"/>
          <w:lang w:val="it-CH"/>
        </w:rPr>
        <w:t xml:space="preserve"> di automobili</w:t>
      </w:r>
      <w:r>
        <w:rPr>
          <w:rFonts w:cs="Arial"/>
          <w:u w:val="single"/>
          <w:lang w:val="it-CH"/>
        </w:rPr>
        <w:t>,</w:t>
      </w:r>
      <w:r w:rsidRPr="005825FF">
        <w:rPr>
          <w:rFonts w:cs="Arial"/>
          <w:u w:val="single"/>
          <w:lang w:val="it-CH"/>
        </w:rPr>
        <w:t xml:space="preserve"> </w:t>
      </w:r>
      <w:r w:rsidRPr="00B2368F">
        <w:rPr>
          <w:rFonts w:cs="Arial"/>
          <w:u w:val="single"/>
          <w:lang w:val="it-CH"/>
        </w:rPr>
        <w:t xml:space="preserve">motoveicoli, quadricicli e tricicli </w:t>
      </w:r>
      <w:r w:rsidRPr="005825FF">
        <w:rPr>
          <w:rFonts w:cs="Arial"/>
          <w:u w:val="single"/>
          <w:lang w:val="it-CH"/>
        </w:rPr>
        <w:t>altamente inquinanti</w:t>
      </w:r>
    </w:p>
    <w:p w:rsidR="003135BC" w:rsidRPr="00200C12" w:rsidRDefault="003135BC" w:rsidP="003135BC">
      <w:pPr>
        <w:rPr>
          <w:rFonts w:cs="Arial"/>
          <w:lang w:val="it-CH"/>
        </w:rPr>
      </w:pPr>
      <w:r>
        <w:rPr>
          <w:rFonts w:cs="Arial"/>
          <w:lang w:val="it-CH"/>
        </w:rPr>
        <w:t xml:space="preserve">Con il presente messaggio si intende incentivare la messa fuori servizio di veicoli </w:t>
      </w:r>
      <w:r w:rsidRPr="00200C12">
        <w:rPr>
          <w:rFonts w:cs="Arial"/>
          <w:lang w:val="it-CH"/>
        </w:rPr>
        <w:t>altamente inquinanti.</w:t>
      </w:r>
    </w:p>
    <w:p w:rsidR="003135BC" w:rsidRPr="00200C12" w:rsidRDefault="003135BC" w:rsidP="003135BC">
      <w:pPr>
        <w:rPr>
          <w:rFonts w:cs="Arial"/>
          <w:lang w:val="it-CH"/>
        </w:rPr>
      </w:pPr>
    </w:p>
    <w:p w:rsidR="003135BC" w:rsidRPr="00710940" w:rsidRDefault="003135BC" w:rsidP="003135BC">
      <w:pPr>
        <w:rPr>
          <w:rFonts w:cs="Arial"/>
          <w:lang w:val="it-CH"/>
        </w:rPr>
      </w:pPr>
      <w:r w:rsidRPr="00200C12">
        <w:rPr>
          <w:rFonts w:cs="Arial"/>
          <w:lang w:val="it-CH"/>
        </w:rPr>
        <w:t xml:space="preserve">Per quanto attiene alle automobili, la modifica della Legge sulle imposte e tasse di circolazione dei veicoli a motore del 9 febbraio 1977 prevede che tutte le automobili immatricolate a partire dal 2009 siano soggette all'applicazione del </w:t>
      </w:r>
      <w:r w:rsidRPr="00710940">
        <w:rPr>
          <w:rFonts w:cs="Arial"/>
          <w:lang w:val="it-CH"/>
        </w:rPr>
        <w:t>sistema bonus/malus</w:t>
      </w:r>
      <w:r>
        <w:rPr>
          <w:rFonts w:cs="Arial"/>
          <w:lang w:val="it-CH"/>
        </w:rPr>
        <w:t xml:space="preserve"> (vedi messaggio </w:t>
      </w:r>
      <w:r w:rsidR="00F878C1">
        <w:rPr>
          <w:rFonts w:cs="Arial"/>
          <w:lang w:val="it-CH"/>
        </w:rPr>
        <w:t xml:space="preserve">n. </w:t>
      </w:r>
      <w:r>
        <w:rPr>
          <w:rFonts w:cs="Arial"/>
          <w:lang w:val="it-CH"/>
        </w:rPr>
        <w:t>5881)</w:t>
      </w:r>
      <w:r w:rsidRPr="00710940">
        <w:rPr>
          <w:rFonts w:cs="Arial"/>
          <w:lang w:val="it-CH"/>
        </w:rPr>
        <w:t>. Questo sistema</w:t>
      </w:r>
      <w:r>
        <w:rPr>
          <w:rFonts w:cs="Arial"/>
          <w:lang w:val="it-CH"/>
        </w:rPr>
        <w:t xml:space="preserve"> che si basava sull’etichetta energetica, con l’approvazione del messaggio </w:t>
      </w:r>
      <w:r w:rsidR="00F878C1">
        <w:rPr>
          <w:rFonts w:cs="Arial"/>
          <w:lang w:val="it-CH"/>
        </w:rPr>
        <w:t xml:space="preserve">n. </w:t>
      </w:r>
      <w:r>
        <w:rPr>
          <w:rFonts w:cs="Arial"/>
          <w:lang w:val="it-CH"/>
        </w:rPr>
        <w:t>6774</w:t>
      </w:r>
      <w:r w:rsidRPr="00710940">
        <w:rPr>
          <w:rFonts w:cs="Arial"/>
          <w:lang w:val="it-CH"/>
        </w:rPr>
        <w:t xml:space="preserve"> tiene</w:t>
      </w:r>
      <w:r>
        <w:rPr>
          <w:rFonts w:cs="Arial"/>
          <w:lang w:val="it-CH"/>
        </w:rPr>
        <w:t xml:space="preserve"> ora</w:t>
      </w:r>
      <w:r w:rsidRPr="00710940">
        <w:rPr>
          <w:rFonts w:cs="Arial"/>
          <w:lang w:val="it-CH"/>
        </w:rPr>
        <w:t xml:space="preserve"> conto delle emissioni di CO2</w:t>
      </w:r>
      <w:r>
        <w:rPr>
          <w:rFonts w:cs="Arial"/>
          <w:lang w:val="it-CH"/>
        </w:rPr>
        <w:t xml:space="preserve"> per la determinazione dell'imposta di circolazione</w:t>
      </w:r>
      <w:r w:rsidRPr="00710940">
        <w:rPr>
          <w:rFonts w:cs="Arial"/>
          <w:lang w:val="it-CH"/>
        </w:rPr>
        <w:t xml:space="preserve">, </w:t>
      </w:r>
      <w:r>
        <w:rPr>
          <w:rFonts w:cs="Arial"/>
          <w:lang w:val="it-CH"/>
        </w:rPr>
        <w:t>inducendo i detentori di veicoli ad orientarsi, al momento della loro sostituzione, verso veicoli ecologicamente efficienti.</w:t>
      </w:r>
    </w:p>
    <w:p w:rsidR="003135BC" w:rsidRPr="00710940" w:rsidRDefault="003135BC" w:rsidP="003135BC">
      <w:pPr>
        <w:rPr>
          <w:rFonts w:cs="Arial"/>
          <w:lang w:val="it-CH"/>
        </w:rPr>
      </w:pPr>
    </w:p>
    <w:p w:rsidR="003135BC" w:rsidRPr="00710940" w:rsidRDefault="003135BC" w:rsidP="003135BC">
      <w:pPr>
        <w:rPr>
          <w:rFonts w:cs="Arial"/>
          <w:lang w:val="it-CH"/>
        </w:rPr>
      </w:pPr>
      <w:r w:rsidRPr="00710940">
        <w:rPr>
          <w:rFonts w:cs="Arial"/>
          <w:lang w:val="it-CH"/>
        </w:rPr>
        <w:t>Questo metodo di calcolo dell'imposta di circolazione non viene però applicat</w:t>
      </w:r>
      <w:r>
        <w:rPr>
          <w:rFonts w:cs="Arial"/>
          <w:lang w:val="it-CH"/>
        </w:rPr>
        <w:t>o</w:t>
      </w:r>
      <w:r w:rsidRPr="00710940">
        <w:rPr>
          <w:rFonts w:cs="Arial"/>
          <w:lang w:val="it-CH"/>
        </w:rPr>
        <w:t xml:space="preserve"> ai veicoli messi in circolazione prima del 2009, motivo per cui si ritiene opportuno </w:t>
      </w:r>
      <w:r>
        <w:rPr>
          <w:rFonts w:cs="Arial"/>
          <w:lang w:val="it-CH"/>
        </w:rPr>
        <w:t>dare un ulteriore impulso al</w:t>
      </w:r>
      <w:r w:rsidRPr="00710940">
        <w:rPr>
          <w:rFonts w:cs="Arial"/>
          <w:lang w:val="it-CH"/>
        </w:rPr>
        <w:t xml:space="preserve">la messa fuori circolazione </w:t>
      </w:r>
      <w:r>
        <w:rPr>
          <w:rFonts w:cs="Arial"/>
          <w:lang w:val="it-CH"/>
        </w:rPr>
        <w:t xml:space="preserve">delle automobili antecedenti al 2009 </w:t>
      </w:r>
      <w:r w:rsidRPr="00710940">
        <w:rPr>
          <w:rFonts w:cs="Arial"/>
          <w:lang w:val="it-CH"/>
        </w:rPr>
        <w:t>con appositi incentivi.</w:t>
      </w:r>
    </w:p>
    <w:p w:rsidR="003135BC" w:rsidRDefault="003135BC" w:rsidP="003135BC">
      <w:pPr>
        <w:rPr>
          <w:rFonts w:cs="Arial"/>
          <w:lang w:val="it-CH"/>
        </w:rPr>
      </w:pPr>
    </w:p>
    <w:p w:rsidR="003135BC" w:rsidRDefault="003135BC" w:rsidP="003135BC">
      <w:pPr>
        <w:rPr>
          <w:rFonts w:cs="Arial"/>
          <w:lang w:val="it-CH"/>
        </w:rPr>
      </w:pPr>
      <w:r>
        <w:rPr>
          <w:rFonts w:cs="Arial"/>
          <w:lang w:val="it-CH"/>
        </w:rPr>
        <w:t>Lo standard europeo sulle emissioni EURO V è entrato in vigore nel corso del 2009. Si può dunque stimare che la quasi totalità delle automobili EURO IV o inferiore sia antecedente al 2009. Da una stima effettuata su base di dati statistici a livello svizzero</w:t>
      </w:r>
      <w:r>
        <w:rPr>
          <w:rStyle w:val="Rimandonotaapidipagina"/>
          <w:rFonts w:cs="Arial"/>
          <w:lang w:val="it-CH"/>
        </w:rPr>
        <w:footnoteReference w:id="7"/>
      </w:r>
      <w:r>
        <w:rPr>
          <w:rFonts w:cs="Arial"/>
          <w:lang w:val="it-CH"/>
        </w:rPr>
        <w:t xml:space="preserve"> si rileva che il parco automobili EURO IV o antecedente, che per il Ticino conta circa il 28% delle automobili in circolazione, è responsabile per il 27% delle emissioni di CO2, del 23% delle emissioni di ossidi di azoto e di ben il 64% delle emissioni di particolato, dati questi che supportano ulteriormente la scelta di accelerare la messa fuori servizio dei veicoli antecedenti il 2009.</w:t>
      </w:r>
    </w:p>
    <w:p w:rsidR="003135BC" w:rsidRPr="00710940" w:rsidRDefault="003135BC" w:rsidP="003135BC">
      <w:pPr>
        <w:rPr>
          <w:rFonts w:cs="Arial"/>
          <w:lang w:val="it-CH"/>
        </w:rPr>
      </w:pPr>
    </w:p>
    <w:p w:rsidR="003135BC" w:rsidRDefault="003135BC" w:rsidP="003135BC">
      <w:pPr>
        <w:rPr>
          <w:rFonts w:cs="Arial"/>
          <w:lang w:val="it-CH"/>
        </w:rPr>
      </w:pPr>
      <w:r w:rsidRPr="00710940">
        <w:rPr>
          <w:rFonts w:cs="Arial"/>
          <w:lang w:val="it-CH"/>
        </w:rPr>
        <w:t xml:space="preserve">Per quanto attiene ai </w:t>
      </w:r>
      <w:r w:rsidRPr="00200C12">
        <w:rPr>
          <w:rFonts w:cs="Arial"/>
          <w:lang w:val="it-CH"/>
        </w:rPr>
        <w:t xml:space="preserve">motoveicoli, ai quadricicli e ai tricicli si ritiene </w:t>
      </w:r>
      <w:r>
        <w:rPr>
          <w:rFonts w:cs="Arial"/>
          <w:lang w:val="it-CH"/>
        </w:rPr>
        <w:t xml:space="preserve">invece </w:t>
      </w:r>
      <w:r w:rsidRPr="00200C12">
        <w:rPr>
          <w:rFonts w:cs="Arial"/>
          <w:lang w:val="it-CH"/>
        </w:rPr>
        <w:t xml:space="preserve">opportuno incentivare la messa fuori circolazione definitiva per i veicoli </w:t>
      </w:r>
      <w:r>
        <w:rPr>
          <w:rFonts w:cs="Arial"/>
          <w:lang w:val="it-CH"/>
        </w:rPr>
        <w:t xml:space="preserve">la cui prima immatricolazione è antecedente al 2005. </w:t>
      </w:r>
    </w:p>
    <w:p w:rsidR="003135BC" w:rsidRDefault="003135BC" w:rsidP="003135BC">
      <w:pPr>
        <w:rPr>
          <w:rFonts w:cs="Arial"/>
          <w:lang w:val="it-CH"/>
        </w:rPr>
      </w:pPr>
    </w:p>
    <w:p w:rsidR="003135BC" w:rsidRDefault="003135BC" w:rsidP="00F878C1">
      <w:pPr>
        <w:spacing w:after="120"/>
        <w:rPr>
          <w:rFonts w:cs="Arial"/>
          <w:lang w:val="it-CH"/>
        </w:rPr>
      </w:pPr>
      <w:r>
        <w:rPr>
          <w:rFonts w:cs="Arial"/>
          <w:lang w:val="it-CH"/>
        </w:rPr>
        <w:lastRenderedPageBreak/>
        <w:t>Come si evince dalla tabella seguente</w:t>
      </w:r>
      <w:r>
        <w:rPr>
          <w:rStyle w:val="Rimandonotaapidipagina"/>
          <w:rFonts w:cs="Arial"/>
          <w:lang w:val="it-CH"/>
        </w:rPr>
        <w:footnoteReference w:id="8"/>
      </w:r>
      <w:r>
        <w:rPr>
          <w:rFonts w:cs="Arial"/>
          <w:lang w:val="it-CH"/>
        </w:rPr>
        <w:t xml:space="preserve">, per i motoveicoli è entrato in vigore, a partire dal 2005, lo </w:t>
      </w:r>
      <w:r w:rsidRPr="00DE0BA4">
        <w:rPr>
          <w:rFonts w:cs="Arial"/>
          <w:lang w:val="it-CH"/>
        </w:rPr>
        <w:t>standard europe</w:t>
      </w:r>
      <w:r>
        <w:rPr>
          <w:rFonts w:cs="Arial"/>
          <w:lang w:val="it-CH"/>
        </w:rPr>
        <w:t>o</w:t>
      </w:r>
      <w:r w:rsidRPr="00DE0BA4">
        <w:rPr>
          <w:rFonts w:cs="Arial"/>
          <w:lang w:val="it-CH"/>
        </w:rPr>
        <w:t xml:space="preserve"> sulle emissioni inquinanti</w:t>
      </w:r>
      <w:r>
        <w:rPr>
          <w:rFonts w:cs="Arial"/>
          <w:lang w:val="it-CH"/>
        </w:rPr>
        <w:t xml:space="preserve"> Euro 3, che garantisce delle emissioni nettamente inferiori ai periodi precedenti. A differenza delle automobili, vanno difatti considerati gli aspetti seguenti:</w:t>
      </w:r>
    </w:p>
    <w:p w:rsidR="003135BC" w:rsidRDefault="003135BC" w:rsidP="00F878C1">
      <w:pPr>
        <w:pStyle w:val="Paragrafoelenco"/>
        <w:numPr>
          <w:ilvl w:val="0"/>
          <w:numId w:val="12"/>
        </w:numPr>
        <w:spacing w:after="120"/>
        <w:ind w:left="425" w:hanging="425"/>
        <w:contextualSpacing w:val="0"/>
        <w:rPr>
          <w:rFonts w:cs="Arial"/>
          <w:lang w:val="it-CH"/>
        </w:rPr>
      </w:pPr>
      <w:r w:rsidRPr="001A5F4E">
        <w:rPr>
          <w:rFonts w:cs="Arial"/>
          <w:lang w:val="it-CH"/>
        </w:rPr>
        <w:t xml:space="preserve">gli standard di riferimento per le </w:t>
      </w:r>
      <w:r>
        <w:rPr>
          <w:rFonts w:cs="Arial"/>
          <w:lang w:val="it-CH"/>
        </w:rPr>
        <w:t>e</w:t>
      </w:r>
      <w:r w:rsidRPr="001A5F4E">
        <w:rPr>
          <w:rFonts w:cs="Arial"/>
          <w:lang w:val="it-CH"/>
        </w:rPr>
        <w:t xml:space="preserve">missioni hanno subito un'evoluzione molto più lenta nel corso degli anni, per cui l'entrata in vigore dello standard Euro 4 è avvenuta </w:t>
      </w:r>
      <w:r>
        <w:rPr>
          <w:rFonts w:cs="Arial"/>
          <w:lang w:val="it-CH"/>
        </w:rPr>
        <w:t xml:space="preserve">solamente </w:t>
      </w:r>
      <w:r w:rsidRPr="001A5F4E">
        <w:rPr>
          <w:rFonts w:cs="Arial"/>
          <w:lang w:val="it-CH"/>
        </w:rPr>
        <w:t xml:space="preserve">a partire dal 2016. Non si è ritenuto pertanto opportuno incentivare la messa fuori circolazione di veicoli relativamente recenti </w:t>
      </w:r>
      <w:r>
        <w:rPr>
          <w:rFonts w:cs="Arial"/>
          <w:lang w:val="it-CH"/>
        </w:rPr>
        <w:t>conformi allo standard Euro 3;</w:t>
      </w:r>
    </w:p>
    <w:p w:rsidR="003135BC" w:rsidRDefault="003135BC" w:rsidP="00F878C1">
      <w:pPr>
        <w:pStyle w:val="Paragrafoelenco"/>
        <w:numPr>
          <w:ilvl w:val="0"/>
          <w:numId w:val="12"/>
        </w:numPr>
        <w:ind w:left="426" w:hanging="426"/>
        <w:rPr>
          <w:rFonts w:cs="Arial"/>
          <w:lang w:val="it-CH"/>
        </w:rPr>
      </w:pPr>
      <w:r>
        <w:rPr>
          <w:rFonts w:cs="Arial"/>
          <w:lang w:val="it-CH"/>
        </w:rPr>
        <w:t>a seguito del loro utilizzo limitato, la durata di vita dei motoveicoli è generalmente molto superiore a quella delle automobili. Non è di fatti raro trovare in circolazione, o sul mercato dell'usato, motoveicoli immatricolati prima del 2005.</w:t>
      </w:r>
    </w:p>
    <w:p w:rsidR="003135BC" w:rsidRPr="001F1295" w:rsidRDefault="003135BC" w:rsidP="003135BC">
      <w:pPr>
        <w:rPr>
          <w:rFonts w:cs="Arial"/>
          <w:lang w:val="it-CH"/>
        </w:rPr>
      </w:pPr>
    </w:p>
    <w:p w:rsidR="003135BC" w:rsidRDefault="003135BC" w:rsidP="003135BC">
      <w:pPr>
        <w:rPr>
          <w:rFonts w:cs="Arial"/>
          <w:lang w:val="it-CH"/>
        </w:rPr>
      </w:pPr>
      <w:r>
        <w:rPr>
          <w:noProof/>
          <w:lang w:val="it-CH" w:eastAsia="it-CH"/>
        </w:rPr>
        <w:drawing>
          <wp:inline distT="0" distB="0" distL="0" distR="0" wp14:anchorId="546B92A7" wp14:editId="3DE5FF7D">
            <wp:extent cx="6120130" cy="587463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5874637"/>
                    </a:xfrm>
                    <a:prstGeom prst="rect">
                      <a:avLst/>
                    </a:prstGeom>
                  </pic:spPr>
                </pic:pic>
              </a:graphicData>
            </a:graphic>
          </wp:inline>
        </w:drawing>
      </w:r>
    </w:p>
    <w:p w:rsidR="003135BC" w:rsidRDefault="003135BC" w:rsidP="003135BC">
      <w:pPr>
        <w:rPr>
          <w:rFonts w:cs="Arial"/>
          <w:lang w:val="it-CH"/>
        </w:rPr>
      </w:pPr>
    </w:p>
    <w:p w:rsidR="003135BC" w:rsidRDefault="003135BC" w:rsidP="003135BC">
      <w:pPr>
        <w:rPr>
          <w:rFonts w:cs="Arial"/>
          <w:lang w:val="it-CH"/>
        </w:rPr>
      </w:pPr>
    </w:p>
    <w:p w:rsidR="00E06AF4" w:rsidRDefault="00E06AF4" w:rsidP="003135BC">
      <w:pPr>
        <w:rPr>
          <w:rFonts w:cs="Arial"/>
          <w:lang w:val="it-CH"/>
        </w:rPr>
      </w:pPr>
    </w:p>
    <w:p w:rsidR="003135BC" w:rsidRPr="00112A4A" w:rsidRDefault="003135BC" w:rsidP="00F878C1">
      <w:pPr>
        <w:spacing w:after="120"/>
        <w:rPr>
          <w:rFonts w:cs="Arial"/>
          <w:u w:val="single"/>
          <w:lang w:val="it-CH"/>
        </w:rPr>
      </w:pPr>
      <w:r w:rsidRPr="00112A4A">
        <w:rPr>
          <w:rFonts w:cs="Arial"/>
          <w:u w:val="single"/>
          <w:lang w:val="it-CH"/>
        </w:rPr>
        <w:lastRenderedPageBreak/>
        <w:t>Importo richiesto e ripartizione di utilizzo del credito</w:t>
      </w:r>
    </w:p>
    <w:p w:rsidR="003135BC" w:rsidRDefault="003135BC" w:rsidP="003135BC">
      <w:pPr>
        <w:rPr>
          <w:rFonts w:cs="Arial"/>
          <w:lang w:val="it-CH"/>
        </w:rPr>
      </w:pPr>
      <w:r>
        <w:rPr>
          <w:rFonts w:cs="Arial"/>
          <w:lang w:val="it-CH"/>
        </w:rPr>
        <w:t xml:space="preserve">Le modalità di gestione del credito quadro, </w:t>
      </w:r>
      <w:r w:rsidRPr="00112A4A">
        <w:rPr>
          <w:rFonts w:cs="Arial"/>
          <w:lang w:val="it-CH"/>
        </w:rPr>
        <w:t>in particolare le competenze decisionali, la ripartizione di utilizzo del credito quadro</w:t>
      </w:r>
      <w:r>
        <w:rPr>
          <w:rFonts w:cs="Arial"/>
          <w:lang w:val="it-CH"/>
        </w:rPr>
        <w:t>,</w:t>
      </w:r>
      <w:r w:rsidRPr="00112A4A">
        <w:rPr>
          <w:rFonts w:cs="Arial"/>
          <w:lang w:val="it-CH"/>
        </w:rPr>
        <w:t xml:space="preserve"> nonché le procedure e i crit</w:t>
      </w:r>
      <w:r>
        <w:rPr>
          <w:rFonts w:cs="Arial"/>
          <w:lang w:val="it-CH"/>
        </w:rPr>
        <w:t>eri di accesso ai finanziamenti, saranno definite nel dettaglio in un decreto esecutivo, la cui adozione è di competenza del Consiglio di Stato. Di seguito le modalità che si vorrebbero introdurre, che comunque potrebbero ancora essere soggette a modifiche, seppur di lieve entità.</w:t>
      </w:r>
    </w:p>
    <w:p w:rsidR="003135BC" w:rsidRDefault="003135BC" w:rsidP="003135BC">
      <w:pPr>
        <w:rPr>
          <w:rFonts w:cs="Arial"/>
          <w:lang w:val="it-CH"/>
        </w:rPr>
      </w:pPr>
    </w:p>
    <w:p w:rsidR="003135BC" w:rsidRPr="00C63DD3" w:rsidRDefault="003135BC" w:rsidP="003135BC">
      <w:pPr>
        <w:rPr>
          <w:rFonts w:cs="Arial"/>
        </w:rPr>
      </w:pPr>
      <w:r w:rsidRPr="00C63DD3">
        <w:rPr>
          <w:rFonts w:cs="Arial"/>
        </w:rPr>
        <w:t>Per i nuovi veicoli, i contributi saranno erogati unicamente alla prima immatricolazione in Ticino di un veicolo mai immatricolato precedentemente, né all’estero, né in un altro Cantone, mentre non saranno erogati</w:t>
      </w:r>
      <w:r>
        <w:rPr>
          <w:rFonts w:cs="Arial"/>
        </w:rPr>
        <w:t xml:space="preserve"> contributi</w:t>
      </w:r>
      <w:r w:rsidRPr="00C63DD3">
        <w:rPr>
          <w:rFonts w:cs="Arial"/>
        </w:rPr>
        <w:t xml:space="preserve"> per immatricolazioni con targhe turistiche o di ti</w:t>
      </w:r>
      <w:r>
        <w:rPr>
          <w:rFonts w:cs="Arial"/>
        </w:rPr>
        <w:t>po “Z” (veicoli non sdoganati).</w:t>
      </w:r>
    </w:p>
    <w:p w:rsidR="003135BC" w:rsidRDefault="003135BC" w:rsidP="003135BC">
      <w:pPr>
        <w:rPr>
          <w:rFonts w:cs="Arial"/>
          <w:lang w:val="it-CH"/>
        </w:rPr>
      </w:pPr>
    </w:p>
    <w:p w:rsidR="003135BC" w:rsidRDefault="003135BC" w:rsidP="00F878C1">
      <w:pPr>
        <w:spacing w:after="240"/>
        <w:rPr>
          <w:rFonts w:cs="Arial"/>
        </w:rPr>
      </w:pPr>
      <w:r>
        <w:rPr>
          <w:rFonts w:cs="Arial"/>
          <w:lang w:val="it-CH"/>
        </w:rPr>
        <w:t xml:space="preserve">Gli incentivi saranno inoltre destinati unicamente ai conducenti </w:t>
      </w:r>
      <w:r w:rsidRPr="00825EB9">
        <w:rPr>
          <w:rFonts w:cs="Arial"/>
        </w:rPr>
        <w:t xml:space="preserve">residenti o domiciliati in Ticino o a persone giuridiche </w:t>
      </w:r>
      <w:r>
        <w:rPr>
          <w:rFonts w:cs="Arial"/>
        </w:rPr>
        <w:t>la cui</w:t>
      </w:r>
      <w:r w:rsidRPr="00825EB9">
        <w:rPr>
          <w:rFonts w:cs="Arial"/>
        </w:rPr>
        <w:t xml:space="preserve"> sede sociale</w:t>
      </w:r>
      <w:r>
        <w:rPr>
          <w:rFonts w:cs="Arial"/>
        </w:rPr>
        <w:t>, così come il luogo di stanza del veicolo, siano</w:t>
      </w:r>
      <w:r w:rsidRPr="00825EB9">
        <w:rPr>
          <w:rFonts w:cs="Arial"/>
        </w:rPr>
        <w:t xml:space="preserve"> in Ticino</w:t>
      </w:r>
      <w:r>
        <w:rPr>
          <w:rFonts w:cs="Arial"/>
        </w:rPr>
        <w:t>. Lo stesso vale per gli incentivi destinati all'installazione delle stazioni di ricarica.</w:t>
      </w:r>
    </w:p>
    <w:p w:rsidR="003135BC" w:rsidRDefault="003135BC" w:rsidP="003135BC">
      <w:pPr>
        <w:rPr>
          <w:rFonts w:cs="Arial"/>
        </w:rPr>
      </w:pPr>
      <w:r>
        <w:rPr>
          <w:rFonts w:cs="Arial"/>
        </w:rPr>
        <w:t xml:space="preserve">Restano </w:t>
      </w:r>
      <w:r w:rsidRPr="00825EB9">
        <w:rPr>
          <w:rFonts w:cs="Arial"/>
        </w:rPr>
        <w:t>esclusi i Comuni</w:t>
      </w:r>
      <w:r>
        <w:rPr>
          <w:rFonts w:cs="Arial"/>
        </w:rPr>
        <w:t>, i quali</w:t>
      </w:r>
      <w:r w:rsidRPr="00825EB9">
        <w:rPr>
          <w:rFonts w:cs="Arial"/>
        </w:rPr>
        <w:t xml:space="preserve"> dispongono già dei contributi del Fondo energie rinnovabili (FER), </w:t>
      </w:r>
      <w:r>
        <w:rPr>
          <w:rFonts w:cs="Arial"/>
        </w:rPr>
        <w:t>tramite</w:t>
      </w:r>
      <w:r w:rsidRPr="00825EB9">
        <w:rPr>
          <w:rFonts w:cs="Arial"/>
        </w:rPr>
        <w:t xml:space="preserve"> i quali </w:t>
      </w:r>
      <w:r>
        <w:rPr>
          <w:rFonts w:cs="Arial"/>
        </w:rPr>
        <w:t xml:space="preserve">possono </w:t>
      </w:r>
      <w:r w:rsidRPr="00825EB9">
        <w:rPr>
          <w:rFonts w:cs="Arial"/>
        </w:rPr>
        <w:t>finanziare</w:t>
      </w:r>
      <w:r>
        <w:rPr>
          <w:rFonts w:cs="Arial"/>
        </w:rPr>
        <w:t>,</w:t>
      </w:r>
      <w:r w:rsidRPr="00825EB9">
        <w:rPr>
          <w:rFonts w:cs="Arial"/>
        </w:rPr>
        <w:t xml:space="preserve"> sin dal 2014</w:t>
      </w:r>
      <w:r>
        <w:rPr>
          <w:rFonts w:cs="Arial"/>
        </w:rPr>
        <w:t>,</w:t>
      </w:r>
      <w:r w:rsidRPr="00825EB9">
        <w:rPr>
          <w:rFonts w:cs="Arial"/>
        </w:rPr>
        <w:t xml:space="preserve"> </w:t>
      </w:r>
      <w:r>
        <w:rPr>
          <w:rFonts w:cs="Arial"/>
        </w:rPr>
        <w:t xml:space="preserve">sia </w:t>
      </w:r>
      <w:r w:rsidRPr="00825EB9">
        <w:rPr>
          <w:rFonts w:cs="Arial"/>
        </w:rPr>
        <w:t>l’acquisto di veicoli super-efficienti per la propria flotta</w:t>
      </w:r>
      <w:r>
        <w:rPr>
          <w:rFonts w:cs="Arial"/>
        </w:rPr>
        <w:t xml:space="preserve"> che l'installazione di stazioni di ricarica.</w:t>
      </w:r>
    </w:p>
    <w:p w:rsidR="003135BC" w:rsidRPr="00112A4A" w:rsidRDefault="003135BC" w:rsidP="003135BC">
      <w:pPr>
        <w:rPr>
          <w:rFonts w:cs="Arial"/>
          <w:lang w:val="it-CH"/>
        </w:rPr>
      </w:pPr>
    </w:p>
    <w:p w:rsidR="003135BC" w:rsidRDefault="003135BC" w:rsidP="00F878C1">
      <w:pPr>
        <w:spacing w:after="120"/>
        <w:rPr>
          <w:rFonts w:cs="Arial"/>
        </w:rPr>
      </w:pPr>
      <w:r>
        <w:rPr>
          <w:rFonts w:cs="Arial"/>
        </w:rPr>
        <w:t>Complessivamente, si propone la seguente ripartizione di utilizzo del credito quadro</w:t>
      </w:r>
      <w:r w:rsidRPr="007C08D2">
        <w:rPr>
          <w:rFonts w:cs="Arial"/>
        </w:rPr>
        <w:t>:</w:t>
      </w:r>
    </w:p>
    <w:p w:rsidR="003135BC" w:rsidRPr="007C08D2" w:rsidRDefault="003135BC" w:rsidP="00F878C1">
      <w:pPr>
        <w:pStyle w:val="Paragrafoelenco"/>
        <w:numPr>
          <w:ilvl w:val="0"/>
          <w:numId w:val="14"/>
        </w:numPr>
        <w:spacing w:after="120"/>
        <w:ind w:left="425" w:hanging="425"/>
        <w:contextualSpacing w:val="0"/>
        <w:rPr>
          <w:rFonts w:cs="Arial"/>
        </w:rPr>
      </w:pPr>
      <w:r w:rsidRPr="007C08D2">
        <w:rPr>
          <w:rFonts w:cs="Arial"/>
        </w:rPr>
        <w:t>fr.</w:t>
      </w:r>
      <w:r w:rsidR="00F878C1">
        <w:rPr>
          <w:rFonts w:cs="Arial"/>
        </w:rPr>
        <w:t xml:space="preserve"> </w:t>
      </w:r>
      <w:r>
        <w:rPr>
          <w:rFonts w:cs="Arial"/>
        </w:rPr>
        <w:t>6</w:t>
      </w:r>
      <w:r w:rsidRPr="007C08D2">
        <w:rPr>
          <w:rFonts w:cs="Arial"/>
        </w:rPr>
        <w:t>'</w:t>
      </w:r>
      <w:r>
        <w:rPr>
          <w:rFonts w:cs="Arial"/>
        </w:rPr>
        <w:t>0</w:t>
      </w:r>
      <w:r w:rsidRPr="007C08D2">
        <w:rPr>
          <w:rFonts w:cs="Arial"/>
        </w:rPr>
        <w:t>00'000.- a f</w:t>
      </w:r>
      <w:r>
        <w:rPr>
          <w:rFonts w:cs="Arial"/>
        </w:rPr>
        <w:t xml:space="preserve">avore di incentivi forfettari per </w:t>
      </w:r>
      <w:r w:rsidRPr="007C08D2">
        <w:rPr>
          <w:rFonts w:cs="Arial"/>
        </w:rPr>
        <w:t xml:space="preserve">l’acquisto di </w:t>
      </w:r>
      <w:r>
        <w:rPr>
          <w:rFonts w:cs="Arial"/>
        </w:rPr>
        <w:t>automobili</w:t>
      </w:r>
      <w:r w:rsidRPr="007C08D2">
        <w:rPr>
          <w:rFonts w:cs="Arial"/>
        </w:rPr>
        <w:t xml:space="preserve"> tota</w:t>
      </w:r>
      <w:r>
        <w:rPr>
          <w:rFonts w:cs="Arial"/>
        </w:rPr>
        <w:t xml:space="preserve">lmente elettriche a cui saranno </w:t>
      </w:r>
      <w:r w:rsidRPr="007C08D2">
        <w:rPr>
          <w:rFonts w:cs="Arial"/>
        </w:rPr>
        <w:t xml:space="preserve">abbinati contributi di </w:t>
      </w:r>
      <w:r>
        <w:rPr>
          <w:rFonts w:cs="Arial"/>
        </w:rPr>
        <w:t xml:space="preserve">almeno </w:t>
      </w:r>
      <w:r w:rsidRPr="007C08D2">
        <w:rPr>
          <w:rFonts w:cs="Arial"/>
        </w:rPr>
        <w:t xml:space="preserve">pari entità </w:t>
      </w:r>
      <w:r>
        <w:rPr>
          <w:rFonts w:cs="Arial"/>
        </w:rPr>
        <w:t xml:space="preserve">sul prezzo di acquisto del veicolo </w:t>
      </w:r>
      <w:r w:rsidRPr="007C08D2">
        <w:rPr>
          <w:rFonts w:cs="Arial"/>
        </w:rPr>
        <w:t>riconosciuti dagli importatori svizzeri</w:t>
      </w:r>
      <w:r>
        <w:rPr>
          <w:rFonts w:cs="Arial"/>
        </w:rPr>
        <w:t xml:space="preserve"> e/o dai concessionari ufficiali</w:t>
      </w:r>
      <w:r w:rsidRPr="007C08D2">
        <w:rPr>
          <w:rFonts w:cs="Arial"/>
        </w:rPr>
        <w:t>;</w:t>
      </w:r>
    </w:p>
    <w:p w:rsidR="003135BC" w:rsidRPr="007C08D2" w:rsidRDefault="003135BC" w:rsidP="00F878C1">
      <w:pPr>
        <w:pStyle w:val="Paragrafoelenco"/>
        <w:numPr>
          <w:ilvl w:val="0"/>
          <w:numId w:val="14"/>
        </w:numPr>
        <w:spacing w:after="120"/>
        <w:ind w:left="425" w:hanging="425"/>
        <w:contextualSpacing w:val="0"/>
        <w:rPr>
          <w:rFonts w:cs="Arial"/>
        </w:rPr>
      </w:pPr>
      <w:r>
        <w:rPr>
          <w:rFonts w:cs="Arial"/>
        </w:rPr>
        <w:t>fr.</w:t>
      </w:r>
      <w:r w:rsidR="00F878C1">
        <w:rPr>
          <w:rFonts w:cs="Arial"/>
        </w:rPr>
        <w:t xml:space="preserve"> </w:t>
      </w:r>
      <w:r>
        <w:rPr>
          <w:rFonts w:cs="Arial"/>
        </w:rPr>
        <w:t>1'5</w:t>
      </w:r>
      <w:r w:rsidRPr="007C08D2">
        <w:rPr>
          <w:rFonts w:cs="Arial"/>
        </w:rPr>
        <w:t>0</w:t>
      </w:r>
      <w:r>
        <w:rPr>
          <w:rFonts w:cs="Arial"/>
        </w:rPr>
        <w:t>0</w:t>
      </w:r>
      <w:r w:rsidRPr="007C08D2">
        <w:rPr>
          <w:rFonts w:cs="Arial"/>
        </w:rPr>
        <w:t xml:space="preserve">'000.- a favore di incentivi forfettari </w:t>
      </w:r>
      <w:r>
        <w:rPr>
          <w:rFonts w:cs="Arial"/>
        </w:rPr>
        <w:t xml:space="preserve">per l'acquisto </w:t>
      </w:r>
      <w:r w:rsidRPr="006D4C18">
        <w:rPr>
          <w:rFonts w:cs="Arial"/>
          <w:lang w:val="it-CH"/>
        </w:rPr>
        <w:t>di motoveicoli</w:t>
      </w:r>
      <w:r>
        <w:rPr>
          <w:rFonts w:cs="Arial"/>
          <w:lang w:val="it-CH"/>
        </w:rPr>
        <w:t xml:space="preserve">, quadricicli e tricicli con propulsione totalmente </w:t>
      </w:r>
      <w:r w:rsidRPr="006D4C18">
        <w:rPr>
          <w:rFonts w:cs="Arial"/>
          <w:lang w:val="it-CH"/>
        </w:rPr>
        <w:t>elettric</w:t>
      </w:r>
      <w:r>
        <w:rPr>
          <w:rFonts w:cs="Arial"/>
          <w:lang w:val="it-CH"/>
        </w:rPr>
        <w:t>a</w:t>
      </w:r>
      <w:r w:rsidRPr="006D4C18">
        <w:rPr>
          <w:rFonts w:cs="Arial"/>
          <w:lang w:val="it-CH"/>
        </w:rPr>
        <w:t xml:space="preserve"> </w:t>
      </w:r>
      <w:r w:rsidRPr="005C7544">
        <w:rPr>
          <w:rFonts w:cs="Arial"/>
          <w:lang w:val="it-CH"/>
        </w:rPr>
        <w:t xml:space="preserve">aventi una velocità massima per la loro costruzione </w:t>
      </w:r>
      <w:r>
        <w:rPr>
          <w:rFonts w:cs="Arial"/>
          <w:lang w:val="it-CH"/>
        </w:rPr>
        <w:t>superiore a</w:t>
      </w:r>
      <w:r w:rsidRPr="005C7544">
        <w:rPr>
          <w:rFonts w:cs="Arial"/>
          <w:lang w:val="it-CH"/>
        </w:rPr>
        <w:t xml:space="preserve"> 45 km/h</w:t>
      </w:r>
      <w:r>
        <w:rPr>
          <w:rFonts w:cs="Arial"/>
          <w:lang w:val="it-CH"/>
        </w:rPr>
        <w:t>;</w:t>
      </w:r>
    </w:p>
    <w:p w:rsidR="003135BC" w:rsidRDefault="003135BC" w:rsidP="00F878C1">
      <w:pPr>
        <w:pStyle w:val="Paragrafoelenco"/>
        <w:numPr>
          <w:ilvl w:val="0"/>
          <w:numId w:val="14"/>
        </w:numPr>
        <w:spacing w:after="120"/>
        <w:ind w:left="425" w:hanging="425"/>
        <w:contextualSpacing w:val="0"/>
        <w:rPr>
          <w:rFonts w:cs="Arial"/>
        </w:rPr>
      </w:pPr>
      <w:r>
        <w:rPr>
          <w:rFonts w:cs="Arial"/>
        </w:rPr>
        <w:t>fr.</w:t>
      </w:r>
      <w:r w:rsidR="00F878C1">
        <w:rPr>
          <w:rFonts w:cs="Arial"/>
        </w:rPr>
        <w:t xml:space="preserve"> </w:t>
      </w:r>
      <w:r>
        <w:rPr>
          <w:rFonts w:cs="Arial"/>
        </w:rPr>
        <w:t>1'5</w:t>
      </w:r>
      <w:r w:rsidRPr="007C08D2">
        <w:rPr>
          <w:rFonts w:cs="Arial"/>
        </w:rPr>
        <w:t>0</w:t>
      </w:r>
      <w:r>
        <w:rPr>
          <w:rFonts w:cs="Arial"/>
        </w:rPr>
        <w:t>0</w:t>
      </w:r>
      <w:r w:rsidRPr="007C08D2">
        <w:rPr>
          <w:rFonts w:cs="Arial"/>
        </w:rPr>
        <w:t>'000.- a favore di incentivi forfettari per l’installazione di sistemi di ricarica per veicoli elettrici a domicilio o presso datori di lavoro. Le aziende elettriche potranno offrire a loro volta ulteriori agevo</w:t>
      </w:r>
      <w:r>
        <w:rPr>
          <w:rFonts w:cs="Arial"/>
        </w:rPr>
        <w:t>lazioni o contributi finanziari;</w:t>
      </w:r>
    </w:p>
    <w:p w:rsidR="003135BC" w:rsidRPr="007C08D2" w:rsidRDefault="003135BC" w:rsidP="00F878C1">
      <w:pPr>
        <w:pStyle w:val="Paragrafoelenco"/>
        <w:numPr>
          <w:ilvl w:val="0"/>
          <w:numId w:val="14"/>
        </w:numPr>
        <w:ind w:left="426" w:hanging="426"/>
        <w:rPr>
          <w:rFonts w:cs="Arial"/>
        </w:rPr>
      </w:pPr>
      <w:r>
        <w:rPr>
          <w:rFonts w:cs="Arial"/>
        </w:rPr>
        <w:t>fr.</w:t>
      </w:r>
      <w:r w:rsidR="00F878C1">
        <w:rPr>
          <w:rFonts w:cs="Arial"/>
        </w:rPr>
        <w:t xml:space="preserve"> </w:t>
      </w:r>
      <w:r>
        <w:rPr>
          <w:rFonts w:cs="Arial"/>
        </w:rPr>
        <w:t xml:space="preserve">2'000'000.- a favore di incentivi forfettari per </w:t>
      </w:r>
      <w:r>
        <w:rPr>
          <w:rFonts w:cs="Arial"/>
          <w:lang w:val="it-CH"/>
        </w:rPr>
        <w:t>la messa fuori servizio di automobili,</w:t>
      </w:r>
      <w:r w:rsidRPr="00BB444A">
        <w:rPr>
          <w:rFonts w:cs="Arial"/>
          <w:lang w:val="it-CH"/>
        </w:rPr>
        <w:t xml:space="preserve"> </w:t>
      </w:r>
      <w:r w:rsidRPr="006D4C18">
        <w:rPr>
          <w:rFonts w:cs="Arial"/>
          <w:lang w:val="it-CH"/>
        </w:rPr>
        <w:t>motoveicoli</w:t>
      </w:r>
      <w:r>
        <w:rPr>
          <w:rFonts w:cs="Arial"/>
          <w:lang w:val="it-CH"/>
        </w:rPr>
        <w:t xml:space="preserve">, quadricicli e tricicli </w:t>
      </w:r>
      <w:r w:rsidRPr="005C7544">
        <w:rPr>
          <w:rFonts w:cs="Arial"/>
          <w:lang w:val="it-CH"/>
        </w:rPr>
        <w:t xml:space="preserve">aventi una velocità massima per la loro costruzione </w:t>
      </w:r>
      <w:r>
        <w:rPr>
          <w:rFonts w:cs="Arial"/>
          <w:lang w:val="it-CH"/>
        </w:rPr>
        <w:t>superiore a</w:t>
      </w:r>
      <w:r w:rsidRPr="005C7544">
        <w:rPr>
          <w:rFonts w:cs="Arial"/>
          <w:lang w:val="it-CH"/>
        </w:rPr>
        <w:t xml:space="preserve"> 45 km/h</w:t>
      </w:r>
      <w:r>
        <w:rPr>
          <w:rFonts w:cs="Arial"/>
          <w:lang w:val="it-CH"/>
        </w:rPr>
        <w:t xml:space="preserve"> altamente inquinanti abbinata all'immatricolazione di veicoli di ultima generazione.</w:t>
      </w:r>
    </w:p>
    <w:p w:rsidR="003135BC" w:rsidRDefault="003135BC" w:rsidP="003135BC">
      <w:pPr>
        <w:rPr>
          <w:rFonts w:cs="Arial"/>
        </w:rPr>
      </w:pPr>
    </w:p>
    <w:p w:rsidR="003135BC" w:rsidRDefault="003135BC" w:rsidP="003135BC">
      <w:pPr>
        <w:rPr>
          <w:rFonts w:cs="Arial"/>
        </w:rPr>
      </w:pPr>
      <w:r>
        <w:rPr>
          <w:rFonts w:cs="Arial"/>
        </w:rPr>
        <w:t xml:space="preserve">Gli importi di cui ai punti 1) e 3) saranno utilizzati anche per </w:t>
      </w:r>
      <w:r w:rsidRPr="00710940">
        <w:rPr>
          <w:rFonts w:cs="Arial"/>
          <w:u w:val="single"/>
        </w:rPr>
        <w:t xml:space="preserve">dar seguito alle richieste che perverranno </w:t>
      </w:r>
      <w:r>
        <w:rPr>
          <w:rFonts w:cs="Arial"/>
          <w:u w:val="single"/>
        </w:rPr>
        <w:t>in conseguenza</w:t>
      </w:r>
      <w:r w:rsidRPr="00710940">
        <w:rPr>
          <w:rFonts w:cs="Arial"/>
          <w:u w:val="single"/>
        </w:rPr>
        <w:t xml:space="preserve"> dell'esaurimento del credito di cui al messaggio 7540</w:t>
      </w:r>
      <w:r>
        <w:rPr>
          <w:rFonts w:cs="Arial"/>
        </w:rPr>
        <w:t>, fermo restando che le condizioni stabilite dal decreto esecutivo di cui al presente messaggio vengano ottemperate, per dare continuità alla politica promozionale ed evitare un andamento "stop and go".</w:t>
      </w:r>
    </w:p>
    <w:p w:rsidR="003135BC" w:rsidRDefault="003135BC" w:rsidP="003135BC">
      <w:pPr>
        <w:rPr>
          <w:rFonts w:cs="Arial"/>
        </w:rPr>
      </w:pPr>
    </w:p>
    <w:p w:rsidR="003135BC" w:rsidRDefault="003135BC" w:rsidP="00F878C1">
      <w:pPr>
        <w:spacing w:after="120"/>
        <w:rPr>
          <w:rFonts w:cs="Arial"/>
        </w:rPr>
      </w:pPr>
      <w:r>
        <w:rPr>
          <w:rFonts w:cs="Arial"/>
        </w:rPr>
        <w:t xml:space="preserve">I singoli </w:t>
      </w:r>
      <w:r>
        <w:rPr>
          <w:rFonts w:cs="Arial"/>
          <w:u w:val="single"/>
        </w:rPr>
        <w:t>incentivi forfettari</w:t>
      </w:r>
      <w:r w:rsidRPr="00710940">
        <w:rPr>
          <w:rFonts w:cs="Arial"/>
          <w:u w:val="single"/>
        </w:rPr>
        <w:t xml:space="preserve"> previsti</w:t>
      </w:r>
      <w:r>
        <w:rPr>
          <w:rFonts w:cs="Arial"/>
        </w:rPr>
        <w:t xml:space="preserve"> sono i seguenti</w:t>
      </w:r>
      <w:r w:rsidRPr="00B21376">
        <w:rPr>
          <w:rFonts w:cs="Arial"/>
        </w:rPr>
        <w:t>:</w:t>
      </w:r>
    </w:p>
    <w:p w:rsidR="003135BC" w:rsidRPr="00B21376" w:rsidRDefault="003135BC" w:rsidP="00F878C1">
      <w:pPr>
        <w:pStyle w:val="Paragrafoelenco"/>
        <w:numPr>
          <w:ilvl w:val="0"/>
          <w:numId w:val="15"/>
        </w:numPr>
        <w:tabs>
          <w:tab w:val="left" w:pos="851"/>
          <w:tab w:val="left" w:pos="1276"/>
        </w:tabs>
        <w:spacing w:after="120"/>
        <w:ind w:left="425" w:hanging="425"/>
        <w:contextualSpacing w:val="0"/>
        <w:rPr>
          <w:rFonts w:cs="Arial"/>
        </w:rPr>
      </w:pPr>
      <w:r w:rsidRPr="00B21376">
        <w:rPr>
          <w:rFonts w:cs="Arial"/>
        </w:rPr>
        <w:t>per l'acquisto di automobili totalmente elettriche fr. 2'000.-, al quale si andrà ad aggiungere un importo di almeno pari entità concesso dall'importatore</w:t>
      </w:r>
      <w:r>
        <w:rPr>
          <w:rFonts w:cs="Arial"/>
        </w:rPr>
        <w:t xml:space="preserve"> e/o dal concessionario ufficiale</w:t>
      </w:r>
      <w:r w:rsidRPr="00B21376">
        <w:rPr>
          <w:rFonts w:cs="Arial"/>
        </w:rPr>
        <w:t>;</w:t>
      </w:r>
    </w:p>
    <w:p w:rsidR="003135BC" w:rsidRPr="00B21376" w:rsidRDefault="003135BC" w:rsidP="00E06AF4">
      <w:pPr>
        <w:pStyle w:val="Paragrafoelenco"/>
        <w:numPr>
          <w:ilvl w:val="0"/>
          <w:numId w:val="15"/>
        </w:numPr>
        <w:tabs>
          <w:tab w:val="left" w:pos="851"/>
          <w:tab w:val="left" w:pos="1276"/>
        </w:tabs>
        <w:spacing w:after="120"/>
        <w:ind w:left="425" w:hanging="425"/>
        <w:contextualSpacing w:val="0"/>
        <w:rPr>
          <w:rFonts w:cs="Arial"/>
        </w:rPr>
      </w:pPr>
      <w:r w:rsidRPr="00B21376">
        <w:rPr>
          <w:rFonts w:cs="Arial"/>
        </w:rPr>
        <w:t xml:space="preserve">per l'acquisto di </w:t>
      </w:r>
      <w:r w:rsidRPr="00B21376">
        <w:rPr>
          <w:rFonts w:cs="Arial"/>
          <w:lang w:val="it-CH"/>
        </w:rPr>
        <w:t>motoveicoli, quadricicli e tricicli con propulsione totalmente elettrica aventi una velocità massima per la loro costruzione superiore a 45 km/h</w:t>
      </w:r>
      <w:r w:rsidRPr="00B21376">
        <w:rPr>
          <w:rFonts w:cs="Arial"/>
        </w:rPr>
        <w:t xml:space="preserve"> fr.</w:t>
      </w:r>
      <w:r w:rsidR="00E06AF4">
        <w:rPr>
          <w:rFonts w:cs="Arial"/>
        </w:rPr>
        <w:t xml:space="preserve"> </w:t>
      </w:r>
      <w:r w:rsidRPr="00B21376">
        <w:rPr>
          <w:rFonts w:cs="Arial"/>
        </w:rPr>
        <w:t>1'000.-;</w:t>
      </w:r>
    </w:p>
    <w:p w:rsidR="003135BC" w:rsidRPr="00B21376" w:rsidRDefault="003135BC" w:rsidP="00F878C1">
      <w:pPr>
        <w:pStyle w:val="Paragrafoelenco"/>
        <w:numPr>
          <w:ilvl w:val="0"/>
          <w:numId w:val="15"/>
        </w:numPr>
        <w:tabs>
          <w:tab w:val="left" w:pos="851"/>
          <w:tab w:val="left" w:pos="1276"/>
        </w:tabs>
        <w:spacing w:after="120"/>
        <w:ind w:left="425" w:hanging="425"/>
        <w:contextualSpacing w:val="0"/>
        <w:rPr>
          <w:rFonts w:cs="Arial"/>
        </w:rPr>
      </w:pPr>
      <w:r w:rsidRPr="00B21376">
        <w:rPr>
          <w:rFonts w:cs="Arial"/>
        </w:rPr>
        <w:lastRenderedPageBreak/>
        <w:t>per l’installazione di sistemi di ricarica (colonnina di ricarica e allacciamento elettrico) per veicoli elettrici a domicilio o presso datori di lavoro fr. 500.-;</w:t>
      </w:r>
    </w:p>
    <w:p w:rsidR="003135BC" w:rsidRDefault="003135BC" w:rsidP="00E06AF4">
      <w:pPr>
        <w:pStyle w:val="Paragrafoelenco"/>
        <w:numPr>
          <w:ilvl w:val="0"/>
          <w:numId w:val="15"/>
        </w:numPr>
        <w:tabs>
          <w:tab w:val="left" w:pos="851"/>
          <w:tab w:val="left" w:pos="1276"/>
        </w:tabs>
        <w:spacing w:after="60"/>
        <w:ind w:left="425" w:hanging="425"/>
        <w:contextualSpacing w:val="0"/>
        <w:rPr>
          <w:rFonts w:cs="Arial"/>
        </w:rPr>
      </w:pPr>
      <w:r w:rsidRPr="00B21376">
        <w:rPr>
          <w:rFonts w:cs="Arial"/>
        </w:rPr>
        <w:t xml:space="preserve">per la </w:t>
      </w:r>
      <w:r>
        <w:rPr>
          <w:rFonts w:cs="Arial"/>
        </w:rPr>
        <w:t>messa fuori servizio</w:t>
      </w:r>
      <w:r w:rsidRPr="00B21376">
        <w:rPr>
          <w:rFonts w:cs="Arial"/>
        </w:rPr>
        <w:t xml:space="preserve"> di un'automobile la cui prima immatricolazione è antecedente al 2009 o di un motoveicolo, un quadriciclo o un triciclo aventi </w:t>
      </w:r>
      <w:r w:rsidRPr="00B21376">
        <w:rPr>
          <w:rFonts w:cs="Arial"/>
          <w:lang w:val="it-CH"/>
        </w:rPr>
        <w:t>velocità massima per la loro costruzione superiore a 45 km/h</w:t>
      </w:r>
      <w:r>
        <w:rPr>
          <w:rFonts w:cs="Arial"/>
        </w:rPr>
        <w:t xml:space="preserve">, </w:t>
      </w:r>
      <w:r w:rsidRPr="00B21376">
        <w:rPr>
          <w:rFonts w:cs="Arial"/>
        </w:rPr>
        <w:t>la</w:t>
      </w:r>
      <w:r>
        <w:rPr>
          <w:rFonts w:cs="Arial"/>
        </w:rPr>
        <w:t xml:space="preserve"> cui prima immatricolazione è antecedente al 2005:</w:t>
      </w:r>
    </w:p>
    <w:p w:rsidR="003135BC" w:rsidRDefault="003135BC" w:rsidP="00E06AF4">
      <w:pPr>
        <w:pStyle w:val="Paragrafoelenco"/>
        <w:numPr>
          <w:ilvl w:val="1"/>
          <w:numId w:val="15"/>
        </w:numPr>
        <w:tabs>
          <w:tab w:val="left" w:pos="851"/>
          <w:tab w:val="left" w:pos="1276"/>
        </w:tabs>
        <w:spacing w:after="60"/>
        <w:ind w:left="850" w:hanging="425"/>
        <w:contextualSpacing w:val="0"/>
        <w:rPr>
          <w:rFonts w:cs="Arial"/>
        </w:rPr>
      </w:pPr>
      <w:r>
        <w:rPr>
          <w:rFonts w:cs="Arial"/>
        </w:rPr>
        <w:t>fr.</w:t>
      </w:r>
      <w:r w:rsidR="00F878C1">
        <w:rPr>
          <w:rFonts w:cs="Arial"/>
        </w:rPr>
        <w:t xml:space="preserve"> </w:t>
      </w:r>
      <w:r>
        <w:rPr>
          <w:rFonts w:cs="Arial"/>
        </w:rPr>
        <w:t>2'000.- in caso di immatricolazione di una nuova automobile mai immatricolata in precedenza, oppure</w:t>
      </w:r>
    </w:p>
    <w:p w:rsidR="003135BC" w:rsidRDefault="003135BC" w:rsidP="00F878C1">
      <w:pPr>
        <w:pStyle w:val="Paragrafoelenco"/>
        <w:numPr>
          <w:ilvl w:val="1"/>
          <w:numId w:val="15"/>
        </w:numPr>
        <w:tabs>
          <w:tab w:val="left" w:pos="851"/>
          <w:tab w:val="left" w:pos="1276"/>
        </w:tabs>
        <w:ind w:left="851" w:hanging="425"/>
        <w:rPr>
          <w:rFonts w:cs="Arial"/>
        </w:rPr>
      </w:pPr>
      <w:r>
        <w:rPr>
          <w:rFonts w:cs="Arial"/>
        </w:rPr>
        <w:t>fr.</w:t>
      </w:r>
      <w:r w:rsidR="00F878C1">
        <w:rPr>
          <w:rFonts w:cs="Arial"/>
        </w:rPr>
        <w:t xml:space="preserve"> </w:t>
      </w:r>
      <w:r>
        <w:rPr>
          <w:rFonts w:cs="Arial"/>
        </w:rPr>
        <w:t xml:space="preserve">1'000.- in caso di immatricolazione di un nuovo motoveicolo, quadriciclo o triciclo, avente </w:t>
      </w:r>
      <w:r w:rsidRPr="005C7544">
        <w:rPr>
          <w:rFonts w:cs="Arial"/>
          <w:lang w:val="it-CH"/>
        </w:rPr>
        <w:t xml:space="preserve">velocità massima per la </w:t>
      </w:r>
      <w:r>
        <w:rPr>
          <w:rFonts w:cs="Arial"/>
          <w:lang w:val="it-CH"/>
        </w:rPr>
        <w:t xml:space="preserve">sua </w:t>
      </w:r>
      <w:r w:rsidRPr="005C7544">
        <w:rPr>
          <w:rFonts w:cs="Arial"/>
          <w:lang w:val="it-CH"/>
        </w:rPr>
        <w:t xml:space="preserve">costruzione </w:t>
      </w:r>
      <w:r>
        <w:rPr>
          <w:rFonts w:cs="Arial"/>
          <w:lang w:val="it-CH"/>
        </w:rPr>
        <w:t>superiore a</w:t>
      </w:r>
      <w:r w:rsidRPr="005C7544">
        <w:rPr>
          <w:rFonts w:cs="Arial"/>
          <w:lang w:val="it-CH"/>
        </w:rPr>
        <w:t xml:space="preserve"> 45 km/h</w:t>
      </w:r>
      <w:r>
        <w:rPr>
          <w:rFonts w:cs="Arial"/>
          <w:lang w:val="it-CH"/>
        </w:rPr>
        <w:t>, mai immatricolato in precedenza</w:t>
      </w:r>
      <w:r>
        <w:rPr>
          <w:rFonts w:cs="Arial"/>
        </w:rPr>
        <w:t>.</w:t>
      </w:r>
    </w:p>
    <w:p w:rsidR="003135BC" w:rsidRDefault="003135BC" w:rsidP="003135BC">
      <w:pPr>
        <w:rPr>
          <w:rFonts w:cs="Arial"/>
        </w:rPr>
      </w:pPr>
    </w:p>
    <w:p w:rsidR="003135BC" w:rsidRDefault="003135BC" w:rsidP="003135BC">
      <w:pPr>
        <w:rPr>
          <w:rFonts w:cs="Arial"/>
        </w:rPr>
      </w:pPr>
      <w:r>
        <w:rPr>
          <w:rFonts w:cs="Arial"/>
        </w:rPr>
        <w:t>L'acquisto di veicoli, siano essi elettrici o di ultima generazione, dovrà avvenire presso concessioni ufficiali con sede in Ticino. Fanno eccezione gli importatori che non dispongono di concessionari ufficiali in Ticino, per i quali dovrà in ogni caso essere presente un rivenditore o un punto di consegna ufficiale in Svizzera.</w:t>
      </w:r>
    </w:p>
    <w:p w:rsidR="003135BC" w:rsidRPr="00200C12" w:rsidRDefault="003135BC" w:rsidP="003135BC">
      <w:pPr>
        <w:rPr>
          <w:rFonts w:cs="Arial"/>
        </w:rPr>
      </w:pPr>
    </w:p>
    <w:p w:rsidR="003135BC" w:rsidRPr="00825EB9" w:rsidRDefault="003135BC" w:rsidP="003135BC">
      <w:pPr>
        <w:rPr>
          <w:rFonts w:cs="Arial"/>
        </w:rPr>
      </w:pPr>
      <w:r>
        <w:rPr>
          <w:rFonts w:cs="Arial"/>
        </w:rPr>
        <w:t xml:space="preserve">A differenza delle automobili, per l'acquisto di motoveicoli, tricicli e quadricicli elettrici </w:t>
      </w:r>
      <w:r w:rsidRPr="00C63DD3">
        <w:rPr>
          <w:rFonts w:cs="Arial"/>
        </w:rPr>
        <w:t xml:space="preserve">non si chiede un contributo di pari entità </w:t>
      </w:r>
      <w:r>
        <w:rPr>
          <w:rFonts w:cs="Arial"/>
        </w:rPr>
        <w:t>agli</w:t>
      </w:r>
      <w:r w:rsidRPr="00C63DD3">
        <w:rPr>
          <w:rFonts w:cs="Arial"/>
        </w:rPr>
        <w:t xml:space="preserve"> importatori</w:t>
      </w:r>
      <w:r>
        <w:rPr>
          <w:rFonts w:cs="Arial"/>
        </w:rPr>
        <w:t xml:space="preserve"> e/o ai concessionari ufficiali</w:t>
      </w:r>
      <w:r w:rsidRPr="00C63DD3">
        <w:rPr>
          <w:rFonts w:cs="Arial"/>
        </w:rPr>
        <w:t xml:space="preserve">, in quanto non si ritiene vi siano margini sufficienti per applicare tale riduzione </w:t>
      </w:r>
      <w:r>
        <w:rPr>
          <w:rFonts w:cs="Arial"/>
        </w:rPr>
        <w:t>sul</w:t>
      </w:r>
      <w:r w:rsidRPr="00C63DD3">
        <w:rPr>
          <w:rFonts w:cs="Arial"/>
        </w:rPr>
        <w:t xml:space="preserve"> prezzo di acquisto.</w:t>
      </w:r>
    </w:p>
    <w:p w:rsidR="003135BC" w:rsidRDefault="003135BC" w:rsidP="003135BC">
      <w:pPr>
        <w:rPr>
          <w:rFonts w:cs="Arial"/>
        </w:rPr>
      </w:pPr>
    </w:p>
    <w:p w:rsidR="003135BC" w:rsidRDefault="003135BC" w:rsidP="003135BC">
      <w:pPr>
        <w:rPr>
          <w:rFonts w:cs="Arial"/>
        </w:rPr>
      </w:pPr>
      <w:r>
        <w:rPr>
          <w:rFonts w:cs="Arial"/>
        </w:rPr>
        <w:t>Gli incentivi previsti saranno cumulabili tra di loro. Ad eccezione delle stazioni di ricarica, è previsto un solo incentivo per richiedente. Per beneficiare dell'incentivo sulla messa fuori servizio di veicoli altamente inquinanti, il richiedente dovrà dimostrare di essere il detentore del veicolo da almeno 2 anni.</w:t>
      </w:r>
    </w:p>
    <w:p w:rsidR="003135BC" w:rsidRDefault="003135BC" w:rsidP="003135BC">
      <w:pPr>
        <w:rPr>
          <w:rFonts w:cs="Arial"/>
          <w:lang w:val="it-CH"/>
        </w:rPr>
      </w:pPr>
    </w:p>
    <w:p w:rsidR="003135BC" w:rsidRDefault="003135BC" w:rsidP="003135BC">
      <w:pPr>
        <w:jc w:val="left"/>
        <w:rPr>
          <w:highlight w:val="yellow"/>
        </w:rPr>
      </w:pPr>
    </w:p>
    <w:p w:rsidR="003135BC" w:rsidRDefault="003135BC" w:rsidP="003135BC">
      <w:pPr>
        <w:jc w:val="left"/>
        <w:rPr>
          <w:highlight w:val="yellow"/>
        </w:rPr>
      </w:pPr>
    </w:p>
    <w:p w:rsidR="003135BC" w:rsidRPr="006D4C18" w:rsidRDefault="003135BC" w:rsidP="00F878C1">
      <w:pPr>
        <w:pStyle w:val="StileTitolo1"/>
        <w:numPr>
          <w:ilvl w:val="0"/>
          <w:numId w:val="9"/>
        </w:numPr>
        <w:tabs>
          <w:tab w:val="clear" w:pos="851"/>
        </w:tabs>
        <w:ind w:left="567" w:hanging="567"/>
        <w:jc w:val="both"/>
      </w:pPr>
      <w:bookmarkStart w:id="7" w:name="_Toc76370131"/>
      <w:r w:rsidRPr="006D4C18">
        <w:t>RELAZIONE CON LE LINEE DIRETTIVE, CON IL PIANO FINANZIARIO E CON L’AMBIENTE e l'energia</w:t>
      </w:r>
      <w:bookmarkEnd w:id="7"/>
    </w:p>
    <w:p w:rsidR="003135BC" w:rsidRPr="00600D1F" w:rsidRDefault="003135BC" w:rsidP="00F878C1">
      <w:pPr>
        <w:spacing w:after="120"/>
        <w:rPr>
          <w:rFonts w:cs="Arial"/>
          <w:b/>
        </w:rPr>
      </w:pPr>
      <w:r w:rsidRPr="00600D1F">
        <w:rPr>
          <w:rFonts w:cs="Arial"/>
          <w:b/>
        </w:rPr>
        <w:t>Programma di legislatura</w:t>
      </w:r>
    </w:p>
    <w:p w:rsidR="003135BC" w:rsidRPr="008F0577" w:rsidRDefault="003135BC" w:rsidP="00E06AF4">
      <w:pPr>
        <w:spacing w:after="120"/>
        <w:rPr>
          <w:rFonts w:cs="Arial"/>
        </w:rPr>
      </w:pPr>
      <w:r w:rsidRPr="008F0577">
        <w:rPr>
          <w:rFonts w:cs="Arial"/>
        </w:rPr>
        <w:t xml:space="preserve">La presente proposta è conforme agli obiettivi fissati nel Programma di legislatura 2019-2023, asse strategico 2 </w:t>
      </w:r>
      <w:r>
        <w:rPr>
          <w:rFonts w:cs="Arial"/>
        </w:rPr>
        <w:t>"</w:t>
      </w:r>
      <w:r w:rsidRPr="008F0577">
        <w:rPr>
          <w:rFonts w:cs="Arial"/>
        </w:rPr>
        <w:t xml:space="preserve">Sviluppo e attrattiva </w:t>
      </w:r>
      <w:r>
        <w:rPr>
          <w:rFonts w:cs="Arial"/>
        </w:rPr>
        <w:t>del Canton Ticino", obiettivo 15 "</w:t>
      </w:r>
      <w:r w:rsidRPr="00A74A04">
        <w:rPr>
          <w:rFonts w:cs="Arial"/>
        </w:rPr>
        <w:t>Procedere verso una società rinnovabile al 100%</w:t>
      </w:r>
      <w:r>
        <w:rPr>
          <w:rFonts w:cs="Arial"/>
        </w:rPr>
        <w:t>"</w:t>
      </w:r>
      <w:r w:rsidRPr="008F0577">
        <w:rPr>
          <w:rFonts w:cs="Arial"/>
        </w:rPr>
        <w:t xml:space="preserve"> e obiettivo 20 </w:t>
      </w:r>
      <w:r>
        <w:rPr>
          <w:rFonts w:cs="Arial"/>
        </w:rPr>
        <w:t>"</w:t>
      </w:r>
      <w:r w:rsidRPr="008F0577">
        <w:rPr>
          <w:rFonts w:cs="Arial"/>
        </w:rPr>
        <w:t>Promuovere la responsabilità sociale delle imprese</w:t>
      </w:r>
      <w:r>
        <w:rPr>
          <w:rFonts w:cs="Arial"/>
        </w:rPr>
        <w:t>"</w:t>
      </w:r>
      <w:r w:rsidRPr="008F0577">
        <w:rPr>
          <w:rFonts w:cs="Arial"/>
        </w:rPr>
        <w:t>.</w:t>
      </w:r>
    </w:p>
    <w:p w:rsidR="00F878C1" w:rsidRDefault="00F878C1" w:rsidP="003135BC">
      <w:pPr>
        <w:rPr>
          <w:rFonts w:cs="Arial"/>
        </w:rPr>
      </w:pPr>
    </w:p>
    <w:p w:rsidR="003135BC" w:rsidRPr="00600D1F" w:rsidRDefault="003135BC" w:rsidP="00F878C1">
      <w:pPr>
        <w:spacing w:after="120"/>
        <w:rPr>
          <w:rFonts w:cs="Arial"/>
          <w:b/>
        </w:rPr>
      </w:pPr>
      <w:r w:rsidRPr="00600D1F">
        <w:rPr>
          <w:rFonts w:cs="Arial"/>
          <w:b/>
        </w:rPr>
        <w:t>Piano finanziario</w:t>
      </w:r>
    </w:p>
    <w:p w:rsidR="003135BC" w:rsidRDefault="003135BC" w:rsidP="00F878C1">
      <w:pPr>
        <w:numPr>
          <w:ilvl w:val="1"/>
          <w:numId w:val="10"/>
        </w:numPr>
        <w:tabs>
          <w:tab w:val="clear" w:pos="1785"/>
          <w:tab w:val="left" w:pos="567"/>
        </w:tabs>
        <w:spacing w:after="120"/>
        <w:ind w:left="567" w:hanging="561"/>
        <w:rPr>
          <w:rFonts w:cs="Arial"/>
          <w:szCs w:val="24"/>
        </w:rPr>
      </w:pPr>
      <w:r w:rsidRPr="00F45FC6">
        <w:rPr>
          <w:rFonts w:cs="Arial"/>
          <w:szCs w:val="24"/>
        </w:rPr>
        <w:t>Conseguenze finanziarie della gestione corrente</w:t>
      </w:r>
      <w:r>
        <w:rPr>
          <w:rFonts w:cs="Arial"/>
          <w:szCs w:val="24"/>
        </w:rPr>
        <w:t xml:space="preserve"> e sul personale</w:t>
      </w:r>
    </w:p>
    <w:p w:rsidR="003135BC" w:rsidRDefault="003135BC" w:rsidP="003135BC">
      <w:pPr>
        <w:tabs>
          <w:tab w:val="left" w:pos="567"/>
        </w:tabs>
        <w:ind w:left="567"/>
        <w:rPr>
          <w:rFonts w:cs="Arial"/>
          <w:szCs w:val="24"/>
        </w:rPr>
      </w:pPr>
      <w:r w:rsidRPr="005A0198">
        <w:rPr>
          <w:rFonts w:cs="Arial"/>
          <w:szCs w:val="24"/>
        </w:rPr>
        <w:t>Nessuna.</w:t>
      </w:r>
    </w:p>
    <w:p w:rsidR="003135BC" w:rsidRPr="00F45FC6" w:rsidRDefault="003135BC" w:rsidP="003135BC">
      <w:pPr>
        <w:tabs>
          <w:tab w:val="left" w:pos="567"/>
        </w:tabs>
        <w:ind w:left="567"/>
        <w:rPr>
          <w:rFonts w:cs="Arial"/>
          <w:szCs w:val="24"/>
        </w:rPr>
      </w:pPr>
    </w:p>
    <w:p w:rsidR="003135BC" w:rsidRPr="00F45FC6" w:rsidRDefault="003135BC" w:rsidP="00F878C1">
      <w:pPr>
        <w:numPr>
          <w:ilvl w:val="1"/>
          <w:numId w:val="10"/>
        </w:numPr>
        <w:tabs>
          <w:tab w:val="clear" w:pos="1785"/>
          <w:tab w:val="left" w:pos="567"/>
        </w:tabs>
        <w:spacing w:after="120"/>
        <w:ind w:left="567" w:hanging="561"/>
        <w:rPr>
          <w:rFonts w:cs="Arial"/>
          <w:szCs w:val="24"/>
        </w:rPr>
      </w:pPr>
      <w:r w:rsidRPr="00F45FC6">
        <w:rPr>
          <w:rFonts w:cs="Arial"/>
          <w:szCs w:val="24"/>
        </w:rPr>
        <w:t>Collegamento con il PFI</w:t>
      </w:r>
    </w:p>
    <w:p w:rsidR="003135BC" w:rsidRDefault="003135BC" w:rsidP="003135BC">
      <w:pPr>
        <w:tabs>
          <w:tab w:val="left" w:pos="567"/>
        </w:tabs>
        <w:ind w:left="567"/>
        <w:rPr>
          <w:rFonts w:cs="Arial"/>
          <w:szCs w:val="24"/>
        </w:rPr>
      </w:pPr>
      <w:r w:rsidRPr="00600D1F">
        <w:rPr>
          <w:rFonts w:cs="Arial"/>
          <w:szCs w:val="24"/>
        </w:rPr>
        <w:t>Gli incentivi per l’acquisto di veicoli totalmente elettrici</w:t>
      </w:r>
      <w:r>
        <w:rPr>
          <w:rFonts w:cs="Arial"/>
          <w:szCs w:val="24"/>
        </w:rPr>
        <w:t xml:space="preserve">, per </w:t>
      </w:r>
      <w:r w:rsidRPr="00600D1F">
        <w:rPr>
          <w:rFonts w:cs="Arial"/>
          <w:szCs w:val="24"/>
        </w:rPr>
        <w:t xml:space="preserve">l’installazione di sistemi di ricarica domestica e sul posto di lavoro </w:t>
      </w:r>
      <w:r>
        <w:rPr>
          <w:rFonts w:cs="Arial"/>
          <w:szCs w:val="24"/>
        </w:rPr>
        <w:t xml:space="preserve">e per la messa fuori servizio di veicoli altamente inquinanti abbinata </w:t>
      </w:r>
      <w:r w:rsidRPr="00E672B2">
        <w:rPr>
          <w:rFonts w:cs="Arial"/>
          <w:szCs w:val="24"/>
        </w:rPr>
        <w:t>all'immatricolazione di veicoli di ultima generazione saranno erogati quali contributi per investimenti e saranno posti a carico de</w:t>
      </w:r>
      <w:r>
        <w:rPr>
          <w:rFonts w:cs="Arial"/>
          <w:szCs w:val="24"/>
        </w:rPr>
        <w:t>l CRB 731, conto</w:t>
      </w:r>
      <w:r w:rsidRPr="00E672B2">
        <w:rPr>
          <w:rFonts w:cs="Arial"/>
          <w:szCs w:val="24"/>
        </w:rPr>
        <w:t xml:space="preserve"> 56500053 “</w:t>
      </w:r>
      <w:r>
        <w:rPr>
          <w:rFonts w:cs="Arial"/>
          <w:szCs w:val="24"/>
        </w:rPr>
        <w:t>Contributi alla mobilità sostenibile</w:t>
      </w:r>
      <w:r w:rsidRPr="00E672B2">
        <w:rPr>
          <w:rFonts w:cs="Arial"/>
          <w:szCs w:val="24"/>
        </w:rPr>
        <w:t>” e collegati al settore 52 “Depurazione acque, energia e protezione dell’aria”, posizione 526 della Sezione protezione aria, acqua e suolo e collegato all’elemento WBS 731 55 2003 “Finanziamento mobilità elettrica”.</w:t>
      </w:r>
    </w:p>
    <w:p w:rsidR="003135BC" w:rsidRDefault="003135BC" w:rsidP="003135BC">
      <w:pPr>
        <w:pStyle w:val="Paragrafoelenco"/>
        <w:tabs>
          <w:tab w:val="left" w:pos="426"/>
        </w:tabs>
        <w:ind w:left="0"/>
        <w:rPr>
          <w:rFonts w:cs="Arial"/>
        </w:rPr>
      </w:pPr>
      <w:r>
        <w:rPr>
          <w:rFonts w:cs="Arial"/>
        </w:rPr>
        <w:lastRenderedPageBreak/>
        <w:t xml:space="preserve">Lo stanziamento del credito </w:t>
      </w:r>
      <w:r w:rsidRPr="00E87C0E">
        <w:rPr>
          <w:rFonts w:cs="Arial"/>
        </w:rPr>
        <w:t>proposto con l’allegato decreto legislativo richiede l’approvazione da parte della maggioranza assoluta dei membri del Gran Consiglio (art. 5 cpv. 3 LGF).</w:t>
      </w:r>
    </w:p>
    <w:p w:rsidR="00F878C1" w:rsidRDefault="00F878C1" w:rsidP="003135BC">
      <w:pPr>
        <w:pStyle w:val="Paragrafoelenco"/>
        <w:tabs>
          <w:tab w:val="left" w:pos="426"/>
        </w:tabs>
        <w:ind w:left="0"/>
        <w:rPr>
          <w:rFonts w:cs="Arial"/>
        </w:rPr>
      </w:pPr>
    </w:p>
    <w:p w:rsidR="00F878C1" w:rsidRDefault="00F878C1" w:rsidP="003135BC">
      <w:pPr>
        <w:pStyle w:val="Paragrafoelenco"/>
        <w:tabs>
          <w:tab w:val="left" w:pos="426"/>
        </w:tabs>
        <w:ind w:left="0"/>
        <w:rPr>
          <w:rFonts w:cs="Arial"/>
        </w:rPr>
      </w:pPr>
    </w:p>
    <w:p w:rsidR="003135BC" w:rsidRPr="00600D1F" w:rsidRDefault="003135BC" w:rsidP="00F878C1">
      <w:pPr>
        <w:spacing w:after="120"/>
        <w:jc w:val="left"/>
        <w:rPr>
          <w:rFonts w:cs="Arial"/>
          <w:b/>
        </w:rPr>
      </w:pPr>
      <w:r w:rsidRPr="00600D1F">
        <w:rPr>
          <w:rFonts w:cs="Arial"/>
          <w:b/>
        </w:rPr>
        <w:t>Ambiente</w:t>
      </w:r>
      <w:r>
        <w:rPr>
          <w:rFonts w:cs="Arial"/>
          <w:b/>
        </w:rPr>
        <w:t xml:space="preserve"> e energia</w:t>
      </w:r>
    </w:p>
    <w:p w:rsidR="003135BC" w:rsidRDefault="003135BC" w:rsidP="003135BC">
      <w:pPr>
        <w:rPr>
          <w:rFonts w:cs="Arial"/>
          <w:lang w:val="it-CH" w:eastAsia="it-CH"/>
        </w:rPr>
      </w:pPr>
      <w:r w:rsidRPr="008F0577">
        <w:rPr>
          <w:rFonts w:cs="Arial"/>
          <w:lang w:val="it-CH" w:eastAsia="it-CH"/>
        </w:rPr>
        <w:t>Gli effetti delle oper</w:t>
      </w:r>
      <w:r>
        <w:rPr>
          <w:rFonts w:cs="Arial"/>
          <w:lang w:val="it-CH" w:eastAsia="it-CH"/>
        </w:rPr>
        <w:t xml:space="preserve">e del presente Messaggio sono </w:t>
      </w:r>
      <w:r w:rsidRPr="008F0577">
        <w:rPr>
          <w:rFonts w:cs="Arial"/>
          <w:lang w:val="it-CH" w:eastAsia="it-CH"/>
        </w:rPr>
        <w:t xml:space="preserve">positivi poiché incentivano </w:t>
      </w:r>
      <w:r>
        <w:rPr>
          <w:rFonts w:cs="Arial"/>
          <w:lang w:val="it-CH" w:eastAsia="it-CH"/>
        </w:rPr>
        <w:t>da un lato la messa in circolazione di veicoli altamente efficienti - sia dal punto di vista del consumo energetico che dal punto di vista delle emissioni - e dall'altro la messa fuori circolazione di veicoli altamente inquinanti.</w:t>
      </w:r>
    </w:p>
    <w:p w:rsidR="003135BC" w:rsidRPr="003C5359" w:rsidRDefault="003135BC" w:rsidP="003135BC">
      <w:pPr>
        <w:rPr>
          <w:rFonts w:cs="Arial"/>
          <w:lang w:val="it-CH" w:eastAsia="it-CH"/>
        </w:rPr>
      </w:pPr>
      <w:r>
        <w:rPr>
          <w:rFonts w:cs="Arial"/>
          <w:lang w:val="it-CH" w:eastAsia="it-CH"/>
        </w:rPr>
        <w:t xml:space="preserve">Le azioni proposte sono dunque </w:t>
      </w:r>
      <w:r w:rsidRPr="006C5544">
        <w:rPr>
          <w:rFonts w:cs="Arial"/>
          <w:lang w:val="it-CH" w:eastAsia="it-CH"/>
        </w:rPr>
        <w:t xml:space="preserve">coerenti con il </w:t>
      </w:r>
      <w:r w:rsidRPr="006C5544">
        <w:rPr>
          <w:rFonts w:cs="Arial"/>
        </w:rPr>
        <w:t>Piano di risanamento dell’aria (PRA 2017) e con il Piano energetico cantonale (PEC).</w:t>
      </w:r>
    </w:p>
    <w:p w:rsidR="003135BC" w:rsidRDefault="003135BC" w:rsidP="003135BC">
      <w:pPr>
        <w:rPr>
          <w:rFonts w:cs="Arial"/>
        </w:rPr>
      </w:pPr>
    </w:p>
    <w:p w:rsidR="00E06AF4" w:rsidRDefault="00E06AF4" w:rsidP="003135BC">
      <w:pPr>
        <w:rPr>
          <w:rFonts w:cs="Arial"/>
        </w:rPr>
      </w:pPr>
    </w:p>
    <w:p w:rsidR="00E06AF4" w:rsidRPr="00B53820" w:rsidRDefault="00E06AF4" w:rsidP="003135BC">
      <w:pPr>
        <w:rPr>
          <w:rFonts w:cs="Arial"/>
        </w:rPr>
      </w:pPr>
    </w:p>
    <w:p w:rsidR="003135BC" w:rsidRPr="00B53820" w:rsidRDefault="003135BC" w:rsidP="00F878C1">
      <w:pPr>
        <w:pStyle w:val="StileTitolo1"/>
        <w:numPr>
          <w:ilvl w:val="0"/>
          <w:numId w:val="9"/>
        </w:numPr>
        <w:tabs>
          <w:tab w:val="clear" w:pos="851"/>
          <w:tab w:val="left" w:pos="567"/>
        </w:tabs>
        <w:ind w:left="567" w:hanging="567"/>
      </w:pPr>
      <w:bookmarkStart w:id="8" w:name="_Toc76370132"/>
      <w:r w:rsidRPr="00B53820">
        <w:t>Mozione del 14 dicembre 2020</w:t>
      </w:r>
      <w:bookmarkEnd w:id="8"/>
    </w:p>
    <w:p w:rsidR="003135BC" w:rsidRDefault="003135BC" w:rsidP="003135BC">
      <w:pPr>
        <w:rPr>
          <w:rFonts w:cs="Arial"/>
        </w:rPr>
      </w:pPr>
      <w:r>
        <w:rPr>
          <w:rFonts w:cs="Arial"/>
        </w:rPr>
        <w:t xml:space="preserve">La mozione </w:t>
      </w:r>
      <w:r w:rsidR="00F878C1">
        <w:rPr>
          <w:rFonts w:cs="Arial"/>
        </w:rPr>
        <w:t xml:space="preserve">n. </w:t>
      </w:r>
      <w:r>
        <w:rPr>
          <w:rFonts w:cs="Arial"/>
        </w:rPr>
        <w:t>1571 del 14 dicembre 2020 intitolata "</w:t>
      </w:r>
      <w:r w:rsidRPr="00035853">
        <w:rPr>
          <w:rFonts w:cs="Arial"/>
        </w:rPr>
        <w:t>Incentivo all’acquisto di veicoli totalmente elettrici: anche per i motoveicoli, non solo</w:t>
      </w:r>
      <w:r>
        <w:rPr>
          <w:rFonts w:cs="Arial"/>
        </w:rPr>
        <w:t xml:space="preserve"> </w:t>
      </w:r>
      <w:r w:rsidRPr="00035853">
        <w:rPr>
          <w:rFonts w:cs="Arial"/>
        </w:rPr>
        <w:t>per le automobili</w:t>
      </w:r>
      <w:r>
        <w:rPr>
          <w:rFonts w:cs="Arial"/>
        </w:rPr>
        <w:t>" chiede di adattare il d</w:t>
      </w:r>
      <w:r w:rsidRPr="00035853">
        <w:rPr>
          <w:rFonts w:cs="Arial"/>
        </w:rPr>
        <w:t>ecreto esecutivo del 19</w:t>
      </w:r>
      <w:r>
        <w:rPr>
          <w:rFonts w:cs="Arial"/>
        </w:rPr>
        <w:t xml:space="preserve"> </w:t>
      </w:r>
      <w:r w:rsidRPr="00035853">
        <w:rPr>
          <w:rFonts w:cs="Arial"/>
        </w:rPr>
        <w:t xml:space="preserve">giugno 2019 (relativo </w:t>
      </w:r>
      <w:r>
        <w:rPr>
          <w:rFonts w:cs="Arial"/>
        </w:rPr>
        <w:t xml:space="preserve">al messaggio 7540) </w:t>
      </w:r>
      <w:r w:rsidRPr="00035853">
        <w:rPr>
          <w:rFonts w:cs="Arial"/>
        </w:rPr>
        <w:t>con l’obiettivo di includere anche l’incentivo</w:t>
      </w:r>
      <w:r>
        <w:rPr>
          <w:rFonts w:cs="Arial"/>
        </w:rPr>
        <w:t xml:space="preserve"> </w:t>
      </w:r>
      <w:r w:rsidRPr="00035853">
        <w:rPr>
          <w:rFonts w:cs="Arial"/>
        </w:rPr>
        <w:t>all’acquisto di motoveicoli elettici</w:t>
      </w:r>
      <w:r>
        <w:rPr>
          <w:rFonts w:cs="Arial"/>
        </w:rPr>
        <w:t>, oltre quello per</w:t>
      </w:r>
      <w:r w:rsidRPr="00035853">
        <w:rPr>
          <w:rFonts w:cs="Arial"/>
        </w:rPr>
        <w:t xml:space="preserve"> le automobili e di confermare questo</w:t>
      </w:r>
      <w:r>
        <w:rPr>
          <w:rFonts w:cs="Arial"/>
        </w:rPr>
        <w:t xml:space="preserve"> duplice</w:t>
      </w:r>
      <w:r w:rsidRPr="00035853">
        <w:rPr>
          <w:rFonts w:cs="Arial"/>
        </w:rPr>
        <w:t xml:space="preserve"> uso anche </w:t>
      </w:r>
      <w:r>
        <w:rPr>
          <w:rFonts w:cs="Arial"/>
        </w:rPr>
        <w:t xml:space="preserve">per </w:t>
      </w:r>
      <w:r w:rsidRPr="00035853">
        <w:rPr>
          <w:rFonts w:cs="Arial"/>
        </w:rPr>
        <w:t>eventuali futuri crediti quadro.</w:t>
      </w:r>
      <w:r>
        <w:rPr>
          <w:rFonts w:cs="Arial"/>
        </w:rPr>
        <w:t xml:space="preserve"> La mozione chiede inoltre di includere nel credito quadro anche l'incentivo alla realizzazione di </w:t>
      </w:r>
      <w:r w:rsidRPr="00035853">
        <w:rPr>
          <w:rFonts w:cs="Arial"/>
        </w:rPr>
        <w:t>stazioni per la ricarica di motoveicoli elettrici per privati e presso i datori di lavoro.</w:t>
      </w:r>
    </w:p>
    <w:p w:rsidR="003135BC" w:rsidRDefault="003135BC" w:rsidP="003135BC">
      <w:pPr>
        <w:rPr>
          <w:rFonts w:cs="Arial"/>
        </w:rPr>
      </w:pPr>
    </w:p>
    <w:p w:rsidR="003135BC" w:rsidRDefault="003135BC" w:rsidP="003135BC">
      <w:pPr>
        <w:rPr>
          <w:rFonts w:cs="Arial"/>
        </w:rPr>
      </w:pPr>
      <w:r>
        <w:rPr>
          <w:rFonts w:cs="Arial"/>
        </w:rPr>
        <w:t>Con la nuova proposta oggetto del presente messaggio si aderisce in toto alla richiesta dei mozionanti. Le stazioni di ricarica considerate nel DE del 19 giugno 2019, per le quali si ripropone un sostegno finanziario, non saranno più vincolate unicamente alla ricarica di automobili e potranno essere utilizzate anche per la ricarica di altri veicoli elettrici. Non si ritiene opportuno ampliare l'incentivo a stazioni di ricarica mobili allacciabili a qualsiasi presa domestica in quanto i costi di quest'ultime non ne giustificano un sostegno finanziario e non sono inoltre coerenti con la volontà di sviluppare in modo capillare e ordinato l'infrastruttura di ricarica nel costruito (cfr. quaderno tecnico SIA 2060:2020).</w:t>
      </w:r>
    </w:p>
    <w:p w:rsidR="003135BC" w:rsidRDefault="003135BC" w:rsidP="003135BC">
      <w:pPr>
        <w:rPr>
          <w:rFonts w:cs="Arial"/>
        </w:rPr>
      </w:pPr>
    </w:p>
    <w:p w:rsidR="003135BC" w:rsidRDefault="003135BC" w:rsidP="003135BC">
      <w:pPr>
        <w:rPr>
          <w:rFonts w:cs="Arial"/>
        </w:rPr>
      </w:pPr>
      <w:r>
        <w:rPr>
          <w:rFonts w:cs="Arial"/>
        </w:rPr>
        <w:t>Con il presente messaggio si può quindi considerare evasa la mozione.</w:t>
      </w:r>
    </w:p>
    <w:p w:rsidR="003135BC" w:rsidRDefault="003135BC" w:rsidP="003135BC">
      <w:pPr>
        <w:rPr>
          <w:rFonts w:cs="Arial"/>
        </w:rPr>
      </w:pPr>
    </w:p>
    <w:p w:rsidR="003135BC" w:rsidRDefault="003135BC" w:rsidP="003135BC">
      <w:pPr>
        <w:rPr>
          <w:rFonts w:cs="Arial"/>
        </w:rPr>
      </w:pPr>
    </w:p>
    <w:p w:rsidR="003135BC" w:rsidRDefault="003135BC" w:rsidP="003135BC">
      <w:pPr>
        <w:rPr>
          <w:rFonts w:cs="Arial"/>
        </w:rPr>
      </w:pPr>
    </w:p>
    <w:p w:rsidR="003135BC" w:rsidRPr="00892C3F" w:rsidRDefault="003135BC" w:rsidP="003135BC">
      <w:pPr>
        <w:pStyle w:val="StileTitolo1"/>
        <w:numPr>
          <w:ilvl w:val="0"/>
          <w:numId w:val="9"/>
        </w:numPr>
        <w:tabs>
          <w:tab w:val="clear" w:pos="851"/>
          <w:tab w:val="left" w:pos="567"/>
        </w:tabs>
        <w:ind w:left="567" w:hanging="567"/>
      </w:pPr>
      <w:bookmarkStart w:id="9" w:name="_Toc76370133"/>
      <w:r w:rsidRPr="00892C3F">
        <w:t>Conclusione</w:t>
      </w:r>
      <w:bookmarkEnd w:id="9"/>
    </w:p>
    <w:p w:rsidR="003135BC" w:rsidRDefault="003135BC" w:rsidP="003135BC">
      <w:pPr>
        <w:autoSpaceDE w:val="0"/>
        <w:autoSpaceDN w:val="0"/>
        <w:adjustRightInd w:val="0"/>
        <w:rPr>
          <w:rFonts w:cs="Arial"/>
          <w:lang w:val="it-CH" w:eastAsia="it-CH"/>
        </w:rPr>
      </w:pPr>
      <w:r w:rsidRPr="008F0577">
        <w:rPr>
          <w:rFonts w:cs="Arial"/>
          <w:lang w:val="it-CH" w:eastAsia="it-CH"/>
        </w:rPr>
        <w:t xml:space="preserve">Con la presente richiesta di credito s’intende dare continuità </w:t>
      </w:r>
      <w:r>
        <w:rPr>
          <w:rFonts w:cs="Arial"/>
          <w:lang w:val="it-CH" w:eastAsia="it-CH"/>
        </w:rPr>
        <w:t xml:space="preserve">e maggior spinta </w:t>
      </w:r>
      <w:r w:rsidRPr="008F0577">
        <w:rPr>
          <w:rFonts w:cs="Arial"/>
          <w:lang w:val="it-CH" w:eastAsia="it-CH"/>
        </w:rPr>
        <w:t xml:space="preserve">alla politica cantonale di promozione </w:t>
      </w:r>
      <w:r>
        <w:rPr>
          <w:rFonts w:cs="Arial"/>
          <w:lang w:val="it-CH" w:eastAsia="it-CH"/>
        </w:rPr>
        <w:t>di misure legate allo sviluppo di una mobilità sostenibile.</w:t>
      </w:r>
    </w:p>
    <w:p w:rsidR="003135BC" w:rsidRDefault="003135BC" w:rsidP="003135BC">
      <w:pPr>
        <w:autoSpaceDE w:val="0"/>
        <w:autoSpaceDN w:val="0"/>
        <w:adjustRightInd w:val="0"/>
        <w:rPr>
          <w:rFonts w:cs="Arial"/>
          <w:lang w:val="it-CH" w:eastAsia="it-CH"/>
        </w:rPr>
      </w:pPr>
    </w:p>
    <w:p w:rsidR="003135BC" w:rsidRPr="0039250F" w:rsidRDefault="003135BC" w:rsidP="003135BC">
      <w:pPr>
        <w:rPr>
          <w:lang w:val="it-CH"/>
        </w:rPr>
      </w:pPr>
      <w:r>
        <w:rPr>
          <w:rFonts w:cs="Arial"/>
          <w:lang w:val="it-CH" w:eastAsia="it-CH"/>
        </w:rPr>
        <w:t xml:space="preserve">Essa </w:t>
      </w:r>
      <w:r w:rsidRPr="00C43CA8">
        <w:rPr>
          <w:lang w:val="it-CH"/>
        </w:rPr>
        <w:t xml:space="preserve">rappresenta </w:t>
      </w:r>
      <w:r>
        <w:rPr>
          <w:lang w:val="it-CH" w:eastAsia="it-CH"/>
        </w:rPr>
        <w:t xml:space="preserve">un elemento determinate della politica energetica e ambientale cantonale delineata dal PEC e dal PRA ed è ritenuta fondamentale per conseguire gli obiettivi della politica energetica cantonale, dando un importante contributo all’efficienza </w:t>
      </w:r>
      <w:r w:rsidRPr="0039250F">
        <w:rPr>
          <w:lang w:val="it-CH" w:eastAsia="it-CH"/>
        </w:rPr>
        <w:t xml:space="preserve">energetica e alla riduzione delle emissioni dovute al </w:t>
      </w:r>
      <w:r>
        <w:rPr>
          <w:lang w:val="it-CH" w:eastAsia="it-CH"/>
        </w:rPr>
        <w:t>settore dei trasporti</w:t>
      </w:r>
      <w:r w:rsidRPr="0039250F">
        <w:rPr>
          <w:lang w:val="it-CH" w:eastAsia="it-CH"/>
        </w:rPr>
        <w:t xml:space="preserve"> e complementare ai provvedimenti a favore della mobilità aziendale e del trasporto pubblico di cui al messaggio M7953 del 20 gennaio 2021.</w:t>
      </w:r>
    </w:p>
    <w:p w:rsidR="003135BC" w:rsidRDefault="003135BC" w:rsidP="003135BC">
      <w:pPr>
        <w:autoSpaceDE w:val="0"/>
        <w:autoSpaceDN w:val="0"/>
        <w:adjustRightInd w:val="0"/>
        <w:rPr>
          <w:rFonts w:cs="Arial"/>
          <w:lang w:val="it-CH" w:eastAsia="it-CH"/>
        </w:rPr>
      </w:pPr>
    </w:p>
    <w:p w:rsidR="003135BC" w:rsidRPr="0039250F" w:rsidRDefault="003135BC" w:rsidP="003135BC">
      <w:pPr>
        <w:autoSpaceDE w:val="0"/>
        <w:autoSpaceDN w:val="0"/>
        <w:adjustRightInd w:val="0"/>
        <w:rPr>
          <w:rFonts w:cs="Arial"/>
          <w:lang w:val="it-CH" w:eastAsia="it-CH"/>
        </w:rPr>
      </w:pPr>
      <w:r w:rsidRPr="0098658F">
        <w:rPr>
          <w:rFonts w:cs="Arial"/>
          <w:lang w:val="it-CH" w:eastAsia="it-CH"/>
        </w:rPr>
        <w:t xml:space="preserve">Gli sforzi intrapresi dal nostro Cantone nell'ambito della mobilità sostenibile sono riconosciuti e vengono </w:t>
      </w:r>
      <w:r>
        <w:rPr>
          <w:rFonts w:cs="Arial"/>
          <w:lang w:val="it-CH" w:eastAsia="it-CH"/>
        </w:rPr>
        <w:t>indicati</w:t>
      </w:r>
      <w:r w:rsidRPr="0098658F">
        <w:rPr>
          <w:rFonts w:cs="Arial"/>
          <w:lang w:val="it-CH" w:eastAsia="it-CH"/>
        </w:rPr>
        <w:t xml:space="preserve"> quale esempio da seguire per gli altri cantoni svizzeri. Ne è conferma il conferimento del premio "</w:t>
      </w:r>
      <w:r w:rsidRPr="0039250F">
        <w:rPr>
          <w:rFonts w:cs="Arial"/>
          <w:lang w:val="it-CH" w:eastAsia="it-CH"/>
        </w:rPr>
        <w:t>Spina d’oro dell’Elettromobilità" in</w:t>
      </w:r>
      <w:r w:rsidRPr="0098658F">
        <w:rPr>
          <w:rFonts w:cs="Arial"/>
          <w:lang w:val="it-CH" w:eastAsia="it-CH"/>
        </w:rPr>
        <w:t xml:space="preserve"> occasione della "Swiss Mobility </w:t>
      </w:r>
      <w:r w:rsidRPr="0098658F">
        <w:rPr>
          <w:rFonts w:cs="Arial"/>
          <w:lang w:val="it-CH" w:eastAsia="it-CH"/>
        </w:rPr>
        <w:lastRenderedPageBreak/>
        <w:t>Arena" di Berna nel settembre 2019</w:t>
      </w:r>
      <w:r w:rsidRPr="0098658F">
        <w:rPr>
          <w:rStyle w:val="Rimandonotaapidipagina"/>
          <w:rFonts w:cs="Arial"/>
          <w:lang w:val="it-CH" w:eastAsia="it-CH"/>
        </w:rPr>
        <w:footnoteReference w:id="9"/>
      </w:r>
      <w:r w:rsidRPr="0039250F">
        <w:rPr>
          <w:rFonts w:cs="Arial"/>
          <w:lang w:val="it-CH" w:eastAsia="it-CH"/>
        </w:rPr>
        <w:t xml:space="preserve">, premio elargito dall'associazione </w:t>
      </w:r>
      <w:r w:rsidRPr="0098658F">
        <w:t>Swiss eMobility</w:t>
      </w:r>
      <w:r w:rsidRPr="0098658F">
        <w:rPr>
          <w:rFonts w:cs="Arial"/>
          <w:lang w:val="it-CH" w:eastAsia="it-CH"/>
        </w:rPr>
        <w:t xml:space="preserve"> quale riconoscimento a Cantoni, Città e Comuni svizzeri che s’impegnano</w:t>
      </w:r>
      <w:r>
        <w:rPr>
          <w:rFonts w:cs="Arial"/>
          <w:lang w:val="it-CH" w:eastAsia="it-CH"/>
        </w:rPr>
        <w:t xml:space="preserve"> particolarmente</w:t>
      </w:r>
      <w:r w:rsidRPr="0098658F">
        <w:rPr>
          <w:rFonts w:cs="Arial"/>
          <w:lang w:val="it-CH" w:eastAsia="it-CH"/>
        </w:rPr>
        <w:t xml:space="preserve"> nel favorire e mettere in atto le migliori condizioni possibili per la mobilità elettrica.</w:t>
      </w:r>
    </w:p>
    <w:p w:rsidR="003135BC" w:rsidRPr="0039250F" w:rsidRDefault="003135BC" w:rsidP="003135BC">
      <w:pPr>
        <w:autoSpaceDE w:val="0"/>
        <w:autoSpaceDN w:val="0"/>
        <w:adjustRightInd w:val="0"/>
        <w:rPr>
          <w:rFonts w:cs="Arial"/>
          <w:lang w:val="it-CH" w:eastAsia="it-CH"/>
        </w:rPr>
      </w:pPr>
    </w:p>
    <w:p w:rsidR="003135BC" w:rsidRPr="008F0577" w:rsidRDefault="003135BC" w:rsidP="003135BC">
      <w:pPr>
        <w:autoSpaceDE w:val="0"/>
        <w:autoSpaceDN w:val="0"/>
        <w:adjustRightInd w:val="0"/>
        <w:rPr>
          <w:rFonts w:cs="Arial"/>
          <w:lang w:val="it-CH" w:eastAsia="it-CH"/>
        </w:rPr>
      </w:pPr>
      <w:r w:rsidRPr="0039250F">
        <w:rPr>
          <w:rFonts w:cs="Arial"/>
          <w:lang w:val="it-CH" w:eastAsia="it-CH"/>
        </w:rPr>
        <w:t xml:space="preserve">Ribadiamo l’importanza di questi provvedimenti e conseguentemente, sulla scorta delle considerazioni espresse, invitiamo il Gran Consiglio ad approvare </w:t>
      </w:r>
      <w:r>
        <w:rPr>
          <w:rFonts w:cs="Arial"/>
          <w:lang w:val="it-CH" w:eastAsia="it-CH"/>
        </w:rPr>
        <w:t>l'annesso</w:t>
      </w:r>
      <w:r w:rsidRPr="0039250F">
        <w:rPr>
          <w:rFonts w:cs="Arial"/>
          <w:lang w:val="it-CH" w:eastAsia="it-CH"/>
        </w:rPr>
        <w:t xml:space="preserve"> disegn</w:t>
      </w:r>
      <w:r>
        <w:rPr>
          <w:rFonts w:cs="Arial"/>
          <w:lang w:val="it-CH" w:eastAsia="it-CH"/>
        </w:rPr>
        <w:t>o</w:t>
      </w:r>
      <w:r w:rsidRPr="0039250F">
        <w:rPr>
          <w:rFonts w:cs="Arial"/>
          <w:lang w:val="it-CH" w:eastAsia="it-CH"/>
        </w:rPr>
        <w:t xml:space="preserve"> di decreto legislativo.</w:t>
      </w:r>
    </w:p>
    <w:p w:rsidR="003135BC" w:rsidRPr="00EA2B15" w:rsidRDefault="003135BC" w:rsidP="003135BC">
      <w:pPr>
        <w:tabs>
          <w:tab w:val="left" w:pos="284"/>
          <w:tab w:val="left" w:pos="426"/>
          <w:tab w:val="left" w:pos="4962"/>
        </w:tabs>
        <w:rPr>
          <w:rFonts w:cs="Arial"/>
          <w:sz w:val="20"/>
          <w:lang w:val="it-CH"/>
        </w:rPr>
      </w:pPr>
    </w:p>
    <w:p w:rsidR="003135BC" w:rsidRPr="00EA2B15" w:rsidRDefault="003135BC" w:rsidP="003135BC">
      <w:pPr>
        <w:tabs>
          <w:tab w:val="left" w:pos="284"/>
          <w:tab w:val="left" w:pos="426"/>
          <w:tab w:val="left" w:pos="4962"/>
        </w:tabs>
        <w:rPr>
          <w:rFonts w:cs="Arial"/>
          <w:sz w:val="20"/>
          <w:lang w:val="it-CH"/>
        </w:rPr>
      </w:pPr>
    </w:p>
    <w:p w:rsidR="003135BC" w:rsidRPr="008F0577" w:rsidRDefault="003135BC" w:rsidP="003135BC">
      <w:pPr>
        <w:rPr>
          <w:rFonts w:cs="Arial"/>
          <w:lang w:val="it-CH"/>
        </w:rPr>
      </w:pPr>
      <w:r w:rsidRPr="008F0577">
        <w:rPr>
          <w:rFonts w:cs="Arial"/>
          <w:lang w:val="it-CH"/>
        </w:rPr>
        <w:t>Vogliate gradire, signor Presidente, signore e signori deputati, l'espressione della nostra massima stima.</w:t>
      </w:r>
    </w:p>
    <w:p w:rsidR="003135BC" w:rsidRPr="008F0577" w:rsidRDefault="003135BC" w:rsidP="003135BC">
      <w:pPr>
        <w:rPr>
          <w:rFonts w:cs="Arial"/>
          <w:highlight w:val="yellow"/>
          <w:lang w:val="it-CH"/>
        </w:rPr>
      </w:pPr>
    </w:p>
    <w:p w:rsidR="003135BC" w:rsidRPr="008F0577" w:rsidRDefault="003135BC" w:rsidP="003135BC">
      <w:pPr>
        <w:rPr>
          <w:rFonts w:cs="Arial"/>
          <w:lang w:val="it-CH"/>
        </w:rPr>
      </w:pPr>
    </w:p>
    <w:p w:rsidR="003135BC" w:rsidRPr="008F0577" w:rsidRDefault="003135BC" w:rsidP="003135BC">
      <w:pPr>
        <w:rPr>
          <w:rFonts w:cs="Arial"/>
          <w:lang w:val="it-CH"/>
        </w:rPr>
      </w:pPr>
    </w:p>
    <w:p w:rsidR="003135BC" w:rsidRPr="00640971" w:rsidRDefault="003135BC" w:rsidP="003135BC">
      <w:pPr>
        <w:spacing w:after="120"/>
      </w:pPr>
      <w:r w:rsidRPr="00640971">
        <w:t>Per il Consiglio di Stato:</w:t>
      </w:r>
    </w:p>
    <w:p w:rsidR="003135BC" w:rsidRPr="00640971" w:rsidRDefault="003135BC" w:rsidP="003135BC">
      <w:r w:rsidRPr="00640971">
        <w:t xml:space="preserve">Il Presidente, </w:t>
      </w:r>
      <w:r>
        <w:t>Manuele Bertoli</w:t>
      </w:r>
    </w:p>
    <w:p w:rsidR="003135BC" w:rsidRPr="003822A7" w:rsidRDefault="003135BC" w:rsidP="003135BC">
      <w:r w:rsidRPr="00640971">
        <w:t>Il Cancelliere, Arnoldo Coduri</w:t>
      </w:r>
    </w:p>
    <w:p w:rsidR="003135BC" w:rsidRPr="004561D0" w:rsidRDefault="003135BC" w:rsidP="003135BC">
      <w:pPr>
        <w:rPr>
          <w:rFonts w:cs="Arial"/>
        </w:rPr>
      </w:pPr>
    </w:p>
    <w:p w:rsidR="003135BC" w:rsidRDefault="003135BC" w:rsidP="003135BC">
      <w:pPr>
        <w:rPr>
          <w:rFonts w:cs="Arial"/>
          <w:lang w:val="it-CH"/>
        </w:rPr>
      </w:pPr>
    </w:p>
    <w:p w:rsidR="003135BC" w:rsidRDefault="003135BC" w:rsidP="003135BC">
      <w:pPr>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E06AF4" w:rsidRDefault="00E06AF4" w:rsidP="003135BC">
      <w:pPr>
        <w:tabs>
          <w:tab w:val="left" w:pos="1134"/>
        </w:tabs>
        <w:ind w:left="1134" w:hanging="1134"/>
        <w:rPr>
          <w:rFonts w:cs="Arial"/>
          <w:lang w:val="it-CH"/>
        </w:rPr>
      </w:pPr>
    </w:p>
    <w:p w:rsidR="00E06AF4" w:rsidRDefault="00E06AF4" w:rsidP="003135BC">
      <w:pPr>
        <w:tabs>
          <w:tab w:val="left" w:pos="1134"/>
        </w:tabs>
        <w:ind w:left="1134" w:hanging="1134"/>
        <w:rPr>
          <w:rFonts w:cs="Arial"/>
          <w:lang w:val="it-CH"/>
        </w:rPr>
      </w:pPr>
    </w:p>
    <w:p w:rsidR="00E06AF4" w:rsidRDefault="00E06AF4"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3135BC" w:rsidRDefault="003135BC" w:rsidP="003135BC">
      <w:pPr>
        <w:tabs>
          <w:tab w:val="left" w:pos="1134"/>
        </w:tabs>
        <w:ind w:left="1134" w:hanging="1134"/>
        <w:rPr>
          <w:rFonts w:cs="Arial"/>
          <w:lang w:val="it-CH"/>
        </w:rPr>
      </w:pPr>
    </w:p>
    <w:p w:rsidR="008D5C13" w:rsidRPr="008D5C13" w:rsidRDefault="003135BC" w:rsidP="008D5C13">
      <w:pPr>
        <w:tabs>
          <w:tab w:val="left" w:pos="1134"/>
        </w:tabs>
        <w:spacing w:after="60"/>
        <w:ind w:left="1134" w:hanging="1134"/>
        <w:rPr>
          <w:rFonts w:cs="Arial"/>
          <w:u w:val="single"/>
          <w:lang w:val="it-CH"/>
        </w:rPr>
      </w:pPr>
      <w:r w:rsidRPr="008D5C13">
        <w:rPr>
          <w:rFonts w:cs="Arial"/>
          <w:u w:val="single"/>
          <w:lang w:val="it-CH"/>
        </w:rPr>
        <w:t>Allegato:</w:t>
      </w:r>
    </w:p>
    <w:p w:rsidR="003135BC" w:rsidRDefault="008D5C13" w:rsidP="008D5C13">
      <w:pPr>
        <w:tabs>
          <w:tab w:val="left" w:pos="284"/>
        </w:tabs>
        <w:ind w:left="284" w:hanging="284"/>
        <w:rPr>
          <w:rFonts w:cs="Arial"/>
          <w:lang w:val="it-CH"/>
        </w:rPr>
      </w:pPr>
      <w:r>
        <w:rPr>
          <w:rFonts w:cs="Arial"/>
          <w:lang w:val="it-CH"/>
        </w:rPr>
        <w:t>-</w:t>
      </w:r>
      <w:r>
        <w:rPr>
          <w:rFonts w:cs="Arial"/>
          <w:lang w:val="it-CH"/>
        </w:rPr>
        <w:tab/>
      </w:r>
      <w:r w:rsidR="003135BC" w:rsidRPr="0060543A">
        <w:rPr>
          <w:rFonts w:cs="Arial"/>
          <w:lang w:val="it-CH"/>
        </w:rPr>
        <w:t>Incentivi per l’acquisto di automobili totalmente elettriche e per l’installazione di stazioni</w:t>
      </w:r>
      <w:r w:rsidR="003135BC">
        <w:rPr>
          <w:rFonts w:cs="Arial"/>
          <w:lang w:val="it-CH"/>
        </w:rPr>
        <w:t xml:space="preserve"> </w:t>
      </w:r>
      <w:r w:rsidR="003135BC" w:rsidRPr="0060543A">
        <w:rPr>
          <w:rFonts w:cs="Arial"/>
          <w:lang w:val="it-CH"/>
        </w:rPr>
        <w:t>di ricarica elettrica a domicilio e presso datori di lavoro</w:t>
      </w:r>
      <w:r w:rsidR="003135BC">
        <w:rPr>
          <w:rFonts w:cs="Arial"/>
          <w:lang w:val="it-CH"/>
        </w:rPr>
        <w:t>, Rapporto 2020</w:t>
      </w:r>
    </w:p>
    <w:p w:rsidR="003135BC" w:rsidRDefault="003135BC" w:rsidP="003135BC">
      <w:pPr>
        <w:jc w:val="left"/>
        <w:rPr>
          <w:rFonts w:cs="Arial"/>
          <w:lang w:val="it-CH"/>
        </w:rPr>
      </w:pPr>
      <w:r>
        <w:rPr>
          <w:rFonts w:cs="Arial"/>
          <w:lang w:val="it-CH"/>
        </w:rPr>
        <w:br w:type="page"/>
      </w:r>
    </w:p>
    <w:p w:rsidR="003135BC" w:rsidRDefault="003135BC" w:rsidP="003135BC">
      <w:r w:rsidRPr="00892C3F">
        <w:lastRenderedPageBreak/>
        <w:t>Disegno di</w:t>
      </w:r>
    </w:p>
    <w:p w:rsidR="003135BC" w:rsidRDefault="003135BC" w:rsidP="003135BC"/>
    <w:p w:rsidR="003135BC" w:rsidRPr="004437C5" w:rsidRDefault="00F878C1" w:rsidP="003135BC">
      <w:r>
        <w:rPr>
          <w:b/>
        </w:rPr>
        <w:t>DECRETO LEGISLATIVO</w:t>
      </w:r>
    </w:p>
    <w:p w:rsidR="003135BC" w:rsidRPr="00DD05A8" w:rsidRDefault="003135BC" w:rsidP="003135BC">
      <w:pPr>
        <w:rPr>
          <w:rFonts w:cs="Arial"/>
          <w:szCs w:val="24"/>
          <w:lang w:val="it-CH"/>
        </w:rPr>
      </w:pPr>
      <w:r w:rsidRPr="00D4072F">
        <w:rPr>
          <w:b/>
          <w:bCs/>
          <w:lang w:val="it-CH"/>
        </w:rPr>
        <w:t xml:space="preserve">concernente lo </w:t>
      </w:r>
      <w:r>
        <w:rPr>
          <w:b/>
          <w:bCs/>
          <w:lang w:val="it-CH"/>
        </w:rPr>
        <w:t>s</w:t>
      </w:r>
      <w:r w:rsidRPr="008F35D8">
        <w:rPr>
          <w:b/>
          <w:bCs/>
          <w:lang w:val="it-CH"/>
        </w:rPr>
        <w:t>tanziamento di un credito di 1</w:t>
      </w:r>
      <w:r>
        <w:rPr>
          <w:b/>
          <w:bCs/>
          <w:lang w:val="it-CH"/>
        </w:rPr>
        <w:t>1</w:t>
      </w:r>
      <w:r w:rsidRPr="008F35D8">
        <w:rPr>
          <w:b/>
          <w:bCs/>
          <w:lang w:val="it-CH"/>
        </w:rPr>
        <w:t>'000'000</w:t>
      </w:r>
      <w:r>
        <w:rPr>
          <w:b/>
          <w:bCs/>
          <w:lang w:val="it-CH"/>
        </w:rPr>
        <w:t xml:space="preserve"> di franchi </w:t>
      </w:r>
      <w:r w:rsidRPr="008F35D8">
        <w:rPr>
          <w:b/>
          <w:bCs/>
          <w:lang w:val="it-CH"/>
        </w:rPr>
        <w:t xml:space="preserve">destinato </w:t>
      </w:r>
      <w:r>
        <w:rPr>
          <w:b/>
          <w:bCs/>
          <w:lang w:val="it-CH"/>
        </w:rPr>
        <w:t xml:space="preserve">a incentivi </w:t>
      </w:r>
      <w:r w:rsidRPr="008F35D8">
        <w:rPr>
          <w:b/>
          <w:bCs/>
          <w:lang w:val="it-CH"/>
        </w:rPr>
        <w:t xml:space="preserve">all'acquisto di veicoli totalmente elettrici, allo sviluppo dell'infrastruttura di ricarica elettrica domestica e presso i datori di lavoro e </w:t>
      </w:r>
      <w:r w:rsidRPr="00DD05A8">
        <w:rPr>
          <w:rFonts w:cs="Arial"/>
          <w:b/>
          <w:szCs w:val="24"/>
          <w:lang w:val="it-CH"/>
        </w:rPr>
        <w:t xml:space="preserve">all'acquisto di veicoli di ultima generazione vincolato alla messa fuori servizio di veicoli </w:t>
      </w:r>
      <w:r>
        <w:rPr>
          <w:rFonts w:cs="Arial"/>
          <w:b/>
          <w:szCs w:val="24"/>
          <w:lang w:val="it-CH"/>
        </w:rPr>
        <w:t xml:space="preserve">ad alte emissioni di CO2 e </w:t>
      </w:r>
      <w:r w:rsidRPr="00DD05A8">
        <w:rPr>
          <w:rFonts w:cs="Arial"/>
          <w:b/>
          <w:szCs w:val="24"/>
          <w:lang w:val="it-CH"/>
        </w:rPr>
        <w:t>inquinanti</w:t>
      </w:r>
    </w:p>
    <w:p w:rsidR="003135BC" w:rsidRDefault="003135BC" w:rsidP="003135BC">
      <w:pPr>
        <w:rPr>
          <w:rFonts w:cs="Arial"/>
          <w:lang w:val="it-CH"/>
        </w:rPr>
      </w:pPr>
    </w:p>
    <w:p w:rsidR="003135BC" w:rsidRPr="008F0577" w:rsidRDefault="003135BC" w:rsidP="003135BC">
      <w:pPr>
        <w:rPr>
          <w:rFonts w:cs="Arial"/>
          <w:lang w:val="it-CH"/>
        </w:rPr>
      </w:pPr>
    </w:p>
    <w:p w:rsidR="003135BC" w:rsidRPr="00CC3E6C" w:rsidRDefault="003135BC" w:rsidP="003135BC">
      <w:pPr>
        <w:rPr>
          <w:rFonts w:cs="Arial"/>
          <w:caps/>
          <w:lang w:val="it-CH"/>
        </w:rPr>
      </w:pPr>
      <w:r w:rsidRPr="00CC3E6C">
        <w:rPr>
          <w:rFonts w:cs="Arial"/>
          <w:caps/>
          <w:lang w:val="it-CH"/>
        </w:rPr>
        <w:t>Il Gran Consiglio</w:t>
      </w:r>
    </w:p>
    <w:p w:rsidR="003135BC" w:rsidRPr="00CC3E6C" w:rsidRDefault="003135BC" w:rsidP="003135BC">
      <w:pPr>
        <w:rPr>
          <w:rFonts w:cs="Arial"/>
          <w:caps/>
          <w:lang w:val="it-CH"/>
        </w:rPr>
      </w:pPr>
      <w:r w:rsidRPr="00CC3E6C">
        <w:rPr>
          <w:rFonts w:cs="Arial"/>
          <w:caps/>
          <w:lang w:val="it-CH"/>
        </w:rPr>
        <w:t>della Repubblica e Cantone Ticino</w:t>
      </w:r>
    </w:p>
    <w:p w:rsidR="003135BC" w:rsidRPr="008F0577" w:rsidRDefault="003135BC" w:rsidP="003135BC">
      <w:pPr>
        <w:rPr>
          <w:rFonts w:cs="Arial"/>
          <w:highlight w:val="yellow"/>
          <w:lang w:val="it-CH"/>
        </w:rPr>
      </w:pPr>
    </w:p>
    <w:p w:rsidR="00F878C1" w:rsidRPr="00EB09B2" w:rsidRDefault="00F878C1" w:rsidP="00F878C1">
      <w:pPr>
        <w:contextualSpacing/>
        <w:rPr>
          <w:rFonts w:cs="Arial"/>
          <w:szCs w:val="24"/>
        </w:rPr>
      </w:pPr>
      <w:r w:rsidRPr="00EB09B2">
        <w:rPr>
          <w:rFonts w:cs="Arial"/>
          <w:szCs w:val="24"/>
        </w:rPr>
        <w:t xml:space="preserve">visto il messaggio </w:t>
      </w:r>
      <w:r>
        <w:rPr>
          <w:rFonts w:cs="Arial"/>
          <w:szCs w:val="24"/>
        </w:rPr>
        <w:t>7 luglio 2021 n. 80</w:t>
      </w:r>
      <w:r w:rsidR="007F148E">
        <w:rPr>
          <w:rFonts w:cs="Arial"/>
          <w:szCs w:val="24"/>
        </w:rPr>
        <w:t>2</w:t>
      </w:r>
      <w:r>
        <w:rPr>
          <w:rFonts w:cs="Arial"/>
          <w:szCs w:val="24"/>
        </w:rPr>
        <w:t xml:space="preserve">9 </w:t>
      </w:r>
      <w:r w:rsidRPr="00EB09B2">
        <w:rPr>
          <w:rFonts w:cs="Arial"/>
          <w:szCs w:val="24"/>
        </w:rPr>
        <w:t>del Consiglio di Stato,</w:t>
      </w:r>
    </w:p>
    <w:p w:rsidR="00F878C1" w:rsidRDefault="00F878C1" w:rsidP="00F878C1">
      <w:pPr>
        <w:contextualSpacing/>
        <w:rPr>
          <w:rFonts w:cs="Arial"/>
          <w:szCs w:val="24"/>
        </w:rPr>
      </w:pPr>
    </w:p>
    <w:p w:rsidR="00F878C1" w:rsidRPr="00EB09B2" w:rsidRDefault="00F878C1" w:rsidP="00F878C1">
      <w:pPr>
        <w:contextualSpacing/>
        <w:rPr>
          <w:rFonts w:cs="Arial"/>
          <w:szCs w:val="24"/>
        </w:rPr>
      </w:pPr>
    </w:p>
    <w:p w:rsidR="00F878C1" w:rsidRPr="00FB5D9E" w:rsidRDefault="00F878C1" w:rsidP="00F878C1">
      <w:pPr>
        <w:contextualSpacing/>
        <w:rPr>
          <w:rFonts w:cs="Arial"/>
          <w:b/>
          <w:szCs w:val="24"/>
        </w:rPr>
      </w:pPr>
      <w:r w:rsidRPr="00FB5D9E">
        <w:rPr>
          <w:rFonts w:cs="Arial"/>
          <w:b/>
          <w:szCs w:val="24"/>
        </w:rPr>
        <w:t>d e c r e t a :</w:t>
      </w:r>
    </w:p>
    <w:p w:rsidR="00F878C1" w:rsidRDefault="00F878C1" w:rsidP="00F878C1">
      <w:pPr>
        <w:contextualSpacing/>
        <w:rPr>
          <w:rFonts w:cs="Arial"/>
          <w:szCs w:val="24"/>
        </w:rPr>
      </w:pPr>
    </w:p>
    <w:p w:rsidR="00F878C1" w:rsidRPr="00EB09B2" w:rsidRDefault="00F878C1" w:rsidP="00F878C1">
      <w:pPr>
        <w:contextualSpacing/>
        <w:rPr>
          <w:rFonts w:cs="Arial"/>
          <w:szCs w:val="24"/>
        </w:rPr>
      </w:pPr>
    </w:p>
    <w:p w:rsidR="00F878C1" w:rsidRPr="00FF5489" w:rsidRDefault="00F878C1" w:rsidP="00F878C1">
      <w:pPr>
        <w:rPr>
          <w:rFonts w:cs="Arial"/>
          <w:b/>
          <w:szCs w:val="24"/>
          <w:u w:val="single"/>
        </w:rPr>
      </w:pPr>
      <w:r w:rsidRPr="00FF5489">
        <w:rPr>
          <w:rFonts w:cs="Arial"/>
          <w:b/>
          <w:szCs w:val="24"/>
          <w:u w:val="single"/>
        </w:rPr>
        <w:t>Articolo 1</w:t>
      </w:r>
    </w:p>
    <w:p w:rsidR="00F878C1" w:rsidRDefault="00F878C1" w:rsidP="003135BC"/>
    <w:p w:rsidR="003135BC" w:rsidRPr="00A4791C" w:rsidRDefault="003135BC" w:rsidP="003135BC">
      <w:r w:rsidRPr="00A4791C">
        <w:t>È stanziato un credito quadro di</w:t>
      </w:r>
      <w:r w:rsidRPr="00C43CA8">
        <w:t xml:space="preserve"> </w:t>
      </w:r>
      <w:r>
        <w:t>11</w:t>
      </w:r>
      <w:r w:rsidRPr="00C43CA8">
        <w:t>'000</w:t>
      </w:r>
      <w:r>
        <w:t>'</w:t>
      </w:r>
      <w:r w:rsidRPr="00C43CA8">
        <w:t>000</w:t>
      </w:r>
      <w:r>
        <w:t xml:space="preserve"> di franchi per</w:t>
      </w:r>
      <w:r w:rsidRPr="00C43CA8">
        <w:t xml:space="preserve"> incentivare l’acquisto di </w:t>
      </w:r>
      <w:r>
        <w:t xml:space="preserve">automobili totalmente elettriche, di </w:t>
      </w:r>
      <w:r w:rsidRPr="00C27BA6">
        <w:t xml:space="preserve">motoveicoli, quadricicli e tricicli </w:t>
      </w:r>
      <w:r>
        <w:t xml:space="preserve">totalmente </w:t>
      </w:r>
      <w:r w:rsidRPr="00C27BA6">
        <w:t xml:space="preserve">elettrici </w:t>
      </w:r>
      <w:r w:rsidRPr="003D6ED0">
        <w:rPr>
          <w:rFonts w:cs="Arial"/>
          <w:lang w:val="it-CH"/>
        </w:rPr>
        <w:t>aventi una velocità massima</w:t>
      </w:r>
      <w:r>
        <w:rPr>
          <w:rFonts w:cs="Arial"/>
          <w:lang w:val="it-CH"/>
        </w:rPr>
        <w:t>,</w:t>
      </w:r>
      <w:r w:rsidRPr="003D6ED0">
        <w:rPr>
          <w:rFonts w:cs="Arial"/>
          <w:lang w:val="it-CH"/>
        </w:rPr>
        <w:t xml:space="preserve"> per la loro costruzione</w:t>
      </w:r>
      <w:r>
        <w:rPr>
          <w:rFonts w:cs="Arial"/>
          <w:lang w:val="it-CH"/>
        </w:rPr>
        <w:t>,</w:t>
      </w:r>
      <w:r w:rsidRPr="003D6ED0">
        <w:rPr>
          <w:rFonts w:cs="Arial"/>
          <w:lang w:val="it-CH"/>
        </w:rPr>
        <w:t xml:space="preserve"> superiore a 45 km/h</w:t>
      </w:r>
      <w:r w:rsidRPr="00C27BA6">
        <w:t xml:space="preserve">, lo sviluppo dell’infrastruttura di ricarica elettrica domestica e sul posto di lavoro e </w:t>
      </w:r>
      <w:r w:rsidRPr="00322D00">
        <w:rPr>
          <w:rFonts w:cs="Arial"/>
          <w:szCs w:val="24"/>
          <w:lang w:val="it-CH"/>
        </w:rPr>
        <w:t>l'acquisto di veicoli di ultima generazione vincolato alla messa fuori servizio di veicoli ad alte emissioni di CO2 e di inquinanti</w:t>
      </w:r>
      <w:r w:rsidRPr="00A4791C">
        <w:t>.</w:t>
      </w:r>
    </w:p>
    <w:p w:rsidR="003135BC" w:rsidRDefault="003135BC" w:rsidP="003135BC"/>
    <w:p w:rsidR="00E06AF4" w:rsidRPr="00A4791C" w:rsidRDefault="00E06AF4" w:rsidP="003135BC"/>
    <w:p w:rsidR="003135BC" w:rsidRPr="00E06AF4" w:rsidRDefault="003135BC" w:rsidP="003135BC">
      <w:pPr>
        <w:tabs>
          <w:tab w:val="left" w:pos="426"/>
          <w:tab w:val="right" w:pos="7230"/>
        </w:tabs>
        <w:rPr>
          <w:b/>
          <w:bCs/>
          <w:szCs w:val="24"/>
          <w:u w:val="single"/>
        </w:rPr>
      </w:pPr>
      <w:r w:rsidRPr="00E06AF4">
        <w:rPr>
          <w:b/>
          <w:bCs/>
          <w:szCs w:val="24"/>
          <w:u w:val="single"/>
        </w:rPr>
        <w:t>Art</w:t>
      </w:r>
      <w:r w:rsidR="00E06AF4" w:rsidRPr="00E06AF4">
        <w:rPr>
          <w:b/>
          <w:bCs/>
          <w:szCs w:val="24"/>
          <w:u w:val="single"/>
        </w:rPr>
        <w:t xml:space="preserve">icolo </w:t>
      </w:r>
      <w:r w:rsidRPr="00E06AF4">
        <w:rPr>
          <w:b/>
          <w:bCs/>
          <w:szCs w:val="24"/>
          <w:u w:val="single"/>
        </w:rPr>
        <w:t>2</w:t>
      </w:r>
    </w:p>
    <w:p w:rsidR="00E06AF4" w:rsidRDefault="00E06AF4" w:rsidP="003135BC"/>
    <w:p w:rsidR="003135BC" w:rsidRPr="00A4791C" w:rsidRDefault="003135BC" w:rsidP="003135BC">
      <w:r>
        <w:t>Il</w:t>
      </w:r>
      <w:r w:rsidRPr="00A4791C">
        <w:t xml:space="preserve"> Consiglio di Stato </w:t>
      </w:r>
      <w:r>
        <w:t>è autorizzato a ripartire</w:t>
      </w:r>
      <w:r w:rsidRPr="00A4791C">
        <w:t xml:space="preserve"> il credito quadro in </w:t>
      </w:r>
      <w:r>
        <w:t xml:space="preserve">singoli </w:t>
      </w:r>
      <w:r w:rsidRPr="00A4791C">
        <w:t xml:space="preserve">crediti d’impegno </w:t>
      </w:r>
      <w:r>
        <w:t>per gli incentivi di cui all'art. 1.</w:t>
      </w:r>
    </w:p>
    <w:p w:rsidR="003135BC" w:rsidRDefault="003135BC" w:rsidP="003135BC"/>
    <w:p w:rsidR="00E06AF4" w:rsidRPr="00A4791C" w:rsidRDefault="00E06AF4" w:rsidP="003135BC"/>
    <w:p w:rsidR="003135BC" w:rsidRPr="00E06AF4" w:rsidRDefault="003135BC" w:rsidP="003135BC">
      <w:pPr>
        <w:tabs>
          <w:tab w:val="left" w:pos="426"/>
          <w:tab w:val="right" w:pos="7230"/>
        </w:tabs>
        <w:rPr>
          <w:b/>
          <w:bCs/>
          <w:szCs w:val="24"/>
          <w:u w:val="single"/>
        </w:rPr>
      </w:pPr>
      <w:r w:rsidRPr="00E06AF4">
        <w:rPr>
          <w:b/>
          <w:bCs/>
          <w:szCs w:val="24"/>
          <w:u w:val="single"/>
        </w:rPr>
        <w:t>Art</w:t>
      </w:r>
      <w:r w:rsidR="00E06AF4" w:rsidRPr="00E06AF4">
        <w:rPr>
          <w:b/>
          <w:bCs/>
          <w:szCs w:val="24"/>
          <w:u w:val="single"/>
        </w:rPr>
        <w:t xml:space="preserve">icolo </w:t>
      </w:r>
      <w:r w:rsidRPr="00E06AF4">
        <w:rPr>
          <w:b/>
          <w:bCs/>
          <w:szCs w:val="24"/>
          <w:u w:val="single"/>
        </w:rPr>
        <w:t>3</w:t>
      </w:r>
    </w:p>
    <w:p w:rsidR="00E06AF4" w:rsidRDefault="00E06AF4" w:rsidP="003135BC"/>
    <w:p w:rsidR="003135BC" w:rsidRPr="00A4791C" w:rsidRDefault="003135BC" w:rsidP="003135BC">
      <w:r w:rsidRPr="00A4791C">
        <w:t xml:space="preserve">Il Consiglio di Stato fissa, mediante decreto esecutivo, i criteri per </w:t>
      </w:r>
      <w:r>
        <w:t>l</w:t>
      </w:r>
      <w:r w:rsidRPr="00A4791C">
        <w:t xml:space="preserve">a gestione del credito quadro e le relative modalità di </w:t>
      </w:r>
      <w:r>
        <w:t>concessione degli incentivi</w:t>
      </w:r>
      <w:r w:rsidRPr="00A4791C">
        <w:t>.</w:t>
      </w:r>
    </w:p>
    <w:p w:rsidR="003135BC" w:rsidRDefault="003135BC" w:rsidP="003135BC">
      <w:pPr>
        <w:rPr>
          <w:rFonts w:cs="Arial"/>
          <w:sz w:val="23"/>
          <w:szCs w:val="23"/>
        </w:rPr>
      </w:pPr>
    </w:p>
    <w:p w:rsidR="00E06AF4" w:rsidRPr="00A4791C" w:rsidRDefault="00E06AF4" w:rsidP="003135BC">
      <w:pPr>
        <w:rPr>
          <w:rFonts w:cs="Arial"/>
          <w:sz w:val="23"/>
          <w:szCs w:val="23"/>
        </w:rPr>
      </w:pPr>
    </w:p>
    <w:p w:rsidR="003135BC" w:rsidRPr="00E06AF4" w:rsidRDefault="003135BC" w:rsidP="003135BC">
      <w:pPr>
        <w:tabs>
          <w:tab w:val="left" w:pos="426"/>
          <w:tab w:val="right" w:pos="7230"/>
        </w:tabs>
        <w:rPr>
          <w:b/>
          <w:bCs/>
          <w:szCs w:val="24"/>
          <w:u w:val="single"/>
        </w:rPr>
      </w:pPr>
      <w:r w:rsidRPr="00E06AF4">
        <w:rPr>
          <w:b/>
          <w:bCs/>
          <w:szCs w:val="24"/>
          <w:u w:val="single"/>
        </w:rPr>
        <w:t>Art</w:t>
      </w:r>
      <w:r w:rsidR="00E06AF4" w:rsidRPr="00E06AF4">
        <w:rPr>
          <w:b/>
          <w:bCs/>
          <w:szCs w:val="24"/>
          <w:u w:val="single"/>
        </w:rPr>
        <w:t xml:space="preserve">icolo </w:t>
      </w:r>
      <w:r w:rsidRPr="00E06AF4">
        <w:rPr>
          <w:b/>
          <w:bCs/>
          <w:szCs w:val="24"/>
          <w:u w:val="single"/>
        </w:rPr>
        <w:t>4</w:t>
      </w:r>
    </w:p>
    <w:p w:rsidR="00E06AF4" w:rsidRDefault="00E06AF4" w:rsidP="003135BC"/>
    <w:p w:rsidR="003135BC" w:rsidRDefault="003135BC" w:rsidP="003135BC">
      <w:r w:rsidRPr="00A4791C">
        <w:t xml:space="preserve">Il credito </w:t>
      </w:r>
      <w:r>
        <w:t xml:space="preserve">di cui all’art. 1 </w:t>
      </w:r>
      <w:r w:rsidRPr="00A4791C">
        <w:t>è iscritto al conto investimenti del Dipartimento del territorio, Sezione protezione aria, acqua e suolo.</w:t>
      </w:r>
    </w:p>
    <w:p w:rsidR="003135BC" w:rsidRDefault="003135BC" w:rsidP="003135BC"/>
    <w:p w:rsidR="00E06AF4" w:rsidRPr="00DB777A" w:rsidRDefault="00E06AF4" w:rsidP="003135BC"/>
    <w:p w:rsidR="003135BC" w:rsidRPr="00E06AF4" w:rsidRDefault="003135BC" w:rsidP="003135BC">
      <w:pPr>
        <w:tabs>
          <w:tab w:val="left" w:pos="426"/>
          <w:tab w:val="right" w:pos="7230"/>
        </w:tabs>
        <w:rPr>
          <w:b/>
          <w:bCs/>
          <w:szCs w:val="24"/>
          <w:u w:val="single"/>
        </w:rPr>
      </w:pPr>
      <w:r w:rsidRPr="00E06AF4">
        <w:rPr>
          <w:b/>
          <w:bCs/>
          <w:szCs w:val="24"/>
          <w:u w:val="single"/>
        </w:rPr>
        <w:t>Art</w:t>
      </w:r>
      <w:r w:rsidR="00E06AF4" w:rsidRPr="00E06AF4">
        <w:rPr>
          <w:b/>
          <w:bCs/>
          <w:szCs w:val="24"/>
          <w:u w:val="single"/>
        </w:rPr>
        <w:t xml:space="preserve">icolo </w:t>
      </w:r>
      <w:r w:rsidRPr="00E06AF4">
        <w:rPr>
          <w:b/>
          <w:bCs/>
          <w:szCs w:val="24"/>
          <w:u w:val="single"/>
        </w:rPr>
        <w:t>5</w:t>
      </w:r>
    </w:p>
    <w:p w:rsidR="00E06AF4" w:rsidRDefault="00E06AF4" w:rsidP="003135BC">
      <w:pPr>
        <w:rPr>
          <w:lang w:val="it-CH"/>
        </w:rPr>
      </w:pPr>
    </w:p>
    <w:p w:rsidR="003135BC" w:rsidRDefault="003135BC" w:rsidP="003135BC">
      <w:pPr>
        <w:rPr>
          <w:lang w:val="it-CH"/>
        </w:rPr>
      </w:pPr>
      <w:r w:rsidRPr="00ED18CE">
        <w:rPr>
          <w:lang w:val="it-CH"/>
        </w:rPr>
        <w:t>Il Consiglio di Stato present</w:t>
      </w:r>
      <w:r>
        <w:rPr>
          <w:lang w:val="it-CH"/>
        </w:rPr>
        <w:t>a</w:t>
      </w:r>
      <w:r w:rsidRPr="00ED18CE">
        <w:rPr>
          <w:lang w:val="it-CH"/>
        </w:rPr>
        <w:t xml:space="preserve"> annualmente un rapporto comprendente il rendiconto delle</w:t>
      </w:r>
      <w:r>
        <w:rPr>
          <w:lang w:val="it-CH"/>
        </w:rPr>
        <w:t xml:space="preserve"> </w:t>
      </w:r>
      <w:r w:rsidRPr="00ED18CE">
        <w:rPr>
          <w:lang w:val="it-CH"/>
        </w:rPr>
        <w:t>misure di promozione intraprese</w:t>
      </w:r>
      <w:r w:rsidRPr="008A4D78">
        <w:rPr>
          <w:lang w:val="it-CH"/>
        </w:rPr>
        <w:t xml:space="preserve"> </w:t>
      </w:r>
      <w:r>
        <w:rPr>
          <w:lang w:val="it-CH"/>
        </w:rPr>
        <w:t>e</w:t>
      </w:r>
      <w:r w:rsidRPr="008A4D78">
        <w:rPr>
          <w:lang w:val="it-CH"/>
        </w:rPr>
        <w:t xml:space="preserve"> sui risultati conseguiti.</w:t>
      </w:r>
    </w:p>
    <w:p w:rsidR="008D5C13" w:rsidRPr="008A4D78" w:rsidRDefault="008D5C13" w:rsidP="003135BC">
      <w:pPr>
        <w:rPr>
          <w:lang w:val="it-CH"/>
        </w:rPr>
      </w:pPr>
    </w:p>
    <w:p w:rsidR="003135BC" w:rsidRDefault="003135BC" w:rsidP="003135BC">
      <w:pPr>
        <w:tabs>
          <w:tab w:val="left" w:pos="426"/>
          <w:tab w:val="right" w:pos="7230"/>
        </w:tabs>
        <w:rPr>
          <w:b/>
          <w:bCs/>
          <w:szCs w:val="24"/>
          <w:u w:val="single"/>
        </w:rPr>
      </w:pPr>
      <w:r w:rsidRPr="00E06AF4">
        <w:rPr>
          <w:b/>
          <w:bCs/>
          <w:szCs w:val="24"/>
          <w:u w:val="single"/>
        </w:rPr>
        <w:lastRenderedPageBreak/>
        <w:t>Art</w:t>
      </w:r>
      <w:r w:rsidR="00E06AF4" w:rsidRPr="00E06AF4">
        <w:rPr>
          <w:b/>
          <w:bCs/>
          <w:szCs w:val="24"/>
          <w:u w:val="single"/>
        </w:rPr>
        <w:t>icolo</w:t>
      </w:r>
      <w:r w:rsidRPr="00E06AF4">
        <w:rPr>
          <w:b/>
          <w:bCs/>
          <w:szCs w:val="24"/>
          <w:u w:val="single"/>
        </w:rPr>
        <w:t xml:space="preserve"> 6</w:t>
      </w:r>
    </w:p>
    <w:p w:rsidR="00E06AF4" w:rsidRPr="007F148E" w:rsidRDefault="00E06AF4" w:rsidP="003135BC">
      <w:pPr>
        <w:tabs>
          <w:tab w:val="left" w:pos="426"/>
          <w:tab w:val="right" w:pos="7230"/>
        </w:tabs>
        <w:rPr>
          <w:bCs/>
          <w:szCs w:val="24"/>
          <w:u w:val="single"/>
        </w:rPr>
      </w:pPr>
    </w:p>
    <w:p w:rsidR="003135BC" w:rsidRDefault="003135BC" w:rsidP="003135BC">
      <w:pPr>
        <w:rPr>
          <w:rFonts w:cs="Arial"/>
          <w:lang w:val="it-CH"/>
        </w:rPr>
      </w:pPr>
      <w:r w:rsidRPr="002E1B20">
        <w:rPr>
          <w:vertAlign w:val="superscript"/>
        </w:rPr>
        <w:t>1</w:t>
      </w:r>
      <w:r w:rsidRPr="00F75A93">
        <w:t>Trascorsi i termini per l’esercizio del diritto di referendum</w:t>
      </w:r>
      <w:r>
        <w:rPr>
          <w:rFonts w:cs="Arial"/>
          <w:lang w:val="it-CH"/>
        </w:rPr>
        <w:t>, i</w:t>
      </w:r>
      <w:r w:rsidRPr="008F0577">
        <w:rPr>
          <w:rFonts w:cs="Arial"/>
          <w:lang w:val="it-CH"/>
        </w:rPr>
        <w:t xml:space="preserve">l presente decreto </w:t>
      </w:r>
      <w:r>
        <w:rPr>
          <w:rFonts w:cs="Arial"/>
          <w:lang w:val="it-CH"/>
        </w:rPr>
        <w:t xml:space="preserve">legislativo </w:t>
      </w:r>
      <w:r w:rsidRPr="008F0577">
        <w:rPr>
          <w:rFonts w:cs="Arial"/>
          <w:lang w:val="it-CH"/>
        </w:rPr>
        <w:t xml:space="preserve">è pubblicato nel Bollettino ufficiale delle leggi. </w:t>
      </w:r>
    </w:p>
    <w:p w:rsidR="003135BC" w:rsidRPr="008F0577" w:rsidRDefault="003135BC" w:rsidP="003135BC">
      <w:pPr>
        <w:rPr>
          <w:rFonts w:cs="Arial"/>
          <w:lang w:val="it-CH"/>
        </w:rPr>
      </w:pPr>
    </w:p>
    <w:p w:rsidR="003135BC" w:rsidRDefault="003135BC" w:rsidP="003135BC">
      <w:pPr>
        <w:rPr>
          <w:rFonts w:cs="Arial"/>
          <w:lang w:val="it-CH"/>
        </w:rPr>
      </w:pPr>
      <w:r w:rsidRPr="002E1B20">
        <w:rPr>
          <w:rFonts w:cs="Arial"/>
          <w:vertAlign w:val="superscript"/>
          <w:lang w:val="it-CH"/>
        </w:rPr>
        <w:t>2</w:t>
      </w:r>
      <w:r w:rsidRPr="008F0577">
        <w:rPr>
          <w:rFonts w:cs="Arial"/>
          <w:lang w:val="it-CH"/>
        </w:rPr>
        <w:t>Il Consiglio di Sta</w:t>
      </w:r>
      <w:r>
        <w:rPr>
          <w:rFonts w:cs="Arial"/>
          <w:lang w:val="it-CH"/>
        </w:rPr>
        <w:t>to ne stabilisce la data di entrata in vigore.</w:t>
      </w:r>
    </w:p>
    <w:p w:rsidR="00771758" w:rsidRDefault="00771758" w:rsidP="003135BC">
      <w:pPr>
        <w:tabs>
          <w:tab w:val="left" w:pos="426"/>
        </w:tabs>
        <w:contextualSpacing/>
        <w:rPr>
          <w:rFonts w:cs="Arial"/>
          <w:szCs w:val="24"/>
          <w:lang w:val="it-CH"/>
        </w:rPr>
      </w:pPr>
    </w:p>
    <w:sectPr w:rsidR="00771758" w:rsidSect="00DF434B">
      <w:footerReference w:type="default" r:id="rId11"/>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BC" w:rsidRDefault="000972BC">
      <w:r>
        <w:separator/>
      </w:r>
    </w:p>
  </w:endnote>
  <w:endnote w:type="continuationSeparator" w:id="0">
    <w:p w:rsidR="000972BC" w:rsidRDefault="000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Frutiger LT Std 45 Light">
    <w:altName w:val="Century Gothic"/>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SGGXF+Arial-Bold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BC" w:rsidRDefault="000972BC">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A708B">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BC" w:rsidRDefault="000972BC">
      <w:r>
        <w:separator/>
      </w:r>
    </w:p>
  </w:footnote>
  <w:footnote w:type="continuationSeparator" w:id="0">
    <w:p w:rsidR="000972BC" w:rsidRDefault="000972BC">
      <w:r>
        <w:continuationSeparator/>
      </w:r>
    </w:p>
  </w:footnote>
  <w:footnote w:id="1">
    <w:p w:rsidR="000972BC" w:rsidRPr="000C7966" w:rsidRDefault="000972BC" w:rsidP="003135BC">
      <w:pPr>
        <w:pStyle w:val="Testonotaapidipagina"/>
        <w:rPr>
          <w:lang w:val="it-CH"/>
        </w:rPr>
      </w:pPr>
      <w:r>
        <w:rPr>
          <w:rStyle w:val="Rimandonotaapidipagina"/>
        </w:rPr>
        <w:footnoteRef/>
      </w:r>
      <w:r w:rsidRPr="00710940">
        <w:rPr>
          <w:lang w:val="it-CH"/>
        </w:rPr>
        <w:t xml:space="preserve"> </w:t>
      </w:r>
      <w:hyperlink r:id="rId1" w:history="1">
        <w:r w:rsidRPr="00710940">
          <w:rPr>
            <w:rStyle w:val="Collegamentoipertestuale"/>
            <w:lang w:val="it-CH"/>
          </w:rPr>
          <w:t>www.ti.ch/pec</w:t>
        </w:r>
      </w:hyperlink>
      <w:r>
        <w:rPr>
          <w:lang w:val="it-CH"/>
        </w:rPr>
        <w:t xml:space="preserve"> </w:t>
      </w:r>
    </w:p>
  </w:footnote>
  <w:footnote w:id="2">
    <w:p w:rsidR="000972BC" w:rsidRPr="000C7966" w:rsidRDefault="000972BC" w:rsidP="003135BC">
      <w:pPr>
        <w:pStyle w:val="Testonotaapidipagina"/>
        <w:rPr>
          <w:lang w:val="it-CH"/>
        </w:rPr>
      </w:pPr>
      <w:r>
        <w:rPr>
          <w:rStyle w:val="Rimandonotaapidipagina"/>
        </w:rPr>
        <w:footnoteRef/>
      </w:r>
      <w:r w:rsidRPr="00710940">
        <w:rPr>
          <w:lang w:val="it-CH"/>
        </w:rPr>
        <w:t xml:space="preserve"> </w:t>
      </w:r>
      <w:hyperlink r:id="rId2" w:history="1">
        <w:r w:rsidRPr="00710940">
          <w:rPr>
            <w:rStyle w:val="Collegamentoipertestuale"/>
            <w:lang w:val="it-CH"/>
          </w:rPr>
          <w:t>https://www4.ti.ch/can/linee-direttive/ld/linee-direttive/</w:t>
        </w:r>
      </w:hyperlink>
      <w:r>
        <w:rPr>
          <w:lang w:val="it-CH"/>
        </w:rPr>
        <w:t xml:space="preserve"> </w:t>
      </w:r>
    </w:p>
  </w:footnote>
  <w:footnote w:id="3">
    <w:p w:rsidR="000972BC" w:rsidRPr="00936032" w:rsidRDefault="000972BC" w:rsidP="003135BC">
      <w:pPr>
        <w:pStyle w:val="Testonotaapidipagina"/>
      </w:pPr>
      <w:r>
        <w:rPr>
          <w:rStyle w:val="Rimandonotaapidipagina"/>
        </w:rPr>
        <w:footnoteRef/>
      </w:r>
      <w:r>
        <w:t xml:space="preserve"> Cfr. dati statistici reperibili al sito </w:t>
      </w:r>
      <w:hyperlink r:id="rId3" w:history="1">
        <w:r w:rsidRPr="0080436E">
          <w:rPr>
            <w:rStyle w:val="Collegamentoipertestuale"/>
          </w:rPr>
          <w:t>www.ti.ch/incentivi</w:t>
        </w:r>
      </w:hyperlink>
      <w:r>
        <w:t xml:space="preserve"> </w:t>
      </w:r>
    </w:p>
  </w:footnote>
  <w:footnote w:id="4">
    <w:p w:rsidR="000972BC" w:rsidRPr="006072C8" w:rsidRDefault="000972BC" w:rsidP="003135BC">
      <w:pPr>
        <w:spacing w:line="240" w:lineRule="atLeast"/>
        <w:rPr>
          <w:rFonts w:cs="Arial"/>
          <w:sz w:val="20"/>
        </w:rPr>
      </w:pPr>
      <w:r w:rsidRPr="006072C8">
        <w:rPr>
          <w:rStyle w:val="Rimandonotaapidipagina"/>
          <w:sz w:val="20"/>
        </w:rPr>
        <w:footnoteRef/>
      </w:r>
      <w:r w:rsidRPr="006072C8">
        <w:rPr>
          <w:lang w:val="it-CH"/>
        </w:rPr>
        <w:t xml:space="preserve"> </w:t>
      </w:r>
      <w:r w:rsidRPr="006072C8">
        <w:rPr>
          <w:rFonts w:cs="Arial"/>
          <w:sz w:val="20"/>
        </w:rPr>
        <w:t>Nota: i dati sulle automobili a propulsione ibrida includono sia benzina che diesel nonché le ibride plug-in</w:t>
      </w:r>
    </w:p>
  </w:footnote>
  <w:footnote w:id="5">
    <w:p w:rsidR="000972BC" w:rsidRPr="001533B1" w:rsidRDefault="000972BC" w:rsidP="003135BC">
      <w:pPr>
        <w:pStyle w:val="Testonotaapidipagina"/>
        <w:rPr>
          <w:lang w:val="fr-CH"/>
        </w:rPr>
      </w:pPr>
      <w:r>
        <w:rPr>
          <w:rStyle w:val="Rimandonotaapidipagina"/>
        </w:rPr>
        <w:footnoteRef/>
      </w:r>
      <w:r w:rsidRPr="001533B1">
        <w:rPr>
          <w:lang w:val="fr-CH"/>
        </w:rPr>
        <w:t xml:space="preserve"> Fonte:</w:t>
      </w:r>
      <w:r>
        <w:rPr>
          <w:lang w:val="fr-CH"/>
        </w:rPr>
        <w:t xml:space="preserve"> </w:t>
      </w:r>
      <w:hyperlink r:id="rId4" w:history="1">
        <w:r w:rsidRPr="002F5D49">
          <w:rPr>
            <w:rStyle w:val="Collegamentoipertestuale"/>
            <w:lang w:val="fr-CH"/>
          </w:rPr>
          <w:t>https://www.bfe.admin.ch/bfe/it/home/approvvigionamento/statistiche-e-geodati/indici-veicoli/indici-relativi-ai-veicoli-nuovi-con-propulsione-alternativa.html</w:t>
        </w:r>
      </w:hyperlink>
      <w:r>
        <w:rPr>
          <w:lang w:val="fr-CH"/>
        </w:rPr>
        <w:t xml:space="preserve"> </w:t>
      </w:r>
    </w:p>
  </w:footnote>
  <w:footnote w:id="6">
    <w:p w:rsidR="000972BC" w:rsidRPr="00FE6D36" w:rsidRDefault="000972BC" w:rsidP="003135BC">
      <w:pPr>
        <w:pStyle w:val="Testonotaapidipagina"/>
      </w:pPr>
      <w:r>
        <w:rPr>
          <w:rStyle w:val="Rimandonotaapidipagina"/>
        </w:rPr>
        <w:footnoteRef/>
      </w:r>
      <w:r>
        <w:t xml:space="preserve"> </w:t>
      </w:r>
      <w:r w:rsidRPr="00FE6D36">
        <w:t>Fonte: sonROAD18, Modello di calcolo per il rumore stradale, Empa-Nr. 5214.010948, 2018-07-09</w:t>
      </w:r>
    </w:p>
  </w:footnote>
  <w:footnote w:id="7">
    <w:p w:rsidR="000972BC" w:rsidRPr="001F1295" w:rsidRDefault="000972BC" w:rsidP="003135BC">
      <w:pPr>
        <w:pStyle w:val="Testonotaapidipagina"/>
        <w:rPr>
          <w:lang w:val="it-CH"/>
        </w:rPr>
      </w:pPr>
      <w:r>
        <w:rPr>
          <w:rStyle w:val="Rimandonotaapidipagina"/>
        </w:rPr>
        <w:footnoteRef/>
      </w:r>
      <w:r w:rsidRPr="001F1295">
        <w:rPr>
          <w:lang w:val="it-CH"/>
        </w:rPr>
        <w:t xml:space="preserve"> Fonte: "Luftschadstoffemissionen des Strassenverkehrs der Schweiz 1990-2050, Sshlussbericht 24.11.2017"</w:t>
      </w:r>
    </w:p>
  </w:footnote>
  <w:footnote w:id="8">
    <w:p w:rsidR="000972BC" w:rsidRPr="00710940" w:rsidRDefault="000972BC" w:rsidP="003135BC">
      <w:pPr>
        <w:pStyle w:val="Testonotaapidipagina"/>
        <w:rPr>
          <w:lang w:val="it-CH"/>
        </w:rPr>
      </w:pPr>
      <w:r w:rsidRPr="00710940">
        <w:rPr>
          <w:rStyle w:val="Rimandonotaapidipagina"/>
          <w:lang w:val="it-CH"/>
        </w:rPr>
        <w:footnoteRef/>
      </w:r>
      <w:r w:rsidRPr="00710940">
        <w:rPr>
          <w:lang w:val="it-CH"/>
        </w:rPr>
        <w:t xml:space="preserve"> Fonte: "Emissioni di gas di scarico dei veicoli a motore e delle macchine: evoluzione della legislazione svizzera", UFAM, marzo 2019</w:t>
      </w:r>
    </w:p>
  </w:footnote>
  <w:footnote w:id="9">
    <w:p w:rsidR="000972BC" w:rsidRPr="005A337A" w:rsidRDefault="000972BC" w:rsidP="003135BC">
      <w:pPr>
        <w:pStyle w:val="Testonotaapidipagina"/>
        <w:rPr>
          <w:lang w:val="it-CH"/>
        </w:rPr>
      </w:pPr>
      <w:r>
        <w:rPr>
          <w:rStyle w:val="Rimandonotaapidipagina"/>
        </w:rPr>
        <w:footnoteRef/>
      </w:r>
      <w:hyperlink r:id="rId5" w:history="1">
        <w:r w:rsidRPr="005A337A">
          <w:rPr>
            <w:rStyle w:val="Collegamentoipertestuale"/>
            <w:lang w:val="it-CH"/>
          </w:rPr>
          <w:t>https://www4.ti.ch/area-media/comunicati/dettaglio-comunicato/?NEWS_ID=186063&amp;cHash=942aea4283766fbe02a60011410861f0</w:t>
        </w:r>
      </w:hyperlink>
      <w:r w:rsidRPr="005A337A">
        <w:rPr>
          <w:lang w:val="it-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F04D8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492ACA"/>
    <w:multiLevelType w:val="hybridMultilevel"/>
    <w:tmpl w:val="68EA6042"/>
    <w:lvl w:ilvl="0" w:tplc="08100011">
      <w:start w:val="1"/>
      <w:numFmt w:val="decimal"/>
      <w:lvlText w:val="%1)"/>
      <w:lvlJc w:val="left"/>
      <w:pPr>
        <w:ind w:left="720" w:hanging="360"/>
      </w:pPr>
      <w:rPr>
        <w:rFont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F172A99"/>
    <w:multiLevelType w:val="hybridMultilevel"/>
    <w:tmpl w:val="E1C60218"/>
    <w:name w:val="WW8Num632"/>
    <w:lvl w:ilvl="0" w:tplc="71AC32EA">
      <w:start w:val="1"/>
      <w:numFmt w:val="decimal"/>
      <w:lvlText w:val="%1."/>
      <w:lvlJc w:val="left"/>
      <w:pPr>
        <w:tabs>
          <w:tab w:val="num" w:pos="1440"/>
        </w:tabs>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 w15:restartNumberingAfterBreak="0">
    <w:nsid w:val="130857F3"/>
    <w:multiLevelType w:val="multilevel"/>
    <w:tmpl w:val="F8D6D5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48D7C21"/>
    <w:multiLevelType w:val="hybridMultilevel"/>
    <w:tmpl w:val="DE1428AC"/>
    <w:lvl w:ilvl="0" w:tplc="04100001">
      <w:start w:val="1"/>
      <w:numFmt w:val="bullet"/>
      <w:lvlText w:val=""/>
      <w:lvlJc w:val="left"/>
      <w:pPr>
        <w:tabs>
          <w:tab w:val="num" w:pos="720"/>
        </w:tabs>
        <w:ind w:left="720" w:hanging="360"/>
      </w:pPr>
      <w:rPr>
        <w:rFonts w:ascii="Symbol" w:hAnsi="Symbol" w:hint="default"/>
      </w:rPr>
    </w:lvl>
    <w:lvl w:ilvl="1" w:tplc="A57CFAFC">
      <w:start w:val="1"/>
      <w:numFmt w:val="lowerLetter"/>
      <w:lvlText w:val="%2)"/>
      <w:lvlJc w:val="left"/>
      <w:pPr>
        <w:tabs>
          <w:tab w:val="num" w:pos="1785"/>
        </w:tabs>
        <w:ind w:left="1785" w:hanging="705"/>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B47336"/>
    <w:multiLevelType w:val="multilevel"/>
    <w:tmpl w:val="C07E554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7" w15:restartNumberingAfterBreak="0">
    <w:nsid w:val="2F5766A8"/>
    <w:multiLevelType w:val="hybridMultilevel"/>
    <w:tmpl w:val="146490B4"/>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92B6689"/>
    <w:multiLevelType w:val="hybridMultilevel"/>
    <w:tmpl w:val="880EF994"/>
    <w:lvl w:ilvl="0" w:tplc="423A231C">
      <w:numFmt w:val="bullet"/>
      <w:pStyle w:val="Elenco1"/>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47A434F"/>
    <w:multiLevelType w:val="multilevel"/>
    <w:tmpl w:val="5A10B23A"/>
    <w:styleLink w:val="Stile1"/>
    <w:lvl w:ilvl="0">
      <w:start w:val="3"/>
      <w:numFmt w:val="decimal"/>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b/>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8732789"/>
    <w:multiLevelType w:val="hybridMultilevel"/>
    <w:tmpl w:val="D8E2D9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0235D48"/>
    <w:multiLevelType w:val="multilevel"/>
    <w:tmpl w:val="CE842DF0"/>
    <w:styleLink w:val="Trattino"/>
    <w:lvl w:ilvl="0">
      <w:start w:val="1"/>
      <w:numFmt w:val="bullet"/>
      <w:lvlText w:val="-"/>
      <w:lvlJc w:val="left"/>
      <w:rPr>
        <w:position w:val="4"/>
      </w:rPr>
    </w:lvl>
    <w:lvl w:ilv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15:restartNumberingAfterBreak="0">
    <w:nsid w:val="61D57013"/>
    <w:multiLevelType w:val="hybridMultilevel"/>
    <w:tmpl w:val="8C9A6C64"/>
    <w:lvl w:ilvl="0" w:tplc="08100011">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CA05A2C"/>
    <w:multiLevelType w:val="hybridMultilevel"/>
    <w:tmpl w:val="929A86BC"/>
    <w:lvl w:ilvl="0" w:tplc="FFFFFFFF">
      <w:start w:val="1"/>
      <w:numFmt w:val="bullet"/>
      <w:pStyle w:val="Elenco1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868CC"/>
    <w:multiLevelType w:val="multilevel"/>
    <w:tmpl w:val="386869D0"/>
    <w:styleLink w:val="List0"/>
    <w:lvl w:ilvl="0">
      <w:start w:val="1"/>
      <w:numFmt w:val="lowerLetter"/>
      <w:lvlText w:val="%1)"/>
      <w:lvlJc w:val="left"/>
      <w:pPr>
        <w:tabs>
          <w:tab w:val="num" w:pos="393"/>
        </w:tabs>
        <w:ind w:left="1113" w:hanging="1113"/>
      </w:pPr>
      <w:rPr>
        <w:rFonts w:ascii="Arial" w:eastAsia="Arial" w:hAnsi="Arial" w:cs="Arial"/>
        <w:position w:val="0"/>
        <w:sz w:val="24"/>
        <w:szCs w:val="24"/>
        <w:rtl w:val="0"/>
      </w:rPr>
    </w:lvl>
    <w:lvl w:ilvl="1">
      <w:start w:val="1"/>
      <w:numFmt w:val="lowerLetter"/>
      <w:lvlText w:val="%2)"/>
      <w:lvlJc w:val="left"/>
      <w:pPr>
        <w:tabs>
          <w:tab w:val="num" w:pos="753"/>
        </w:tabs>
        <w:ind w:left="1473" w:hanging="1113"/>
      </w:pPr>
      <w:rPr>
        <w:rFonts w:ascii="Arial" w:eastAsia="Arial" w:hAnsi="Arial" w:cs="Arial"/>
        <w:position w:val="0"/>
        <w:sz w:val="24"/>
        <w:szCs w:val="24"/>
        <w:rtl w:val="0"/>
      </w:rPr>
    </w:lvl>
    <w:lvl w:ilvl="2">
      <w:start w:val="1"/>
      <w:numFmt w:val="lowerLetter"/>
      <w:lvlText w:val="%3)"/>
      <w:lvlJc w:val="left"/>
      <w:pPr>
        <w:tabs>
          <w:tab w:val="num" w:pos="1113"/>
        </w:tabs>
        <w:ind w:left="1833" w:hanging="1113"/>
      </w:pPr>
      <w:rPr>
        <w:rFonts w:ascii="Arial" w:eastAsia="Arial" w:hAnsi="Arial" w:cs="Arial"/>
        <w:position w:val="0"/>
        <w:sz w:val="24"/>
        <w:szCs w:val="24"/>
        <w:rtl w:val="0"/>
      </w:rPr>
    </w:lvl>
    <w:lvl w:ilvl="3">
      <w:start w:val="1"/>
      <w:numFmt w:val="lowerLetter"/>
      <w:lvlText w:val="%4)"/>
      <w:lvlJc w:val="left"/>
      <w:pPr>
        <w:tabs>
          <w:tab w:val="num" w:pos="1473"/>
        </w:tabs>
        <w:ind w:left="2193" w:hanging="1113"/>
      </w:pPr>
      <w:rPr>
        <w:rFonts w:ascii="Arial" w:eastAsia="Arial" w:hAnsi="Arial" w:cs="Arial"/>
        <w:position w:val="0"/>
        <w:sz w:val="24"/>
        <w:szCs w:val="24"/>
        <w:rtl w:val="0"/>
      </w:rPr>
    </w:lvl>
    <w:lvl w:ilvl="4">
      <w:start w:val="1"/>
      <w:numFmt w:val="lowerLetter"/>
      <w:lvlText w:val="%5)"/>
      <w:lvlJc w:val="left"/>
      <w:pPr>
        <w:tabs>
          <w:tab w:val="num" w:pos="1833"/>
        </w:tabs>
        <w:ind w:left="2553" w:hanging="1113"/>
      </w:pPr>
      <w:rPr>
        <w:rFonts w:ascii="Arial" w:eastAsia="Arial" w:hAnsi="Arial" w:cs="Arial"/>
        <w:position w:val="0"/>
        <w:sz w:val="24"/>
        <w:szCs w:val="24"/>
        <w:rtl w:val="0"/>
      </w:rPr>
    </w:lvl>
    <w:lvl w:ilvl="5">
      <w:start w:val="1"/>
      <w:numFmt w:val="lowerLetter"/>
      <w:lvlText w:val="%6)"/>
      <w:lvlJc w:val="left"/>
      <w:pPr>
        <w:tabs>
          <w:tab w:val="num" w:pos="2193"/>
        </w:tabs>
        <w:ind w:left="2913" w:hanging="1113"/>
      </w:pPr>
      <w:rPr>
        <w:rFonts w:ascii="Arial" w:eastAsia="Arial" w:hAnsi="Arial" w:cs="Arial"/>
        <w:position w:val="0"/>
        <w:sz w:val="24"/>
        <w:szCs w:val="24"/>
        <w:rtl w:val="0"/>
      </w:rPr>
    </w:lvl>
    <w:lvl w:ilvl="6">
      <w:start w:val="1"/>
      <w:numFmt w:val="lowerLetter"/>
      <w:lvlText w:val="%7)"/>
      <w:lvlJc w:val="left"/>
      <w:pPr>
        <w:tabs>
          <w:tab w:val="num" w:pos="2553"/>
        </w:tabs>
        <w:ind w:left="3273" w:hanging="1113"/>
      </w:pPr>
      <w:rPr>
        <w:rFonts w:ascii="Arial" w:eastAsia="Arial" w:hAnsi="Arial" w:cs="Arial"/>
        <w:position w:val="0"/>
        <w:sz w:val="24"/>
        <w:szCs w:val="24"/>
        <w:rtl w:val="0"/>
      </w:rPr>
    </w:lvl>
    <w:lvl w:ilvl="7">
      <w:start w:val="1"/>
      <w:numFmt w:val="lowerLetter"/>
      <w:lvlText w:val="%8)"/>
      <w:lvlJc w:val="left"/>
      <w:pPr>
        <w:tabs>
          <w:tab w:val="num" w:pos="2913"/>
        </w:tabs>
        <w:ind w:left="3633" w:hanging="1113"/>
      </w:pPr>
      <w:rPr>
        <w:rFonts w:ascii="Arial" w:eastAsia="Arial" w:hAnsi="Arial" w:cs="Arial"/>
        <w:position w:val="0"/>
        <w:sz w:val="24"/>
        <w:szCs w:val="24"/>
        <w:rtl w:val="0"/>
      </w:rPr>
    </w:lvl>
    <w:lvl w:ilvl="8">
      <w:start w:val="1"/>
      <w:numFmt w:val="lowerLetter"/>
      <w:lvlText w:val="%9)"/>
      <w:lvlJc w:val="left"/>
      <w:pPr>
        <w:tabs>
          <w:tab w:val="num" w:pos="3273"/>
        </w:tabs>
        <w:ind w:left="3993" w:hanging="1113"/>
      </w:pPr>
      <w:rPr>
        <w:rFonts w:ascii="Arial" w:eastAsia="Arial" w:hAnsi="Arial" w:cs="Arial"/>
        <w:position w:val="0"/>
        <w:sz w:val="24"/>
        <w:szCs w:val="24"/>
        <w:rtl w:val="0"/>
      </w:rPr>
    </w:lvl>
  </w:abstractNum>
  <w:abstractNum w:abstractNumId="15" w15:restartNumberingAfterBreak="0">
    <w:nsid w:val="7EA95E15"/>
    <w:multiLevelType w:val="hybridMultilevel"/>
    <w:tmpl w:val="FAECCEFA"/>
    <w:lvl w:ilvl="0" w:tplc="924AC8A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 w:ilvl="0">
        <w:start w:val="1"/>
        <w:numFmt w:val="decimal"/>
        <w:pStyle w:val="ListNumeric"/>
        <w:lvlText w:val="%1."/>
        <w:lvlJc w:val="left"/>
        <w:pPr>
          <w:ind w:left="284" w:hanging="284"/>
        </w:pPr>
        <w:rPr>
          <w:rFonts w:ascii="Arial" w:hAnsi="Arial" w:cs="Arial" w:hint="default"/>
          <w:b/>
        </w:rPr>
      </w:lvl>
    </w:lvlOverride>
  </w:num>
  <w:num w:numId="3">
    <w:abstractNumId w:val="6"/>
  </w:num>
  <w:num w:numId="4">
    <w:abstractNumId w:val="9"/>
  </w:num>
  <w:num w:numId="5">
    <w:abstractNumId w:val="0"/>
  </w:num>
  <w:num w:numId="6">
    <w:abstractNumId w:val="13"/>
  </w:num>
  <w:num w:numId="7">
    <w:abstractNumId w:val="11"/>
  </w:num>
  <w:num w:numId="8">
    <w:abstractNumId w:val="14"/>
  </w:num>
  <w:num w:numId="9">
    <w:abstractNumId w:val="3"/>
  </w:num>
  <w:num w:numId="10">
    <w:abstractNumId w:val="5"/>
  </w:num>
  <w:num w:numId="11">
    <w:abstractNumId w:val="7"/>
  </w:num>
  <w:num w:numId="12">
    <w:abstractNumId w:val="15"/>
  </w:num>
  <w:num w:numId="13">
    <w:abstractNumId w:val="8"/>
  </w:num>
  <w:num w:numId="14">
    <w:abstractNumId w:val="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B4"/>
    <w:rsid w:val="00056425"/>
    <w:rsid w:val="00062C16"/>
    <w:rsid w:val="00073FD4"/>
    <w:rsid w:val="00082EB0"/>
    <w:rsid w:val="0009445D"/>
    <w:rsid w:val="000972BC"/>
    <w:rsid w:val="000B161E"/>
    <w:rsid w:val="000D6EDD"/>
    <w:rsid w:val="00107C86"/>
    <w:rsid w:val="00114781"/>
    <w:rsid w:val="00152187"/>
    <w:rsid w:val="0017107D"/>
    <w:rsid w:val="0017133E"/>
    <w:rsid w:val="00180F3B"/>
    <w:rsid w:val="00245105"/>
    <w:rsid w:val="00283216"/>
    <w:rsid w:val="00296F84"/>
    <w:rsid w:val="002B3873"/>
    <w:rsid w:val="002B698B"/>
    <w:rsid w:val="002C0D3F"/>
    <w:rsid w:val="002F4A1C"/>
    <w:rsid w:val="0030432D"/>
    <w:rsid w:val="003135BC"/>
    <w:rsid w:val="0032692E"/>
    <w:rsid w:val="003362B4"/>
    <w:rsid w:val="00341CED"/>
    <w:rsid w:val="003453D1"/>
    <w:rsid w:val="00346B6F"/>
    <w:rsid w:val="00346C2D"/>
    <w:rsid w:val="0036544B"/>
    <w:rsid w:val="00381A93"/>
    <w:rsid w:val="0039601B"/>
    <w:rsid w:val="003A53C6"/>
    <w:rsid w:val="003B4DEE"/>
    <w:rsid w:val="003C16EA"/>
    <w:rsid w:val="003F3768"/>
    <w:rsid w:val="003F3D7E"/>
    <w:rsid w:val="004107AE"/>
    <w:rsid w:val="00432073"/>
    <w:rsid w:val="00435BA3"/>
    <w:rsid w:val="00437C73"/>
    <w:rsid w:val="00452A7E"/>
    <w:rsid w:val="00483B1C"/>
    <w:rsid w:val="004B6B6F"/>
    <w:rsid w:val="004C5003"/>
    <w:rsid w:val="004E176C"/>
    <w:rsid w:val="00522EC0"/>
    <w:rsid w:val="0053660F"/>
    <w:rsid w:val="00564B38"/>
    <w:rsid w:val="005720BE"/>
    <w:rsid w:val="00577B4B"/>
    <w:rsid w:val="005824C4"/>
    <w:rsid w:val="0059602E"/>
    <w:rsid w:val="005B03BF"/>
    <w:rsid w:val="005F0022"/>
    <w:rsid w:val="0062210D"/>
    <w:rsid w:val="006470C0"/>
    <w:rsid w:val="00674450"/>
    <w:rsid w:val="006B149D"/>
    <w:rsid w:val="006E1E7D"/>
    <w:rsid w:val="00723E71"/>
    <w:rsid w:val="0073572C"/>
    <w:rsid w:val="00747C39"/>
    <w:rsid w:val="00771758"/>
    <w:rsid w:val="007957FF"/>
    <w:rsid w:val="0079646F"/>
    <w:rsid w:val="007A6261"/>
    <w:rsid w:val="007A708B"/>
    <w:rsid w:val="007D2517"/>
    <w:rsid w:val="007F148E"/>
    <w:rsid w:val="0082115E"/>
    <w:rsid w:val="0089464E"/>
    <w:rsid w:val="008B2EE9"/>
    <w:rsid w:val="008B4BE0"/>
    <w:rsid w:val="008D5C13"/>
    <w:rsid w:val="008F31DF"/>
    <w:rsid w:val="00900737"/>
    <w:rsid w:val="009129CD"/>
    <w:rsid w:val="00942AAE"/>
    <w:rsid w:val="0096184C"/>
    <w:rsid w:val="00963F36"/>
    <w:rsid w:val="009832AD"/>
    <w:rsid w:val="00983B5B"/>
    <w:rsid w:val="00995265"/>
    <w:rsid w:val="009F0022"/>
    <w:rsid w:val="009F7F96"/>
    <w:rsid w:val="00A05799"/>
    <w:rsid w:val="00A05B99"/>
    <w:rsid w:val="00A133CF"/>
    <w:rsid w:val="00A26CAB"/>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62147"/>
    <w:rsid w:val="00B91DD9"/>
    <w:rsid w:val="00B93BA2"/>
    <w:rsid w:val="00BA3A62"/>
    <w:rsid w:val="00BB3B75"/>
    <w:rsid w:val="00BF1D88"/>
    <w:rsid w:val="00BF3FC3"/>
    <w:rsid w:val="00C106C2"/>
    <w:rsid w:val="00C35AC3"/>
    <w:rsid w:val="00C37B12"/>
    <w:rsid w:val="00C92A1A"/>
    <w:rsid w:val="00C946E4"/>
    <w:rsid w:val="00CB46B2"/>
    <w:rsid w:val="00CE008E"/>
    <w:rsid w:val="00D54A9E"/>
    <w:rsid w:val="00D70C2C"/>
    <w:rsid w:val="00D76075"/>
    <w:rsid w:val="00DF434B"/>
    <w:rsid w:val="00E06AF4"/>
    <w:rsid w:val="00E15EE0"/>
    <w:rsid w:val="00E2192F"/>
    <w:rsid w:val="00E762E7"/>
    <w:rsid w:val="00EA22D9"/>
    <w:rsid w:val="00EB4983"/>
    <w:rsid w:val="00EE43B4"/>
    <w:rsid w:val="00F22EEA"/>
    <w:rsid w:val="00F878C1"/>
    <w:rsid w:val="00FB5D9E"/>
    <w:rsid w:val="00FC4B09"/>
    <w:rsid w:val="00FD114C"/>
    <w:rsid w:val="00FD5A47"/>
    <w:rsid w:val="00FF32DE"/>
    <w:rsid w:val="00FF548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F29E2-317C-4405-9D62-CAB79E7F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nhideWhenUsed/>
    <w:qFormat/>
    <w:rsid w:val="00771758"/>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rsid w:val="0077175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771758"/>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nhideWhenUsed/>
    <w:qFormat/>
    <w:rsid w:val="00771758"/>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qFormat/>
    <w:rsid w:val="003135BC"/>
    <w:pPr>
      <w:tabs>
        <w:tab w:val="left" w:pos="709"/>
        <w:tab w:val="right" w:leader="dot" w:pos="9638"/>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rsid w:val="00FF32DE"/>
    <w:pPr>
      <w:tabs>
        <w:tab w:val="left" w:pos="709"/>
        <w:tab w:val="right" w:leader="dot" w:pos="9639"/>
      </w:tabs>
      <w:spacing w:before="40"/>
    </w:pPr>
    <w:rPr>
      <w:sz w:val="22"/>
      <w:szCs w:val="22"/>
    </w:rPr>
  </w:style>
  <w:style w:type="paragraph" w:styleId="Sommario5">
    <w:name w:val="toc 5"/>
    <w:basedOn w:val="Normale"/>
    <w:next w:val="Normale"/>
    <w:autoRedefine/>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qFormat/>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aliases w:val="Par075"/>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ListNumeric">
    <w:name w:val="ListNumeric"/>
    <w:basedOn w:val="Normale"/>
    <w:rsid w:val="00437C73"/>
    <w:pPr>
      <w:numPr>
        <w:numId w:val="2"/>
      </w:numPr>
      <w:suppressAutoHyphens/>
      <w:contextualSpacing/>
    </w:pPr>
    <w:rPr>
      <w:rFonts w:eastAsiaTheme="minorHAnsi" w:cstheme="minorBidi"/>
      <w:sz w:val="22"/>
      <w:szCs w:val="22"/>
      <w:lang w:val="it-CH" w:eastAsia="en-US"/>
    </w:rPr>
  </w:style>
  <w:style w:type="paragraph" w:customStyle="1" w:styleId="ListLine">
    <w:name w:val="ListLine"/>
    <w:basedOn w:val="Normale"/>
    <w:rsid w:val="00437C73"/>
    <w:pPr>
      <w:numPr>
        <w:numId w:val="1"/>
      </w:numPr>
      <w:suppressAutoHyphens/>
      <w:contextualSpacing/>
    </w:pPr>
    <w:rPr>
      <w:rFonts w:eastAsiaTheme="minorHAnsi" w:cstheme="minorBidi"/>
      <w:sz w:val="22"/>
      <w:szCs w:val="22"/>
      <w:lang w:val="it-CH" w:eastAsia="en-US"/>
    </w:rPr>
  </w:style>
  <w:style w:type="numbering" w:customStyle="1" w:styleId="ListNumericList">
    <w:name w:val="ListNumericList"/>
    <w:uiPriority w:val="99"/>
    <w:rsid w:val="00437C73"/>
    <w:pPr>
      <w:numPr>
        <w:numId w:val="3"/>
      </w:numPr>
    </w:pPr>
  </w:style>
  <w:style w:type="numbering" w:customStyle="1" w:styleId="ListLineList">
    <w:name w:val="ListLineList"/>
    <w:uiPriority w:val="99"/>
    <w:rsid w:val="00437C73"/>
    <w:pPr>
      <w:numPr>
        <w:numId w:val="1"/>
      </w:numPr>
    </w:pPr>
  </w:style>
  <w:style w:type="paragraph" w:customStyle="1" w:styleId="StandardRisoluzionedelConsigliodiStato">
    <w:name w:val="StandardRisoluzionedelConsigliodiStato"/>
    <w:basedOn w:val="Normale"/>
    <w:qFormat/>
    <w:rsid w:val="00437C73"/>
    <w:pPr>
      <w:suppressAutoHyphens/>
    </w:pPr>
    <w:rPr>
      <w:rFonts w:eastAsiaTheme="minorHAnsi" w:cstheme="minorBidi"/>
      <w:szCs w:val="22"/>
      <w:lang w:val="it-CH" w:eastAsia="en-US"/>
    </w:rPr>
  </w:style>
  <w:style w:type="paragraph" w:customStyle="1" w:styleId="ListNumeric12">
    <w:name w:val="ListNumeric12"/>
    <w:basedOn w:val="ListNumeric"/>
    <w:qFormat/>
    <w:rsid w:val="00437C73"/>
    <w:rPr>
      <w:sz w:val="24"/>
      <w:szCs w:val="24"/>
    </w:rPr>
  </w:style>
  <w:style w:type="paragraph" w:customStyle="1" w:styleId="ListLine12">
    <w:name w:val="ListLine12"/>
    <w:basedOn w:val="ListLine"/>
    <w:qFormat/>
    <w:rsid w:val="00437C73"/>
    <w:rPr>
      <w:sz w:val="24"/>
      <w:szCs w:val="24"/>
    </w:rPr>
  </w:style>
  <w:style w:type="paragraph" w:customStyle="1" w:styleId="Textblock">
    <w:name w:val="Textblock"/>
    <w:basedOn w:val="Normale"/>
    <w:rsid w:val="00B62147"/>
    <w:pPr>
      <w:spacing w:before="120" w:after="120"/>
      <w:jc w:val="left"/>
    </w:pPr>
    <w:rPr>
      <w:bCs/>
      <w:sz w:val="22"/>
      <w:szCs w:val="22"/>
      <w:lang w:val="fr-CH" w:eastAsia="en-US"/>
    </w:rPr>
  </w:style>
  <w:style w:type="paragraph" w:styleId="Rientrocorpodeltesto2">
    <w:name w:val="Body Text Indent 2"/>
    <w:basedOn w:val="Normale"/>
    <w:link w:val="Rientrocorpodeltesto2Carattere"/>
    <w:unhideWhenUsed/>
    <w:rsid w:val="00771758"/>
    <w:pPr>
      <w:spacing w:after="120" w:line="480" w:lineRule="auto"/>
      <w:ind w:left="283"/>
    </w:pPr>
  </w:style>
  <w:style w:type="character" w:customStyle="1" w:styleId="Rientrocorpodeltesto2Carattere">
    <w:name w:val="Rientro corpo del testo 2 Carattere"/>
    <w:basedOn w:val="Carpredefinitoparagrafo"/>
    <w:link w:val="Rientrocorpodeltesto2"/>
    <w:rsid w:val="00771758"/>
    <w:rPr>
      <w:rFonts w:ascii="Arial" w:hAnsi="Arial"/>
      <w:sz w:val="24"/>
      <w:lang w:val="it-IT" w:eastAsia="it-IT"/>
    </w:rPr>
  </w:style>
  <w:style w:type="character" w:customStyle="1" w:styleId="Titolo6Carattere">
    <w:name w:val="Titolo 6 Carattere"/>
    <w:basedOn w:val="Carpredefinitoparagrafo"/>
    <w:link w:val="Titolo6"/>
    <w:rsid w:val="00771758"/>
    <w:rPr>
      <w:rFonts w:asciiTheme="majorHAnsi" w:eastAsiaTheme="majorEastAsia" w:hAnsiTheme="majorHAnsi" w:cstheme="majorBidi"/>
      <w:i/>
      <w:iCs/>
      <w:color w:val="243F60" w:themeColor="accent1" w:themeShade="7F"/>
      <w:sz w:val="24"/>
      <w:lang w:val="it-IT" w:eastAsia="it-IT"/>
    </w:rPr>
  </w:style>
  <w:style w:type="character" w:customStyle="1" w:styleId="Titolo7Carattere">
    <w:name w:val="Titolo 7 Carattere"/>
    <w:basedOn w:val="Carpredefinitoparagrafo"/>
    <w:link w:val="Titolo7"/>
    <w:rsid w:val="00771758"/>
    <w:rPr>
      <w:rFonts w:asciiTheme="majorHAnsi" w:eastAsiaTheme="majorEastAsia" w:hAnsiTheme="majorHAnsi" w:cstheme="majorBidi"/>
      <w:i/>
      <w:iCs/>
      <w:color w:val="404040" w:themeColor="text1" w:themeTint="BF"/>
      <w:sz w:val="24"/>
      <w:lang w:val="it-IT" w:eastAsia="it-IT"/>
    </w:rPr>
  </w:style>
  <w:style w:type="character" w:customStyle="1" w:styleId="Titolo8Carattere">
    <w:name w:val="Titolo 8 Carattere"/>
    <w:basedOn w:val="Carpredefinitoparagrafo"/>
    <w:link w:val="Titolo8"/>
    <w:rsid w:val="00771758"/>
    <w:rPr>
      <w:rFonts w:asciiTheme="majorHAnsi" w:eastAsiaTheme="majorEastAsia" w:hAnsiTheme="majorHAnsi" w:cstheme="majorBidi"/>
      <w:color w:val="404040" w:themeColor="text1" w:themeTint="BF"/>
      <w:lang w:val="it-IT" w:eastAsia="it-IT"/>
    </w:rPr>
  </w:style>
  <w:style w:type="character" w:customStyle="1" w:styleId="Titolo9Carattere">
    <w:name w:val="Titolo 9 Carattere"/>
    <w:basedOn w:val="Carpredefinitoparagrafo"/>
    <w:link w:val="Titolo9"/>
    <w:rsid w:val="00771758"/>
    <w:rPr>
      <w:rFonts w:asciiTheme="majorHAnsi" w:eastAsiaTheme="majorEastAsia" w:hAnsiTheme="majorHAnsi" w:cstheme="majorBidi"/>
      <w:i/>
      <w:iCs/>
      <w:color w:val="404040" w:themeColor="text1" w:themeTint="BF"/>
      <w:lang w:val="it-IT" w:eastAsia="it-IT"/>
    </w:rPr>
  </w:style>
  <w:style w:type="paragraph" w:styleId="Testonotadichiusura">
    <w:name w:val="endnote text"/>
    <w:basedOn w:val="Normale"/>
    <w:link w:val="TestonotadichiusuraCarattere"/>
    <w:rsid w:val="00771758"/>
    <w:rPr>
      <w:sz w:val="20"/>
    </w:rPr>
  </w:style>
  <w:style w:type="character" w:customStyle="1" w:styleId="TestonotadichiusuraCarattere">
    <w:name w:val="Testo nota di chiusura Carattere"/>
    <w:basedOn w:val="Carpredefinitoparagrafo"/>
    <w:link w:val="Testonotadichiusura"/>
    <w:rsid w:val="00771758"/>
    <w:rPr>
      <w:rFonts w:ascii="Arial" w:hAnsi="Arial"/>
      <w:lang w:val="it-IT" w:eastAsia="it-IT"/>
    </w:rPr>
  </w:style>
  <w:style w:type="character" w:styleId="Rimandonotadichiusura">
    <w:name w:val="endnote reference"/>
    <w:basedOn w:val="Carpredefinitoparagrafo"/>
    <w:rsid w:val="00771758"/>
    <w:rPr>
      <w:vertAlign w:val="superscript"/>
    </w:rPr>
  </w:style>
  <w:style w:type="paragraph" w:styleId="Nessunaspaziatura">
    <w:name w:val="No Spacing"/>
    <w:uiPriority w:val="1"/>
    <w:qFormat/>
    <w:rsid w:val="00771758"/>
    <w:pPr>
      <w:jc w:val="both"/>
    </w:pPr>
    <w:rPr>
      <w:rFonts w:ascii="Arial" w:hAnsi="Arial"/>
      <w:sz w:val="24"/>
      <w:lang w:val="it-IT" w:eastAsia="it-IT"/>
    </w:rPr>
  </w:style>
  <w:style w:type="character" w:styleId="Rimandocommento">
    <w:name w:val="annotation reference"/>
    <w:basedOn w:val="Carpredefinitoparagrafo"/>
    <w:rsid w:val="00771758"/>
    <w:rPr>
      <w:sz w:val="16"/>
      <w:szCs w:val="16"/>
    </w:rPr>
  </w:style>
  <w:style w:type="paragraph" w:styleId="Testocommento">
    <w:name w:val="annotation text"/>
    <w:basedOn w:val="Normale"/>
    <w:link w:val="TestocommentoCarattere"/>
    <w:rsid w:val="00771758"/>
    <w:rPr>
      <w:sz w:val="20"/>
    </w:rPr>
  </w:style>
  <w:style w:type="character" w:customStyle="1" w:styleId="TestocommentoCarattere">
    <w:name w:val="Testo commento Carattere"/>
    <w:basedOn w:val="Carpredefinitoparagrafo"/>
    <w:link w:val="Testocommento"/>
    <w:rsid w:val="00771758"/>
    <w:rPr>
      <w:rFonts w:ascii="Arial" w:hAnsi="Arial"/>
      <w:lang w:val="it-IT" w:eastAsia="it-IT"/>
    </w:rPr>
  </w:style>
  <w:style w:type="paragraph" w:styleId="Soggettocommento">
    <w:name w:val="annotation subject"/>
    <w:basedOn w:val="Testocommento"/>
    <w:next w:val="Testocommento"/>
    <w:link w:val="SoggettocommentoCarattere"/>
    <w:rsid w:val="00771758"/>
    <w:rPr>
      <w:b/>
      <w:bCs/>
    </w:rPr>
  </w:style>
  <w:style w:type="character" w:customStyle="1" w:styleId="SoggettocommentoCarattere">
    <w:name w:val="Soggetto commento Carattere"/>
    <w:basedOn w:val="TestocommentoCarattere"/>
    <w:link w:val="Soggettocommento"/>
    <w:rsid w:val="00771758"/>
    <w:rPr>
      <w:rFonts w:ascii="Arial" w:hAnsi="Arial"/>
      <w:b/>
      <w:bCs/>
      <w:lang w:val="it-IT" w:eastAsia="it-IT"/>
    </w:rPr>
  </w:style>
  <w:style w:type="paragraph" w:styleId="Titolo">
    <w:name w:val="Title"/>
    <w:basedOn w:val="Normale"/>
    <w:next w:val="Normale"/>
    <w:link w:val="TitoloCarattere"/>
    <w:qFormat/>
    <w:rsid w:val="007717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771758"/>
    <w:rPr>
      <w:rFonts w:asciiTheme="majorHAnsi" w:eastAsiaTheme="majorEastAsia" w:hAnsiTheme="majorHAnsi" w:cstheme="majorBidi"/>
      <w:color w:val="17365D" w:themeColor="text2" w:themeShade="BF"/>
      <w:spacing w:val="5"/>
      <w:kern w:val="28"/>
      <w:sz w:val="52"/>
      <w:szCs w:val="52"/>
      <w:lang w:val="it-IT" w:eastAsia="it-IT"/>
    </w:rPr>
  </w:style>
  <w:style w:type="paragraph" w:styleId="Didascalia">
    <w:name w:val="caption"/>
    <w:basedOn w:val="Normale"/>
    <w:next w:val="Normale"/>
    <w:unhideWhenUsed/>
    <w:qFormat/>
    <w:rsid w:val="00771758"/>
    <w:pPr>
      <w:ind w:left="142"/>
    </w:pPr>
    <w:rPr>
      <w:b/>
      <w:bCs/>
      <w:i/>
      <w:sz w:val="22"/>
      <w:szCs w:val="22"/>
    </w:rPr>
  </w:style>
  <w:style w:type="paragraph" w:customStyle="1" w:styleId="Terminedefinizione">
    <w:name w:val="Termine definizione"/>
    <w:basedOn w:val="Normale"/>
    <w:next w:val="Normale"/>
    <w:rsid w:val="00771758"/>
    <w:pPr>
      <w:jc w:val="left"/>
    </w:pPr>
    <w:rPr>
      <w:rFonts w:ascii="Times New Roman" w:hAnsi="Times New Roman"/>
      <w:snapToGrid w:val="0"/>
      <w:lang w:val="it-CH"/>
    </w:rPr>
  </w:style>
  <w:style w:type="paragraph" w:styleId="Revisione">
    <w:name w:val="Revision"/>
    <w:hidden/>
    <w:uiPriority w:val="99"/>
    <w:semiHidden/>
    <w:rsid w:val="00771758"/>
    <w:rPr>
      <w:rFonts w:ascii="Arial" w:hAnsi="Arial"/>
      <w:sz w:val="24"/>
      <w:lang w:val="it-IT" w:eastAsia="it-IT"/>
    </w:rPr>
  </w:style>
  <w:style w:type="paragraph" w:customStyle="1" w:styleId="Titolomessaggio">
    <w:name w:val="Titolo messaggio"/>
    <w:basedOn w:val="Normale"/>
    <w:rsid w:val="003135BC"/>
    <w:pPr>
      <w:tabs>
        <w:tab w:val="left" w:pos="540"/>
      </w:tabs>
    </w:pPr>
    <w:rPr>
      <w:sz w:val="28"/>
      <w:szCs w:val="24"/>
    </w:rPr>
  </w:style>
  <w:style w:type="paragraph" w:customStyle="1" w:styleId="Default">
    <w:name w:val="Default"/>
    <w:rsid w:val="003135BC"/>
    <w:pPr>
      <w:autoSpaceDE w:val="0"/>
      <w:autoSpaceDN w:val="0"/>
      <w:adjustRightInd w:val="0"/>
    </w:pPr>
    <w:rPr>
      <w:rFonts w:ascii="Arial" w:hAnsi="Arial" w:cs="Arial"/>
      <w:color w:val="000000"/>
      <w:sz w:val="24"/>
      <w:szCs w:val="24"/>
    </w:rPr>
  </w:style>
  <w:style w:type="character" w:customStyle="1" w:styleId="TestocommentoCarattere1">
    <w:name w:val="Testo commento Carattere1"/>
    <w:basedOn w:val="Carpredefinitoparagrafo"/>
    <w:uiPriority w:val="99"/>
    <w:semiHidden/>
    <w:rsid w:val="003135BC"/>
    <w:rPr>
      <w:rFonts w:ascii="Arial" w:hAnsi="Arial"/>
      <w:lang w:val="it-IT" w:eastAsia="it-IT"/>
    </w:rPr>
  </w:style>
  <w:style w:type="character" w:customStyle="1" w:styleId="SoggettocommentoCarattere1">
    <w:name w:val="Soggetto commento Carattere1"/>
    <w:basedOn w:val="TestocommentoCarattere1"/>
    <w:uiPriority w:val="99"/>
    <w:semiHidden/>
    <w:rsid w:val="003135BC"/>
    <w:rPr>
      <w:rFonts w:ascii="Arial" w:hAnsi="Arial"/>
      <w:b/>
      <w:bCs/>
      <w:lang w:val="it-IT" w:eastAsia="it-IT"/>
    </w:rPr>
  </w:style>
  <w:style w:type="character" w:styleId="Collegamentovisitato">
    <w:name w:val="FollowedHyperlink"/>
    <w:basedOn w:val="Carpredefinitoparagrafo"/>
    <w:semiHidden/>
    <w:unhideWhenUsed/>
    <w:rsid w:val="003135BC"/>
    <w:rPr>
      <w:color w:val="800080" w:themeColor="followedHyperlink"/>
      <w:u w:val="single"/>
    </w:rPr>
  </w:style>
  <w:style w:type="paragraph" w:customStyle="1" w:styleId="Testotabella">
    <w:name w:val="Testo tabella"/>
    <w:basedOn w:val="Normale"/>
    <w:rsid w:val="003135BC"/>
    <w:pPr>
      <w:tabs>
        <w:tab w:val="left" w:pos="340"/>
        <w:tab w:val="left" w:pos="1134"/>
        <w:tab w:val="left" w:pos="1701"/>
        <w:tab w:val="right" w:pos="7371"/>
        <w:tab w:val="right" w:pos="8675"/>
      </w:tabs>
      <w:overflowPunct w:val="0"/>
      <w:autoSpaceDE w:val="0"/>
      <w:autoSpaceDN w:val="0"/>
      <w:adjustRightInd w:val="0"/>
      <w:spacing w:before="80" w:after="40" w:line="264" w:lineRule="auto"/>
      <w:jc w:val="left"/>
      <w:textAlignment w:val="baseline"/>
    </w:pPr>
    <w:rPr>
      <w:color w:val="000000"/>
      <w:sz w:val="20"/>
    </w:rPr>
  </w:style>
  <w:style w:type="paragraph" w:customStyle="1" w:styleId="Testotabellabianco">
    <w:name w:val="Testo tabella bianco"/>
    <w:basedOn w:val="Testotabella"/>
    <w:rsid w:val="003135BC"/>
    <w:rPr>
      <w:b/>
      <w:color w:val="FFFFFF"/>
      <w:lang w:val="it-CH"/>
    </w:rPr>
  </w:style>
  <w:style w:type="character" w:styleId="Enfasigrassetto">
    <w:name w:val="Strong"/>
    <w:basedOn w:val="Carpredefinitoparagrafo"/>
    <w:uiPriority w:val="22"/>
    <w:qFormat/>
    <w:rsid w:val="003135BC"/>
    <w:rPr>
      <w:b/>
      <w:bCs/>
    </w:rPr>
  </w:style>
  <w:style w:type="paragraph" w:styleId="Titolosommario">
    <w:name w:val="TOC Heading"/>
    <w:basedOn w:val="Titolo1"/>
    <w:next w:val="Normale"/>
    <w:uiPriority w:val="39"/>
    <w:semiHidden/>
    <w:unhideWhenUsed/>
    <w:qFormat/>
    <w:rsid w:val="003135BC"/>
    <w:pPr>
      <w:keepLines/>
      <w:tabs>
        <w:tab w:val="clear" w:pos="567"/>
      </w:tabs>
      <w:spacing w:before="240" w:after="0"/>
      <w:outlineLvl w:val="9"/>
    </w:pPr>
    <w:rPr>
      <w:rFonts w:asciiTheme="majorHAnsi" w:eastAsiaTheme="majorEastAsia" w:hAnsiTheme="majorHAnsi" w:cstheme="majorBidi"/>
      <w:b w:val="0"/>
      <w:caps w:val="0"/>
      <w:color w:val="365F91" w:themeColor="accent1" w:themeShade="BF"/>
      <w:sz w:val="32"/>
      <w:szCs w:val="32"/>
    </w:rPr>
  </w:style>
  <w:style w:type="paragraph" w:customStyle="1" w:styleId="Paragrafoelenco1">
    <w:name w:val="Paragrafo elenco1"/>
    <w:basedOn w:val="Normale"/>
    <w:rsid w:val="003135BC"/>
    <w:pPr>
      <w:ind w:left="720"/>
      <w:contextualSpacing/>
      <w:jc w:val="left"/>
    </w:pPr>
  </w:style>
  <w:style w:type="numbering" w:customStyle="1" w:styleId="Stile1">
    <w:name w:val="Stile1"/>
    <w:rsid w:val="003135BC"/>
    <w:pPr>
      <w:numPr>
        <w:numId w:val="4"/>
      </w:numPr>
    </w:pPr>
  </w:style>
  <w:style w:type="paragraph" w:customStyle="1" w:styleId="Nessunaspaziatura1">
    <w:name w:val="Nessuna spaziatura1"/>
    <w:rsid w:val="003135BC"/>
    <w:pPr>
      <w:tabs>
        <w:tab w:val="left" w:pos="540"/>
      </w:tabs>
      <w:jc w:val="both"/>
    </w:pPr>
    <w:rPr>
      <w:rFonts w:ascii="Arial" w:hAnsi="Arial"/>
      <w:sz w:val="24"/>
      <w:szCs w:val="24"/>
      <w:lang w:val="it-IT" w:eastAsia="it-IT"/>
    </w:rPr>
  </w:style>
  <w:style w:type="paragraph" w:customStyle="1" w:styleId="NormaleWeb1">
    <w:name w:val="Normale (Web)1"/>
    <w:basedOn w:val="Normale"/>
    <w:rsid w:val="003135BC"/>
    <w:pPr>
      <w:spacing w:before="100" w:after="100"/>
      <w:jc w:val="left"/>
    </w:pPr>
    <w:rPr>
      <w:rFonts w:ascii="Times New Roman" w:hAnsi="Times New Roman"/>
    </w:rPr>
  </w:style>
  <w:style w:type="paragraph" w:styleId="Puntoelenco">
    <w:name w:val="List Bullet"/>
    <w:basedOn w:val="Normale"/>
    <w:rsid w:val="003135BC"/>
    <w:pPr>
      <w:numPr>
        <w:numId w:val="5"/>
      </w:numPr>
    </w:pPr>
  </w:style>
  <w:style w:type="paragraph" w:customStyle="1" w:styleId="art">
    <w:name w:val="art"/>
    <w:basedOn w:val="Normale"/>
    <w:rsid w:val="003135BC"/>
    <w:pPr>
      <w:ind w:left="720" w:right="187"/>
    </w:pPr>
    <w:rPr>
      <w:rFonts w:cs="Arial"/>
      <w:sz w:val="20"/>
    </w:rPr>
  </w:style>
  <w:style w:type="paragraph" w:styleId="Sottotitolo">
    <w:name w:val="Subtitle"/>
    <w:basedOn w:val="Normale"/>
    <w:next w:val="Normale"/>
    <w:link w:val="SottotitoloCarattere"/>
    <w:qFormat/>
    <w:rsid w:val="003135BC"/>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3135BC"/>
    <w:rPr>
      <w:rFonts w:ascii="Cambria" w:hAnsi="Cambria"/>
      <w:sz w:val="24"/>
      <w:szCs w:val="24"/>
      <w:lang w:val="it-IT" w:eastAsia="it-IT"/>
    </w:rPr>
  </w:style>
  <w:style w:type="paragraph" w:customStyle="1" w:styleId="Rientrocorpodeltesto21">
    <w:name w:val="Rientro corpo del testo 21"/>
    <w:basedOn w:val="Normale"/>
    <w:rsid w:val="003135BC"/>
    <w:pPr>
      <w:suppressAutoHyphens/>
      <w:ind w:left="2552" w:hanging="284"/>
    </w:pPr>
    <w:rPr>
      <w:rFonts w:cs="Arial"/>
      <w:lang w:eastAsia="ar-SA"/>
    </w:rPr>
  </w:style>
  <w:style w:type="paragraph" w:customStyle="1" w:styleId="StileStileText9ptCorsivoSinistro063cm">
    <w:name w:val="Stile Stile Text + 9 pt Corsivo + Sinistro:  0.63 cm"/>
    <w:basedOn w:val="Normale"/>
    <w:link w:val="StileStileText9ptCorsivoSinistro063cmChar"/>
    <w:qFormat/>
    <w:rsid w:val="003135BC"/>
    <w:pPr>
      <w:spacing w:after="120" w:line="260" w:lineRule="atLeast"/>
      <w:ind w:left="360"/>
    </w:pPr>
    <w:rPr>
      <w:i/>
      <w:iCs/>
      <w:sz w:val="18"/>
      <w:lang w:val="it-CH" w:eastAsia="de-CH"/>
    </w:rPr>
  </w:style>
  <w:style w:type="character" w:customStyle="1" w:styleId="StileStileText9ptCorsivoSinistro063cmChar">
    <w:name w:val="Stile Stile Text + 9 pt Corsivo + Sinistro:  0.63 cm Char"/>
    <w:link w:val="StileStileText9ptCorsivoSinistro063cm"/>
    <w:rsid w:val="003135BC"/>
    <w:rPr>
      <w:rFonts w:ascii="Arial" w:hAnsi="Arial"/>
      <w:i/>
      <w:iCs/>
      <w:sz w:val="18"/>
      <w:lang w:eastAsia="de-CH"/>
    </w:rPr>
  </w:style>
  <w:style w:type="character" w:customStyle="1" w:styleId="WW8Num2z0">
    <w:name w:val="WW8Num2z0"/>
    <w:rsid w:val="003135BC"/>
    <w:rPr>
      <w:rFonts w:ascii="Symbol" w:hAnsi="Symbol" w:cs="OpenSymbol"/>
    </w:rPr>
  </w:style>
  <w:style w:type="character" w:customStyle="1" w:styleId="WW8Num4z0">
    <w:name w:val="WW8Num4z0"/>
    <w:rsid w:val="003135BC"/>
    <w:rPr>
      <w:rFonts w:ascii="Arial" w:eastAsia="Times New Roman" w:hAnsi="Arial" w:cs="Arial"/>
    </w:rPr>
  </w:style>
  <w:style w:type="character" w:customStyle="1" w:styleId="WW8Num4z1">
    <w:name w:val="WW8Num4z1"/>
    <w:rsid w:val="003135BC"/>
    <w:rPr>
      <w:rFonts w:ascii="Courier New" w:hAnsi="Courier New" w:cs="Courier New"/>
    </w:rPr>
  </w:style>
  <w:style w:type="character" w:customStyle="1" w:styleId="WW8Num4z2">
    <w:name w:val="WW8Num4z2"/>
    <w:rsid w:val="003135BC"/>
    <w:rPr>
      <w:rFonts w:ascii="Wingdings" w:hAnsi="Wingdings"/>
    </w:rPr>
  </w:style>
  <w:style w:type="character" w:customStyle="1" w:styleId="WW8Num5z0">
    <w:name w:val="WW8Num5z0"/>
    <w:rsid w:val="003135BC"/>
    <w:rPr>
      <w:rFonts w:ascii="Symbol" w:hAnsi="Symbol" w:cs="OpenSymbol"/>
    </w:rPr>
  </w:style>
  <w:style w:type="character" w:customStyle="1" w:styleId="WW8Num5z1">
    <w:name w:val="WW8Num5z1"/>
    <w:rsid w:val="003135BC"/>
    <w:rPr>
      <w:rFonts w:ascii="Courier New" w:hAnsi="Courier New" w:cs="Courier New"/>
    </w:rPr>
  </w:style>
  <w:style w:type="character" w:customStyle="1" w:styleId="WW8Num5z2">
    <w:name w:val="WW8Num5z2"/>
    <w:rsid w:val="003135BC"/>
    <w:rPr>
      <w:rFonts w:ascii="Wingdings" w:hAnsi="Wingdings"/>
    </w:rPr>
  </w:style>
  <w:style w:type="character" w:customStyle="1" w:styleId="WW8Num7z0">
    <w:name w:val="WW8Num7z0"/>
    <w:rsid w:val="003135BC"/>
    <w:rPr>
      <w:rFonts w:ascii="Arial" w:eastAsia="Times New Roman" w:hAnsi="Arial" w:cs="Arial"/>
    </w:rPr>
  </w:style>
  <w:style w:type="character" w:customStyle="1" w:styleId="WW8Num7z1">
    <w:name w:val="WW8Num7z1"/>
    <w:rsid w:val="003135BC"/>
    <w:rPr>
      <w:rFonts w:ascii="Courier New" w:hAnsi="Courier New" w:cs="Courier New"/>
    </w:rPr>
  </w:style>
  <w:style w:type="character" w:customStyle="1" w:styleId="WW8Num7z2">
    <w:name w:val="WW8Num7z2"/>
    <w:rsid w:val="003135BC"/>
    <w:rPr>
      <w:rFonts w:ascii="Wingdings" w:hAnsi="Wingdings"/>
    </w:rPr>
  </w:style>
  <w:style w:type="character" w:customStyle="1" w:styleId="WW8Num7z3">
    <w:name w:val="WW8Num7z3"/>
    <w:rsid w:val="003135BC"/>
    <w:rPr>
      <w:rFonts w:ascii="Symbol" w:hAnsi="Symbol"/>
    </w:rPr>
  </w:style>
  <w:style w:type="character" w:customStyle="1" w:styleId="WW8Num9z0">
    <w:name w:val="WW8Num9z0"/>
    <w:rsid w:val="003135BC"/>
    <w:rPr>
      <w:rFonts w:ascii="Times New Roman" w:hAnsi="Times New Roman"/>
    </w:rPr>
  </w:style>
  <w:style w:type="character" w:customStyle="1" w:styleId="WW8Num9z1">
    <w:name w:val="WW8Num9z1"/>
    <w:rsid w:val="003135BC"/>
    <w:rPr>
      <w:rFonts w:ascii="Courier New" w:hAnsi="Courier New" w:cs="Courier New"/>
    </w:rPr>
  </w:style>
  <w:style w:type="character" w:customStyle="1" w:styleId="WW8Num9z2">
    <w:name w:val="WW8Num9z2"/>
    <w:rsid w:val="003135BC"/>
    <w:rPr>
      <w:rFonts w:ascii="Wingdings" w:hAnsi="Wingdings"/>
    </w:rPr>
  </w:style>
  <w:style w:type="character" w:customStyle="1" w:styleId="WW8Num9z3">
    <w:name w:val="WW8Num9z3"/>
    <w:rsid w:val="003135BC"/>
    <w:rPr>
      <w:rFonts w:ascii="Symbol" w:hAnsi="Symbol"/>
    </w:rPr>
  </w:style>
  <w:style w:type="character" w:customStyle="1" w:styleId="WW8Num10z0">
    <w:name w:val="WW8Num10z0"/>
    <w:rsid w:val="003135BC"/>
    <w:rPr>
      <w:rFonts w:ascii="Symbol" w:hAnsi="Symbol"/>
    </w:rPr>
  </w:style>
  <w:style w:type="character" w:customStyle="1" w:styleId="WW8Num10z1">
    <w:name w:val="WW8Num10z1"/>
    <w:rsid w:val="003135BC"/>
    <w:rPr>
      <w:rFonts w:ascii="Courier New" w:hAnsi="Courier New" w:cs="Courier New"/>
    </w:rPr>
  </w:style>
  <w:style w:type="character" w:customStyle="1" w:styleId="WW8Num10z2">
    <w:name w:val="WW8Num10z2"/>
    <w:rsid w:val="003135BC"/>
    <w:rPr>
      <w:rFonts w:ascii="Wingdings" w:hAnsi="Wingdings"/>
    </w:rPr>
  </w:style>
  <w:style w:type="character" w:customStyle="1" w:styleId="WW8Num13z0">
    <w:name w:val="WW8Num13z0"/>
    <w:rsid w:val="003135BC"/>
    <w:rPr>
      <w:rFonts w:ascii="Symbol" w:hAnsi="Symbol"/>
    </w:rPr>
  </w:style>
  <w:style w:type="character" w:customStyle="1" w:styleId="WW8Num13z1">
    <w:name w:val="WW8Num13z1"/>
    <w:rsid w:val="003135BC"/>
    <w:rPr>
      <w:rFonts w:ascii="Courier New" w:hAnsi="Courier New" w:cs="Courier New"/>
    </w:rPr>
  </w:style>
  <w:style w:type="character" w:customStyle="1" w:styleId="WW8Num13z2">
    <w:name w:val="WW8Num13z2"/>
    <w:rsid w:val="003135BC"/>
    <w:rPr>
      <w:rFonts w:ascii="Wingdings" w:hAnsi="Wingdings"/>
    </w:rPr>
  </w:style>
  <w:style w:type="character" w:customStyle="1" w:styleId="WW8Num14z0">
    <w:name w:val="WW8Num14z0"/>
    <w:rsid w:val="003135BC"/>
    <w:rPr>
      <w:rFonts w:ascii="Arial" w:eastAsia="Times New Roman" w:hAnsi="Arial" w:cs="Arial"/>
    </w:rPr>
  </w:style>
  <w:style w:type="character" w:customStyle="1" w:styleId="WW8Num14z1">
    <w:name w:val="WW8Num14z1"/>
    <w:rsid w:val="003135BC"/>
    <w:rPr>
      <w:rFonts w:ascii="Courier New" w:hAnsi="Courier New" w:cs="Courier New"/>
    </w:rPr>
  </w:style>
  <w:style w:type="character" w:customStyle="1" w:styleId="WW8Num14z2">
    <w:name w:val="WW8Num14z2"/>
    <w:rsid w:val="003135BC"/>
    <w:rPr>
      <w:rFonts w:ascii="Wingdings" w:hAnsi="Wingdings"/>
    </w:rPr>
  </w:style>
  <w:style w:type="character" w:customStyle="1" w:styleId="WW8Num14z3">
    <w:name w:val="WW8Num14z3"/>
    <w:rsid w:val="003135BC"/>
    <w:rPr>
      <w:rFonts w:ascii="Symbol" w:hAnsi="Symbol"/>
    </w:rPr>
  </w:style>
  <w:style w:type="character" w:customStyle="1" w:styleId="WW8Num15z1">
    <w:name w:val="WW8Num15z1"/>
    <w:rsid w:val="003135BC"/>
    <w:rPr>
      <w:rFonts w:ascii="Symbol" w:hAnsi="Symbol"/>
    </w:rPr>
  </w:style>
  <w:style w:type="character" w:customStyle="1" w:styleId="WW8Num15z2">
    <w:name w:val="WW8Num15z2"/>
    <w:rsid w:val="003135BC"/>
    <w:rPr>
      <w:rFonts w:ascii="Wingdings" w:hAnsi="Wingdings"/>
    </w:rPr>
  </w:style>
  <w:style w:type="character" w:customStyle="1" w:styleId="WW8Num15z4">
    <w:name w:val="WW8Num15z4"/>
    <w:rsid w:val="003135BC"/>
    <w:rPr>
      <w:rFonts w:ascii="Courier New" w:hAnsi="Courier New" w:cs="Courier New"/>
    </w:rPr>
  </w:style>
  <w:style w:type="character" w:customStyle="1" w:styleId="Carpredefinitoparagrafo2">
    <w:name w:val="Car. predefinito paragrafo2"/>
    <w:rsid w:val="003135BC"/>
  </w:style>
  <w:style w:type="character" w:customStyle="1" w:styleId="Absatz-Standardschriftart">
    <w:name w:val="Absatz-Standardschriftart"/>
    <w:rsid w:val="003135BC"/>
  </w:style>
  <w:style w:type="character" w:customStyle="1" w:styleId="WW8Num2z1">
    <w:name w:val="WW8Num2z1"/>
    <w:rsid w:val="003135BC"/>
    <w:rPr>
      <w:rFonts w:ascii="Courier New" w:hAnsi="Courier New" w:cs="Courier New"/>
    </w:rPr>
  </w:style>
  <w:style w:type="character" w:customStyle="1" w:styleId="WW8Num2z2">
    <w:name w:val="WW8Num2z2"/>
    <w:rsid w:val="003135BC"/>
    <w:rPr>
      <w:rFonts w:ascii="Wingdings" w:hAnsi="Wingdings"/>
    </w:rPr>
  </w:style>
  <w:style w:type="character" w:customStyle="1" w:styleId="WW8Num2z3">
    <w:name w:val="WW8Num2z3"/>
    <w:rsid w:val="003135BC"/>
    <w:rPr>
      <w:rFonts w:ascii="Symbol" w:hAnsi="Symbol"/>
    </w:rPr>
  </w:style>
  <w:style w:type="character" w:customStyle="1" w:styleId="WW8Num3z1">
    <w:name w:val="WW8Num3z1"/>
    <w:rsid w:val="003135BC"/>
    <w:rPr>
      <w:rFonts w:ascii="Courier New" w:hAnsi="Courier New" w:cs="Courier New"/>
    </w:rPr>
  </w:style>
  <w:style w:type="character" w:customStyle="1" w:styleId="WW8Num3z2">
    <w:name w:val="WW8Num3z2"/>
    <w:rsid w:val="003135BC"/>
    <w:rPr>
      <w:rFonts w:ascii="Wingdings" w:hAnsi="Wingdings"/>
    </w:rPr>
  </w:style>
  <w:style w:type="character" w:customStyle="1" w:styleId="WW8Num3z3">
    <w:name w:val="WW8Num3z3"/>
    <w:rsid w:val="003135BC"/>
    <w:rPr>
      <w:rFonts w:ascii="Symbol" w:hAnsi="Symbol"/>
    </w:rPr>
  </w:style>
  <w:style w:type="character" w:customStyle="1" w:styleId="WW8Num4z3">
    <w:name w:val="WW8Num4z3"/>
    <w:rsid w:val="003135BC"/>
    <w:rPr>
      <w:rFonts w:ascii="Symbol" w:hAnsi="Symbol"/>
    </w:rPr>
  </w:style>
  <w:style w:type="character" w:customStyle="1" w:styleId="WW8Num6z0">
    <w:name w:val="WW8Num6z0"/>
    <w:rsid w:val="003135BC"/>
    <w:rPr>
      <w:rFonts w:ascii="Symbol" w:hAnsi="Symbol"/>
    </w:rPr>
  </w:style>
  <w:style w:type="character" w:customStyle="1" w:styleId="WW8Num6z1">
    <w:name w:val="WW8Num6z1"/>
    <w:rsid w:val="003135BC"/>
    <w:rPr>
      <w:rFonts w:ascii="Courier New" w:hAnsi="Courier New" w:cs="Courier New"/>
    </w:rPr>
  </w:style>
  <w:style w:type="character" w:customStyle="1" w:styleId="WW8Num6z2">
    <w:name w:val="WW8Num6z2"/>
    <w:rsid w:val="003135BC"/>
    <w:rPr>
      <w:rFonts w:ascii="Wingdings" w:hAnsi="Wingdings"/>
    </w:rPr>
  </w:style>
  <w:style w:type="character" w:customStyle="1" w:styleId="Carpredefinitoparagrafo1">
    <w:name w:val="Car. predefinito paragrafo1"/>
    <w:rsid w:val="003135BC"/>
  </w:style>
  <w:style w:type="character" w:customStyle="1" w:styleId="Punti">
    <w:name w:val="Punti"/>
    <w:rsid w:val="003135BC"/>
    <w:rPr>
      <w:rFonts w:ascii="OpenSymbol" w:eastAsia="OpenSymbol" w:hAnsi="OpenSymbol" w:cs="OpenSymbol"/>
    </w:rPr>
  </w:style>
  <w:style w:type="character" w:customStyle="1" w:styleId="Caratteredinumerazione">
    <w:name w:val="Carattere di numerazione"/>
    <w:rsid w:val="003135BC"/>
  </w:style>
  <w:style w:type="character" w:customStyle="1" w:styleId="CarattereCarattere2">
    <w:name w:val="Carattere Carattere2"/>
    <w:rsid w:val="003135BC"/>
    <w:rPr>
      <w:rFonts w:ascii="Arial" w:hAnsi="Arial" w:cs="Arial"/>
      <w:b/>
      <w:bCs/>
      <w:i/>
      <w:iCs/>
      <w:sz w:val="28"/>
      <w:szCs w:val="28"/>
      <w:lang w:val="it-IT" w:eastAsia="ar-SA" w:bidi="ar-SA"/>
    </w:rPr>
  </w:style>
  <w:style w:type="character" w:customStyle="1" w:styleId="bold">
    <w:name w:val="bold"/>
    <w:rsid w:val="003135BC"/>
    <w:rPr>
      <w:rFonts w:ascii="Frutiger LT Std 45 Light" w:hAnsi="Frutiger LT Std 45 Light" w:cs="Frutiger LT Std 45 Light"/>
      <w:b/>
      <w:bCs/>
      <w:color w:val="000000"/>
      <w:spacing w:val="0"/>
      <w:w w:val="100"/>
      <w:position w:val="0"/>
      <w:sz w:val="20"/>
      <w:szCs w:val="20"/>
      <w:u w:val="none"/>
      <w:vertAlign w:val="baseline"/>
      <w:em w:val="none"/>
      <w:lang w:val="it-IT"/>
    </w:rPr>
  </w:style>
  <w:style w:type="character" w:customStyle="1" w:styleId="Rimandocommento1">
    <w:name w:val="Rimando commento1"/>
    <w:rsid w:val="003135BC"/>
    <w:rPr>
      <w:sz w:val="16"/>
      <w:szCs w:val="16"/>
    </w:rPr>
  </w:style>
  <w:style w:type="character" w:customStyle="1" w:styleId="Caratteredellanota">
    <w:name w:val="Carattere della nota"/>
    <w:rsid w:val="003135BC"/>
    <w:rPr>
      <w:vertAlign w:val="superscript"/>
    </w:rPr>
  </w:style>
  <w:style w:type="character" w:customStyle="1" w:styleId="Caratterenotadichiusura">
    <w:name w:val="Carattere nota di chiusura"/>
    <w:rsid w:val="003135BC"/>
  </w:style>
  <w:style w:type="paragraph" w:customStyle="1" w:styleId="Intestazione2">
    <w:name w:val="Intestazione2"/>
    <w:basedOn w:val="Normale"/>
    <w:next w:val="Corpotesto"/>
    <w:rsid w:val="003135BC"/>
    <w:pPr>
      <w:keepNext/>
      <w:suppressAutoHyphens/>
      <w:spacing w:before="240" w:after="120"/>
      <w:jc w:val="left"/>
    </w:pPr>
    <w:rPr>
      <w:rFonts w:eastAsia="MS Mincho" w:cs="Tahoma"/>
      <w:sz w:val="28"/>
      <w:szCs w:val="28"/>
      <w:lang w:eastAsia="ar-SA"/>
    </w:rPr>
  </w:style>
  <w:style w:type="paragraph" w:styleId="Elenco">
    <w:name w:val="List"/>
    <w:basedOn w:val="Corpotesto"/>
    <w:rsid w:val="003135BC"/>
    <w:pPr>
      <w:tabs>
        <w:tab w:val="clear" w:pos="284"/>
        <w:tab w:val="clear" w:pos="426"/>
        <w:tab w:val="clear" w:pos="4962"/>
      </w:tabs>
      <w:suppressAutoHyphens/>
      <w:spacing w:after="120"/>
      <w:jc w:val="left"/>
    </w:pPr>
    <w:rPr>
      <w:rFonts w:ascii="Times New Roman" w:hAnsi="Times New Roman" w:cs="Tahoma"/>
      <w:szCs w:val="24"/>
      <w:lang w:eastAsia="ar-SA"/>
    </w:rPr>
  </w:style>
  <w:style w:type="paragraph" w:customStyle="1" w:styleId="Didascalia2">
    <w:name w:val="Didascalia2"/>
    <w:basedOn w:val="Normale"/>
    <w:rsid w:val="003135BC"/>
    <w:pPr>
      <w:suppressLineNumbers/>
      <w:suppressAutoHyphens/>
      <w:spacing w:before="120" w:after="120"/>
      <w:jc w:val="left"/>
    </w:pPr>
    <w:rPr>
      <w:rFonts w:ascii="Times New Roman" w:hAnsi="Times New Roman" w:cs="Tahoma"/>
      <w:i/>
      <w:iCs/>
      <w:szCs w:val="24"/>
      <w:lang w:eastAsia="ar-SA"/>
    </w:rPr>
  </w:style>
  <w:style w:type="paragraph" w:customStyle="1" w:styleId="Indice">
    <w:name w:val="Indice"/>
    <w:basedOn w:val="Normale"/>
    <w:rsid w:val="003135BC"/>
    <w:pPr>
      <w:suppressLineNumbers/>
      <w:suppressAutoHyphens/>
      <w:jc w:val="left"/>
    </w:pPr>
    <w:rPr>
      <w:rFonts w:ascii="Times New Roman" w:hAnsi="Times New Roman" w:cs="Tahoma"/>
      <w:szCs w:val="24"/>
      <w:lang w:eastAsia="ar-SA"/>
    </w:rPr>
  </w:style>
  <w:style w:type="paragraph" w:customStyle="1" w:styleId="Intestazione1">
    <w:name w:val="Intestazione1"/>
    <w:basedOn w:val="Normale"/>
    <w:next w:val="Corpotesto"/>
    <w:rsid w:val="003135BC"/>
    <w:pPr>
      <w:keepNext/>
      <w:suppressAutoHyphens/>
      <w:spacing w:before="240" w:after="120"/>
      <w:jc w:val="left"/>
    </w:pPr>
    <w:rPr>
      <w:rFonts w:eastAsia="MS Mincho" w:cs="Tahoma"/>
      <w:sz w:val="28"/>
      <w:szCs w:val="28"/>
      <w:lang w:eastAsia="ar-SA"/>
    </w:rPr>
  </w:style>
  <w:style w:type="paragraph" w:customStyle="1" w:styleId="Didascalia1">
    <w:name w:val="Didascalia1"/>
    <w:basedOn w:val="Normale"/>
    <w:rsid w:val="003135BC"/>
    <w:pPr>
      <w:suppressLineNumbers/>
      <w:suppressAutoHyphens/>
      <w:spacing w:before="120" w:after="120"/>
      <w:jc w:val="left"/>
    </w:pPr>
    <w:rPr>
      <w:rFonts w:ascii="Times New Roman" w:hAnsi="Times New Roman" w:cs="Tahoma"/>
      <w:i/>
      <w:iCs/>
      <w:szCs w:val="24"/>
      <w:lang w:eastAsia="ar-SA"/>
    </w:rPr>
  </w:style>
  <w:style w:type="paragraph" w:customStyle="1" w:styleId="Corpodeltesto31">
    <w:name w:val="Corpo del testo 31"/>
    <w:basedOn w:val="Normale"/>
    <w:rsid w:val="003135BC"/>
    <w:pPr>
      <w:suppressAutoHyphens/>
      <w:jc w:val="left"/>
    </w:pPr>
    <w:rPr>
      <w:lang w:eastAsia="ar-SA"/>
    </w:rPr>
  </w:style>
  <w:style w:type="paragraph" w:customStyle="1" w:styleId="Contenutotabella">
    <w:name w:val="Contenuto tabella"/>
    <w:basedOn w:val="Normale"/>
    <w:rsid w:val="003135BC"/>
    <w:pPr>
      <w:suppressLineNumbers/>
      <w:suppressAutoHyphens/>
      <w:jc w:val="left"/>
    </w:pPr>
    <w:rPr>
      <w:rFonts w:ascii="Times New Roman" w:hAnsi="Times New Roman"/>
      <w:szCs w:val="24"/>
      <w:lang w:eastAsia="ar-SA"/>
    </w:rPr>
  </w:style>
  <w:style w:type="paragraph" w:customStyle="1" w:styleId="Intestazionetabella">
    <w:name w:val="Intestazione tabella"/>
    <w:basedOn w:val="Contenutotabella"/>
    <w:rsid w:val="003135BC"/>
    <w:pPr>
      <w:jc w:val="center"/>
    </w:pPr>
    <w:rPr>
      <w:b/>
      <w:bCs/>
    </w:rPr>
  </w:style>
  <w:style w:type="paragraph" w:customStyle="1" w:styleId="Contenutocornice">
    <w:name w:val="Contenuto cornice"/>
    <w:basedOn w:val="Corpotesto"/>
    <w:rsid w:val="003135BC"/>
    <w:pPr>
      <w:tabs>
        <w:tab w:val="clear" w:pos="284"/>
        <w:tab w:val="clear" w:pos="426"/>
        <w:tab w:val="clear" w:pos="4962"/>
      </w:tabs>
      <w:suppressAutoHyphens/>
      <w:spacing w:after="120"/>
      <w:jc w:val="left"/>
    </w:pPr>
    <w:rPr>
      <w:rFonts w:ascii="Times New Roman" w:hAnsi="Times New Roman"/>
      <w:szCs w:val="24"/>
      <w:lang w:eastAsia="ar-SA"/>
    </w:rPr>
  </w:style>
  <w:style w:type="paragraph" w:customStyle="1" w:styleId="Testocommento1">
    <w:name w:val="Testo commento1"/>
    <w:basedOn w:val="Normale"/>
    <w:rsid w:val="003135BC"/>
    <w:pPr>
      <w:suppressAutoHyphens/>
      <w:jc w:val="left"/>
    </w:pPr>
    <w:rPr>
      <w:rFonts w:ascii="Times New Roman" w:hAnsi="Times New Roman"/>
      <w:sz w:val="20"/>
      <w:lang w:eastAsia="ar-SA"/>
    </w:rPr>
  </w:style>
  <w:style w:type="paragraph" w:customStyle="1" w:styleId="Elenco10">
    <w:name w:val="Elenco1"/>
    <w:basedOn w:val="Normale"/>
    <w:rsid w:val="003135BC"/>
    <w:pPr>
      <w:numPr>
        <w:numId w:val="6"/>
      </w:numPr>
      <w:spacing w:after="60" w:line="220" w:lineRule="exact"/>
    </w:pPr>
    <w:rPr>
      <w:rFonts w:ascii="Arial Narrow" w:hAnsi="Arial Narrow"/>
      <w:sz w:val="20"/>
      <w:lang w:val="fr-FR"/>
    </w:rPr>
  </w:style>
  <w:style w:type="paragraph" w:customStyle="1" w:styleId="Vertragstext">
    <w:name w:val="Vertragstext"/>
    <w:basedOn w:val="Normale"/>
    <w:link w:val="VertragstextCar"/>
    <w:rsid w:val="003135BC"/>
    <w:pPr>
      <w:spacing w:before="60" w:after="60"/>
      <w:ind w:left="567"/>
      <w:jc w:val="left"/>
    </w:pPr>
    <w:rPr>
      <w:b/>
      <w:lang w:val="it-CH" w:eastAsia="de-CH"/>
    </w:rPr>
  </w:style>
  <w:style w:type="character" w:customStyle="1" w:styleId="VertragstextCar">
    <w:name w:val="Vertragstext Car"/>
    <w:link w:val="Vertragstext"/>
    <w:rsid w:val="003135BC"/>
    <w:rPr>
      <w:rFonts w:ascii="Arial" w:hAnsi="Arial"/>
      <w:b/>
      <w:sz w:val="24"/>
      <w:lang w:eastAsia="de-CH"/>
    </w:rPr>
  </w:style>
  <w:style w:type="paragraph" w:customStyle="1" w:styleId="textmcsn">
    <w:name w:val="textmcsn"/>
    <w:basedOn w:val="Normale"/>
    <w:rsid w:val="003135BC"/>
    <w:pPr>
      <w:shd w:val="clear" w:color="auto" w:fill="FFFFFF"/>
      <w:spacing w:before="60" w:after="100" w:afterAutospacing="1"/>
      <w:ind w:left="60"/>
      <w:jc w:val="left"/>
    </w:pPr>
    <w:rPr>
      <w:rFonts w:ascii="Verdana" w:hAnsi="Verdana"/>
      <w:sz w:val="17"/>
      <w:szCs w:val="17"/>
    </w:rPr>
  </w:style>
  <w:style w:type="table" w:styleId="Tabellaclassica2">
    <w:name w:val="Table Classic 2"/>
    <w:basedOn w:val="Tabellanormale"/>
    <w:rsid w:val="003135BC"/>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ientrocorpodeltesto">
    <w:name w:val="Body Text Indent"/>
    <w:basedOn w:val="Normale"/>
    <w:link w:val="RientrocorpodeltestoCarattere"/>
    <w:rsid w:val="003135BC"/>
    <w:pPr>
      <w:spacing w:after="120"/>
      <w:ind w:left="283"/>
    </w:pPr>
  </w:style>
  <w:style w:type="character" w:customStyle="1" w:styleId="RientrocorpodeltestoCarattere">
    <w:name w:val="Rientro corpo del testo Carattere"/>
    <w:basedOn w:val="Carpredefinitoparagrafo"/>
    <w:link w:val="Rientrocorpodeltesto"/>
    <w:rsid w:val="003135BC"/>
    <w:rPr>
      <w:rFonts w:ascii="Arial" w:hAnsi="Arial"/>
      <w:sz w:val="24"/>
      <w:lang w:val="it-IT" w:eastAsia="it-IT"/>
    </w:rPr>
  </w:style>
  <w:style w:type="character" w:customStyle="1" w:styleId="lead">
    <w:name w:val="lead"/>
    <w:rsid w:val="003135BC"/>
  </w:style>
  <w:style w:type="paragraph" w:customStyle="1" w:styleId="StileTitolo1SottolineatoDopo0ptInterlineaminima12pt2">
    <w:name w:val="Stile Titolo 1 + Sottolineato Dopo:  0 pt Interlinea minima 12 pt2"/>
    <w:basedOn w:val="Titolo1"/>
    <w:rsid w:val="003135BC"/>
    <w:pPr>
      <w:spacing w:line="240" w:lineRule="atLeast"/>
    </w:pPr>
    <w:rPr>
      <w:bCs/>
      <w:szCs w:val="20"/>
    </w:rPr>
  </w:style>
  <w:style w:type="paragraph" w:customStyle="1" w:styleId="StileTitolo2Allineatoasinistra">
    <w:name w:val="Stile Titolo 2 + Allineato a sinistra"/>
    <w:basedOn w:val="Titolo2"/>
    <w:rsid w:val="003135BC"/>
    <w:pPr>
      <w:spacing w:before="120"/>
      <w:jc w:val="left"/>
    </w:pPr>
    <w:rPr>
      <w:bCs/>
    </w:rPr>
  </w:style>
  <w:style w:type="paragraph" w:customStyle="1" w:styleId="StileTitolo3">
    <w:name w:val="Stile Titolo 3"/>
    <w:basedOn w:val="StileTitolo2Allineatoasinistra"/>
    <w:qFormat/>
    <w:rsid w:val="003135BC"/>
    <w:pPr>
      <w:numPr>
        <w:ilvl w:val="2"/>
      </w:numPr>
      <w:tabs>
        <w:tab w:val="num" w:pos="360"/>
      </w:tabs>
    </w:pPr>
    <w:rPr>
      <w:b w:val="0"/>
      <w:i/>
      <w:u w:val="single"/>
    </w:rPr>
  </w:style>
  <w:style w:type="paragraph" w:customStyle="1" w:styleId="NomeAtto">
    <w:name w:val="Nome Atto"/>
    <w:basedOn w:val="Normale"/>
    <w:next w:val="Normale"/>
    <w:rsid w:val="003135BC"/>
    <w:pPr>
      <w:tabs>
        <w:tab w:val="left" w:pos="1701"/>
      </w:tabs>
      <w:ind w:left="720" w:right="187"/>
      <w:jc w:val="center"/>
    </w:pPr>
    <w:rPr>
      <w:b/>
      <w:noProof/>
      <w:lang w:val="it-CH" w:eastAsia="it-CH"/>
    </w:rPr>
  </w:style>
  <w:style w:type="paragraph" w:customStyle="1" w:styleId="Corpo">
    <w:name w:val="Corpo"/>
    <w:rsid w:val="003135B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Didefault">
    <w:name w:val="Di default"/>
    <w:rsid w:val="003135B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Trattino">
    <w:name w:val="Trattino"/>
    <w:rsid w:val="003135BC"/>
    <w:pPr>
      <w:numPr>
        <w:numId w:val="7"/>
      </w:numPr>
    </w:pPr>
  </w:style>
  <w:style w:type="numbering" w:customStyle="1" w:styleId="List0">
    <w:name w:val="List 0"/>
    <w:basedOn w:val="Nessunelenco"/>
    <w:rsid w:val="003135BC"/>
    <w:pPr>
      <w:numPr>
        <w:numId w:val="8"/>
      </w:numPr>
    </w:pPr>
  </w:style>
  <w:style w:type="paragraph" w:customStyle="1" w:styleId="CM2">
    <w:name w:val="CM2"/>
    <w:basedOn w:val="Normale"/>
    <w:next w:val="Normale"/>
    <w:uiPriority w:val="99"/>
    <w:rsid w:val="003135BC"/>
    <w:pPr>
      <w:widowControl w:val="0"/>
      <w:autoSpaceDE w:val="0"/>
      <w:autoSpaceDN w:val="0"/>
      <w:adjustRightInd w:val="0"/>
      <w:jc w:val="left"/>
    </w:pPr>
    <w:rPr>
      <w:rFonts w:ascii="LSGGXF+Arial-BoldMT" w:hAnsi="LSGGXF+Arial-BoldMT"/>
      <w:szCs w:val="24"/>
      <w:lang w:val="it-CH" w:eastAsia="it-CH"/>
    </w:rPr>
  </w:style>
  <w:style w:type="paragraph" w:customStyle="1" w:styleId="StileTitolo1">
    <w:name w:val="Stile Titolo 1"/>
    <w:basedOn w:val="Titolo1"/>
    <w:next w:val="Normale"/>
    <w:qFormat/>
    <w:rsid w:val="003135BC"/>
    <w:pPr>
      <w:tabs>
        <w:tab w:val="clear" w:pos="567"/>
        <w:tab w:val="left" w:pos="851"/>
      </w:tabs>
      <w:jc w:val="left"/>
    </w:pPr>
    <w:rPr>
      <w:bCs/>
      <w:szCs w:val="20"/>
    </w:rPr>
  </w:style>
  <w:style w:type="paragraph" w:customStyle="1" w:styleId="StileTitolo2">
    <w:name w:val="Stile Titolo 2"/>
    <w:basedOn w:val="Titolo2"/>
    <w:next w:val="Normale"/>
    <w:qFormat/>
    <w:rsid w:val="003135BC"/>
    <w:pPr>
      <w:tabs>
        <w:tab w:val="clear" w:pos="567"/>
        <w:tab w:val="num" w:pos="766"/>
        <w:tab w:val="left" w:pos="851"/>
      </w:tabs>
      <w:spacing w:before="120"/>
      <w:ind w:left="766" w:hanging="766"/>
      <w:jc w:val="left"/>
    </w:pPr>
    <w:rPr>
      <w:bCs/>
    </w:rPr>
  </w:style>
  <w:style w:type="character" w:customStyle="1" w:styleId="ancora">
    <w:name w:val="ancora"/>
    <w:basedOn w:val="Carpredefinitoparagrafo"/>
    <w:rsid w:val="003135BC"/>
  </w:style>
  <w:style w:type="paragraph" w:customStyle="1" w:styleId="Elenco1">
    <w:name w:val="Elenco 1"/>
    <w:basedOn w:val="Paragrafoelenco"/>
    <w:link w:val="Elenco1Carattere"/>
    <w:qFormat/>
    <w:rsid w:val="003135BC"/>
    <w:pPr>
      <w:numPr>
        <w:numId w:val="13"/>
      </w:numPr>
      <w:spacing w:before="120"/>
      <w:ind w:left="284" w:hanging="284"/>
      <w:contextualSpacing w:val="0"/>
    </w:pPr>
    <w:rPr>
      <w:rFonts w:cs="Arial"/>
      <w:szCs w:val="24"/>
    </w:rPr>
  </w:style>
  <w:style w:type="character" w:customStyle="1" w:styleId="Elenco1Carattere">
    <w:name w:val="Elenco 1 Carattere"/>
    <w:basedOn w:val="Carpredefinitoparagrafo"/>
    <w:link w:val="Elenco1"/>
    <w:rsid w:val="003135BC"/>
    <w:rPr>
      <w:rFonts w:ascii="Arial" w:hAnsi="Arial" w:cs="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ti.ch/incentivi" TargetMode="External"/><Relationship Id="rId2" Type="http://schemas.openxmlformats.org/officeDocument/2006/relationships/hyperlink" Target="https://www4.ti.ch/can/linee-direttive/ld/linee-direttive/" TargetMode="External"/><Relationship Id="rId1" Type="http://schemas.openxmlformats.org/officeDocument/2006/relationships/hyperlink" Target="http://www.ti.ch/pec" TargetMode="External"/><Relationship Id="rId5" Type="http://schemas.openxmlformats.org/officeDocument/2006/relationships/hyperlink" Target="https://www4.ti.ch/area-media/comunicati/dettaglio-comunicato/?NEWS_ID=186063&amp;cHash=942aea4283766fbe02a60011410861f0" TargetMode="External"/><Relationship Id="rId4" Type="http://schemas.openxmlformats.org/officeDocument/2006/relationships/hyperlink" Target="https://www.bfe.admin.ch/bfe/it/home/approvvigionamento/statistiche-e-geodati/indici-veicoli/indici-relativi-ai-veicoli-nuovi-con-propulsione-alternativ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5960</Words>
  <Characters>34850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2021-07-13T11:46:00Z</cp:lastPrinted>
  <dcterms:created xsi:type="dcterms:W3CDTF">2021-07-13T12:27:00Z</dcterms:created>
  <dcterms:modified xsi:type="dcterms:W3CDTF">2021-07-13T12:27:00Z</dcterms:modified>
</cp:coreProperties>
</file>