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17" w:rsidRDefault="00F23F17" w:rsidP="00F23F17">
      <w:pPr>
        <w:rPr>
          <w:rFonts w:ascii="Gill Sans MT" w:hAnsi="Gill Sans MT"/>
          <w:b/>
          <w:sz w:val="56"/>
          <w:szCs w:val="56"/>
        </w:rPr>
      </w:pPr>
      <w:r>
        <w:rPr>
          <w:rFonts w:ascii="Gill Sans MT" w:hAnsi="Gill Sans MT"/>
          <w:b/>
          <w:sz w:val="56"/>
          <w:szCs w:val="56"/>
        </w:rPr>
        <w:t>Messaggio</w:t>
      </w:r>
    </w:p>
    <w:p w:rsidR="00F23F17" w:rsidRDefault="00F23F17" w:rsidP="00F23F17">
      <w:pPr>
        <w:tabs>
          <w:tab w:val="left" w:pos="426"/>
        </w:tabs>
        <w:rPr>
          <w:sz w:val="20"/>
        </w:rPr>
      </w:pPr>
    </w:p>
    <w:p w:rsidR="00F23F17" w:rsidRDefault="00F23F17" w:rsidP="00F23F17">
      <w:pPr>
        <w:tabs>
          <w:tab w:val="left" w:pos="426"/>
        </w:tabs>
        <w:rPr>
          <w:sz w:val="20"/>
        </w:rPr>
      </w:pPr>
    </w:p>
    <w:p w:rsidR="00F23F17" w:rsidRDefault="00F23F17" w:rsidP="00F23F17">
      <w:pPr>
        <w:tabs>
          <w:tab w:val="left" w:pos="426"/>
        </w:tabs>
        <w:rPr>
          <w:sz w:val="20"/>
        </w:rPr>
      </w:pPr>
    </w:p>
    <w:p w:rsidR="00BF3FC3" w:rsidRDefault="00DF3925">
      <w:pPr>
        <w:tabs>
          <w:tab w:val="left" w:pos="2098"/>
          <w:tab w:val="left" w:pos="4933"/>
        </w:tabs>
      </w:pPr>
      <w:bookmarkStart w:id="0" w:name="_GoBack"/>
      <w:bookmarkEnd w:id="0"/>
      <w:r>
        <w:rPr>
          <w:b/>
          <w:sz w:val="32"/>
        </w:rPr>
        <w:t>8065</w:t>
      </w:r>
      <w:r w:rsidR="00BF3FC3" w:rsidRPr="00DF3925">
        <w:rPr>
          <w:sz w:val="28"/>
        </w:rPr>
        <w:tab/>
      </w:r>
      <w:r w:rsidR="00463432" w:rsidRPr="00DF3925">
        <w:rPr>
          <w:sz w:val="28"/>
        </w:rPr>
        <w:t>30 settembre 2021</w:t>
      </w:r>
      <w:r w:rsidR="00BF3FC3" w:rsidRPr="00DF3925">
        <w:rPr>
          <w:sz w:val="28"/>
        </w:rPr>
        <w:tab/>
      </w:r>
      <w:r w:rsidR="00463432" w:rsidRPr="00DF3925">
        <w:rPr>
          <w:sz w:val="28"/>
        </w:rPr>
        <w:t>TERRITORIO</w:t>
      </w:r>
      <w:r w:rsidR="00B61658">
        <w:rPr>
          <w:sz w:val="28"/>
        </w:rPr>
        <w:t xml:space="preserve"> </w:t>
      </w:r>
    </w:p>
    <w:p w:rsidR="00BF3FC3" w:rsidRDefault="00BF3FC3"/>
    <w:p w:rsidR="00FD5A47" w:rsidRDefault="00FD5A47"/>
    <w:p w:rsidR="00BF3FC3" w:rsidRDefault="00BF3FC3"/>
    <w:p w:rsidR="00463432" w:rsidRPr="00463432" w:rsidRDefault="00463432" w:rsidP="00463432">
      <w:pPr>
        <w:suppressAutoHyphens/>
        <w:rPr>
          <w:rFonts w:eastAsia="Arial" w:cs="Arial"/>
          <w:b/>
          <w:bCs/>
          <w:sz w:val="28"/>
          <w:szCs w:val="22"/>
          <w:lang w:val="it-CH" w:eastAsia="en-US"/>
        </w:rPr>
      </w:pPr>
      <w:r w:rsidRPr="00463432">
        <w:rPr>
          <w:rFonts w:eastAsia="Arial" w:cs="Arial"/>
          <w:b/>
          <w:bCs/>
          <w:sz w:val="28"/>
          <w:szCs w:val="22"/>
          <w:lang w:val="it-CH" w:eastAsia="en-US"/>
        </w:rPr>
        <w:t xml:space="preserve">Modifiche del Piano direttore cantonale n. 17 - </w:t>
      </w:r>
      <w:proofErr w:type="gramStart"/>
      <w:r w:rsidRPr="00463432">
        <w:rPr>
          <w:rFonts w:eastAsia="Arial" w:cs="Arial"/>
          <w:b/>
          <w:bCs/>
          <w:sz w:val="28"/>
          <w:szCs w:val="22"/>
          <w:lang w:val="it-CH" w:eastAsia="en-US"/>
        </w:rPr>
        <w:t>Maggio</w:t>
      </w:r>
      <w:proofErr w:type="gramEnd"/>
      <w:r w:rsidRPr="00463432">
        <w:rPr>
          <w:rFonts w:eastAsia="Arial" w:cs="Arial"/>
          <w:b/>
          <w:bCs/>
          <w:sz w:val="28"/>
          <w:szCs w:val="22"/>
          <w:lang w:val="it-CH" w:eastAsia="en-US"/>
        </w:rPr>
        <w:t xml:space="preserve"> 2021</w:t>
      </w:r>
    </w:p>
    <w:p w:rsidR="00463432" w:rsidRPr="00463432" w:rsidRDefault="00463432" w:rsidP="00463432">
      <w:pPr>
        <w:suppressAutoHyphens/>
        <w:spacing w:after="200"/>
        <w:rPr>
          <w:rFonts w:eastAsia="Arial" w:cs="Arial"/>
          <w:b/>
          <w:bCs/>
          <w:sz w:val="28"/>
          <w:szCs w:val="22"/>
          <w:lang w:val="it-CH" w:eastAsia="en-US"/>
        </w:rPr>
      </w:pPr>
      <w:r w:rsidRPr="00463432">
        <w:rPr>
          <w:rFonts w:eastAsia="Arial" w:cs="Arial"/>
          <w:b/>
          <w:bCs/>
          <w:sz w:val="28"/>
          <w:szCs w:val="22"/>
          <w:lang w:val="it-CH" w:eastAsia="en-US"/>
        </w:rPr>
        <w:t xml:space="preserve">Scheda V7 </w:t>
      </w:r>
      <w:r w:rsidRPr="00463432">
        <w:rPr>
          <w:rFonts w:eastAsia="Arial" w:cs="Arial"/>
          <w:b/>
          <w:bCs/>
          <w:i/>
          <w:sz w:val="28"/>
          <w:szCs w:val="22"/>
          <w:lang w:val="it-CH" w:eastAsia="en-US"/>
        </w:rPr>
        <w:t>Discariche</w:t>
      </w:r>
    </w:p>
    <w:p w:rsidR="00463432" w:rsidRPr="00463432" w:rsidRDefault="00463432" w:rsidP="00B9290E">
      <w:pPr>
        <w:suppressAutoHyphens/>
        <w:rPr>
          <w:rFonts w:eastAsia="Arial" w:cs="Arial"/>
          <w:b/>
          <w:bCs/>
          <w:sz w:val="22"/>
          <w:szCs w:val="24"/>
          <w:lang w:val="it-CH" w:eastAsia="en-US"/>
        </w:rPr>
      </w:pPr>
      <w:r w:rsidRPr="00463432">
        <w:rPr>
          <w:rFonts w:eastAsia="Arial" w:cs="Arial"/>
          <w:b/>
          <w:bCs/>
          <w:sz w:val="22"/>
          <w:szCs w:val="24"/>
          <w:lang w:val="it-CH" w:eastAsia="en-US"/>
        </w:rPr>
        <w:t>OSSERVAZIONI AI RICORSI</w:t>
      </w:r>
    </w:p>
    <w:p w:rsidR="00BF3FC3" w:rsidRDefault="00BF3FC3"/>
    <w:p w:rsidR="00FD5A47" w:rsidRDefault="00FD5A47"/>
    <w:p w:rsidR="00B9290E" w:rsidRDefault="00B9290E"/>
    <w:p w:rsidR="00463432" w:rsidRPr="00463432" w:rsidRDefault="00463432" w:rsidP="00463432">
      <w:pPr>
        <w:tabs>
          <w:tab w:val="left" w:pos="284"/>
          <w:tab w:val="left" w:pos="426"/>
          <w:tab w:val="left" w:pos="4962"/>
        </w:tabs>
        <w:rPr>
          <w:b/>
          <w:sz w:val="26"/>
          <w:lang w:val="it-CH"/>
        </w:rPr>
      </w:pPr>
      <w:r w:rsidRPr="00463432">
        <w:rPr>
          <w:b/>
          <w:sz w:val="26"/>
          <w:lang w:val="it-CH"/>
        </w:rPr>
        <w:t>SOMMARIO</w:t>
      </w:r>
    </w:p>
    <w:p w:rsidR="0040516A" w:rsidRDefault="00463432">
      <w:pPr>
        <w:pStyle w:val="Sommario1"/>
        <w:rPr>
          <w:rFonts w:asciiTheme="minorHAnsi" w:eastAsiaTheme="minorEastAsia" w:hAnsiTheme="minorHAnsi" w:cstheme="minorBidi"/>
          <w:caps w:val="0"/>
          <w:noProof/>
          <w:lang w:val="it-CH" w:eastAsia="it-CH"/>
        </w:rPr>
      </w:pPr>
      <w:r w:rsidRPr="00463432">
        <w:rPr>
          <w:rFonts w:eastAsia="Arial"/>
          <w:b/>
          <w:color w:val="00B050"/>
          <w:sz w:val="24"/>
          <w:szCs w:val="24"/>
          <w:lang w:val="it-CH" w:eastAsia="en-US"/>
        </w:rPr>
        <w:fldChar w:fldCharType="begin"/>
      </w:r>
      <w:r w:rsidRPr="00463432">
        <w:rPr>
          <w:rFonts w:eastAsia="Arial"/>
          <w:b/>
          <w:color w:val="00B050"/>
          <w:sz w:val="24"/>
          <w:szCs w:val="24"/>
          <w:lang w:val="it-CH" w:eastAsia="en-US"/>
        </w:rPr>
        <w:instrText xml:space="preserve"> TOC \o "1-3" \h \z \u </w:instrText>
      </w:r>
      <w:r w:rsidRPr="00463432">
        <w:rPr>
          <w:rFonts w:eastAsia="Arial"/>
          <w:b/>
          <w:color w:val="00B050"/>
          <w:sz w:val="24"/>
          <w:szCs w:val="24"/>
          <w:lang w:val="it-CH" w:eastAsia="en-US"/>
        </w:rPr>
        <w:fldChar w:fldCharType="separate"/>
      </w:r>
      <w:hyperlink w:anchor="_Toc83882437" w:history="1">
        <w:r w:rsidR="0040516A" w:rsidRPr="009C05B6">
          <w:rPr>
            <w:rStyle w:val="Collegamentoipertestuale"/>
            <w:noProof/>
            <w:lang w:val="it-CH"/>
          </w:rPr>
          <w:t>1.</w:t>
        </w:r>
        <w:r w:rsidR="0040516A">
          <w:rPr>
            <w:rFonts w:asciiTheme="minorHAnsi" w:eastAsiaTheme="minorEastAsia" w:hAnsiTheme="minorHAnsi" w:cstheme="minorBidi"/>
            <w:caps w:val="0"/>
            <w:noProof/>
            <w:lang w:val="it-CH" w:eastAsia="it-CH"/>
          </w:rPr>
          <w:tab/>
        </w:r>
        <w:r w:rsidR="0040516A" w:rsidRPr="009C05B6">
          <w:rPr>
            <w:rStyle w:val="Collegamentoipertestuale"/>
            <w:noProof/>
            <w:lang w:val="it-CH"/>
          </w:rPr>
          <w:t>Premessa procedurale</w:t>
        </w:r>
        <w:r w:rsidR="0040516A">
          <w:rPr>
            <w:noProof/>
            <w:webHidden/>
          </w:rPr>
          <w:tab/>
        </w:r>
        <w:r w:rsidR="0040516A">
          <w:rPr>
            <w:noProof/>
            <w:webHidden/>
          </w:rPr>
          <w:fldChar w:fldCharType="begin"/>
        </w:r>
        <w:r w:rsidR="0040516A">
          <w:rPr>
            <w:noProof/>
            <w:webHidden/>
          </w:rPr>
          <w:instrText xml:space="preserve"> PAGEREF _Toc83882437 \h </w:instrText>
        </w:r>
        <w:r w:rsidR="0040516A">
          <w:rPr>
            <w:noProof/>
            <w:webHidden/>
          </w:rPr>
        </w:r>
        <w:r w:rsidR="0040516A">
          <w:rPr>
            <w:noProof/>
            <w:webHidden/>
          </w:rPr>
          <w:fldChar w:fldCharType="separate"/>
        </w:r>
        <w:r w:rsidR="00DF3925">
          <w:rPr>
            <w:noProof/>
            <w:webHidden/>
          </w:rPr>
          <w:t>2</w:t>
        </w:r>
        <w:r w:rsidR="0040516A">
          <w:rPr>
            <w:noProof/>
            <w:webHidden/>
          </w:rPr>
          <w:fldChar w:fldCharType="end"/>
        </w:r>
      </w:hyperlink>
    </w:p>
    <w:p w:rsidR="0040516A" w:rsidRDefault="00F23F17">
      <w:pPr>
        <w:pStyle w:val="Sommario1"/>
        <w:rPr>
          <w:rFonts w:asciiTheme="minorHAnsi" w:eastAsiaTheme="minorEastAsia" w:hAnsiTheme="minorHAnsi" w:cstheme="minorBidi"/>
          <w:caps w:val="0"/>
          <w:noProof/>
          <w:lang w:val="it-CH" w:eastAsia="it-CH"/>
        </w:rPr>
      </w:pPr>
      <w:hyperlink w:anchor="_Toc83882438" w:history="1">
        <w:r w:rsidR="0040516A" w:rsidRPr="009C05B6">
          <w:rPr>
            <w:rStyle w:val="Collegamentoipertestuale"/>
            <w:noProof/>
            <w:lang w:val="it-CH"/>
          </w:rPr>
          <w:t>2.</w:t>
        </w:r>
        <w:r w:rsidR="0040516A">
          <w:rPr>
            <w:rFonts w:asciiTheme="minorHAnsi" w:eastAsiaTheme="minorEastAsia" w:hAnsiTheme="minorHAnsi" w:cstheme="minorBidi"/>
            <w:caps w:val="0"/>
            <w:noProof/>
            <w:lang w:val="it-CH" w:eastAsia="it-CH"/>
          </w:rPr>
          <w:tab/>
        </w:r>
        <w:r w:rsidR="0040516A" w:rsidRPr="009C05B6">
          <w:rPr>
            <w:rStyle w:val="Collegamentoipertestuale"/>
            <w:noProof/>
            <w:lang w:val="it-CH"/>
          </w:rPr>
          <w:t>Le modifiche della scheda V7</w:t>
        </w:r>
        <w:r w:rsidR="0040516A">
          <w:rPr>
            <w:noProof/>
            <w:webHidden/>
          </w:rPr>
          <w:tab/>
        </w:r>
        <w:r w:rsidR="0040516A">
          <w:rPr>
            <w:noProof/>
            <w:webHidden/>
          </w:rPr>
          <w:fldChar w:fldCharType="begin"/>
        </w:r>
        <w:r w:rsidR="0040516A">
          <w:rPr>
            <w:noProof/>
            <w:webHidden/>
          </w:rPr>
          <w:instrText xml:space="preserve"> PAGEREF _Toc83882438 \h </w:instrText>
        </w:r>
        <w:r w:rsidR="0040516A">
          <w:rPr>
            <w:noProof/>
            <w:webHidden/>
          </w:rPr>
        </w:r>
        <w:r w:rsidR="0040516A">
          <w:rPr>
            <w:noProof/>
            <w:webHidden/>
          </w:rPr>
          <w:fldChar w:fldCharType="separate"/>
        </w:r>
        <w:r w:rsidR="00DF3925">
          <w:rPr>
            <w:noProof/>
            <w:webHidden/>
          </w:rPr>
          <w:t>3</w:t>
        </w:r>
        <w:r w:rsidR="0040516A">
          <w:rPr>
            <w:noProof/>
            <w:webHidden/>
          </w:rPr>
          <w:fldChar w:fldCharType="end"/>
        </w:r>
      </w:hyperlink>
    </w:p>
    <w:p w:rsidR="0040516A" w:rsidRDefault="00F23F17">
      <w:pPr>
        <w:pStyle w:val="Sommario1"/>
        <w:rPr>
          <w:rFonts w:asciiTheme="minorHAnsi" w:eastAsiaTheme="minorEastAsia" w:hAnsiTheme="minorHAnsi" w:cstheme="minorBidi"/>
          <w:caps w:val="0"/>
          <w:noProof/>
          <w:lang w:val="it-CH" w:eastAsia="it-CH"/>
        </w:rPr>
      </w:pPr>
      <w:hyperlink w:anchor="_Toc83882439" w:history="1">
        <w:r w:rsidR="0040516A" w:rsidRPr="009C05B6">
          <w:rPr>
            <w:rStyle w:val="Collegamentoipertestuale"/>
            <w:noProof/>
            <w:lang w:val="it-CH"/>
          </w:rPr>
          <w:t>3.</w:t>
        </w:r>
        <w:r w:rsidR="0040516A">
          <w:rPr>
            <w:rFonts w:asciiTheme="minorHAnsi" w:eastAsiaTheme="minorEastAsia" w:hAnsiTheme="minorHAnsi" w:cstheme="minorBidi"/>
            <w:caps w:val="0"/>
            <w:noProof/>
            <w:lang w:val="it-CH" w:eastAsia="it-CH"/>
          </w:rPr>
          <w:tab/>
        </w:r>
        <w:r w:rsidR="0040516A" w:rsidRPr="009C05B6">
          <w:rPr>
            <w:rStyle w:val="Collegamentoipertestuale"/>
            <w:noProof/>
            <w:lang w:val="it-CH"/>
          </w:rPr>
          <w:t>Ricorsi e proposte di decisioni</w:t>
        </w:r>
        <w:r w:rsidR="0040516A">
          <w:rPr>
            <w:noProof/>
            <w:webHidden/>
          </w:rPr>
          <w:tab/>
        </w:r>
        <w:r w:rsidR="0040516A">
          <w:rPr>
            <w:noProof/>
            <w:webHidden/>
          </w:rPr>
          <w:fldChar w:fldCharType="begin"/>
        </w:r>
        <w:r w:rsidR="0040516A">
          <w:rPr>
            <w:noProof/>
            <w:webHidden/>
          </w:rPr>
          <w:instrText xml:space="preserve"> PAGEREF _Toc83882439 \h </w:instrText>
        </w:r>
        <w:r w:rsidR="0040516A">
          <w:rPr>
            <w:noProof/>
            <w:webHidden/>
          </w:rPr>
        </w:r>
        <w:r w:rsidR="0040516A">
          <w:rPr>
            <w:noProof/>
            <w:webHidden/>
          </w:rPr>
          <w:fldChar w:fldCharType="separate"/>
        </w:r>
        <w:r w:rsidR="00DF3925">
          <w:rPr>
            <w:noProof/>
            <w:webHidden/>
          </w:rPr>
          <w:t>3</w:t>
        </w:r>
        <w:r w:rsidR="0040516A">
          <w:rPr>
            <w:noProof/>
            <w:webHidden/>
          </w:rPr>
          <w:fldChar w:fldCharType="end"/>
        </w:r>
      </w:hyperlink>
    </w:p>
    <w:p w:rsidR="0040516A" w:rsidRDefault="00F23F17">
      <w:pPr>
        <w:pStyle w:val="Sommario2"/>
        <w:rPr>
          <w:rFonts w:asciiTheme="minorHAnsi" w:eastAsiaTheme="minorEastAsia" w:hAnsiTheme="minorHAnsi" w:cstheme="minorBidi"/>
          <w:noProof/>
          <w:lang w:val="it-CH" w:eastAsia="it-CH"/>
        </w:rPr>
      </w:pPr>
      <w:hyperlink w:anchor="_Toc83882440" w:history="1">
        <w:r w:rsidR="0040516A" w:rsidRPr="009C05B6">
          <w:rPr>
            <w:rStyle w:val="Collegamentoipertestuale"/>
            <w:noProof/>
            <w:lang w:val="it-CH"/>
          </w:rPr>
          <w:t>3.1</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Ricorso del Comune e del Patriziato di Biasca</w:t>
        </w:r>
        <w:r w:rsidR="0040516A">
          <w:rPr>
            <w:noProof/>
            <w:webHidden/>
          </w:rPr>
          <w:tab/>
        </w:r>
        <w:r w:rsidR="0040516A">
          <w:rPr>
            <w:noProof/>
            <w:webHidden/>
          </w:rPr>
          <w:fldChar w:fldCharType="begin"/>
        </w:r>
        <w:r w:rsidR="0040516A">
          <w:rPr>
            <w:noProof/>
            <w:webHidden/>
          </w:rPr>
          <w:instrText xml:space="preserve"> PAGEREF _Toc83882440 \h </w:instrText>
        </w:r>
        <w:r w:rsidR="0040516A">
          <w:rPr>
            <w:noProof/>
            <w:webHidden/>
          </w:rPr>
        </w:r>
        <w:r w:rsidR="0040516A">
          <w:rPr>
            <w:noProof/>
            <w:webHidden/>
          </w:rPr>
          <w:fldChar w:fldCharType="separate"/>
        </w:r>
        <w:r w:rsidR="00DF3925">
          <w:rPr>
            <w:noProof/>
            <w:webHidden/>
          </w:rPr>
          <w:t>3</w:t>
        </w:r>
        <w:r w:rsidR="0040516A">
          <w:rPr>
            <w:noProof/>
            <w:webHidden/>
          </w:rPr>
          <w:fldChar w:fldCharType="end"/>
        </w:r>
      </w:hyperlink>
    </w:p>
    <w:p w:rsidR="0040516A" w:rsidRDefault="00F23F17">
      <w:pPr>
        <w:pStyle w:val="Sommario3"/>
        <w:rPr>
          <w:rFonts w:asciiTheme="minorHAnsi" w:eastAsiaTheme="minorEastAsia" w:hAnsiTheme="minorHAnsi" w:cstheme="minorBidi"/>
          <w:noProof/>
          <w:lang w:val="it-CH" w:eastAsia="it-CH"/>
        </w:rPr>
      </w:pPr>
      <w:hyperlink w:anchor="_Toc83882441" w:history="1">
        <w:r w:rsidR="0040516A" w:rsidRPr="009C05B6">
          <w:rPr>
            <w:rStyle w:val="Collegamentoipertestuale"/>
            <w:noProof/>
            <w:lang w:val="it-CH"/>
          </w:rPr>
          <w:t>3.1.1</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Sintesi delle richieste ricorsuali</w:t>
        </w:r>
        <w:r w:rsidR="0040516A">
          <w:rPr>
            <w:noProof/>
            <w:webHidden/>
          </w:rPr>
          <w:tab/>
        </w:r>
        <w:r w:rsidR="0040516A">
          <w:rPr>
            <w:noProof/>
            <w:webHidden/>
          </w:rPr>
          <w:fldChar w:fldCharType="begin"/>
        </w:r>
        <w:r w:rsidR="0040516A">
          <w:rPr>
            <w:noProof/>
            <w:webHidden/>
          </w:rPr>
          <w:instrText xml:space="preserve"> PAGEREF _Toc83882441 \h </w:instrText>
        </w:r>
        <w:r w:rsidR="0040516A">
          <w:rPr>
            <w:noProof/>
            <w:webHidden/>
          </w:rPr>
        </w:r>
        <w:r w:rsidR="0040516A">
          <w:rPr>
            <w:noProof/>
            <w:webHidden/>
          </w:rPr>
          <w:fldChar w:fldCharType="separate"/>
        </w:r>
        <w:r w:rsidR="00DF3925">
          <w:rPr>
            <w:noProof/>
            <w:webHidden/>
          </w:rPr>
          <w:t>3</w:t>
        </w:r>
        <w:r w:rsidR="0040516A">
          <w:rPr>
            <w:noProof/>
            <w:webHidden/>
          </w:rPr>
          <w:fldChar w:fldCharType="end"/>
        </w:r>
      </w:hyperlink>
    </w:p>
    <w:p w:rsidR="0040516A" w:rsidRDefault="00F23F17">
      <w:pPr>
        <w:pStyle w:val="Sommario3"/>
        <w:rPr>
          <w:rFonts w:asciiTheme="minorHAnsi" w:eastAsiaTheme="minorEastAsia" w:hAnsiTheme="minorHAnsi" w:cstheme="minorBidi"/>
          <w:noProof/>
          <w:lang w:val="it-CH" w:eastAsia="it-CH"/>
        </w:rPr>
      </w:pPr>
      <w:hyperlink w:anchor="_Toc83882442" w:history="1">
        <w:r w:rsidR="0040516A" w:rsidRPr="009C05B6">
          <w:rPr>
            <w:rStyle w:val="Collegamentoipertestuale"/>
            <w:noProof/>
            <w:lang w:val="it-CH"/>
          </w:rPr>
          <w:t>3.1.2</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Osservazioni e proposta di decisione</w:t>
        </w:r>
        <w:r w:rsidR="0040516A">
          <w:rPr>
            <w:noProof/>
            <w:webHidden/>
          </w:rPr>
          <w:tab/>
        </w:r>
        <w:r w:rsidR="0040516A">
          <w:rPr>
            <w:noProof/>
            <w:webHidden/>
          </w:rPr>
          <w:fldChar w:fldCharType="begin"/>
        </w:r>
        <w:r w:rsidR="0040516A">
          <w:rPr>
            <w:noProof/>
            <w:webHidden/>
          </w:rPr>
          <w:instrText xml:space="preserve"> PAGEREF _Toc83882442 \h </w:instrText>
        </w:r>
        <w:r w:rsidR="0040516A">
          <w:rPr>
            <w:noProof/>
            <w:webHidden/>
          </w:rPr>
        </w:r>
        <w:r w:rsidR="0040516A">
          <w:rPr>
            <w:noProof/>
            <w:webHidden/>
          </w:rPr>
          <w:fldChar w:fldCharType="separate"/>
        </w:r>
        <w:r w:rsidR="00DF3925">
          <w:rPr>
            <w:noProof/>
            <w:webHidden/>
          </w:rPr>
          <w:t>4</w:t>
        </w:r>
        <w:r w:rsidR="0040516A">
          <w:rPr>
            <w:noProof/>
            <w:webHidden/>
          </w:rPr>
          <w:fldChar w:fldCharType="end"/>
        </w:r>
      </w:hyperlink>
    </w:p>
    <w:p w:rsidR="0040516A" w:rsidRDefault="00F23F17">
      <w:pPr>
        <w:pStyle w:val="Sommario2"/>
        <w:rPr>
          <w:rFonts w:asciiTheme="minorHAnsi" w:eastAsiaTheme="minorEastAsia" w:hAnsiTheme="minorHAnsi" w:cstheme="minorBidi"/>
          <w:noProof/>
          <w:lang w:val="it-CH" w:eastAsia="it-CH"/>
        </w:rPr>
      </w:pPr>
      <w:hyperlink w:anchor="_Toc83882443" w:history="1">
        <w:r w:rsidR="0040516A" w:rsidRPr="009C05B6">
          <w:rPr>
            <w:rStyle w:val="Collegamentoipertestuale"/>
            <w:noProof/>
            <w:lang w:val="it-CH"/>
          </w:rPr>
          <w:t>3.2</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Ricorso dell’Unione Contadini Ticinesi (UCT)</w:t>
        </w:r>
        <w:r w:rsidR="0040516A">
          <w:rPr>
            <w:noProof/>
            <w:webHidden/>
          </w:rPr>
          <w:tab/>
        </w:r>
        <w:r w:rsidR="0040516A">
          <w:rPr>
            <w:noProof/>
            <w:webHidden/>
          </w:rPr>
          <w:fldChar w:fldCharType="begin"/>
        </w:r>
        <w:r w:rsidR="0040516A">
          <w:rPr>
            <w:noProof/>
            <w:webHidden/>
          </w:rPr>
          <w:instrText xml:space="preserve"> PAGEREF _Toc83882443 \h </w:instrText>
        </w:r>
        <w:r w:rsidR="0040516A">
          <w:rPr>
            <w:noProof/>
            <w:webHidden/>
          </w:rPr>
        </w:r>
        <w:r w:rsidR="0040516A">
          <w:rPr>
            <w:noProof/>
            <w:webHidden/>
          </w:rPr>
          <w:fldChar w:fldCharType="separate"/>
        </w:r>
        <w:r w:rsidR="00DF3925">
          <w:rPr>
            <w:noProof/>
            <w:webHidden/>
          </w:rPr>
          <w:t>5</w:t>
        </w:r>
        <w:r w:rsidR="0040516A">
          <w:rPr>
            <w:noProof/>
            <w:webHidden/>
          </w:rPr>
          <w:fldChar w:fldCharType="end"/>
        </w:r>
      </w:hyperlink>
    </w:p>
    <w:p w:rsidR="0040516A" w:rsidRDefault="00F23F17">
      <w:pPr>
        <w:pStyle w:val="Sommario3"/>
        <w:rPr>
          <w:rFonts w:asciiTheme="minorHAnsi" w:eastAsiaTheme="minorEastAsia" w:hAnsiTheme="minorHAnsi" w:cstheme="minorBidi"/>
          <w:noProof/>
          <w:lang w:val="it-CH" w:eastAsia="it-CH"/>
        </w:rPr>
      </w:pPr>
      <w:hyperlink w:anchor="_Toc83882444" w:history="1">
        <w:r w:rsidR="0040516A" w:rsidRPr="009C05B6">
          <w:rPr>
            <w:rStyle w:val="Collegamentoipertestuale"/>
            <w:noProof/>
            <w:lang w:val="it-CH"/>
          </w:rPr>
          <w:t>3.2.1</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Sintesi delle richieste ricorsuali</w:t>
        </w:r>
        <w:r w:rsidR="0040516A">
          <w:rPr>
            <w:noProof/>
            <w:webHidden/>
          </w:rPr>
          <w:tab/>
        </w:r>
        <w:r w:rsidR="0040516A">
          <w:rPr>
            <w:noProof/>
            <w:webHidden/>
          </w:rPr>
          <w:fldChar w:fldCharType="begin"/>
        </w:r>
        <w:r w:rsidR="0040516A">
          <w:rPr>
            <w:noProof/>
            <w:webHidden/>
          </w:rPr>
          <w:instrText xml:space="preserve"> PAGEREF _Toc83882444 \h </w:instrText>
        </w:r>
        <w:r w:rsidR="0040516A">
          <w:rPr>
            <w:noProof/>
            <w:webHidden/>
          </w:rPr>
        </w:r>
        <w:r w:rsidR="0040516A">
          <w:rPr>
            <w:noProof/>
            <w:webHidden/>
          </w:rPr>
          <w:fldChar w:fldCharType="separate"/>
        </w:r>
        <w:r w:rsidR="00DF3925">
          <w:rPr>
            <w:noProof/>
            <w:webHidden/>
          </w:rPr>
          <w:t>5</w:t>
        </w:r>
        <w:r w:rsidR="0040516A">
          <w:rPr>
            <w:noProof/>
            <w:webHidden/>
          </w:rPr>
          <w:fldChar w:fldCharType="end"/>
        </w:r>
      </w:hyperlink>
    </w:p>
    <w:p w:rsidR="0040516A" w:rsidRDefault="00F23F17">
      <w:pPr>
        <w:pStyle w:val="Sommario3"/>
        <w:rPr>
          <w:rFonts w:asciiTheme="minorHAnsi" w:eastAsiaTheme="minorEastAsia" w:hAnsiTheme="minorHAnsi" w:cstheme="minorBidi"/>
          <w:noProof/>
          <w:lang w:val="it-CH" w:eastAsia="it-CH"/>
        </w:rPr>
      </w:pPr>
      <w:hyperlink w:anchor="_Toc83882445" w:history="1">
        <w:r w:rsidR="0040516A" w:rsidRPr="009C05B6">
          <w:rPr>
            <w:rStyle w:val="Collegamentoipertestuale"/>
            <w:noProof/>
            <w:lang w:val="it-CH"/>
          </w:rPr>
          <w:t>3.2.2</w:t>
        </w:r>
        <w:r w:rsidR="0040516A">
          <w:rPr>
            <w:rFonts w:asciiTheme="minorHAnsi" w:eastAsiaTheme="minorEastAsia" w:hAnsiTheme="minorHAnsi" w:cstheme="minorBidi"/>
            <w:noProof/>
            <w:lang w:val="it-CH" w:eastAsia="it-CH"/>
          </w:rPr>
          <w:tab/>
        </w:r>
        <w:r w:rsidR="0040516A" w:rsidRPr="009C05B6">
          <w:rPr>
            <w:rStyle w:val="Collegamentoipertestuale"/>
            <w:noProof/>
            <w:lang w:val="it-CH"/>
          </w:rPr>
          <w:t>Osservazioni e proposta di decisione</w:t>
        </w:r>
        <w:r w:rsidR="0040516A">
          <w:rPr>
            <w:noProof/>
            <w:webHidden/>
          </w:rPr>
          <w:tab/>
        </w:r>
        <w:r w:rsidR="0040516A">
          <w:rPr>
            <w:noProof/>
            <w:webHidden/>
          </w:rPr>
          <w:fldChar w:fldCharType="begin"/>
        </w:r>
        <w:r w:rsidR="0040516A">
          <w:rPr>
            <w:noProof/>
            <w:webHidden/>
          </w:rPr>
          <w:instrText xml:space="preserve"> PAGEREF _Toc83882445 \h </w:instrText>
        </w:r>
        <w:r w:rsidR="0040516A">
          <w:rPr>
            <w:noProof/>
            <w:webHidden/>
          </w:rPr>
        </w:r>
        <w:r w:rsidR="0040516A">
          <w:rPr>
            <w:noProof/>
            <w:webHidden/>
          </w:rPr>
          <w:fldChar w:fldCharType="separate"/>
        </w:r>
        <w:r w:rsidR="00DF3925">
          <w:rPr>
            <w:noProof/>
            <w:webHidden/>
          </w:rPr>
          <w:t>5</w:t>
        </w:r>
        <w:r w:rsidR="0040516A">
          <w:rPr>
            <w:noProof/>
            <w:webHidden/>
          </w:rPr>
          <w:fldChar w:fldCharType="end"/>
        </w:r>
      </w:hyperlink>
    </w:p>
    <w:p w:rsidR="0040516A" w:rsidRDefault="00F23F17">
      <w:pPr>
        <w:pStyle w:val="Sommario1"/>
        <w:rPr>
          <w:rFonts w:asciiTheme="minorHAnsi" w:eastAsiaTheme="minorEastAsia" w:hAnsiTheme="minorHAnsi" w:cstheme="minorBidi"/>
          <w:caps w:val="0"/>
          <w:noProof/>
          <w:lang w:val="it-CH" w:eastAsia="it-CH"/>
        </w:rPr>
      </w:pPr>
      <w:hyperlink w:anchor="_Toc83882446" w:history="1">
        <w:r w:rsidR="0040516A" w:rsidRPr="009C05B6">
          <w:rPr>
            <w:rStyle w:val="Collegamentoipertestuale"/>
            <w:noProof/>
            <w:lang w:val="it-CH"/>
          </w:rPr>
          <w:t>4.</w:t>
        </w:r>
        <w:r w:rsidR="0040516A">
          <w:rPr>
            <w:rFonts w:asciiTheme="minorHAnsi" w:eastAsiaTheme="minorEastAsia" w:hAnsiTheme="minorHAnsi" w:cstheme="minorBidi"/>
            <w:caps w:val="0"/>
            <w:noProof/>
            <w:lang w:val="it-CH" w:eastAsia="it-CH"/>
          </w:rPr>
          <w:tab/>
        </w:r>
        <w:r w:rsidR="0040516A" w:rsidRPr="009C05B6">
          <w:rPr>
            <w:rStyle w:val="Collegamentoipertestuale"/>
            <w:noProof/>
            <w:lang w:val="it-CH"/>
          </w:rPr>
          <w:t>Sintesi delle proposte di decisione</w:t>
        </w:r>
        <w:r w:rsidR="0040516A">
          <w:rPr>
            <w:noProof/>
            <w:webHidden/>
          </w:rPr>
          <w:tab/>
        </w:r>
        <w:r w:rsidR="0040516A">
          <w:rPr>
            <w:noProof/>
            <w:webHidden/>
          </w:rPr>
          <w:fldChar w:fldCharType="begin"/>
        </w:r>
        <w:r w:rsidR="0040516A">
          <w:rPr>
            <w:noProof/>
            <w:webHidden/>
          </w:rPr>
          <w:instrText xml:space="preserve"> PAGEREF _Toc83882446 \h </w:instrText>
        </w:r>
        <w:r w:rsidR="0040516A">
          <w:rPr>
            <w:noProof/>
            <w:webHidden/>
          </w:rPr>
        </w:r>
        <w:r w:rsidR="0040516A">
          <w:rPr>
            <w:noProof/>
            <w:webHidden/>
          </w:rPr>
          <w:fldChar w:fldCharType="separate"/>
        </w:r>
        <w:r w:rsidR="00DF3925">
          <w:rPr>
            <w:noProof/>
            <w:webHidden/>
          </w:rPr>
          <w:t>5</w:t>
        </w:r>
        <w:r w:rsidR="0040516A">
          <w:rPr>
            <w:noProof/>
            <w:webHidden/>
          </w:rPr>
          <w:fldChar w:fldCharType="end"/>
        </w:r>
      </w:hyperlink>
    </w:p>
    <w:p w:rsidR="0040516A" w:rsidRDefault="00F23F17">
      <w:pPr>
        <w:pStyle w:val="Sommario1"/>
        <w:rPr>
          <w:rFonts w:asciiTheme="minorHAnsi" w:eastAsiaTheme="minorEastAsia" w:hAnsiTheme="minorHAnsi" w:cstheme="minorBidi"/>
          <w:caps w:val="0"/>
          <w:noProof/>
          <w:lang w:val="it-CH" w:eastAsia="it-CH"/>
        </w:rPr>
      </w:pPr>
      <w:hyperlink w:anchor="_Toc83882447" w:history="1">
        <w:r w:rsidR="0040516A" w:rsidRPr="009C05B6">
          <w:rPr>
            <w:rStyle w:val="Collegamentoipertestuale"/>
            <w:rFonts w:eastAsia="Arial"/>
            <w:noProof/>
            <w:lang w:val="it-CH" w:eastAsia="en-US"/>
          </w:rPr>
          <w:t>Glossario</w:t>
        </w:r>
        <w:r w:rsidR="0040516A">
          <w:rPr>
            <w:noProof/>
            <w:webHidden/>
          </w:rPr>
          <w:tab/>
        </w:r>
        <w:r w:rsidR="0040516A">
          <w:rPr>
            <w:noProof/>
            <w:webHidden/>
          </w:rPr>
          <w:fldChar w:fldCharType="begin"/>
        </w:r>
        <w:r w:rsidR="0040516A">
          <w:rPr>
            <w:noProof/>
            <w:webHidden/>
          </w:rPr>
          <w:instrText xml:space="preserve"> PAGEREF _Toc83882447 \h </w:instrText>
        </w:r>
        <w:r w:rsidR="0040516A">
          <w:rPr>
            <w:noProof/>
            <w:webHidden/>
          </w:rPr>
        </w:r>
        <w:r w:rsidR="0040516A">
          <w:rPr>
            <w:noProof/>
            <w:webHidden/>
          </w:rPr>
          <w:fldChar w:fldCharType="separate"/>
        </w:r>
        <w:r w:rsidR="00DF3925">
          <w:rPr>
            <w:noProof/>
            <w:webHidden/>
          </w:rPr>
          <w:t>6</w:t>
        </w:r>
        <w:r w:rsidR="0040516A">
          <w:rPr>
            <w:noProof/>
            <w:webHidden/>
          </w:rPr>
          <w:fldChar w:fldCharType="end"/>
        </w:r>
      </w:hyperlink>
    </w:p>
    <w:p w:rsidR="00463432" w:rsidRDefault="00463432" w:rsidP="00463432">
      <w:pPr>
        <w:tabs>
          <w:tab w:val="left" w:pos="709"/>
        </w:tabs>
        <w:suppressAutoHyphens/>
        <w:contextualSpacing/>
        <w:rPr>
          <w:rFonts w:eastAsia="Arial"/>
          <w:szCs w:val="24"/>
          <w:lang w:val="it-CH" w:eastAsia="en-US"/>
        </w:rPr>
      </w:pPr>
      <w:r w:rsidRPr="00463432">
        <w:rPr>
          <w:rFonts w:eastAsia="Arial"/>
          <w:szCs w:val="24"/>
          <w:lang w:val="it-CH" w:eastAsia="en-US"/>
        </w:rPr>
        <w:fldChar w:fldCharType="end"/>
      </w:r>
    </w:p>
    <w:p w:rsidR="00B9290E" w:rsidRPr="00463432" w:rsidRDefault="00B9290E" w:rsidP="00463432">
      <w:pPr>
        <w:tabs>
          <w:tab w:val="left" w:pos="709"/>
        </w:tabs>
        <w:suppressAutoHyphens/>
        <w:contextualSpacing/>
        <w:rPr>
          <w:rFonts w:eastAsia="Arial"/>
          <w:szCs w:val="24"/>
          <w:lang w:val="it-CH" w:eastAsia="en-US"/>
        </w:rPr>
      </w:pPr>
    </w:p>
    <w:p w:rsidR="00463432" w:rsidRPr="00463432" w:rsidRDefault="00463432" w:rsidP="00463432">
      <w:pPr>
        <w:suppressAutoHyphens/>
        <w:jc w:val="left"/>
        <w:rPr>
          <w:rFonts w:eastAsia="Arial"/>
          <w:szCs w:val="24"/>
          <w:lang w:val="it-CH" w:eastAsia="en-US"/>
        </w:rPr>
      </w:pPr>
      <w:r w:rsidRPr="00463432">
        <w:rPr>
          <w:rFonts w:eastAsia="Arial"/>
          <w:szCs w:val="24"/>
          <w:lang w:val="it-CH" w:eastAsia="en-US"/>
        </w:rPr>
        <w:br w:type="page"/>
      </w:r>
    </w:p>
    <w:p w:rsidR="0089464E" w:rsidRPr="0089464E" w:rsidRDefault="0089464E" w:rsidP="0089464E">
      <w:pPr>
        <w:contextualSpacing/>
        <w:rPr>
          <w:szCs w:val="24"/>
        </w:rPr>
      </w:pPr>
      <w:r w:rsidRPr="0089464E">
        <w:rPr>
          <w:szCs w:val="24"/>
        </w:rPr>
        <w:lastRenderedPageBreak/>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463432" w:rsidRPr="00463432" w:rsidRDefault="00463432" w:rsidP="00463432">
      <w:pPr>
        <w:contextualSpacing/>
        <w:rPr>
          <w:rFonts w:cs="Arial"/>
          <w:szCs w:val="24"/>
          <w:lang w:val="it-CH"/>
        </w:rPr>
      </w:pPr>
      <w:r w:rsidRPr="00463432">
        <w:rPr>
          <w:rFonts w:cs="Arial"/>
          <w:szCs w:val="24"/>
          <w:lang w:val="it-CH"/>
        </w:rPr>
        <w:t>con il presente messaggio sottoponiamo alla vostra attenzione le osservazioni e le proposte di decisione del Governo sui ricorsi contro le modifiche della scheda V7, adottate da questo Consiglio il 14 aprile 2021.</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p>
    <w:p w:rsidR="00463432" w:rsidRPr="00463432" w:rsidRDefault="00463432" w:rsidP="00463432">
      <w:pPr>
        <w:pStyle w:val="Titolo1"/>
        <w:rPr>
          <w:lang w:val="it-CH"/>
        </w:rPr>
      </w:pPr>
      <w:bookmarkStart w:id="1" w:name="_Toc396135337"/>
      <w:bookmarkStart w:id="2" w:name="_Toc403396403"/>
      <w:bookmarkStart w:id="3" w:name="_Ref56320283"/>
      <w:bookmarkStart w:id="4" w:name="_Ref56404047"/>
      <w:bookmarkStart w:id="5" w:name="_Ref80251284"/>
      <w:bookmarkStart w:id="6" w:name="_Ref80251302"/>
      <w:bookmarkStart w:id="7" w:name="_Ref80251337"/>
      <w:bookmarkStart w:id="8" w:name="_Ref80251347"/>
      <w:bookmarkStart w:id="9" w:name="_Ref80251352"/>
      <w:bookmarkStart w:id="10" w:name="_Ref80251357"/>
      <w:bookmarkStart w:id="11" w:name="_Ref80251361"/>
      <w:bookmarkStart w:id="12" w:name="_Ref83196004"/>
      <w:bookmarkStart w:id="13" w:name="_Toc83882437"/>
      <w:r>
        <w:rPr>
          <w:lang w:val="it-CH"/>
        </w:rPr>
        <w:t>1.</w:t>
      </w:r>
      <w:r>
        <w:rPr>
          <w:lang w:val="it-CH"/>
        </w:rPr>
        <w:tab/>
      </w:r>
      <w:r w:rsidRPr="00463432">
        <w:rPr>
          <w:lang w:val="it-CH"/>
        </w:rPr>
        <w:t>Premessa</w:t>
      </w:r>
      <w:bookmarkEnd w:id="1"/>
      <w:bookmarkEnd w:id="2"/>
      <w:bookmarkEnd w:id="3"/>
      <w:bookmarkEnd w:id="4"/>
      <w:bookmarkEnd w:id="5"/>
      <w:bookmarkEnd w:id="6"/>
      <w:bookmarkEnd w:id="7"/>
      <w:bookmarkEnd w:id="8"/>
      <w:bookmarkEnd w:id="9"/>
      <w:bookmarkEnd w:id="10"/>
      <w:bookmarkEnd w:id="11"/>
      <w:r w:rsidRPr="00463432">
        <w:rPr>
          <w:lang w:val="it-CH"/>
        </w:rPr>
        <w:t xml:space="preserve"> procedurale</w:t>
      </w:r>
      <w:bookmarkEnd w:id="12"/>
      <w:bookmarkEnd w:id="13"/>
    </w:p>
    <w:p w:rsidR="00463432" w:rsidRDefault="00463432" w:rsidP="00463432">
      <w:pPr>
        <w:contextualSpacing/>
        <w:rPr>
          <w:rFonts w:cs="Arial"/>
          <w:szCs w:val="24"/>
          <w:lang w:val="it-CH"/>
        </w:rPr>
      </w:pPr>
      <w:r w:rsidRPr="00463432">
        <w:rPr>
          <w:rFonts w:cs="Arial"/>
          <w:szCs w:val="24"/>
          <w:lang w:val="it-CH"/>
        </w:rPr>
        <w:t xml:space="preserve">Il presente </w:t>
      </w:r>
      <w:r w:rsidR="00B9290E">
        <w:rPr>
          <w:rFonts w:cs="Arial"/>
          <w:szCs w:val="24"/>
          <w:lang w:val="it-CH"/>
        </w:rPr>
        <w:t>m</w:t>
      </w:r>
      <w:r w:rsidRPr="00463432">
        <w:rPr>
          <w:rFonts w:cs="Arial"/>
          <w:szCs w:val="24"/>
          <w:lang w:val="it-CH"/>
        </w:rPr>
        <w:t xml:space="preserve">essaggio riguarda la procedura d’approvazione delle </w:t>
      </w:r>
      <w:r w:rsidRPr="00463432">
        <w:rPr>
          <w:rFonts w:cs="Arial"/>
          <w:i/>
          <w:szCs w:val="24"/>
          <w:lang w:val="it-CH"/>
        </w:rPr>
        <w:t xml:space="preserve">Modifiche n. 17 - </w:t>
      </w:r>
      <w:proofErr w:type="gramStart"/>
      <w:r w:rsidRPr="00463432">
        <w:rPr>
          <w:rFonts w:cs="Arial"/>
          <w:i/>
          <w:szCs w:val="24"/>
          <w:lang w:val="it-CH"/>
        </w:rPr>
        <w:t>Maggio</w:t>
      </w:r>
      <w:proofErr w:type="gramEnd"/>
      <w:r w:rsidRPr="00463432">
        <w:rPr>
          <w:rFonts w:cs="Arial"/>
          <w:i/>
          <w:szCs w:val="24"/>
          <w:lang w:val="it-CH"/>
        </w:rPr>
        <w:t xml:space="preserve"> 2021</w:t>
      </w:r>
      <w:r w:rsidRPr="00463432">
        <w:rPr>
          <w:rFonts w:cs="Arial"/>
          <w:szCs w:val="24"/>
          <w:lang w:val="it-CH"/>
        </w:rPr>
        <w:t xml:space="preserve"> del Piano direttore (PD) concernenti la scheda V7.</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 xml:space="preserve">Le modifiche sono state adottate dal Consiglio di Stato (CdS) il 14 aprile 2021 e sono state pubblicate dal 17 maggio al 16 giugno 2021 a norma dell’articolo 13 della </w:t>
      </w:r>
      <w:r w:rsidRPr="00463432">
        <w:rPr>
          <w:rFonts w:cs="Arial"/>
          <w:i/>
          <w:szCs w:val="24"/>
          <w:lang w:val="it-CH"/>
        </w:rPr>
        <w:t xml:space="preserve">Legge cantonale sullo sviluppo territoriale </w:t>
      </w:r>
      <w:r w:rsidRPr="00463432">
        <w:rPr>
          <w:rFonts w:cs="Arial"/>
          <w:szCs w:val="24"/>
          <w:lang w:val="it-CH"/>
        </w:rPr>
        <w:t xml:space="preserve">(LST). Contro tali modifiche, i Comuni e gli altri enti interessati potevano presentare ricorso al Gran Consiglio, limitatamente ai provvedimenti di grado </w:t>
      </w:r>
      <w:r w:rsidRPr="00463432">
        <w:rPr>
          <w:rFonts w:cs="Arial"/>
          <w:i/>
          <w:szCs w:val="24"/>
          <w:lang w:val="it-CH"/>
        </w:rPr>
        <w:t>Dato acquisito</w:t>
      </w:r>
      <w:r w:rsidRPr="00463432">
        <w:rPr>
          <w:rFonts w:cs="Arial"/>
          <w:szCs w:val="24"/>
          <w:lang w:val="it-CH"/>
        </w:rPr>
        <w:t xml:space="preserve"> (Da).</w:t>
      </w:r>
      <w:r w:rsidRPr="00463432">
        <w:rPr>
          <w:rFonts w:cs="Arial"/>
          <w:szCs w:val="24"/>
          <w:vertAlign w:val="superscript"/>
          <w:lang w:val="it-CH"/>
        </w:rPr>
        <w:footnoteReference w:id="1"/>
      </w:r>
    </w:p>
    <w:p w:rsidR="00463432" w:rsidRPr="00463432" w:rsidRDefault="00463432" w:rsidP="00463432">
      <w:pPr>
        <w:contextualSpacing/>
        <w:rPr>
          <w:rFonts w:cs="Arial"/>
          <w:szCs w:val="24"/>
          <w:lang w:val="it-CH"/>
        </w:rPr>
      </w:pPr>
    </w:p>
    <w:p w:rsidR="00463432" w:rsidRDefault="00463432" w:rsidP="00463432">
      <w:pPr>
        <w:contextualSpacing/>
        <w:rPr>
          <w:rFonts w:cs="Arial"/>
          <w:i/>
          <w:szCs w:val="24"/>
          <w:lang w:val="it-CH"/>
        </w:rPr>
      </w:pPr>
      <w:r w:rsidRPr="00463432">
        <w:rPr>
          <w:rFonts w:cs="Arial"/>
          <w:szCs w:val="24"/>
          <w:lang w:val="it-CH"/>
        </w:rPr>
        <w:t xml:space="preserve">L’adozione è stata preceduta da una fase di consultazione pubblica ai sensi dell’art. 11 LST, che si è svolta dall’8 giugno all’8 luglio 2020. Durante questo periodo ogni interessato ha potuto prendere visione delle proposte di modifiche (accompagnate da un </w:t>
      </w:r>
      <w:r w:rsidRPr="00463432">
        <w:rPr>
          <w:rFonts w:cs="Arial"/>
          <w:i/>
          <w:szCs w:val="24"/>
          <w:lang w:val="it-CH"/>
        </w:rPr>
        <w:t>Rapporto esplicativo</w:t>
      </w:r>
      <w:r w:rsidRPr="00463432">
        <w:rPr>
          <w:rFonts w:cs="Arial"/>
          <w:szCs w:val="24"/>
          <w:lang w:val="it-CH"/>
        </w:rPr>
        <w:t xml:space="preserve"> e da alcuni studi di base relativi alle discariche di Quartino2 e di Blenio-Torre) e inoltrare le sue osservazioni al Dipartimento del territorio (DT). Tutti i documenti della consultazione sono disponibili alla pagina </w:t>
      </w:r>
      <w:hyperlink r:id="rId7" w:history="1">
        <w:r w:rsidRPr="00463432">
          <w:rPr>
            <w:rStyle w:val="Collegamentoipertestuale"/>
            <w:rFonts w:cs="Arial"/>
            <w:i/>
            <w:szCs w:val="24"/>
            <w:lang w:val="it-CH"/>
          </w:rPr>
          <w:t>https://www4.ti.ch/dt/dstm/sst/temi/piano-direttore/piano-direttore/ procedure/procedure-recenti/</w:t>
        </w:r>
      </w:hyperlink>
      <w:r w:rsidRPr="00463432">
        <w:rPr>
          <w:rFonts w:cs="Arial"/>
          <w:szCs w:val="24"/>
          <w:lang w:val="it-CH"/>
        </w:rPr>
        <w:t xml:space="preserve"> </w:t>
      </w:r>
      <w:r w:rsidRPr="00463432">
        <w:rPr>
          <w:rFonts w:cs="Arial"/>
          <w:i/>
          <w:szCs w:val="24"/>
          <w:lang w:val="it-CH"/>
        </w:rPr>
        <w:t>→ Proposte di modifiche - Marzo 2020 - Schede V7, R/M3, V13, P4.</w:t>
      </w:r>
    </w:p>
    <w:p w:rsidR="00463432" w:rsidRPr="00463432" w:rsidRDefault="00463432" w:rsidP="00463432">
      <w:pPr>
        <w:contextualSpacing/>
        <w:rPr>
          <w:rFonts w:cs="Arial"/>
          <w:i/>
          <w:szCs w:val="24"/>
          <w:lang w:val="it-CH"/>
        </w:rPr>
      </w:pPr>
    </w:p>
    <w:p w:rsidR="00463432" w:rsidRDefault="00463432" w:rsidP="00463432">
      <w:pPr>
        <w:contextualSpacing/>
        <w:rPr>
          <w:rFonts w:cs="Arial"/>
          <w:szCs w:val="24"/>
          <w:lang w:val="it-CH"/>
        </w:rPr>
      </w:pPr>
      <w:r w:rsidRPr="00463432">
        <w:rPr>
          <w:rFonts w:cs="Arial"/>
          <w:szCs w:val="24"/>
          <w:lang w:val="it-CH"/>
        </w:rPr>
        <w:t>I documenti della consultazione pubblica sono stati trasmessi il 14 luglio 2020 al Dipartimento federale dell’ambiente, dei trasporti, dell’energia e delle comunicazioni (DATEC) per l’esame preliminare dell’Ufficio federale dello sviluppo territoriale (ARE). Il rapporto d’esame federale è giunto al Cantone il 26 febbraio 2021; in particolare – per quanto interessa il tema centrale di questo messaggio, ovvero la discarica Quartino2 – esso rammenta l’importanza del mantenimento del contingente cantonale delle superfici per l’avvicendamento colturale (SAC). Con lettera del 26 maggio 2021 il DT ha trasmesso al DATEC la richiesta d’approvazione della scheda V7 adottata e il 9 luglio 2021 la Sezione dello sviluppo territoriale ha informato l’ARE sull’inoltro dei ricorsi in oggetto, impegnandosi a trasmettere copia del presente Messaggio, affinché l’ARE possa prendere conoscenza delle censure sollevate e, se necessario, tenere conto delle decisioni del Parlamento sui ricorsi.</w:t>
      </w:r>
    </w:p>
    <w:p w:rsidR="0040516A" w:rsidRPr="00463432" w:rsidRDefault="0040516A" w:rsidP="00463432">
      <w:pPr>
        <w:contextualSpacing/>
        <w:rPr>
          <w:rFonts w:cs="Arial"/>
          <w:szCs w:val="24"/>
          <w:lang w:val="it-CH"/>
        </w:rPr>
      </w:pPr>
    </w:p>
    <w:p w:rsidR="00463432" w:rsidRPr="00463432" w:rsidRDefault="00463432" w:rsidP="00463432">
      <w:pPr>
        <w:contextualSpacing/>
        <w:rPr>
          <w:rFonts w:cs="Arial"/>
          <w:szCs w:val="24"/>
          <w:lang w:val="it-CH"/>
        </w:rPr>
      </w:pPr>
      <w:r w:rsidRPr="00463432">
        <w:rPr>
          <w:rFonts w:cs="Arial"/>
          <w:szCs w:val="24"/>
          <w:lang w:val="it-CH"/>
        </w:rPr>
        <w:t xml:space="preserve">L’esito della consultazione pubblica e quello dell’esame preliminare federale sono riportati nel </w:t>
      </w:r>
      <w:r w:rsidRPr="00463432">
        <w:rPr>
          <w:rFonts w:cs="Arial"/>
          <w:i/>
          <w:szCs w:val="24"/>
          <w:lang w:val="it-CH"/>
        </w:rPr>
        <w:t>Rapporto sulla consultazione ed esplicativo</w:t>
      </w:r>
      <w:r w:rsidRPr="00463432">
        <w:rPr>
          <w:rFonts w:cs="Arial"/>
          <w:szCs w:val="24"/>
          <w:lang w:val="it-CH"/>
        </w:rPr>
        <w:t xml:space="preserve"> che ha accompagnato l’adozione e la pubblicazione delle modifiche. Rapporto e modifiche sono disponibili alla pagina </w:t>
      </w:r>
      <w:hyperlink r:id="rId8" w:history="1">
        <w:r w:rsidRPr="00463432">
          <w:rPr>
            <w:rStyle w:val="Collegamentoipertestuale"/>
            <w:rFonts w:cs="Arial"/>
            <w:i/>
            <w:szCs w:val="24"/>
            <w:lang w:val="it-CH"/>
          </w:rPr>
          <w:t>https://www4.ti.ch/dt/dstm/sst/temi/piano-direttore/piano-direttore/procedure/procedure-recenti/</w:t>
        </w:r>
      </w:hyperlink>
      <w:r w:rsidRPr="00463432">
        <w:rPr>
          <w:rFonts w:cs="Arial"/>
          <w:szCs w:val="24"/>
          <w:lang w:val="it-CH"/>
        </w:rPr>
        <w:t xml:space="preserve"> </w:t>
      </w:r>
      <w:r w:rsidRPr="00463432">
        <w:rPr>
          <w:rFonts w:cs="Arial"/>
          <w:i/>
          <w:szCs w:val="24"/>
          <w:lang w:val="it-CH"/>
        </w:rPr>
        <w:t>→ Modifiche n. 17 – Maggio 2021</w:t>
      </w:r>
      <w:r w:rsidRPr="00463432">
        <w:rPr>
          <w:rFonts w:cs="Arial"/>
          <w:szCs w:val="24"/>
          <w:lang w:val="it-CH"/>
        </w:rPr>
        <w:t>. Nel rapporto vengono in particolare presentate le risposte del CdS alle osservazioni inoltrate nell’ambito della pubblica consultazione cantonale e a quelle dall’ARE.</w:t>
      </w: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r w:rsidRPr="00463432">
        <w:rPr>
          <w:rFonts w:cs="Arial"/>
          <w:szCs w:val="24"/>
          <w:lang w:val="it-CH"/>
        </w:rPr>
        <w:lastRenderedPageBreak/>
        <w:t xml:space="preserve">Contro l’adozione delle modifiche della scheda V7 sono stati inoltrati i ricorsi del Comune e del Patriziato di Biasca (ricorso congiunto) e dell’Unione Contadini Ticinesi. Le richieste </w:t>
      </w:r>
      <w:proofErr w:type="spellStart"/>
      <w:r w:rsidRPr="00463432">
        <w:rPr>
          <w:rFonts w:cs="Arial"/>
          <w:szCs w:val="24"/>
          <w:lang w:val="it-CH"/>
        </w:rPr>
        <w:t>ricorsuali</w:t>
      </w:r>
      <w:proofErr w:type="spellEnd"/>
      <w:r w:rsidRPr="00463432">
        <w:rPr>
          <w:rFonts w:cs="Arial"/>
          <w:szCs w:val="24"/>
          <w:lang w:val="it-CH"/>
        </w:rPr>
        <w:t xml:space="preserve">, nonché le osservazioni e le proposte di decisione dello scrivente Consiglio sono presentate nel capitolo </w:t>
      </w:r>
      <w:r w:rsidRPr="00463432">
        <w:rPr>
          <w:rFonts w:cs="Arial"/>
          <w:szCs w:val="24"/>
          <w:lang w:val="it-CH"/>
        </w:rPr>
        <w:fldChar w:fldCharType="begin"/>
      </w:r>
      <w:r w:rsidRPr="00463432">
        <w:rPr>
          <w:rFonts w:cs="Arial"/>
          <w:szCs w:val="24"/>
          <w:lang w:val="it-CH"/>
        </w:rPr>
        <w:instrText xml:space="preserve"> REF _Ref83131404 \r \h </w:instrText>
      </w:r>
      <w:r w:rsidRPr="00463432">
        <w:rPr>
          <w:rFonts w:cs="Arial"/>
          <w:szCs w:val="24"/>
          <w:lang w:val="it-CH"/>
        </w:rPr>
      </w:r>
      <w:r w:rsidRPr="00463432">
        <w:rPr>
          <w:rFonts w:cs="Arial"/>
          <w:szCs w:val="24"/>
          <w:lang w:val="it-CH"/>
        </w:rPr>
        <w:fldChar w:fldCharType="separate"/>
      </w:r>
      <w:r w:rsidR="00DF3925">
        <w:rPr>
          <w:rFonts w:cs="Arial"/>
          <w:szCs w:val="24"/>
          <w:lang w:val="it-CH"/>
        </w:rPr>
        <w:t>0</w:t>
      </w:r>
      <w:r w:rsidRPr="00463432">
        <w:rPr>
          <w:rFonts w:cs="Arial"/>
          <w:szCs w:val="24"/>
        </w:rPr>
        <w:fldChar w:fldCharType="end"/>
      </w:r>
      <w:r w:rsidRPr="00463432">
        <w:rPr>
          <w:rFonts w:cs="Arial"/>
          <w:szCs w:val="24"/>
          <w:lang w:val="it-CH"/>
        </w:rPr>
        <w:t>.</w:t>
      </w: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p>
    <w:p w:rsidR="00463432" w:rsidRPr="00463432" w:rsidRDefault="00463432" w:rsidP="00463432">
      <w:pPr>
        <w:pStyle w:val="Titolo1"/>
        <w:rPr>
          <w:lang w:val="it-CH"/>
        </w:rPr>
      </w:pPr>
      <w:bookmarkStart w:id="14" w:name="_Toc83882438"/>
      <w:r>
        <w:rPr>
          <w:lang w:val="it-CH"/>
        </w:rPr>
        <w:t>2.</w:t>
      </w:r>
      <w:r>
        <w:rPr>
          <w:lang w:val="it-CH"/>
        </w:rPr>
        <w:tab/>
      </w:r>
      <w:r w:rsidRPr="00463432">
        <w:rPr>
          <w:lang w:val="it-CH"/>
        </w:rPr>
        <w:t>Le modifiche della scheda V7</w:t>
      </w:r>
      <w:bookmarkEnd w:id="14"/>
    </w:p>
    <w:p w:rsidR="00463432" w:rsidRDefault="00463432" w:rsidP="00463432">
      <w:pPr>
        <w:contextualSpacing/>
        <w:rPr>
          <w:rFonts w:cs="Arial"/>
          <w:szCs w:val="24"/>
          <w:lang w:val="it-CH"/>
        </w:rPr>
      </w:pPr>
      <w:r w:rsidRPr="00463432">
        <w:rPr>
          <w:rFonts w:cs="Arial"/>
          <w:szCs w:val="24"/>
          <w:lang w:val="it-CH"/>
        </w:rPr>
        <w:t>Le modifiche oggetto dei ricorsi sono finalizzate a consolidare la base pianificatoria cantonale per l’ampliamento di due discariche esistenti. Più precisamente:</w:t>
      </w:r>
    </w:p>
    <w:p w:rsidR="00463432" w:rsidRPr="0040516A" w:rsidRDefault="00463432" w:rsidP="0040516A">
      <w:pPr>
        <w:pStyle w:val="Paragrafoelenco"/>
        <w:numPr>
          <w:ilvl w:val="0"/>
          <w:numId w:val="32"/>
        </w:numPr>
        <w:spacing w:before="120"/>
        <w:ind w:left="284" w:hanging="284"/>
        <w:contextualSpacing w:val="0"/>
        <w:rPr>
          <w:rFonts w:cs="Arial"/>
          <w:szCs w:val="24"/>
        </w:rPr>
      </w:pPr>
      <w:r w:rsidRPr="0040516A">
        <w:rPr>
          <w:rFonts w:cs="Arial"/>
          <w:szCs w:val="24"/>
        </w:rPr>
        <w:t xml:space="preserve">il passaggio dal grado di consolidamento </w:t>
      </w:r>
      <w:r w:rsidRPr="0040516A">
        <w:rPr>
          <w:rFonts w:cs="Arial"/>
          <w:i/>
          <w:szCs w:val="24"/>
        </w:rPr>
        <w:t>Informazione preliminare</w:t>
      </w:r>
      <w:r w:rsidRPr="0040516A">
        <w:rPr>
          <w:rFonts w:cs="Arial"/>
          <w:szCs w:val="24"/>
        </w:rPr>
        <w:t xml:space="preserve"> (</w:t>
      </w:r>
      <w:proofErr w:type="spellStart"/>
      <w:r w:rsidRPr="0040516A">
        <w:rPr>
          <w:rFonts w:cs="Arial"/>
          <w:szCs w:val="24"/>
        </w:rPr>
        <w:t>Ip</w:t>
      </w:r>
      <w:proofErr w:type="spellEnd"/>
      <w:r w:rsidRPr="0040516A">
        <w:rPr>
          <w:rFonts w:cs="Arial"/>
          <w:szCs w:val="24"/>
        </w:rPr>
        <w:t xml:space="preserve">) </w:t>
      </w:r>
      <w:proofErr w:type="spellStart"/>
      <w:r w:rsidRPr="0040516A">
        <w:rPr>
          <w:rFonts w:cs="Arial"/>
          <w:szCs w:val="24"/>
        </w:rPr>
        <w:t>a</w:t>
      </w:r>
      <w:proofErr w:type="spellEnd"/>
      <w:r w:rsidRPr="0040516A">
        <w:rPr>
          <w:rFonts w:cs="Arial"/>
          <w:szCs w:val="24"/>
        </w:rPr>
        <w:t xml:space="preserve"> </w:t>
      </w:r>
      <w:r w:rsidRPr="0040516A">
        <w:rPr>
          <w:rFonts w:cs="Arial"/>
          <w:i/>
          <w:szCs w:val="24"/>
        </w:rPr>
        <w:t>Dato acquisito</w:t>
      </w:r>
      <w:r w:rsidRPr="0040516A">
        <w:rPr>
          <w:rFonts w:cs="Arial"/>
          <w:szCs w:val="24"/>
        </w:rPr>
        <w:t xml:space="preserve"> (Da) per la seconda tappa della discarica esistente di Quartino (chiusa nel 2016) nel Comune di </w:t>
      </w:r>
      <w:proofErr w:type="spellStart"/>
      <w:r w:rsidRPr="0040516A">
        <w:rPr>
          <w:rFonts w:cs="Arial"/>
          <w:szCs w:val="24"/>
        </w:rPr>
        <w:t>Gambarogno</w:t>
      </w:r>
      <w:proofErr w:type="spellEnd"/>
      <w:r w:rsidRPr="0040516A">
        <w:rPr>
          <w:rFonts w:cs="Arial"/>
          <w:szCs w:val="24"/>
        </w:rPr>
        <w:t>;</w:t>
      </w:r>
    </w:p>
    <w:p w:rsidR="00463432" w:rsidRPr="0040516A" w:rsidRDefault="00463432" w:rsidP="0040516A">
      <w:pPr>
        <w:pStyle w:val="Paragrafoelenco"/>
        <w:numPr>
          <w:ilvl w:val="0"/>
          <w:numId w:val="32"/>
        </w:numPr>
        <w:spacing w:before="120"/>
        <w:ind w:left="284" w:hanging="284"/>
        <w:contextualSpacing w:val="0"/>
        <w:rPr>
          <w:rFonts w:cs="Arial"/>
          <w:szCs w:val="24"/>
        </w:rPr>
      </w:pPr>
      <w:r w:rsidRPr="0040516A">
        <w:rPr>
          <w:rFonts w:cs="Arial"/>
          <w:szCs w:val="24"/>
        </w:rPr>
        <w:t>l’introduzione, col grado di consolidamento Da, dell’ampliamento della discarica di Torre (attualmente ancora in esercizio) nel Comune di Blenio.</w:t>
      </w:r>
    </w:p>
    <w:p w:rsidR="0040516A" w:rsidRPr="00463432" w:rsidRDefault="0040516A" w:rsidP="00463432">
      <w:pPr>
        <w:contextualSpacing/>
        <w:rPr>
          <w:rFonts w:cs="Arial"/>
          <w:szCs w:val="24"/>
        </w:rPr>
      </w:pPr>
    </w:p>
    <w:p w:rsidR="00463432" w:rsidRDefault="00463432" w:rsidP="00463432">
      <w:pPr>
        <w:contextualSpacing/>
        <w:rPr>
          <w:rFonts w:cs="Arial"/>
          <w:szCs w:val="24"/>
          <w:lang w:val="it-CH"/>
        </w:rPr>
      </w:pPr>
      <w:r w:rsidRPr="00463432">
        <w:rPr>
          <w:rFonts w:cs="Arial"/>
          <w:szCs w:val="24"/>
          <w:lang w:val="it-CH"/>
        </w:rPr>
        <w:t xml:space="preserve">La seconda tappa della discarica di Quartino – denominata Quartino2 – è stata introdotta nel PD nel 2014 su richiesta del Municipio di </w:t>
      </w:r>
      <w:proofErr w:type="spellStart"/>
      <w:r w:rsidRPr="00463432">
        <w:rPr>
          <w:rFonts w:cs="Arial"/>
          <w:szCs w:val="24"/>
          <w:lang w:val="it-CH"/>
        </w:rPr>
        <w:t>Gambarogno</w:t>
      </w:r>
      <w:proofErr w:type="spellEnd"/>
      <w:r w:rsidRPr="00463432">
        <w:rPr>
          <w:rFonts w:cs="Arial"/>
          <w:szCs w:val="24"/>
          <w:lang w:val="it-CH"/>
        </w:rPr>
        <w:t xml:space="preserve">. A quel tempo, a una prima analisi, l’ipotesi appariva interessante per la buona esperienza fatta con la discarica in esercizio, ma allo stesso tempo incerta a causa di potenziali conflitti con elementi presenti sul territorio, per questo motivo era stata introdotta nella scheda V7 in </w:t>
      </w:r>
      <w:proofErr w:type="spellStart"/>
      <w:r w:rsidRPr="00463432">
        <w:rPr>
          <w:rFonts w:cs="Arial"/>
          <w:szCs w:val="24"/>
          <w:lang w:val="it-CH"/>
        </w:rPr>
        <w:t>Ip</w:t>
      </w:r>
      <w:proofErr w:type="spellEnd"/>
      <w:r w:rsidRPr="00463432">
        <w:rPr>
          <w:rFonts w:cs="Arial"/>
          <w:szCs w:val="24"/>
          <w:lang w:val="it-CH"/>
        </w:rPr>
        <w:t>. Negli anni successivi il DT ha condotto degli approfondimenti per meglio chiarire i contorni di una simile operazione. In particolare nel 2019 ha fatto eseguire uno studio che ha proposto un’ipotesi di conformazione della discarica Quartino2 e delle misure per risolvere le criticità legate all’inserimento paesaggistico, alla sottrazione di SAC e alla funzionalità del corridoio faunistico. Ciò ha posto le basi per il suo consolidamento in Da.</w:t>
      </w:r>
    </w:p>
    <w:p w:rsidR="0040516A" w:rsidRPr="00463432" w:rsidRDefault="0040516A"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L’ampliamento della discarica di Torre è stato proposto e sostenuto dal Municipio di Blenio per soddisfare il fabbisogno di smaltimento a lungo termine della Valle di Blenio. A questo scopo ha fatto allestire un progetto di massima (avallato dal DT) che definisce il nuovo volume addossato alla discarica esistente e ne esplicita le misure che andranno prese nell’ambito della futura variante di Piano regolatore per permetterne l’adeguato inserimento territoriale. Non presentando problematiche da risolvere a scala di PD, l’ampliamento è stato inserito nella scheda V7 come Da.</w:t>
      </w:r>
    </w:p>
    <w:p w:rsidR="0040516A" w:rsidRPr="00463432" w:rsidRDefault="0040516A" w:rsidP="00463432">
      <w:pPr>
        <w:contextualSpacing/>
        <w:rPr>
          <w:rFonts w:cs="Arial"/>
          <w:szCs w:val="24"/>
          <w:lang w:val="it-CH"/>
        </w:rPr>
      </w:pPr>
    </w:p>
    <w:p w:rsidR="00463432" w:rsidRPr="00463432" w:rsidRDefault="00463432" w:rsidP="00463432">
      <w:pPr>
        <w:contextualSpacing/>
        <w:rPr>
          <w:rFonts w:cs="Arial"/>
          <w:szCs w:val="24"/>
          <w:lang w:val="it-CH"/>
        </w:rPr>
      </w:pPr>
      <w:r w:rsidRPr="00463432">
        <w:rPr>
          <w:rFonts w:cs="Arial"/>
          <w:szCs w:val="24"/>
          <w:lang w:val="it-CH"/>
        </w:rPr>
        <w:t xml:space="preserve">Per maggiori dettagli relativi alla storia, la natura e le caratteristiche delle due discariche si rimanda ai documenti citati nel capitolo </w:t>
      </w:r>
      <w:r w:rsidRPr="00463432">
        <w:rPr>
          <w:rFonts w:cs="Arial"/>
          <w:szCs w:val="24"/>
          <w:lang w:val="it-CH"/>
        </w:rPr>
        <w:fldChar w:fldCharType="begin"/>
      </w:r>
      <w:r w:rsidRPr="00463432">
        <w:rPr>
          <w:rFonts w:cs="Arial"/>
          <w:szCs w:val="24"/>
          <w:lang w:val="it-CH"/>
        </w:rPr>
        <w:instrText xml:space="preserve"> REF _Ref83196004 \r \h </w:instrText>
      </w:r>
      <w:r w:rsidRPr="00463432">
        <w:rPr>
          <w:rFonts w:cs="Arial"/>
          <w:szCs w:val="24"/>
          <w:lang w:val="it-CH"/>
        </w:rPr>
      </w:r>
      <w:r w:rsidRPr="00463432">
        <w:rPr>
          <w:rFonts w:cs="Arial"/>
          <w:szCs w:val="24"/>
          <w:lang w:val="it-CH"/>
        </w:rPr>
        <w:fldChar w:fldCharType="separate"/>
      </w:r>
      <w:r w:rsidR="00DF3925">
        <w:rPr>
          <w:rFonts w:cs="Arial"/>
          <w:szCs w:val="24"/>
          <w:lang w:val="it-CH"/>
        </w:rPr>
        <w:t>0</w:t>
      </w:r>
      <w:r w:rsidRPr="00463432">
        <w:rPr>
          <w:rFonts w:cs="Arial"/>
          <w:szCs w:val="24"/>
        </w:rPr>
        <w:fldChar w:fldCharType="end"/>
      </w:r>
      <w:r w:rsidRPr="00463432">
        <w:rPr>
          <w:rFonts w:cs="Arial"/>
          <w:szCs w:val="24"/>
          <w:lang w:val="it-CH"/>
        </w:rPr>
        <w:t xml:space="preserve">, in particolare il </w:t>
      </w:r>
      <w:r w:rsidRPr="00463432">
        <w:rPr>
          <w:rFonts w:cs="Arial"/>
          <w:i/>
          <w:szCs w:val="24"/>
          <w:lang w:val="it-CH"/>
        </w:rPr>
        <w:t>Rapporto esplicativo</w:t>
      </w:r>
      <w:r w:rsidRPr="00463432">
        <w:rPr>
          <w:rFonts w:cs="Arial"/>
          <w:szCs w:val="24"/>
          <w:lang w:val="it-CH"/>
        </w:rPr>
        <w:t xml:space="preserve"> e gli studi di base che hanno accompagnato la fase della consultazione pubblica.</w:t>
      </w:r>
    </w:p>
    <w:p w:rsidR="00463432" w:rsidRDefault="00463432" w:rsidP="00463432">
      <w:pPr>
        <w:contextualSpacing/>
        <w:rPr>
          <w:rFonts w:cs="Arial"/>
          <w:szCs w:val="24"/>
          <w:lang w:val="it-CH"/>
        </w:rPr>
      </w:pPr>
    </w:p>
    <w:p w:rsidR="00B9290E" w:rsidRPr="00463432" w:rsidRDefault="00B9290E" w:rsidP="00463432">
      <w:pPr>
        <w:contextualSpacing/>
        <w:rPr>
          <w:rFonts w:cs="Arial"/>
          <w:szCs w:val="24"/>
          <w:lang w:val="it-CH"/>
        </w:rPr>
      </w:pPr>
    </w:p>
    <w:p w:rsidR="00463432" w:rsidRPr="00463432" w:rsidRDefault="00463432" w:rsidP="00463432">
      <w:pPr>
        <w:contextualSpacing/>
        <w:rPr>
          <w:rFonts w:cs="Arial"/>
          <w:szCs w:val="24"/>
          <w:lang w:val="it-CH"/>
        </w:rPr>
      </w:pPr>
      <w:bookmarkStart w:id="15" w:name="OLE_LINK7"/>
      <w:bookmarkStart w:id="16" w:name="OLE_LINK8"/>
    </w:p>
    <w:p w:rsidR="00463432" w:rsidRPr="00463432" w:rsidRDefault="00463432" w:rsidP="00B9290E">
      <w:pPr>
        <w:pStyle w:val="Titolo1"/>
        <w:tabs>
          <w:tab w:val="clear" w:pos="567"/>
          <w:tab w:val="left" w:pos="709"/>
        </w:tabs>
        <w:rPr>
          <w:lang w:val="it-CH"/>
        </w:rPr>
      </w:pPr>
      <w:bookmarkStart w:id="17" w:name="_Ref460228253"/>
      <w:bookmarkStart w:id="18" w:name="_Ref83131404"/>
      <w:bookmarkStart w:id="19" w:name="_Toc83882439"/>
      <w:bookmarkStart w:id="20" w:name="_Toc324259663"/>
      <w:bookmarkStart w:id="21" w:name="_Toc396135340"/>
      <w:bookmarkEnd w:id="15"/>
      <w:bookmarkEnd w:id="16"/>
      <w:r>
        <w:rPr>
          <w:lang w:val="it-CH"/>
        </w:rPr>
        <w:t>3.</w:t>
      </w:r>
      <w:r>
        <w:rPr>
          <w:lang w:val="it-CH"/>
        </w:rPr>
        <w:tab/>
      </w:r>
      <w:r w:rsidRPr="00463432">
        <w:rPr>
          <w:lang w:val="it-CH"/>
        </w:rPr>
        <w:t>Ricorsi e proposte di decisioni</w:t>
      </w:r>
      <w:bookmarkEnd w:id="17"/>
      <w:bookmarkEnd w:id="18"/>
      <w:bookmarkEnd w:id="19"/>
    </w:p>
    <w:p w:rsidR="00463432" w:rsidRPr="00463432" w:rsidRDefault="00463432" w:rsidP="00B9290E">
      <w:pPr>
        <w:pStyle w:val="Titolo2"/>
        <w:tabs>
          <w:tab w:val="clear" w:pos="567"/>
          <w:tab w:val="left" w:pos="709"/>
        </w:tabs>
        <w:rPr>
          <w:lang w:val="it-CH"/>
        </w:rPr>
      </w:pPr>
      <w:bookmarkStart w:id="22" w:name="_Toc83882440"/>
      <w:bookmarkEnd w:id="20"/>
      <w:bookmarkEnd w:id="21"/>
      <w:r>
        <w:rPr>
          <w:lang w:val="it-CH"/>
        </w:rPr>
        <w:t>3.1</w:t>
      </w:r>
      <w:r>
        <w:rPr>
          <w:lang w:val="it-CH"/>
        </w:rPr>
        <w:tab/>
      </w:r>
      <w:r w:rsidRPr="00463432">
        <w:rPr>
          <w:lang w:val="it-CH"/>
        </w:rPr>
        <w:t>Ricorso del Comune e del Patriziato di Biasca</w:t>
      </w:r>
      <w:bookmarkEnd w:id="22"/>
    </w:p>
    <w:p w:rsidR="00463432" w:rsidRPr="00463432" w:rsidRDefault="00463432" w:rsidP="00B9290E">
      <w:pPr>
        <w:pStyle w:val="Titolo3"/>
        <w:rPr>
          <w:lang w:val="it-CH"/>
        </w:rPr>
      </w:pPr>
      <w:bookmarkStart w:id="23" w:name="_Toc83882441"/>
      <w:r>
        <w:rPr>
          <w:lang w:val="it-CH"/>
        </w:rPr>
        <w:t>3.1.1</w:t>
      </w:r>
      <w:r>
        <w:rPr>
          <w:lang w:val="it-CH"/>
        </w:rPr>
        <w:tab/>
      </w:r>
      <w:r w:rsidRPr="00463432">
        <w:rPr>
          <w:lang w:val="it-CH"/>
        </w:rPr>
        <w:t xml:space="preserve">Sintesi delle richieste </w:t>
      </w:r>
      <w:proofErr w:type="spellStart"/>
      <w:r w:rsidRPr="00463432">
        <w:rPr>
          <w:lang w:val="it-CH"/>
        </w:rPr>
        <w:t>ricorsuali</w:t>
      </w:r>
      <w:bookmarkEnd w:id="23"/>
      <w:proofErr w:type="spellEnd"/>
    </w:p>
    <w:p w:rsidR="00463432" w:rsidRDefault="00463432" w:rsidP="00463432">
      <w:pPr>
        <w:contextualSpacing/>
        <w:rPr>
          <w:rFonts w:cs="Arial"/>
          <w:szCs w:val="24"/>
          <w:lang w:val="it-CH"/>
        </w:rPr>
      </w:pPr>
      <w:r w:rsidRPr="00463432">
        <w:rPr>
          <w:rFonts w:cs="Arial"/>
          <w:szCs w:val="24"/>
          <w:lang w:val="it-CH"/>
        </w:rPr>
        <w:t>Il ricorso verte sulla discarica Quartino2 e gli argomenti possono essere sintetizzati nei seguenti punti:</w:t>
      </w:r>
    </w:p>
    <w:p w:rsidR="00463432" w:rsidRPr="00463432" w:rsidRDefault="00463432" w:rsidP="00463432">
      <w:pPr>
        <w:pStyle w:val="Paragrafoelenco"/>
        <w:numPr>
          <w:ilvl w:val="0"/>
          <w:numId w:val="29"/>
        </w:numPr>
        <w:spacing w:before="120"/>
        <w:ind w:left="284" w:hanging="284"/>
        <w:contextualSpacing w:val="0"/>
        <w:rPr>
          <w:rFonts w:cs="Arial"/>
          <w:szCs w:val="24"/>
        </w:rPr>
      </w:pPr>
      <w:r w:rsidRPr="00463432">
        <w:rPr>
          <w:rFonts w:cs="Arial"/>
          <w:szCs w:val="24"/>
        </w:rPr>
        <w:t>è mancata la partecipazione e informazione dei ricorrenti alla procedura di consultazione pubblica delle proposte di modifica della scheda V7;</w:t>
      </w:r>
    </w:p>
    <w:p w:rsidR="00463432" w:rsidRPr="00463432" w:rsidRDefault="00463432" w:rsidP="00463432">
      <w:pPr>
        <w:pStyle w:val="Paragrafoelenco"/>
        <w:numPr>
          <w:ilvl w:val="0"/>
          <w:numId w:val="29"/>
        </w:numPr>
        <w:spacing w:before="120"/>
        <w:ind w:left="284" w:hanging="284"/>
        <w:contextualSpacing w:val="0"/>
        <w:rPr>
          <w:rFonts w:cs="Arial"/>
          <w:szCs w:val="24"/>
        </w:rPr>
      </w:pPr>
      <w:r w:rsidRPr="00463432">
        <w:rPr>
          <w:rFonts w:cs="Arial"/>
          <w:szCs w:val="24"/>
        </w:rPr>
        <w:lastRenderedPageBreak/>
        <w:t xml:space="preserve">si va a cercare la compensazione reale delle SAC a quasi 50 km di distanza, senza motivare perché essa non sarebbe possibile nel Comune di </w:t>
      </w:r>
      <w:proofErr w:type="spellStart"/>
      <w:r w:rsidRPr="00463432">
        <w:rPr>
          <w:rFonts w:cs="Arial"/>
          <w:szCs w:val="24"/>
        </w:rPr>
        <w:t>Gambarogno</w:t>
      </w:r>
      <w:proofErr w:type="spellEnd"/>
      <w:r w:rsidRPr="00463432">
        <w:rPr>
          <w:rFonts w:cs="Arial"/>
          <w:szCs w:val="24"/>
        </w:rPr>
        <w:t xml:space="preserve"> o nelle vicinanze;</w:t>
      </w:r>
    </w:p>
    <w:p w:rsidR="00463432" w:rsidRPr="00463432" w:rsidRDefault="00463432" w:rsidP="00463432">
      <w:pPr>
        <w:pStyle w:val="Paragrafoelenco"/>
        <w:numPr>
          <w:ilvl w:val="0"/>
          <w:numId w:val="29"/>
        </w:numPr>
        <w:spacing w:before="120"/>
        <w:ind w:left="284" w:hanging="284"/>
        <w:contextualSpacing w:val="0"/>
        <w:rPr>
          <w:rFonts w:cs="Arial"/>
          <w:szCs w:val="24"/>
        </w:rPr>
      </w:pPr>
      <w:r w:rsidRPr="00463432">
        <w:rPr>
          <w:rFonts w:cs="Arial"/>
          <w:szCs w:val="24"/>
        </w:rPr>
        <w:t>la compensazione reale deve essere possibile e certa, non si può fare riferimento ad ipotesi o a possibili compensi per nulla certi;</w:t>
      </w:r>
    </w:p>
    <w:p w:rsidR="00463432" w:rsidRDefault="00463432" w:rsidP="00463432">
      <w:pPr>
        <w:pStyle w:val="Paragrafoelenco"/>
        <w:numPr>
          <w:ilvl w:val="0"/>
          <w:numId w:val="29"/>
        </w:numPr>
        <w:spacing w:before="120"/>
        <w:ind w:left="284" w:hanging="284"/>
        <w:contextualSpacing w:val="0"/>
        <w:rPr>
          <w:rFonts w:cs="Arial"/>
          <w:szCs w:val="24"/>
        </w:rPr>
      </w:pPr>
      <w:r w:rsidRPr="00463432">
        <w:rPr>
          <w:rFonts w:cs="Arial"/>
          <w:szCs w:val="24"/>
        </w:rPr>
        <w:t>manca qualsiasi indicazione circa la quantità del compenso reale che sarebbe disponibile a Biasca.</w:t>
      </w:r>
    </w:p>
    <w:p w:rsidR="00463432" w:rsidRPr="00463432" w:rsidRDefault="00463432" w:rsidP="00463432">
      <w:pPr>
        <w:pStyle w:val="Paragrafoelenco"/>
        <w:ind w:left="284"/>
        <w:contextualSpacing w:val="0"/>
        <w:rPr>
          <w:rFonts w:cs="Arial"/>
          <w:szCs w:val="24"/>
        </w:rPr>
      </w:pPr>
    </w:p>
    <w:p w:rsidR="00463432" w:rsidRPr="00463432" w:rsidRDefault="00463432" w:rsidP="00463432">
      <w:pPr>
        <w:contextualSpacing/>
        <w:rPr>
          <w:rFonts w:cs="Arial"/>
          <w:szCs w:val="24"/>
          <w:u w:val="single"/>
          <w:lang w:val="it-CH"/>
        </w:rPr>
      </w:pPr>
      <w:r w:rsidRPr="00463432">
        <w:rPr>
          <w:rFonts w:cs="Arial"/>
          <w:szCs w:val="24"/>
          <w:u w:val="single"/>
          <w:lang w:val="it-CH"/>
        </w:rPr>
        <w:t xml:space="preserve">I ricorrenti chiedono quindi che la modifica del Piano direttore n. 17 del maggio 2021 relativa alla scheda V7 </w:t>
      </w:r>
      <w:r w:rsidRPr="00463432">
        <w:rPr>
          <w:rFonts w:cs="Arial"/>
          <w:i/>
          <w:szCs w:val="24"/>
          <w:u w:val="single"/>
          <w:lang w:val="it-CH"/>
        </w:rPr>
        <w:t>Discariche</w:t>
      </w:r>
      <w:r w:rsidRPr="00463432">
        <w:rPr>
          <w:rFonts w:cs="Arial"/>
          <w:szCs w:val="24"/>
          <w:u w:val="single"/>
          <w:lang w:val="it-CH"/>
        </w:rPr>
        <w:t xml:space="preserve"> sia annullata.</w:t>
      </w:r>
      <w:bookmarkStart w:id="24" w:name="_Ref460655614"/>
      <w:bookmarkStart w:id="25" w:name="_Toc403396417"/>
      <w:bookmarkStart w:id="26" w:name="_Ref404666014"/>
    </w:p>
    <w:p w:rsidR="00463432" w:rsidRPr="00463432" w:rsidRDefault="00463432" w:rsidP="00463432">
      <w:pPr>
        <w:contextualSpacing/>
        <w:rPr>
          <w:rFonts w:cs="Arial"/>
          <w:szCs w:val="24"/>
          <w:u w:val="single"/>
          <w:lang w:val="it-CH"/>
        </w:rPr>
      </w:pPr>
    </w:p>
    <w:p w:rsidR="00463432" w:rsidRPr="00463432" w:rsidRDefault="00463432" w:rsidP="00463432">
      <w:pPr>
        <w:pStyle w:val="Titolo3"/>
        <w:rPr>
          <w:lang w:val="it-CH"/>
        </w:rPr>
      </w:pPr>
      <w:bookmarkStart w:id="27" w:name="_Ref461273869"/>
      <w:bookmarkStart w:id="28" w:name="_Toc83882442"/>
      <w:r>
        <w:rPr>
          <w:lang w:val="it-CH"/>
        </w:rPr>
        <w:t>3.1.2</w:t>
      </w:r>
      <w:r>
        <w:rPr>
          <w:lang w:val="it-CH"/>
        </w:rPr>
        <w:tab/>
      </w:r>
      <w:r w:rsidRPr="00463432">
        <w:rPr>
          <w:lang w:val="it-CH"/>
        </w:rPr>
        <w:t>Osservazioni e proposta d</w:t>
      </w:r>
      <w:bookmarkEnd w:id="24"/>
      <w:bookmarkEnd w:id="27"/>
      <w:r w:rsidRPr="00463432">
        <w:rPr>
          <w:lang w:val="it-CH"/>
        </w:rPr>
        <w:t>i decisione</w:t>
      </w:r>
      <w:bookmarkEnd w:id="28"/>
    </w:p>
    <w:p w:rsidR="00463432" w:rsidRDefault="00463432" w:rsidP="00463432">
      <w:pPr>
        <w:contextualSpacing/>
        <w:rPr>
          <w:rFonts w:cs="Arial"/>
          <w:szCs w:val="24"/>
          <w:lang w:val="it-CH"/>
        </w:rPr>
      </w:pPr>
      <w:r w:rsidRPr="00463432">
        <w:rPr>
          <w:rFonts w:cs="Arial"/>
          <w:szCs w:val="24"/>
          <w:lang w:val="it-CH"/>
        </w:rPr>
        <w:t xml:space="preserve">Dal profilo formale si segnala che il ricorso chiede di annullare l’intera procedura in questione, con conseguente effetto anche sul consolidamento in Da dell’ampliamento della discarica di Torre, bloccandone di fatto il processo pianificatorio che porta alla sua realizzazione, malgrado non sia contestata dai ricorrenti. Si chiede dunque che, indipendentemente dall’esito del ricorso, il consolidamento in </w:t>
      </w:r>
      <w:proofErr w:type="spellStart"/>
      <w:r w:rsidRPr="00463432">
        <w:rPr>
          <w:rFonts w:cs="Arial"/>
          <w:szCs w:val="24"/>
          <w:lang w:val="it-CH"/>
        </w:rPr>
        <w:t>Da</w:t>
      </w:r>
      <w:proofErr w:type="spellEnd"/>
      <w:r w:rsidRPr="00463432">
        <w:rPr>
          <w:rFonts w:cs="Arial"/>
          <w:szCs w:val="24"/>
          <w:lang w:val="it-CH"/>
        </w:rPr>
        <w:t xml:space="preserve"> della discarica di Torre venga in ogni caso approvato. Si ricorda inoltre, come già illustrato nel Messaggio n. 7228 del 4 ottobre 2016, che il Patriziato non ha diritto di ricorso al PD. </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 xml:space="preserve">Dal profilo del merito si fa notare che il ricorso è privo d’oggetto, poiché l’ipotesi di compensare presso la Buzza di Biasca i 2.7 ettari circa di SAC sottratte dalla proposta di discarica descritta nello studio di base non è una misura della scheda V7 e quindi non può essere impugnata. Tale ipotesi è stata formulata nel </w:t>
      </w:r>
      <w:r w:rsidRPr="00463432">
        <w:rPr>
          <w:rFonts w:cs="Arial"/>
          <w:i/>
          <w:szCs w:val="24"/>
          <w:lang w:val="it-CH"/>
        </w:rPr>
        <w:t>Rapporto esplicativo</w:t>
      </w:r>
      <w:r w:rsidRPr="00463432">
        <w:rPr>
          <w:rFonts w:cs="Arial"/>
          <w:szCs w:val="24"/>
          <w:lang w:val="it-CH"/>
        </w:rPr>
        <w:t xml:space="preserve"> che ha accompagnato la consultazione e nel </w:t>
      </w:r>
      <w:r w:rsidRPr="00463432">
        <w:rPr>
          <w:rFonts w:cs="Arial"/>
          <w:i/>
          <w:szCs w:val="24"/>
          <w:lang w:val="it-CH"/>
        </w:rPr>
        <w:t>Rapporto sulla consultazione ed esplicativo</w:t>
      </w:r>
      <w:r w:rsidRPr="00463432">
        <w:rPr>
          <w:rFonts w:cs="Arial"/>
          <w:szCs w:val="24"/>
          <w:lang w:val="it-CH"/>
        </w:rPr>
        <w:t xml:space="preserve"> che ha accompagnato l’adozione e pubblicazione, entrambi non vincolanti, per dimostrare che a scala cantonale rimane inalterato il bilancio delle SAC, compito che spetta alla pianificazione direttrice. </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 xml:space="preserve">Sarà per contro la procedura di Piano d’utilizzazione cantonale (PUC) - la pianificazione di dettaglio -, ad eseguire quanto chiesto dai ricorrenti, ovvero precisare la conformazione morfologica e volumetrica della discarica (che potrebbe ridursi rispetto a quanto ipotizzato nello studio di base), l’estensione delle SAC eventualmente sottratte e le soluzioni concrete per la loro compensazione reale, individuando diverse varianti e svolgendo la ponderazione degli interessi. A garanzia di questo modo di procedere, nell’Allegato I della scheda è stata inserita un’indicazione per la pianificazione delle utilizzazioni volta ad assicurare i compensi delle SAC, che, secondo i due rapporti citati, saranno ricercati sul territorio del Comune di </w:t>
      </w:r>
      <w:proofErr w:type="spellStart"/>
      <w:r w:rsidRPr="00463432">
        <w:rPr>
          <w:rFonts w:cs="Arial"/>
          <w:szCs w:val="24"/>
          <w:lang w:val="it-CH"/>
        </w:rPr>
        <w:t>Gambarogno</w:t>
      </w:r>
      <w:proofErr w:type="spellEnd"/>
      <w:r w:rsidRPr="00463432">
        <w:rPr>
          <w:rFonts w:cs="Arial"/>
          <w:szCs w:val="24"/>
          <w:lang w:val="it-CH"/>
        </w:rPr>
        <w:t xml:space="preserve"> o più in generale sul Piano di </w:t>
      </w:r>
      <w:proofErr w:type="spellStart"/>
      <w:r w:rsidRPr="00463432">
        <w:rPr>
          <w:rFonts w:cs="Arial"/>
          <w:szCs w:val="24"/>
          <w:lang w:val="it-CH"/>
        </w:rPr>
        <w:t>Magadino</w:t>
      </w:r>
      <w:proofErr w:type="spellEnd"/>
      <w:r w:rsidRPr="00463432">
        <w:rPr>
          <w:rFonts w:cs="Arial"/>
          <w:szCs w:val="24"/>
          <w:lang w:val="it-CH"/>
        </w:rPr>
        <w:t>.</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In buona sostanza la procedura di PD contestata dai ricorrenti, non è quella corretta per far valere le loro rimostranze, non riconducibili, tra l’altro, a motivazioni concrete. A titolo d’esempio, non spiegano quali ripercussioni negative sarebbero costretti a sopportare, tanto più che il Patriziato, nelle sue osservazioni alla consultazione della proposta di modifica della scheda V7 che ha consolidato la discarica della Buzza di Biasca, ha manifestato il suo desiderio di vedere realizzati almeno 10 ettari di superfici SAC</w:t>
      </w:r>
      <w:r w:rsidRPr="00463432">
        <w:rPr>
          <w:rFonts w:cs="Arial"/>
          <w:szCs w:val="24"/>
          <w:vertAlign w:val="superscript"/>
          <w:lang w:val="it-CH"/>
        </w:rPr>
        <w:footnoteReference w:id="2"/>
      </w:r>
      <w:r w:rsidRPr="00463432">
        <w:rPr>
          <w:rFonts w:cs="Arial"/>
          <w:szCs w:val="24"/>
          <w:lang w:val="it-CH"/>
        </w:rPr>
        <w:t xml:space="preserve">. </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r w:rsidRPr="00463432">
        <w:rPr>
          <w:rFonts w:cs="Arial"/>
          <w:szCs w:val="24"/>
          <w:lang w:val="it-CH"/>
        </w:rPr>
        <w:t xml:space="preserve">I ricorrenti stessi, a proposito dell’informazione e della partecipazione, fanno riferimento alla pianificazione delle utilizzazioni citando l’art. 26 della LST che riguarda il Piano regolatore, </w:t>
      </w:r>
      <w:r w:rsidRPr="00463432">
        <w:rPr>
          <w:rFonts w:cs="Arial"/>
          <w:szCs w:val="24"/>
          <w:lang w:val="it-CH"/>
        </w:rPr>
        <w:lastRenderedPageBreak/>
        <w:t>ovvero una delle forme della pianificazione delle utilizzazioni (oltre al PUC). La contestata modifica di PD in oggetto non pregiudica dunque i diritti dei ricorrenti, che li potranno far valere nell’ambito del futuro PUC di Quartino2, dovesse toccarli nei loro interessi, e nel PUC della discarica della Buzza di Biasca, che sarà posto in pubblica consultazione prossimamente, e che è già stato presentato preliminarmente sia ai Comuni (Biasca e Serravalle) sia ai Patriziati (</w:t>
      </w:r>
      <w:proofErr w:type="spellStart"/>
      <w:r w:rsidRPr="00463432">
        <w:rPr>
          <w:rFonts w:cs="Arial"/>
          <w:szCs w:val="24"/>
          <w:lang w:val="it-CH"/>
        </w:rPr>
        <w:t>Biasca</w:t>
      </w:r>
      <w:proofErr w:type="spellEnd"/>
      <w:r w:rsidRPr="00463432">
        <w:rPr>
          <w:rFonts w:cs="Arial"/>
          <w:szCs w:val="24"/>
          <w:lang w:val="it-CH"/>
        </w:rPr>
        <w:t xml:space="preserve"> e </w:t>
      </w:r>
      <w:proofErr w:type="spellStart"/>
      <w:r w:rsidRPr="00463432">
        <w:rPr>
          <w:rFonts w:cs="Arial"/>
          <w:szCs w:val="24"/>
          <w:lang w:val="it-CH"/>
        </w:rPr>
        <w:t>Malvaglia</w:t>
      </w:r>
      <w:proofErr w:type="spellEnd"/>
      <w:r w:rsidRPr="00463432">
        <w:rPr>
          <w:rFonts w:cs="Arial"/>
          <w:szCs w:val="24"/>
          <w:lang w:val="it-CH"/>
        </w:rPr>
        <w:t xml:space="preserve">). Si segnala che nel PUC della Buzza di Biasca è prevista la formazione di circa 7.4 ettari di SAC a fronte di 2.8 ettari sottratti dalla stessa discarica. </w:t>
      </w:r>
    </w:p>
    <w:p w:rsidR="00463432" w:rsidRPr="00463432" w:rsidRDefault="00463432" w:rsidP="00463432">
      <w:pPr>
        <w:contextualSpacing/>
        <w:rPr>
          <w:rFonts w:cs="Arial"/>
          <w:szCs w:val="24"/>
          <w:lang w:val="it-CH"/>
        </w:rPr>
      </w:pPr>
    </w:p>
    <w:bookmarkEnd w:id="25"/>
    <w:bookmarkEnd w:id="26"/>
    <w:p w:rsidR="00463432" w:rsidRPr="00463432" w:rsidRDefault="00463432" w:rsidP="00463432">
      <w:pPr>
        <w:contextualSpacing/>
        <w:rPr>
          <w:rFonts w:cs="Arial"/>
          <w:szCs w:val="24"/>
          <w:u w:val="single"/>
          <w:lang w:val="it-CH"/>
        </w:rPr>
      </w:pPr>
      <w:r w:rsidRPr="00463432">
        <w:rPr>
          <w:rFonts w:cs="Arial"/>
          <w:szCs w:val="24"/>
          <w:u w:val="single"/>
          <w:lang w:val="it-CH"/>
        </w:rPr>
        <w:t>Per i motivi illustrati sopra, il CdS invita codesto lodevole Gran Consiglio a voler decidere:</w:t>
      </w:r>
    </w:p>
    <w:p w:rsidR="00463432" w:rsidRPr="00463432" w:rsidRDefault="00463432" w:rsidP="00463432">
      <w:pPr>
        <w:pStyle w:val="Paragrafoelenco"/>
        <w:numPr>
          <w:ilvl w:val="0"/>
          <w:numId w:val="30"/>
        </w:numPr>
        <w:spacing w:before="120"/>
        <w:ind w:left="284" w:hanging="284"/>
        <w:rPr>
          <w:rFonts w:cs="Arial"/>
          <w:szCs w:val="24"/>
          <w:u w:val="single"/>
        </w:rPr>
      </w:pPr>
      <w:r w:rsidRPr="00463432">
        <w:rPr>
          <w:rFonts w:cs="Arial"/>
          <w:szCs w:val="24"/>
          <w:u w:val="single"/>
        </w:rPr>
        <w:t>il ricorso del Comune e del Patriziato di Biasca è privo d’oggetto.</w:t>
      </w:r>
    </w:p>
    <w:p w:rsidR="00463432" w:rsidRDefault="00463432" w:rsidP="00463432">
      <w:pPr>
        <w:contextualSpacing/>
        <w:rPr>
          <w:rFonts w:cs="Arial"/>
          <w:szCs w:val="24"/>
          <w:u w:val="single"/>
          <w:lang w:val="it-CH"/>
        </w:rPr>
      </w:pPr>
    </w:p>
    <w:p w:rsidR="00463432" w:rsidRPr="00463432" w:rsidRDefault="00463432" w:rsidP="00463432">
      <w:pPr>
        <w:contextualSpacing/>
        <w:rPr>
          <w:rFonts w:cs="Arial"/>
          <w:szCs w:val="24"/>
          <w:u w:val="single"/>
          <w:lang w:val="it-CH"/>
        </w:rPr>
      </w:pPr>
    </w:p>
    <w:p w:rsidR="00463432" w:rsidRPr="00463432" w:rsidRDefault="00463432" w:rsidP="00B9290E">
      <w:pPr>
        <w:pStyle w:val="Titolo2"/>
        <w:tabs>
          <w:tab w:val="clear" w:pos="567"/>
          <w:tab w:val="left" w:pos="709"/>
        </w:tabs>
        <w:rPr>
          <w:lang w:val="it-CH"/>
        </w:rPr>
      </w:pPr>
      <w:bookmarkStart w:id="29" w:name="_Toc83882443"/>
      <w:r>
        <w:rPr>
          <w:lang w:val="it-CH"/>
        </w:rPr>
        <w:t>3.2</w:t>
      </w:r>
      <w:r>
        <w:rPr>
          <w:lang w:val="it-CH"/>
        </w:rPr>
        <w:tab/>
      </w:r>
      <w:r w:rsidRPr="00463432">
        <w:rPr>
          <w:lang w:val="it-CH"/>
        </w:rPr>
        <w:t>Ricorso dell’Unione Contadini Ticinesi (UCT)</w:t>
      </w:r>
      <w:bookmarkEnd w:id="29"/>
    </w:p>
    <w:p w:rsidR="00463432" w:rsidRPr="00463432" w:rsidRDefault="00463432" w:rsidP="00463432">
      <w:pPr>
        <w:pStyle w:val="Titolo3"/>
        <w:rPr>
          <w:lang w:val="it-CH"/>
        </w:rPr>
      </w:pPr>
      <w:bookmarkStart w:id="30" w:name="_Toc83882444"/>
      <w:r>
        <w:rPr>
          <w:lang w:val="it-CH"/>
        </w:rPr>
        <w:t>3.2.1</w:t>
      </w:r>
      <w:r>
        <w:rPr>
          <w:lang w:val="it-CH"/>
        </w:rPr>
        <w:tab/>
      </w:r>
      <w:r w:rsidRPr="00463432">
        <w:rPr>
          <w:lang w:val="it-CH"/>
        </w:rPr>
        <w:t xml:space="preserve">Sintesi delle richieste </w:t>
      </w:r>
      <w:proofErr w:type="spellStart"/>
      <w:r w:rsidRPr="00463432">
        <w:rPr>
          <w:lang w:val="it-CH"/>
        </w:rPr>
        <w:t>ricorsuali</w:t>
      </w:r>
      <w:bookmarkEnd w:id="30"/>
      <w:proofErr w:type="spellEnd"/>
      <w:r w:rsidRPr="00463432">
        <w:rPr>
          <w:lang w:val="it-CH"/>
        </w:rPr>
        <w:t xml:space="preserve"> </w:t>
      </w:r>
    </w:p>
    <w:p w:rsidR="00463432" w:rsidRDefault="00463432" w:rsidP="00463432">
      <w:pPr>
        <w:contextualSpacing/>
        <w:rPr>
          <w:rFonts w:cs="Arial"/>
          <w:szCs w:val="24"/>
          <w:lang w:val="it-CH"/>
        </w:rPr>
      </w:pPr>
      <w:r w:rsidRPr="00463432">
        <w:rPr>
          <w:rFonts w:cs="Arial"/>
          <w:szCs w:val="24"/>
          <w:lang w:val="it-CH"/>
        </w:rPr>
        <w:t>La ricorrente è contraria alla discarica Quartino2 perché sottrae 2.7 ettari di SAC.</w:t>
      </w: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u w:val="single"/>
          <w:lang w:val="it-CH"/>
        </w:rPr>
      </w:pPr>
      <w:r w:rsidRPr="00463432">
        <w:rPr>
          <w:rFonts w:cs="Arial"/>
          <w:szCs w:val="24"/>
          <w:u w:val="single"/>
          <w:lang w:val="it-CH"/>
        </w:rPr>
        <w:t xml:space="preserve">La ricorrente chiede, in via principale, che le modifiche del Piano direttore n. 17 e gli adeguamenti della scheda V7 non siano approvati, in subordine, che sia adottata, se del caso previo rinvio al Consiglio di Stato, una nuova ubicazione della discarica nel </w:t>
      </w:r>
      <w:proofErr w:type="spellStart"/>
      <w:r w:rsidRPr="00463432">
        <w:rPr>
          <w:rFonts w:cs="Arial"/>
          <w:szCs w:val="24"/>
          <w:u w:val="single"/>
          <w:lang w:val="it-CH"/>
        </w:rPr>
        <w:t>Gambarogno</w:t>
      </w:r>
      <w:proofErr w:type="spellEnd"/>
      <w:r w:rsidRPr="00463432">
        <w:rPr>
          <w:rFonts w:cs="Arial"/>
          <w:szCs w:val="24"/>
          <w:u w:val="single"/>
          <w:lang w:val="it-CH"/>
        </w:rPr>
        <w:t xml:space="preserve"> (Quartino2) che non causi la perdita di prezioso terreno SAC. </w:t>
      </w:r>
    </w:p>
    <w:p w:rsidR="00463432" w:rsidRPr="00463432" w:rsidRDefault="00463432" w:rsidP="00463432">
      <w:pPr>
        <w:contextualSpacing/>
        <w:rPr>
          <w:rFonts w:cs="Arial"/>
          <w:szCs w:val="24"/>
          <w:u w:val="single"/>
          <w:lang w:val="it-CH"/>
        </w:rPr>
      </w:pPr>
    </w:p>
    <w:p w:rsidR="00463432" w:rsidRPr="00463432" w:rsidRDefault="00463432" w:rsidP="00463432">
      <w:pPr>
        <w:pStyle w:val="Titolo3"/>
        <w:rPr>
          <w:lang w:val="it-CH"/>
        </w:rPr>
      </w:pPr>
      <w:bookmarkStart w:id="31" w:name="_Toc83882445"/>
      <w:r>
        <w:rPr>
          <w:lang w:val="it-CH"/>
        </w:rPr>
        <w:t>3.2.2</w:t>
      </w:r>
      <w:r>
        <w:rPr>
          <w:lang w:val="it-CH"/>
        </w:rPr>
        <w:tab/>
      </w:r>
      <w:r w:rsidRPr="00463432">
        <w:rPr>
          <w:lang w:val="it-CH"/>
        </w:rPr>
        <w:t>Osservazioni e proposta di decisione</w:t>
      </w:r>
      <w:bookmarkEnd w:id="31"/>
    </w:p>
    <w:p w:rsidR="00463432" w:rsidRDefault="00463432" w:rsidP="00463432">
      <w:pPr>
        <w:contextualSpacing/>
        <w:rPr>
          <w:rFonts w:cs="Arial"/>
          <w:szCs w:val="24"/>
          <w:lang w:val="it-CH"/>
        </w:rPr>
      </w:pPr>
      <w:r w:rsidRPr="00463432">
        <w:rPr>
          <w:rFonts w:cs="Arial"/>
          <w:szCs w:val="24"/>
          <w:lang w:val="it-CH"/>
        </w:rPr>
        <w:t xml:space="preserve">Dal profilo giuridico, il ricorso dell’UCT è irricevibile per mancanza di legittimazione. Il PD vincola infatti solo le autorità (art. 9 </w:t>
      </w:r>
      <w:proofErr w:type="spellStart"/>
      <w:r w:rsidRPr="00463432">
        <w:rPr>
          <w:rFonts w:cs="Arial"/>
          <w:szCs w:val="24"/>
          <w:lang w:val="it-CH"/>
        </w:rPr>
        <w:t>cpv</w:t>
      </w:r>
      <w:proofErr w:type="spellEnd"/>
      <w:r w:rsidRPr="00463432">
        <w:rPr>
          <w:rFonts w:cs="Arial"/>
          <w:szCs w:val="24"/>
          <w:lang w:val="it-CH"/>
        </w:rPr>
        <w:t xml:space="preserve"> 3 LPT) e contro i suoi contenuti possono ricorrere solamente i Comuni e gli altri enti interessati (artt. 16 e 13 </w:t>
      </w:r>
      <w:proofErr w:type="spellStart"/>
      <w:r w:rsidRPr="00463432">
        <w:rPr>
          <w:rFonts w:cs="Arial"/>
          <w:szCs w:val="24"/>
          <w:lang w:val="it-CH"/>
        </w:rPr>
        <w:t>cpv</w:t>
      </w:r>
      <w:proofErr w:type="spellEnd"/>
      <w:r w:rsidRPr="00463432">
        <w:rPr>
          <w:rFonts w:cs="Arial"/>
          <w:szCs w:val="24"/>
          <w:lang w:val="it-CH"/>
        </w:rPr>
        <w:t xml:space="preserve"> 3 LST), intesi come corporazioni di diritto pubblico, mentre l’UCT è un’associazione di categoria. </w:t>
      </w: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r w:rsidRPr="00463432">
        <w:rPr>
          <w:rFonts w:cs="Arial"/>
          <w:szCs w:val="24"/>
          <w:lang w:val="it-CH"/>
        </w:rPr>
        <w:t xml:space="preserve">A titolo </w:t>
      </w:r>
      <w:proofErr w:type="spellStart"/>
      <w:r w:rsidRPr="00463432">
        <w:rPr>
          <w:rFonts w:cs="Arial"/>
          <w:szCs w:val="24"/>
          <w:lang w:val="it-CH"/>
        </w:rPr>
        <w:t>abbondanziale</w:t>
      </w:r>
      <w:proofErr w:type="spellEnd"/>
      <w:r w:rsidRPr="00463432">
        <w:rPr>
          <w:rFonts w:cs="Arial"/>
          <w:szCs w:val="24"/>
          <w:lang w:val="it-CH"/>
        </w:rPr>
        <w:t xml:space="preserve"> si precisa che sarà la procedura di Piano d’utilizzazione cantonale (PUC) - la pianificazione di dettaglio, nell’ambito della quale i ricorrenti potranno far valere le loro rivendicazioni - a precisare la conformazione morfologica e volumetrica della discarica (che potrebbe ridursi rispetto a quanto ipotizzato nello studio di base), l’estensione delle SAC eventualmente sottratte e le soluzioni concrete per la loro compensazione reale. A garanzia di questo modo di procedere, nell’Allegato I della scheda è stata inserita un’indicazione per la pianificazione delle utilizzazioni volta ad assicurare i compensi delle SAC, che, secondo il </w:t>
      </w:r>
      <w:r w:rsidRPr="00463432">
        <w:rPr>
          <w:rFonts w:cs="Arial"/>
          <w:i/>
          <w:szCs w:val="24"/>
          <w:lang w:val="it-CH"/>
        </w:rPr>
        <w:t>Rapporto esplicativo</w:t>
      </w:r>
      <w:r w:rsidRPr="00463432">
        <w:rPr>
          <w:rFonts w:cs="Arial"/>
          <w:szCs w:val="24"/>
          <w:lang w:val="it-CH"/>
        </w:rPr>
        <w:t xml:space="preserve"> che ha accompagnato la consultazione e il </w:t>
      </w:r>
      <w:r w:rsidRPr="00463432">
        <w:rPr>
          <w:rFonts w:cs="Arial"/>
          <w:i/>
          <w:szCs w:val="24"/>
          <w:lang w:val="it-CH"/>
        </w:rPr>
        <w:t>Rapporto sulla consultazione ed esplicativo</w:t>
      </w:r>
      <w:r w:rsidRPr="00463432">
        <w:rPr>
          <w:rFonts w:cs="Arial"/>
          <w:szCs w:val="24"/>
          <w:lang w:val="it-CH"/>
        </w:rPr>
        <w:t xml:space="preserve"> che ha accompagnato l’adozione e pubblicazione saranno ricercati sul territorio del Comune di </w:t>
      </w:r>
      <w:proofErr w:type="spellStart"/>
      <w:r w:rsidRPr="00463432">
        <w:rPr>
          <w:rFonts w:cs="Arial"/>
          <w:szCs w:val="24"/>
          <w:lang w:val="it-CH"/>
        </w:rPr>
        <w:t>Gambarogno</w:t>
      </w:r>
      <w:proofErr w:type="spellEnd"/>
      <w:r w:rsidRPr="00463432">
        <w:rPr>
          <w:rFonts w:cs="Arial"/>
          <w:szCs w:val="24"/>
          <w:lang w:val="it-CH"/>
        </w:rPr>
        <w:t xml:space="preserve"> o più in generale sul Piano di </w:t>
      </w:r>
      <w:proofErr w:type="spellStart"/>
      <w:r w:rsidRPr="00463432">
        <w:rPr>
          <w:rFonts w:cs="Arial"/>
          <w:szCs w:val="24"/>
          <w:lang w:val="it-CH"/>
        </w:rPr>
        <w:t>Magadino</w:t>
      </w:r>
      <w:proofErr w:type="spellEnd"/>
      <w:r w:rsidRPr="00463432">
        <w:rPr>
          <w:rFonts w:cs="Arial"/>
          <w:szCs w:val="24"/>
          <w:lang w:val="it-CH"/>
        </w:rPr>
        <w:t>. Oltre ad essere irricevibile il ricorso è dunque anche privo d’oggetto.</w:t>
      </w:r>
    </w:p>
    <w:p w:rsidR="00463432" w:rsidRPr="00463432" w:rsidRDefault="00463432" w:rsidP="00463432">
      <w:pPr>
        <w:contextualSpacing/>
        <w:rPr>
          <w:rFonts w:cs="Arial"/>
          <w:szCs w:val="24"/>
          <w:lang w:val="it-CH"/>
        </w:rPr>
      </w:pPr>
    </w:p>
    <w:p w:rsidR="00463432" w:rsidRPr="00463432" w:rsidRDefault="00463432" w:rsidP="00463432">
      <w:pPr>
        <w:contextualSpacing/>
        <w:rPr>
          <w:rFonts w:cs="Arial"/>
          <w:szCs w:val="24"/>
          <w:u w:val="single"/>
          <w:lang w:val="it-CH"/>
        </w:rPr>
      </w:pPr>
      <w:r w:rsidRPr="00463432">
        <w:rPr>
          <w:rFonts w:cs="Arial"/>
          <w:szCs w:val="24"/>
          <w:u w:val="single"/>
          <w:lang w:val="it-CH"/>
        </w:rPr>
        <w:t xml:space="preserve">Per questa ragione il CdS </w:t>
      </w:r>
      <w:bookmarkStart w:id="32" w:name="_Toc324259670"/>
      <w:bookmarkStart w:id="33" w:name="_Toc396135343"/>
      <w:bookmarkStart w:id="34" w:name="_Toc403396428"/>
      <w:bookmarkStart w:id="35" w:name="_Ref403547127"/>
      <w:bookmarkStart w:id="36" w:name="_Ref460228270"/>
      <w:r w:rsidRPr="00463432">
        <w:rPr>
          <w:rFonts w:cs="Arial"/>
          <w:szCs w:val="24"/>
          <w:u w:val="single"/>
          <w:lang w:val="it-CH"/>
        </w:rPr>
        <w:t>invita codesto lodevole Gran Consiglio a voler decidere:</w:t>
      </w:r>
    </w:p>
    <w:p w:rsidR="00463432" w:rsidRPr="00463432" w:rsidRDefault="00463432" w:rsidP="00463432">
      <w:pPr>
        <w:pStyle w:val="Paragrafoelenco"/>
        <w:numPr>
          <w:ilvl w:val="0"/>
          <w:numId w:val="30"/>
        </w:numPr>
        <w:spacing w:before="120"/>
        <w:ind w:left="284" w:hanging="284"/>
        <w:rPr>
          <w:rFonts w:cs="Arial"/>
          <w:szCs w:val="24"/>
          <w:u w:val="single"/>
        </w:rPr>
      </w:pPr>
      <w:r w:rsidRPr="00463432">
        <w:rPr>
          <w:rFonts w:cs="Arial"/>
          <w:szCs w:val="24"/>
          <w:u w:val="single"/>
        </w:rPr>
        <w:t>il ricorso dell’UCT è irricevibile per mancanza di legittimazione attiva.</w:t>
      </w:r>
    </w:p>
    <w:p w:rsidR="00463432" w:rsidRPr="00463432" w:rsidRDefault="00463432" w:rsidP="00463432">
      <w:pPr>
        <w:contextualSpacing/>
        <w:rPr>
          <w:rFonts w:cs="Arial"/>
          <w:szCs w:val="24"/>
          <w:lang w:val="it-CH"/>
        </w:rPr>
      </w:pPr>
    </w:p>
    <w:p w:rsidR="00463432" w:rsidRDefault="00463432" w:rsidP="00463432">
      <w:pPr>
        <w:contextualSpacing/>
        <w:rPr>
          <w:rFonts w:cs="Arial"/>
          <w:szCs w:val="24"/>
          <w:lang w:val="it-CH"/>
        </w:rPr>
      </w:pPr>
    </w:p>
    <w:p w:rsidR="00463432" w:rsidRPr="00463432" w:rsidRDefault="00463432" w:rsidP="00463432">
      <w:pPr>
        <w:contextualSpacing/>
        <w:rPr>
          <w:rFonts w:cs="Arial"/>
          <w:szCs w:val="24"/>
          <w:lang w:val="it-CH"/>
        </w:rPr>
      </w:pPr>
    </w:p>
    <w:p w:rsidR="00463432" w:rsidRPr="00463432" w:rsidRDefault="00463432" w:rsidP="00463432">
      <w:pPr>
        <w:pStyle w:val="Titolo1"/>
        <w:rPr>
          <w:lang w:val="it-CH"/>
        </w:rPr>
      </w:pPr>
      <w:bookmarkStart w:id="37" w:name="_Toc83882446"/>
      <w:r>
        <w:rPr>
          <w:lang w:val="it-CH"/>
        </w:rPr>
        <w:t>4.</w:t>
      </w:r>
      <w:r>
        <w:rPr>
          <w:lang w:val="it-CH"/>
        </w:rPr>
        <w:tab/>
      </w:r>
      <w:r w:rsidRPr="00463432">
        <w:rPr>
          <w:lang w:val="it-CH"/>
        </w:rPr>
        <w:t>Sintesi delle proposte di decisione</w:t>
      </w:r>
      <w:bookmarkEnd w:id="32"/>
      <w:bookmarkEnd w:id="33"/>
      <w:bookmarkEnd w:id="34"/>
      <w:bookmarkEnd w:id="35"/>
      <w:bookmarkEnd w:id="36"/>
      <w:bookmarkEnd w:id="37"/>
    </w:p>
    <w:p w:rsidR="00463432" w:rsidRDefault="00463432" w:rsidP="00463432">
      <w:pPr>
        <w:contextualSpacing/>
        <w:rPr>
          <w:rFonts w:cs="Arial"/>
          <w:szCs w:val="24"/>
          <w:lang w:val="it-CH"/>
        </w:rPr>
      </w:pPr>
      <w:r w:rsidRPr="00463432">
        <w:rPr>
          <w:rFonts w:cs="Arial"/>
          <w:szCs w:val="24"/>
          <w:lang w:val="it-CH"/>
        </w:rPr>
        <w:t>Sulla base di quanto precede, riservato un più ampio sviluppo delle tesi di fatto e di diritto in corso di procedura, invitiamo codesto lodevole Gran Consiglio a voler decidere:</w:t>
      </w:r>
    </w:p>
    <w:p w:rsidR="00B9290E" w:rsidRPr="00463432" w:rsidRDefault="00B9290E" w:rsidP="00463432">
      <w:pPr>
        <w:contextualSpacing/>
        <w:rPr>
          <w:rFonts w:cs="Arial"/>
          <w:szCs w:val="24"/>
          <w:lang w:val="it-CH"/>
        </w:rPr>
      </w:pPr>
    </w:p>
    <w:p w:rsidR="00463432" w:rsidRPr="00463432" w:rsidRDefault="00463432" w:rsidP="00463432">
      <w:pPr>
        <w:pStyle w:val="Paragrafoelenco"/>
        <w:numPr>
          <w:ilvl w:val="0"/>
          <w:numId w:val="31"/>
        </w:numPr>
        <w:tabs>
          <w:tab w:val="left" w:pos="284"/>
        </w:tabs>
        <w:spacing w:before="120" w:after="120"/>
        <w:ind w:left="284" w:hanging="284"/>
        <w:contextualSpacing w:val="0"/>
        <w:rPr>
          <w:rFonts w:cs="Arial"/>
          <w:szCs w:val="24"/>
          <w:u w:val="single"/>
        </w:rPr>
      </w:pPr>
      <w:r w:rsidRPr="00463432">
        <w:rPr>
          <w:rFonts w:cs="Arial"/>
          <w:szCs w:val="24"/>
          <w:u w:val="single"/>
        </w:rPr>
        <w:lastRenderedPageBreak/>
        <w:t>il ricorso del Comune e del Patriziato di Biasca è privo d’oggetto;</w:t>
      </w:r>
    </w:p>
    <w:p w:rsidR="00463432" w:rsidRPr="00463432" w:rsidRDefault="00463432" w:rsidP="00463432">
      <w:pPr>
        <w:pStyle w:val="Paragrafoelenco"/>
        <w:numPr>
          <w:ilvl w:val="0"/>
          <w:numId w:val="31"/>
        </w:numPr>
        <w:tabs>
          <w:tab w:val="left" w:pos="284"/>
        </w:tabs>
        <w:spacing w:before="120" w:after="120"/>
        <w:ind w:left="284" w:hanging="284"/>
        <w:contextualSpacing w:val="0"/>
        <w:rPr>
          <w:rFonts w:cs="Arial"/>
          <w:szCs w:val="24"/>
          <w:u w:val="single"/>
        </w:rPr>
      </w:pPr>
      <w:r w:rsidRPr="00463432">
        <w:rPr>
          <w:rFonts w:cs="Arial"/>
          <w:szCs w:val="24"/>
          <w:u w:val="single"/>
        </w:rPr>
        <w:t>il ricorso dell’Unione contadini ticinesi è irricevibile per mancanza di legittimazione attiva.</w:t>
      </w:r>
    </w:p>
    <w:p w:rsidR="00B9290E" w:rsidRDefault="00B9290E" w:rsidP="00463432">
      <w:pPr>
        <w:contextualSpacing/>
        <w:rPr>
          <w:rFonts w:cs="Arial"/>
          <w:szCs w:val="24"/>
          <w:lang w:val="it-CH"/>
        </w:rPr>
      </w:pPr>
    </w:p>
    <w:p w:rsidR="00B9290E" w:rsidRDefault="00B9290E" w:rsidP="00463432">
      <w:pPr>
        <w:contextualSpacing/>
        <w:rPr>
          <w:rFonts w:cs="Arial"/>
          <w:szCs w:val="24"/>
          <w:lang w:val="it-CH"/>
        </w:rPr>
      </w:pPr>
    </w:p>
    <w:p w:rsidR="00463432" w:rsidRPr="00463432" w:rsidRDefault="00463432" w:rsidP="00463432">
      <w:pPr>
        <w:contextualSpacing/>
        <w:rPr>
          <w:rFonts w:cs="Arial"/>
          <w:szCs w:val="24"/>
          <w:lang w:val="it-CH"/>
        </w:rPr>
      </w:pPr>
      <w:r w:rsidRPr="00463432">
        <w:rPr>
          <w:rFonts w:cs="Arial"/>
          <w:szCs w:val="24"/>
          <w:lang w:val="it-CH"/>
        </w:rPr>
        <w:t>Vogliate gradire, signor Presidente, signore e signori deputati, l'espressione della nostra massima stima.</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63432" w:rsidP="004E176C">
      <w:pPr>
        <w:spacing w:line="23" w:lineRule="atLeast"/>
        <w:rPr>
          <w:rFonts w:cs="Arial"/>
        </w:rPr>
      </w:pPr>
      <w:r>
        <w:rPr>
          <w:rFonts w:cs="Arial"/>
        </w:rPr>
        <w:t>Il Presidente, Manuele Bertoli</w:t>
      </w:r>
    </w:p>
    <w:p w:rsidR="004E176C" w:rsidRDefault="004E176C" w:rsidP="004E176C">
      <w:pPr>
        <w:spacing w:line="23" w:lineRule="atLeast"/>
        <w:rPr>
          <w:rFonts w:cs="Arial"/>
        </w:rPr>
      </w:pPr>
      <w:r w:rsidRPr="00B4412F">
        <w:rPr>
          <w:rFonts w:cs="Arial"/>
        </w:rPr>
        <w:t>Il Cancelliere, Arnoldo Coduri</w:t>
      </w:r>
    </w:p>
    <w:p w:rsidR="009A7229" w:rsidRDefault="009A7229"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B9290E" w:rsidRDefault="00B9290E" w:rsidP="00B9290E">
      <w:pPr>
        <w:spacing w:line="23" w:lineRule="atLeast"/>
        <w:rPr>
          <w:rFonts w:cs="Arial"/>
        </w:rPr>
      </w:pPr>
    </w:p>
    <w:p w:rsidR="00256A9F" w:rsidRPr="00B4412F" w:rsidRDefault="00256A9F" w:rsidP="00B9290E">
      <w:pPr>
        <w:spacing w:line="23" w:lineRule="atLeast"/>
        <w:rPr>
          <w:rFonts w:cs="Arial"/>
        </w:rPr>
      </w:pPr>
    </w:p>
    <w:p w:rsidR="00463432" w:rsidRPr="00463432" w:rsidRDefault="00463432" w:rsidP="00B9290E">
      <w:pPr>
        <w:jc w:val="left"/>
        <w:rPr>
          <w:rFonts w:eastAsia="Arial" w:cs="Arial"/>
          <w:szCs w:val="24"/>
          <w:lang w:val="it-CH" w:eastAsia="en-US"/>
        </w:rPr>
      </w:pPr>
    </w:p>
    <w:p w:rsidR="00463432" w:rsidRPr="00463432" w:rsidRDefault="00463432" w:rsidP="00463432">
      <w:pPr>
        <w:pStyle w:val="Titolo1"/>
        <w:rPr>
          <w:rFonts w:eastAsia="Arial"/>
          <w:lang w:val="it-CH" w:eastAsia="en-US"/>
        </w:rPr>
      </w:pPr>
      <w:bookmarkStart w:id="38" w:name="_Toc83882447"/>
      <w:bookmarkStart w:id="39" w:name="_Toc403396430"/>
      <w:r w:rsidRPr="00463432">
        <w:rPr>
          <w:rFonts w:eastAsia="Arial"/>
          <w:lang w:val="it-CH" w:eastAsia="en-US"/>
        </w:rPr>
        <w:t>Glossario</w:t>
      </w:r>
      <w:bookmarkEnd w:id="38"/>
    </w:p>
    <w:p w:rsidR="00463432" w:rsidRPr="00463432" w:rsidRDefault="00463432" w:rsidP="00B9290E">
      <w:pPr>
        <w:spacing w:before="120"/>
        <w:ind w:left="851" w:hanging="851"/>
        <w:jc w:val="left"/>
        <w:rPr>
          <w:rFonts w:cs="Arial"/>
          <w:szCs w:val="24"/>
          <w:lang w:val="it-CH"/>
        </w:rPr>
      </w:pPr>
      <w:r w:rsidRPr="00463432">
        <w:rPr>
          <w:rFonts w:cs="Arial"/>
          <w:szCs w:val="24"/>
          <w:lang w:val="it-CH"/>
        </w:rPr>
        <w:t>ARE</w:t>
      </w:r>
      <w:r w:rsidRPr="00463432">
        <w:rPr>
          <w:rFonts w:cs="Arial"/>
          <w:szCs w:val="24"/>
          <w:vertAlign w:val="superscript"/>
          <w:lang w:val="it-CH"/>
        </w:rPr>
        <w:footnoteReference w:id="3"/>
      </w:r>
      <w:r w:rsidRPr="00463432">
        <w:rPr>
          <w:rFonts w:cs="Arial"/>
          <w:szCs w:val="24"/>
          <w:lang w:val="it-CH"/>
        </w:rPr>
        <w:tab/>
        <w:t xml:space="preserve">Ufficio federale dello sviluppo territoriale </w:t>
      </w:r>
    </w:p>
    <w:p w:rsidR="00463432" w:rsidRPr="00463432" w:rsidRDefault="00463432" w:rsidP="00B9290E">
      <w:pPr>
        <w:spacing w:before="120"/>
        <w:ind w:left="851" w:hanging="851"/>
        <w:jc w:val="left"/>
        <w:rPr>
          <w:rFonts w:cs="Arial"/>
          <w:szCs w:val="24"/>
          <w:lang w:val="it-CH"/>
        </w:rPr>
      </w:pPr>
      <w:r w:rsidRPr="00463432">
        <w:rPr>
          <w:rFonts w:cs="Arial"/>
          <w:szCs w:val="24"/>
          <w:lang w:val="it-CH"/>
        </w:rPr>
        <w:t>CdS</w:t>
      </w:r>
      <w:r w:rsidRPr="00463432">
        <w:rPr>
          <w:rFonts w:cs="Arial"/>
          <w:szCs w:val="24"/>
          <w:lang w:val="it-CH"/>
        </w:rPr>
        <w:tab/>
        <w:t>Consiglio di Stato</w:t>
      </w:r>
    </w:p>
    <w:p w:rsidR="00463432" w:rsidRPr="00463432" w:rsidRDefault="00463432" w:rsidP="00B9290E">
      <w:pPr>
        <w:spacing w:before="120"/>
        <w:ind w:left="851" w:hanging="851"/>
        <w:jc w:val="left"/>
        <w:rPr>
          <w:rFonts w:cs="Arial"/>
          <w:i/>
          <w:szCs w:val="24"/>
          <w:lang w:val="it-CH"/>
        </w:rPr>
      </w:pPr>
      <w:r w:rsidRPr="00463432">
        <w:rPr>
          <w:rFonts w:cs="Arial"/>
          <w:szCs w:val="24"/>
          <w:lang w:val="it-CH"/>
        </w:rPr>
        <w:t>Da</w:t>
      </w:r>
      <w:r w:rsidRPr="00463432">
        <w:rPr>
          <w:rFonts w:cs="Arial"/>
          <w:szCs w:val="24"/>
          <w:lang w:val="it-CH"/>
        </w:rPr>
        <w:tab/>
        <w:t xml:space="preserve">Grado di consolidamento </w:t>
      </w:r>
      <w:r w:rsidRPr="00463432">
        <w:rPr>
          <w:rFonts w:cs="Arial"/>
          <w:i/>
          <w:szCs w:val="24"/>
          <w:lang w:val="it-CH"/>
        </w:rPr>
        <w:t>Dato acquisito</w:t>
      </w:r>
    </w:p>
    <w:p w:rsidR="00463432" w:rsidRPr="00463432" w:rsidRDefault="00463432" w:rsidP="00B9290E">
      <w:pPr>
        <w:spacing w:before="120"/>
        <w:ind w:left="851" w:hanging="851"/>
        <w:jc w:val="left"/>
        <w:rPr>
          <w:rFonts w:cs="Arial"/>
          <w:szCs w:val="24"/>
          <w:lang w:val="it-CH"/>
        </w:rPr>
      </w:pPr>
      <w:r w:rsidRPr="00463432">
        <w:rPr>
          <w:rFonts w:cs="Arial"/>
          <w:szCs w:val="24"/>
          <w:lang w:val="it-CH"/>
        </w:rPr>
        <w:t>DT</w:t>
      </w:r>
      <w:r w:rsidRPr="00463432">
        <w:rPr>
          <w:rFonts w:cs="Arial"/>
          <w:szCs w:val="24"/>
          <w:lang w:val="it-CH"/>
        </w:rPr>
        <w:tab/>
        <w:t>Dipartimento del territorio</w:t>
      </w:r>
    </w:p>
    <w:p w:rsidR="00463432" w:rsidRPr="00463432" w:rsidRDefault="00463432" w:rsidP="00B9290E">
      <w:pPr>
        <w:spacing w:before="120"/>
        <w:ind w:left="851" w:hanging="851"/>
        <w:jc w:val="left"/>
        <w:rPr>
          <w:rFonts w:cs="Arial"/>
          <w:szCs w:val="24"/>
          <w:lang w:val="it-CH"/>
        </w:rPr>
      </w:pPr>
      <w:proofErr w:type="spellStart"/>
      <w:r w:rsidRPr="00463432">
        <w:rPr>
          <w:rFonts w:cs="Arial"/>
          <w:szCs w:val="24"/>
          <w:lang w:val="it-CH"/>
        </w:rPr>
        <w:t>Ip</w:t>
      </w:r>
      <w:proofErr w:type="spellEnd"/>
      <w:r w:rsidRPr="00463432">
        <w:rPr>
          <w:rFonts w:cs="Arial"/>
          <w:szCs w:val="24"/>
          <w:lang w:val="it-CH"/>
        </w:rPr>
        <w:tab/>
        <w:t xml:space="preserve">Grado di consolidamento </w:t>
      </w:r>
      <w:r w:rsidRPr="00463432">
        <w:rPr>
          <w:rFonts w:cs="Arial"/>
          <w:i/>
          <w:szCs w:val="24"/>
          <w:lang w:val="it-CH"/>
        </w:rPr>
        <w:t>Informazione preliminare</w:t>
      </w:r>
    </w:p>
    <w:p w:rsidR="00463432" w:rsidRPr="00463432" w:rsidRDefault="00463432" w:rsidP="00B9290E">
      <w:pPr>
        <w:spacing w:before="120"/>
        <w:ind w:left="851" w:hanging="851"/>
        <w:jc w:val="left"/>
        <w:rPr>
          <w:rFonts w:cs="Arial"/>
          <w:szCs w:val="24"/>
          <w:lang w:val="it-CH"/>
        </w:rPr>
      </w:pPr>
      <w:r w:rsidRPr="00463432">
        <w:rPr>
          <w:rFonts w:cs="Arial"/>
          <w:szCs w:val="24"/>
          <w:lang w:val="it-CH"/>
        </w:rPr>
        <w:t>LST</w:t>
      </w:r>
      <w:r w:rsidRPr="00463432">
        <w:rPr>
          <w:rFonts w:cs="Arial"/>
          <w:szCs w:val="24"/>
          <w:lang w:val="it-CH"/>
        </w:rPr>
        <w:tab/>
        <w:t>Legge cantonale sullo sviluppo territoriale</w:t>
      </w:r>
    </w:p>
    <w:p w:rsidR="00463432" w:rsidRPr="00463432" w:rsidRDefault="00463432" w:rsidP="00B9290E">
      <w:pPr>
        <w:spacing w:before="120"/>
        <w:ind w:left="851" w:hanging="851"/>
        <w:jc w:val="left"/>
        <w:rPr>
          <w:rFonts w:cs="Arial"/>
          <w:szCs w:val="24"/>
          <w:lang w:val="it-CH"/>
        </w:rPr>
      </w:pPr>
      <w:r w:rsidRPr="00463432">
        <w:rPr>
          <w:rFonts w:cs="Arial"/>
          <w:szCs w:val="24"/>
          <w:lang w:val="it-CH"/>
        </w:rPr>
        <w:t>PD</w:t>
      </w:r>
      <w:r w:rsidRPr="00463432">
        <w:rPr>
          <w:rFonts w:cs="Arial"/>
          <w:szCs w:val="24"/>
          <w:lang w:val="it-CH"/>
        </w:rPr>
        <w:tab/>
        <w:t>Piano direttore cantonale</w:t>
      </w:r>
    </w:p>
    <w:p w:rsidR="00463432" w:rsidRPr="00463432" w:rsidRDefault="00463432" w:rsidP="00B9290E">
      <w:pPr>
        <w:spacing w:before="120"/>
        <w:ind w:left="851" w:hanging="851"/>
        <w:jc w:val="left"/>
        <w:rPr>
          <w:rFonts w:cs="Arial"/>
          <w:szCs w:val="24"/>
          <w:lang w:val="it-CH"/>
        </w:rPr>
      </w:pPr>
      <w:r w:rsidRPr="00463432">
        <w:rPr>
          <w:rFonts w:cs="Arial"/>
          <w:szCs w:val="24"/>
          <w:lang w:val="it-CH"/>
        </w:rPr>
        <w:t>PUC</w:t>
      </w:r>
      <w:r w:rsidRPr="00463432">
        <w:rPr>
          <w:rFonts w:cs="Arial"/>
          <w:szCs w:val="24"/>
          <w:lang w:val="it-CH"/>
        </w:rPr>
        <w:tab/>
        <w:t>Piano d’utilizzazione cantonale</w:t>
      </w:r>
    </w:p>
    <w:p w:rsidR="00463432" w:rsidRPr="00463432" w:rsidRDefault="00463432" w:rsidP="00B9290E">
      <w:pPr>
        <w:spacing w:before="120"/>
        <w:ind w:left="851" w:hanging="851"/>
        <w:jc w:val="left"/>
        <w:rPr>
          <w:rFonts w:cs="Arial"/>
          <w:szCs w:val="24"/>
          <w:lang w:val="it-CH"/>
        </w:rPr>
      </w:pPr>
      <w:proofErr w:type="spellStart"/>
      <w:r w:rsidRPr="00463432">
        <w:rPr>
          <w:rFonts w:cs="Arial"/>
          <w:szCs w:val="24"/>
          <w:lang w:val="it-CH"/>
        </w:rPr>
        <w:t>RLst</w:t>
      </w:r>
      <w:proofErr w:type="spellEnd"/>
      <w:r w:rsidRPr="00463432">
        <w:rPr>
          <w:rFonts w:cs="Arial"/>
          <w:szCs w:val="24"/>
          <w:lang w:val="it-CH"/>
        </w:rPr>
        <w:tab/>
        <w:t>Regolamento della Legge sullo sviluppo territoriale</w:t>
      </w:r>
    </w:p>
    <w:p w:rsidR="00577B4B" w:rsidRPr="0062210D" w:rsidRDefault="00463432" w:rsidP="00B9290E">
      <w:pPr>
        <w:spacing w:before="120"/>
        <w:ind w:left="851" w:hanging="851"/>
        <w:jc w:val="left"/>
        <w:rPr>
          <w:rFonts w:cs="Arial"/>
          <w:sz w:val="22"/>
          <w:szCs w:val="22"/>
          <w:highlight w:val="yellow"/>
          <w:u w:val="single"/>
        </w:rPr>
      </w:pPr>
      <w:r w:rsidRPr="00463432">
        <w:rPr>
          <w:rFonts w:cs="Arial"/>
          <w:szCs w:val="24"/>
          <w:lang w:val="it-CH"/>
        </w:rPr>
        <w:t>SAC</w:t>
      </w:r>
      <w:r w:rsidRPr="00463432">
        <w:rPr>
          <w:rFonts w:cs="Arial"/>
          <w:szCs w:val="24"/>
          <w:lang w:val="it-CH"/>
        </w:rPr>
        <w:tab/>
        <w:t>Superfici per l’avvicendamento colturale</w:t>
      </w:r>
      <w:bookmarkEnd w:id="39"/>
    </w:p>
    <w:sectPr w:rsidR="00577B4B" w:rsidRPr="0062210D"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32" w:rsidRDefault="00463432">
      <w:r>
        <w:separator/>
      </w:r>
    </w:p>
  </w:endnote>
  <w:endnote w:type="continuationSeparator" w:id="0">
    <w:p w:rsidR="00463432" w:rsidRDefault="0046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23F17">
      <w:rPr>
        <w:rStyle w:val="Numeropagina"/>
        <w:noProof/>
        <w:sz w:val="20"/>
      </w:rPr>
      <w:t>6</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32" w:rsidRDefault="00463432">
      <w:r>
        <w:separator/>
      </w:r>
    </w:p>
  </w:footnote>
  <w:footnote w:type="continuationSeparator" w:id="0">
    <w:p w:rsidR="00463432" w:rsidRDefault="00463432">
      <w:r>
        <w:continuationSeparator/>
      </w:r>
    </w:p>
  </w:footnote>
  <w:footnote w:id="1">
    <w:p w:rsidR="00463432" w:rsidRPr="00F861DC" w:rsidRDefault="00463432" w:rsidP="00463432">
      <w:pPr>
        <w:pStyle w:val="Testonotaapidipagina"/>
        <w:rPr>
          <w:lang w:val="it-CH"/>
        </w:rPr>
      </w:pPr>
      <w:r>
        <w:rPr>
          <w:rStyle w:val="Rimandonotaapidipagina"/>
        </w:rPr>
        <w:footnoteRef/>
      </w:r>
      <w:r>
        <w:t xml:space="preserve"> Il 14 aprile 2021 il CdS ha pure adottato gli adattamenti della scheda P4 </w:t>
      </w:r>
      <w:r>
        <w:rPr>
          <w:i/>
        </w:rPr>
        <w:t>Componenti</w:t>
      </w:r>
      <w:r w:rsidRPr="00F861DC">
        <w:rPr>
          <w:i/>
        </w:rPr>
        <w:t xml:space="preserve"> naturali</w:t>
      </w:r>
      <w:r>
        <w:rPr>
          <w:i/>
        </w:rPr>
        <w:t xml:space="preserve"> </w:t>
      </w:r>
      <w:r w:rsidRPr="001B73A5">
        <w:t>e la nuova scheda V13</w:t>
      </w:r>
      <w:r>
        <w:rPr>
          <w:i/>
        </w:rPr>
        <w:t xml:space="preserve"> Prevenzione degli incidenti</w:t>
      </w:r>
      <w:r w:rsidRPr="001B73A5">
        <w:rPr>
          <w:i/>
        </w:rPr>
        <w:t xml:space="preserve"> rilevanti</w:t>
      </w:r>
      <w:r w:rsidRPr="001B73A5">
        <w:t>,</w:t>
      </w:r>
      <w:r>
        <w:t xml:space="preserve"> nonché gli aggiornamenti della scheda P9 </w:t>
      </w:r>
      <w:r>
        <w:rPr>
          <w:i/>
        </w:rPr>
        <w:t>Bosco</w:t>
      </w:r>
      <w:r>
        <w:t>.</w:t>
      </w:r>
    </w:p>
  </w:footnote>
  <w:footnote w:id="2">
    <w:p w:rsidR="00463432" w:rsidRPr="00831A37" w:rsidRDefault="00463432" w:rsidP="00463432">
      <w:pPr>
        <w:pStyle w:val="Testonotaapidipagina"/>
        <w:rPr>
          <w:lang w:val="it-CH"/>
        </w:rPr>
      </w:pPr>
      <w:r>
        <w:rPr>
          <w:rStyle w:val="Rimandonotaapidipagina"/>
        </w:rPr>
        <w:footnoteRef/>
      </w:r>
      <w:r>
        <w:t xml:space="preserve"> </w:t>
      </w:r>
      <w:hyperlink r:id="rId1" w:history="1">
        <w:r w:rsidRPr="00831A37">
          <w:rPr>
            <w:rStyle w:val="Collegamentoipertestuale"/>
            <w:rFonts w:cs="Arial"/>
            <w:i/>
          </w:rPr>
          <w:t>https://www4.ti.ch/dt/dstm/sst/temi/piano-direttore/piano-direttore/procedure/procedure-recenti/</w:t>
        </w:r>
      </w:hyperlink>
      <w:r w:rsidRPr="00831A37">
        <w:rPr>
          <w:rFonts w:cs="Arial"/>
        </w:rPr>
        <w:t xml:space="preserve"> </w:t>
      </w:r>
      <w:r w:rsidRPr="00AE7108">
        <w:rPr>
          <w:rFonts w:ascii="Calibri" w:hAnsi="Calibri"/>
          <w:i/>
        </w:rPr>
        <w:t>→</w:t>
      </w:r>
      <w:r w:rsidRPr="00831A37">
        <w:rPr>
          <w:rFonts w:cs="Arial"/>
          <w:i/>
        </w:rPr>
        <w:t xml:space="preserve"> Modifiche n. 14 – Maggio 2019 </w:t>
      </w:r>
      <w:r w:rsidRPr="00AE7108">
        <w:rPr>
          <w:rFonts w:ascii="Calibri" w:hAnsi="Calibri"/>
          <w:i/>
        </w:rPr>
        <w:t>→</w:t>
      </w:r>
      <w:r w:rsidRPr="00831A37">
        <w:rPr>
          <w:rFonts w:cs="Arial"/>
          <w:i/>
        </w:rPr>
        <w:t xml:space="preserve"> </w:t>
      </w:r>
      <w:r>
        <w:rPr>
          <w:rFonts w:cs="Arial"/>
          <w:i/>
        </w:rPr>
        <w:t>R</w:t>
      </w:r>
      <w:r w:rsidRPr="00831A37">
        <w:rPr>
          <w:rFonts w:cs="Arial"/>
          <w:i/>
        </w:rPr>
        <w:t>apporto sulla consultazione ed esplicativo.</w:t>
      </w:r>
    </w:p>
  </w:footnote>
  <w:footnote w:id="3">
    <w:p w:rsidR="00463432" w:rsidRPr="00256A9F" w:rsidRDefault="00463432" w:rsidP="00463432">
      <w:pPr>
        <w:pStyle w:val="Testonotaapidipagina"/>
        <w:rPr>
          <w:sz w:val="21"/>
          <w:szCs w:val="21"/>
          <w:lang w:val="it-CH"/>
        </w:rPr>
      </w:pPr>
      <w:r w:rsidRPr="00256A9F">
        <w:rPr>
          <w:rStyle w:val="Rimandonotaapidipagina"/>
          <w:sz w:val="21"/>
          <w:szCs w:val="21"/>
        </w:rPr>
        <w:footnoteRef/>
      </w:r>
      <w:r w:rsidRPr="00256A9F">
        <w:rPr>
          <w:sz w:val="21"/>
          <w:szCs w:val="21"/>
        </w:rPr>
        <w:t xml:space="preserve"> Acronimo di </w:t>
      </w:r>
      <w:proofErr w:type="spellStart"/>
      <w:r w:rsidRPr="00256A9F">
        <w:rPr>
          <w:i/>
          <w:sz w:val="21"/>
          <w:szCs w:val="21"/>
        </w:rPr>
        <w:t>Bundesamt</w:t>
      </w:r>
      <w:proofErr w:type="spellEnd"/>
      <w:r w:rsidRPr="00256A9F">
        <w:rPr>
          <w:i/>
          <w:sz w:val="21"/>
          <w:szCs w:val="21"/>
        </w:rPr>
        <w:t xml:space="preserve"> </w:t>
      </w:r>
      <w:proofErr w:type="spellStart"/>
      <w:r w:rsidRPr="00256A9F">
        <w:rPr>
          <w:i/>
          <w:sz w:val="21"/>
          <w:szCs w:val="21"/>
        </w:rPr>
        <w:t>für</w:t>
      </w:r>
      <w:proofErr w:type="spellEnd"/>
      <w:r w:rsidRPr="00256A9F">
        <w:rPr>
          <w:i/>
          <w:sz w:val="21"/>
          <w:szCs w:val="21"/>
        </w:rPr>
        <w:t xml:space="preserve"> </w:t>
      </w:r>
      <w:proofErr w:type="spellStart"/>
      <w:r w:rsidRPr="00256A9F">
        <w:rPr>
          <w:i/>
          <w:sz w:val="21"/>
          <w:szCs w:val="21"/>
        </w:rPr>
        <w:t>Raumentwicklung</w:t>
      </w:r>
      <w:proofErr w:type="spellEnd"/>
      <w:r w:rsidRPr="00256A9F">
        <w:rPr>
          <w:sz w:val="21"/>
          <w:szCs w:val="21"/>
        </w:rPr>
        <w:t>, comunemente usato nelle tre lingue nazionali per designare l’Ufficio federale dello sviluppo territoriale.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562"/>
    <w:multiLevelType w:val="hybridMultilevel"/>
    <w:tmpl w:val="C1D0CC1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3" w15:restartNumberingAfterBreak="0">
    <w:nsid w:val="42A865A0"/>
    <w:multiLevelType w:val="hybridMultilevel"/>
    <w:tmpl w:val="1128B1B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7B41076"/>
    <w:multiLevelType w:val="hybridMultilevel"/>
    <w:tmpl w:val="345278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947422"/>
    <w:multiLevelType w:val="hybridMultilevel"/>
    <w:tmpl w:val="3F1A514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3"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0"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10"/>
  </w:num>
  <w:num w:numId="6">
    <w:abstractNumId w:val="5"/>
  </w:num>
  <w:num w:numId="7">
    <w:abstractNumId w:val="20"/>
  </w:num>
  <w:num w:numId="8">
    <w:abstractNumId w:val="26"/>
  </w:num>
  <w:num w:numId="9">
    <w:abstractNumId w:val="1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12"/>
  </w:num>
  <w:num w:numId="14">
    <w:abstractNumId w:val="8"/>
  </w:num>
  <w:num w:numId="15">
    <w:abstractNumId w:val="28"/>
  </w:num>
  <w:num w:numId="16">
    <w:abstractNumId w:val="22"/>
  </w:num>
  <w:num w:numId="17">
    <w:abstractNumId w:val="4"/>
  </w:num>
  <w:num w:numId="18">
    <w:abstractNumId w:val="2"/>
  </w:num>
  <w:num w:numId="19">
    <w:abstractNumId w:val="1"/>
  </w:num>
  <w:num w:numId="20">
    <w:abstractNumId w:val="25"/>
  </w:num>
  <w:num w:numId="21">
    <w:abstractNumId w:val="7"/>
  </w:num>
  <w:num w:numId="22">
    <w:abstractNumId w:val="29"/>
  </w:num>
  <w:num w:numId="23">
    <w:abstractNumId w:val="18"/>
  </w:num>
  <w:num w:numId="24">
    <w:abstractNumId w:val="9"/>
  </w:num>
  <w:num w:numId="25">
    <w:abstractNumId w:val="23"/>
  </w:num>
  <w:num w:numId="26">
    <w:abstractNumId w:val="21"/>
  </w:num>
  <w:num w:numId="27">
    <w:abstractNumId w:val="3"/>
  </w:num>
  <w:num w:numId="28">
    <w:abstractNumId w:val="30"/>
  </w:num>
  <w:num w:numId="29">
    <w:abstractNumId w:val="0"/>
  </w:num>
  <w:num w:numId="30">
    <w:abstractNumId w:val="15"/>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32"/>
    <w:rsid w:val="00056425"/>
    <w:rsid w:val="00062C16"/>
    <w:rsid w:val="00073FD4"/>
    <w:rsid w:val="00082EB0"/>
    <w:rsid w:val="0009445D"/>
    <w:rsid w:val="000D6EDD"/>
    <w:rsid w:val="00107C86"/>
    <w:rsid w:val="00114781"/>
    <w:rsid w:val="00152187"/>
    <w:rsid w:val="0017107D"/>
    <w:rsid w:val="0017133E"/>
    <w:rsid w:val="00180F3B"/>
    <w:rsid w:val="00256A9F"/>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0516A"/>
    <w:rsid w:val="00432073"/>
    <w:rsid w:val="00435BA3"/>
    <w:rsid w:val="00452A7E"/>
    <w:rsid w:val="00463432"/>
    <w:rsid w:val="00483B1C"/>
    <w:rsid w:val="004B6B6F"/>
    <w:rsid w:val="004C5003"/>
    <w:rsid w:val="004E176C"/>
    <w:rsid w:val="00522EC0"/>
    <w:rsid w:val="0053660F"/>
    <w:rsid w:val="00564B38"/>
    <w:rsid w:val="005720BE"/>
    <w:rsid w:val="00577B4B"/>
    <w:rsid w:val="005824C4"/>
    <w:rsid w:val="0059602E"/>
    <w:rsid w:val="005B03BF"/>
    <w:rsid w:val="005F0022"/>
    <w:rsid w:val="0062210D"/>
    <w:rsid w:val="006470C0"/>
    <w:rsid w:val="00661526"/>
    <w:rsid w:val="00674450"/>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A7229"/>
    <w:rsid w:val="009D2399"/>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290E"/>
    <w:rsid w:val="00B93BA2"/>
    <w:rsid w:val="00BA3A62"/>
    <w:rsid w:val="00BB3B75"/>
    <w:rsid w:val="00BF3FC3"/>
    <w:rsid w:val="00C106C2"/>
    <w:rsid w:val="00C35AC3"/>
    <w:rsid w:val="00C37B12"/>
    <w:rsid w:val="00C92A1A"/>
    <w:rsid w:val="00C946E4"/>
    <w:rsid w:val="00CE008E"/>
    <w:rsid w:val="00D54A9E"/>
    <w:rsid w:val="00D76075"/>
    <w:rsid w:val="00DF3925"/>
    <w:rsid w:val="00DF434B"/>
    <w:rsid w:val="00E15EE0"/>
    <w:rsid w:val="00E2192F"/>
    <w:rsid w:val="00E762E7"/>
    <w:rsid w:val="00EA22D9"/>
    <w:rsid w:val="00F22EEA"/>
    <w:rsid w:val="00F23F17"/>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13CAA-FCD3-4EC0-8BBB-AC488345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ti.ch/dt/dstm/sst/temi/piano-direttore/piano-direttore/procedure/procedure-recenti/" TargetMode="External"/><Relationship Id="rId3" Type="http://schemas.openxmlformats.org/officeDocument/2006/relationships/settings" Target="settings.xml"/><Relationship Id="rId7" Type="http://schemas.openxmlformats.org/officeDocument/2006/relationships/hyperlink" Target="https://www4.ti.ch/dt/dstm/sst/temi/piano-direttore/piano-direttore/%20procedure/procedure-rec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dt/dstm/sst/temi/piano-direttore/piano-direttore/procedure/procedure-rec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2027</Words>
  <Characters>12797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5</cp:revision>
  <cp:lastPrinted>2021-10-01T07:28:00Z</cp:lastPrinted>
  <dcterms:created xsi:type="dcterms:W3CDTF">2021-10-01T07:29:00Z</dcterms:created>
  <dcterms:modified xsi:type="dcterms:W3CDTF">2021-10-01T10:15:00Z</dcterms:modified>
</cp:coreProperties>
</file>