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15F33" w14:textId="77777777" w:rsidR="00CD6B1C" w:rsidRPr="00623F40" w:rsidRDefault="00CD6B1C" w:rsidP="00CD6B1C">
      <w:pPr>
        <w:rPr>
          <w:rFonts w:eastAsia="Calibri" w:cs="Arial"/>
          <w:b/>
          <w:sz w:val="28"/>
          <w:szCs w:val="28"/>
          <w:lang w:val="it-IT"/>
        </w:rPr>
      </w:pPr>
      <w:r w:rsidRPr="00623F40">
        <w:rPr>
          <w:rFonts w:eastAsia="Calibri" w:cs="Arial"/>
          <w:b/>
          <w:sz w:val="28"/>
          <w:szCs w:val="28"/>
          <w:lang w:val="it-IT"/>
        </w:rPr>
        <w:t>Concessione di un contributo di 580'500 franchi massimi per la progettazione del programma di valorizzazione della Fortezza di Bellinzona e di un contributo di 650'000 franchi massimi per il rifacimento dell’illuminazione dei castelli</w:t>
      </w:r>
    </w:p>
    <w:p w14:paraId="011DC9D9" w14:textId="77777777" w:rsidR="00D649A8" w:rsidRDefault="00D649A8" w:rsidP="00D33940">
      <w:pPr>
        <w:pStyle w:val="StandardRisoluzionedelConsigliodiStato"/>
        <w:ind w:right="-1"/>
      </w:pPr>
    </w:p>
    <w:p w14:paraId="6ED544A6" w14:textId="77777777" w:rsidR="000D2CD4" w:rsidRPr="00D63171" w:rsidRDefault="000D2CD4" w:rsidP="00D33940">
      <w:pPr>
        <w:pStyle w:val="StandardRisoluzionedelConsigliodiStato"/>
        <w:ind w:right="-1"/>
      </w:pPr>
    </w:p>
    <w:p w14:paraId="06B79313" w14:textId="77777777" w:rsidR="00993310" w:rsidRDefault="00993310" w:rsidP="00993310">
      <w:pPr>
        <w:pStyle w:val="StandardRisoluzionedelConsigliodiStato"/>
        <w:ind w:right="-1"/>
      </w:pPr>
      <w:r>
        <w:t>Signor</w:t>
      </w:r>
      <w:r w:rsidR="00CD6B1C">
        <w:t>a</w:t>
      </w:r>
      <w:r>
        <w:t xml:space="preserve"> Presidente,</w:t>
      </w:r>
    </w:p>
    <w:p w14:paraId="4B91F507" w14:textId="77777777" w:rsidR="00993310" w:rsidRPr="006F2A27" w:rsidRDefault="00993310" w:rsidP="00993310">
      <w:pPr>
        <w:rPr>
          <w:sz w:val="24"/>
        </w:rPr>
      </w:pPr>
      <w:r w:rsidRPr="006F2A27">
        <w:rPr>
          <w:sz w:val="24"/>
        </w:rPr>
        <w:t xml:space="preserve">signore e signori </w:t>
      </w:r>
      <w:r>
        <w:rPr>
          <w:sz w:val="24"/>
        </w:rPr>
        <w:t>d</w:t>
      </w:r>
      <w:r w:rsidRPr="006F2A27">
        <w:rPr>
          <w:sz w:val="24"/>
        </w:rPr>
        <w:t>eputati,</w:t>
      </w:r>
    </w:p>
    <w:p w14:paraId="3971DF11" w14:textId="77777777" w:rsidR="00993310" w:rsidRPr="006F2A27" w:rsidRDefault="00993310" w:rsidP="00993310">
      <w:pPr>
        <w:rPr>
          <w:sz w:val="24"/>
        </w:rPr>
      </w:pPr>
    </w:p>
    <w:p w14:paraId="60875AA0" w14:textId="77777777" w:rsidR="00CD6B1C" w:rsidRDefault="00CD6B1C" w:rsidP="00CD6B1C">
      <w:pPr>
        <w:rPr>
          <w:rFonts w:eastAsia="Calibri" w:cs="Arial"/>
          <w:sz w:val="24"/>
          <w:szCs w:val="24"/>
          <w:lang w:val="it-IT"/>
        </w:rPr>
      </w:pPr>
      <w:r>
        <w:rPr>
          <w:rFonts w:eastAsia="Calibri" w:cs="Arial"/>
          <w:sz w:val="24"/>
          <w:szCs w:val="24"/>
          <w:lang w:val="it-IT"/>
        </w:rPr>
        <w:t>con il presente messaggio sottoponiamo alla vostra attenzione la richiesta per la concessione:</w:t>
      </w:r>
    </w:p>
    <w:p w14:paraId="43ACA8F5" w14:textId="77777777" w:rsidR="00CD6B1C" w:rsidRPr="006E511D" w:rsidRDefault="00CD6B1C" w:rsidP="00CD6B1C">
      <w:pPr>
        <w:rPr>
          <w:rFonts w:eastAsia="Calibri" w:cs="Arial"/>
          <w:sz w:val="12"/>
          <w:szCs w:val="12"/>
          <w:lang w:val="it-IT"/>
        </w:rPr>
      </w:pPr>
    </w:p>
    <w:p w14:paraId="51DA8A02" w14:textId="4CB9F816" w:rsidR="00CD6B1C" w:rsidRDefault="00CD6B1C" w:rsidP="00424FE0">
      <w:pPr>
        <w:pStyle w:val="Paragrafoelenco"/>
        <w:numPr>
          <w:ilvl w:val="0"/>
          <w:numId w:val="19"/>
        </w:numPr>
        <w:suppressAutoHyphens w:val="0"/>
        <w:spacing w:after="120" w:line="259" w:lineRule="auto"/>
        <w:ind w:left="284" w:hanging="284"/>
        <w:contextualSpacing w:val="0"/>
        <w:rPr>
          <w:rFonts w:cs="Arial"/>
          <w:sz w:val="24"/>
          <w:szCs w:val="24"/>
        </w:rPr>
      </w:pPr>
      <w:r>
        <w:rPr>
          <w:rFonts w:cs="Arial"/>
          <w:sz w:val="24"/>
          <w:szCs w:val="24"/>
          <w:lang w:val="it-IT"/>
        </w:rPr>
        <w:t>di un credito di 580’500 franchi quale contributo alla Città di Bellinzona per</w:t>
      </w:r>
      <w:r w:rsidRPr="000E3CCF">
        <w:rPr>
          <w:rFonts w:cs="Arial"/>
          <w:sz w:val="24"/>
          <w:szCs w:val="24"/>
        </w:rPr>
        <w:t xml:space="preserve"> la progettazione definitiva della valorizzazione della Fortezza di Bellinzona</w:t>
      </w:r>
      <w:r>
        <w:rPr>
          <w:rFonts w:cs="Arial"/>
          <w:sz w:val="24"/>
          <w:szCs w:val="24"/>
        </w:rPr>
        <w:t xml:space="preserve">. </w:t>
      </w:r>
      <w:r w:rsidR="00AC02AA">
        <w:rPr>
          <w:rFonts w:cs="Arial"/>
          <w:sz w:val="24"/>
          <w:szCs w:val="24"/>
        </w:rPr>
        <w:t>Oltre a</w:t>
      </w:r>
      <w:r>
        <w:rPr>
          <w:rFonts w:cs="Arial"/>
          <w:sz w:val="24"/>
          <w:szCs w:val="24"/>
        </w:rPr>
        <w:t xml:space="preserve"> questo importo è previsto un ulteriore contributo tramite il credito quadro sulla politica regionale, per il quale sussiste una competenza governativa. Il credito massimo complessivo di cui beneficerà il progetto sarà dunque di 890'500.-.</w:t>
      </w:r>
    </w:p>
    <w:p w14:paraId="47ED41BF" w14:textId="77777777" w:rsidR="00CD6B1C" w:rsidRDefault="00CD6B1C" w:rsidP="00424FE0">
      <w:pPr>
        <w:pStyle w:val="Paragrafoelenco"/>
        <w:numPr>
          <w:ilvl w:val="0"/>
          <w:numId w:val="19"/>
        </w:numPr>
        <w:suppressAutoHyphens w:val="0"/>
        <w:spacing w:line="259" w:lineRule="auto"/>
        <w:ind w:left="284" w:hanging="284"/>
        <w:rPr>
          <w:rFonts w:cs="Arial"/>
          <w:sz w:val="24"/>
          <w:szCs w:val="24"/>
        </w:rPr>
      </w:pPr>
      <w:r>
        <w:rPr>
          <w:rFonts w:cs="Arial"/>
          <w:sz w:val="24"/>
          <w:szCs w:val="24"/>
        </w:rPr>
        <w:t>di un credito di 650’000 franchi quale contributo alla Città di Bellinzona per il rifacimento dell’illuminazione dei Castelli risalente a più di 30 anni fa.</w:t>
      </w:r>
    </w:p>
    <w:p w14:paraId="7400201D" w14:textId="77777777" w:rsidR="00CD6B1C" w:rsidRDefault="00CD6B1C" w:rsidP="00CD6B1C">
      <w:pPr>
        <w:pStyle w:val="Paragrafoelenco"/>
        <w:rPr>
          <w:rFonts w:cs="Arial"/>
          <w:sz w:val="24"/>
          <w:szCs w:val="24"/>
        </w:rPr>
      </w:pPr>
    </w:p>
    <w:p w14:paraId="43DCEFAC" w14:textId="156F3451" w:rsidR="00CD6B1C" w:rsidRPr="00787EF7" w:rsidRDefault="00CD6B1C" w:rsidP="00CD6B1C">
      <w:pPr>
        <w:rPr>
          <w:rFonts w:cs="Arial"/>
          <w:sz w:val="24"/>
          <w:szCs w:val="24"/>
        </w:rPr>
      </w:pPr>
      <w:r w:rsidRPr="00B532BB">
        <w:rPr>
          <w:rFonts w:cs="Arial"/>
          <w:sz w:val="24"/>
          <w:szCs w:val="24"/>
        </w:rPr>
        <w:t>La presente richiesta di credito è susseguente allo scritto del 19 agosto 2020 e allo scritto del 24 febbraio 2021 del Consiglio di Stato al Municipio di Bellinzona</w:t>
      </w:r>
      <w:r w:rsidR="00AC02AA">
        <w:rPr>
          <w:rFonts w:cs="Arial"/>
          <w:sz w:val="24"/>
          <w:szCs w:val="24"/>
        </w:rPr>
        <w:t>.</w:t>
      </w:r>
      <w:r w:rsidRPr="00B532BB">
        <w:rPr>
          <w:rFonts w:cs="Arial"/>
          <w:sz w:val="24"/>
          <w:szCs w:val="24"/>
        </w:rPr>
        <w:t xml:space="preserve"> </w:t>
      </w:r>
    </w:p>
    <w:p w14:paraId="68B8153D" w14:textId="2E309965" w:rsidR="00993310" w:rsidRPr="006F2A27" w:rsidRDefault="00993310" w:rsidP="00993310">
      <w:pPr>
        <w:rPr>
          <w:sz w:val="24"/>
        </w:rPr>
      </w:pPr>
    </w:p>
    <w:p w14:paraId="5B860411" w14:textId="7ED6AD0C" w:rsidR="00527F8B" w:rsidRPr="009418CD" w:rsidRDefault="00CD6B1C" w:rsidP="009418CD">
      <w:pPr>
        <w:pStyle w:val="Paragrafoelenco"/>
        <w:numPr>
          <w:ilvl w:val="0"/>
          <w:numId w:val="21"/>
        </w:numPr>
        <w:rPr>
          <w:rFonts w:cs="Arial"/>
          <w:b/>
          <w:sz w:val="24"/>
          <w:szCs w:val="24"/>
        </w:rPr>
      </w:pPr>
      <w:r w:rsidRPr="009418CD">
        <w:rPr>
          <w:rFonts w:cs="Arial"/>
          <w:b/>
          <w:sz w:val="24"/>
          <w:szCs w:val="24"/>
        </w:rPr>
        <w:t>I</w:t>
      </w:r>
      <w:r w:rsidR="00527F8B" w:rsidRPr="009418CD">
        <w:rPr>
          <w:rFonts w:cs="Arial"/>
          <w:b/>
          <w:sz w:val="24"/>
          <w:szCs w:val="24"/>
        </w:rPr>
        <w:t>ntroduzione</w:t>
      </w:r>
    </w:p>
    <w:p w14:paraId="7913AA89" w14:textId="23CFCF3C" w:rsidR="00CD6B1C" w:rsidRPr="009418CD" w:rsidRDefault="00CD6B1C" w:rsidP="00CD6B1C">
      <w:pPr>
        <w:rPr>
          <w:rFonts w:cs="Arial"/>
          <w:sz w:val="24"/>
          <w:szCs w:val="24"/>
        </w:rPr>
      </w:pPr>
    </w:p>
    <w:p w14:paraId="5B5A4C1D" w14:textId="27CA859E" w:rsidR="00527F8B" w:rsidRDefault="00CD6B1C">
      <w:pPr>
        <w:rPr>
          <w:rFonts w:cs="Arial"/>
          <w:sz w:val="24"/>
          <w:szCs w:val="24"/>
        </w:rPr>
      </w:pPr>
      <w:r w:rsidRPr="00B532BB">
        <w:rPr>
          <w:rFonts w:cs="Arial"/>
          <w:sz w:val="24"/>
          <w:szCs w:val="24"/>
        </w:rPr>
        <w:t>Il Comune di Bellinzona ha in cantiere un importante progetto di valorizzazione dei Castelli di Bellinzona</w:t>
      </w:r>
      <w:r w:rsidR="00527F8B">
        <w:rPr>
          <w:rFonts w:cs="Arial"/>
          <w:sz w:val="24"/>
          <w:szCs w:val="24"/>
        </w:rPr>
        <w:t>.</w:t>
      </w:r>
      <w:r w:rsidRPr="00B532BB">
        <w:rPr>
          <w:rFonts w:cs="Arial"/>
          <w:sz w:val="24"/>
          <w:szCs w:val="24"/>
        </w:rPr>
        <w:t xml:space="preserve"> </w:t>
      </w:r>
    </w:p>
    <w:p w14:paraId="0040DFE6" w14:textId="5B88096D" w:rsidR="00CD6B1C" w:rsidRPr="009418CD" w:rsidRDefault="00CD6B1C">
      <w:pPr>
        <w:rPr>
          <w:rFonts w:cs="Arial"/>
          <w:sz w:val="24"/>
          <w:szCs w:val="24"/>
        </w:rPr>
      </w:pPr>
    </w:p>
    <w:p w14:paraId="53DA2377" w14:textId="64FF35A8" w:rsidR="00CD6B1C" w:rsidRDefault="00CD6B1C" w:rsidP="00CD6B1C">
      <w:pPr>
        <w:rPr>
          <w:rFonts w:cs="Arial"/>
          <w:sz w:val="24"/>
          <w:szCs w:val="24"/>
        </w:rPr>
      </w:pPr>
      <w:r w:rsidRPr="00B532BB">
        <w:rPr>
          <w:rFonts w:cs="Arial"/>
          <w:sz w:val="24"/>
          <w:szCs w:val="24"/>
        </w:rPr>
        <w:t>Il complesso difensivo medievale di Bellinzona con i suoi tre castelli e le imponenti mura merlate sono di proprietà dello Stato del Cantone Ticino e sono divenute nel 2000 patrimonio UNESCO. Il suo valore storico ed architettonico</w:t>
      </w:r>
      <w:r>
        <w:rPr>
          <w:rFonts w:cs="Arial"/>
          <w:sz w:val="24"/>
          <w:szCs w:val="24"/>
        </w:rPr>
        <w:t>,</w:t>
      </w:r>
      <w:r w:rsidRPr="00B532BB">
        <w:rPr>
          <w:rFonts w:cs="Arial"/>
          <w:sz w:val="24"/>
          <w:szCs w:val="24"/>
        </w:rPr>
        <w:t xml:space="preserve"> grazie anche all’appartenenza al patrimonio dell’umanità</w:t>
      </w:r>
      <w:r>
        <w:rPr>
          <w:rFonts w:cs="Arial"/>
          <w:sz w:val="24"/>
          <w:szCs w:val="24"/>
        </w:rPr>
        <w:t>,</w:t>
      </w:r>
      <w:r w:rsidRPr="00B532BB">
        <w:rPr>
          <w:rFonts w:cs="Arial"/>
          <w:sz w:val="24"/>
          <w:szCs w:val="24"/>
        </w:rPr>
        <w:t xml:space="preserve"> è universalmente riconosciuto essendo una mirabile testimonianza dell’architettura fortificata medioevale Svizzera.</w:t>
      </w:r>
    </w:p>
    <w:p w14:paraId="346B640A" w14:textId="77777777" w:rsidR="00527F8B" w:rsidRPr="00B532BB" w:rsidRDefault="00527F8B" w:rsidP="00CD6B1C">
      <w:pPr>
        <w:rPr>
          <w:rFonts w:cs="Arial"/>
          <w:sz w:val="24"/>
          <w:szCs w:val="24"/>
        </w:rPr>
      </w:pPr>
    </w:p>
    <w:p w14:paraId="034E54F6" w14:textId="609D2E13" w:rsidR="00CD6B1C" w:rsidRPr="00B532BB" w:rsidRDefault="00CD6B1C" w:rsidP="00CD6B1C">
      <w:pPr>
        <w:rPr>
          <w:rFonts w:cs="Arial"/>
          <w:sz w:val="24"/>
          <w:szCs w:val="24"/>
        </w:rPr>
      </w:pPr>
      <w:r w:rsidRPr="00B532BB">
        <w:rPr>
          <w:rFonts w:cs="Arial"/>
          <w:sz w:val="24"/>
          <w:szCs w:val="24"/>
        </w:rPr>
        <w:t>Durante gli anni ’80 e inizio ’90 è stato esegui</w:t>
      </w:r>
      <w:r w:rsidR="003A796A">
        <w:rPr>
          <w:rFonts w:cs="Arial"/>
          <w:sz w:val="24"/>
          <w:szCs w:val="24"/>
        </w:rPr>
        <w:t>to</w:t>
      </w:r>
      <w:r w:rsidRPr="00B532BB">
        <w:rPr>
          <w:rFonts w:cs="Arial"/>
          <w:sz w:val="24"/>
          <w:szCs w:val="24"/>
        </w:rPr>
        <w:t xml:space="preserve"> il restauro integrale di Castelgrande e delle sue mura, </w:t>
      </w:r>
      <w:r w:rsidRPr="000C5A7C">
        <w:rPr>
          <w:rFonts w:cs="Arial"/>
          <w:sz w:val="24"/>
          <w:szCs w:val="24"/>
        </w:rPr>
        <w:t>riportando a nuova vita e luce la fortezza</w:t>
      </w:r>
      <w:r w:rsidRPr="00B532BB">
        <w:rPr>
          <w:rFonts w:cs="Arial"/>
          <w:sz w:val="24"/>
          <w:szCs w:val="24"/>
        </w:rPr>
        <w:t>.</w:t>
      </w:r>
      <w:r w:rsidR="00527F8B">
        <w:rPr>
          <w:rFonts w:cs="Arial"/>
          <w:sz w:val="24"/>
          <w:szCs w:val="24"/>
        </w:rPr>
        <w:t xml:space="preserve"> </w:t>
      </w:r>
      <w:r w:rsidRPr="00B532BB">
        <w:rPr>
          <w:rFonts w:cs="Arial"/>
          <w:sz w:val="24"/>
          <w:szCs w:val="24"/>
        </w:rPr>
        <w:t xml:space="preserve">Il numero di visitatori annui è in costante crescita e nel 2020 si cifrava in 60'000 visitatori paganti e stimati altri 50'000 non paganti. </w:t>
      </w:r>
    </w:p>
    <w:p w14:paraId="6F1E1C55" w14:textId="77777777" w:rsidR="00CD6B1C" w:rsidRDefault="00CD6B1C" w:rsidP="00CD6B1C">
      <w:pPr>
        <w:rPr>
          <w:rFonts w:cs="Arial"/>
          <w:sz w:val="24"/>
          <w:szCs w:val="24"/>
        </w:rPr>
      </w:pPr>
    </w:p>
    <w:p w14:paraId="7131E735" w14:textId="6E802A4C" w:rsidR="00CD6B1C" w:rsidRDefault="00CD6B1C" w:rsidP="00CD6B1C">
      <w:pPr>
        <w:rPr>
          <w:rFonts w:cs="Arial"/>
          <w:sz w:val="24"/>
          <w:szCs w:val="24"/>
        </w:rPr>
      </w:pPr>
      <w:r w:rsidRPr="00F0796E">
        <w:rPr>
          <w:rFonts w:cs="Arial"/>
          <w:sz w:val="24"/>
          <w:szCs w:val="24"/>
        </w:rPr>
        <w:t>Già nel mese di marzo 2014 il Consiglio di Stato e il Municipio di Bellinzona, assieme anche all’</w:t>
      </w:r>
      <w:r w:rsidR="003A796A">
        <w:rPr>
          <w:rFonts w:cs="Arial"/>
          <w:sz w:val="24"/>
          <w:szCs w:val="24"/>
        </w:rPr>
        <w:t xml:space="preserve">allora </w:t>
      </w:r>
      <w:r w:rsidRPr="00F0796E">
        <w:rPr>
          <w:rFonts w:cs="Arial"/>
          <w:sz w:val="24"/>
          <w:szCs w:val="24"/>
        </w:rPr>
        <w:t>Ente turistico di Bellinzona</w:t>
      </w:r>
      <w:r w:rsidR="003A796A">
        <w:rPr>
          <w:rFonts w:cs="Arial"/>
          <w:sz w:val="24"/>
          <w:szCs w:val="24"/>
        </w:rPr>
        <w:t xml:space="preserve"> (oggi Organizzazione Turistica Regionale Bellinzona e Alto Ticino)</w:t>
      </w:r>
      <w:r w:rsidRPr="00F0796E">
        <w:rPr>
          <w:rFonts w:cs="Arial"/>
          <w:sz w:val="24"/>
          <w:szCs w:val="24"/>
        </w:rPr>
        <w:t xml:space="preserve"> e l’Ente regionale di sviluppo si sono incontrati per trovare una </w:t>
      </w:r>
      <w:r w:rsidRPr="00F0796E">
        <w:rPr>
          <w:rFonts w:cs="Arial"/>
          <w:sz w:val="24"/>
          <w:szCs w:val="24"/>
        </w:rPr>
        <w:lastRenderedPageBreak/>
        <w:t>possibile intesa sulla valorizzazione e rilancio della Fortezza sia sul piano storico-culturale che turistico-economico. D</w:t>
      </w:r>
      <w:r w:rsidR="00581BC4">
        <w:rPr>
          <w:rFonts w:cs="Arial"/>
          <w:sz w:val="24"/>
          <w:szCs w:val="24"/>
        </w:rPr>
        <w:t xml:space="preserve">a qui </w:t>
      </w:r>
      <w:r w:rsidRPr="00F0796E">
        <w:rPr>
          <w:rFonts w:cs="Arial"/>
          <w:sz w:val="24"/>
          <w:szCs w:val="24"/>
        </w:rPr>
        <w:t>l’invito del proprietario al Municipio di approfondire il tema e di presentare successivamente delle proposte concrete di intervento</w:t>
      </w:r>
      <w:r>
        <w:rPr>
          <w:rFonts w:cs="Arial"/>
          <w:sz w:val="24"/>
          <w:szCs w:val="24"/>
        </w:rPr>
        <w:t>.</w:t>
      </w:r>
    </w:p>
    <w:p w14:paraId="227FD69D" w14:textId="12C5830A" w:rsidR="00CD6B1C" w:rsidRDefault="00CD6B1C" w:rsidP="00CD6B1C">
      <w:pPr>
        <w:rPr>
          <w:rFonts w:cs="Arial"/>
          <w:sz w:val="24"/>
          <w:szCs w:val="24"/>
        </w:rPr>
      </w:pPr>
    </w:p>
    <w:p w14:paraId="64C4C76A" w14:textId="77777777" w:rsidR="00527F8B" w:rsidRDefault="00527F8B" w:rsidP="00527F8B">
      <w:pPr>
        <w:rPr>
          <w:rFonts w:cs="Arial"/>
          <w:sz w:val="24"/>
          <w:szCs w:val="24"/>
        </w:rPr>
      </w:pPr>
      <w:r w:rsidRPr="00B532BB">
        <w:rPr>
          <w:rFonts w:cs="Arial"/>
          <w:sz w:val="24"/>
          <w:szCs w:val="24"/>
        </w:rPr>
        <w:t xml:space="preserve">Nel 2014 veniva avviato uno studio preliminare da Erlebnisplan GmBH terminato e consegnato ad inizio 2015. Lo studio veniva approfondito da un Gruppo di lavoro misto, che nel suo successivo Rapporto, avallato dalle parti interessate, dava il proprio consenso all’avvio dello studio di fattibilità. </w:t>
      </w:r>
    </w:p>
    <w:p w14:paraId="6C231D86" w14:textId="77777777" w:rsidR="00527F8B" w:rsidRPr="00B532BB" w:rsidRDefault="00527F8B" w:rsidP="00527F8B">
      <w:pPr>
        <w:rPr>
          <w:rFonts w:cs="Arial"/>
          <w:sz w:val="24"/>
          <w:szCs w:val="24"/>
        </w:rPr>
      </w:pPr>
    </w:p>
    <w:p w14:paraId="3E40C850" w14:textId="1A308CBA" w:rsidR="00527F8B" w:rsidRDefault="00527F8B" w:rsidP="00527F8B">
      <w:pPr>
        <w:rPr>
          <w:rFonts w:cs="Arial"/>
          <w:sz w:val="24"/>
          <w:szCs w:val="24"/>
        </w:rPr>
      </w:pPr>
      <w:r w:rsidRPr="00B532BB">
        <w:rPr>
          <w:rFonts w:cs="Arial"/>
          <w:sz w:val="24"/>
          <w:szCs w:val="24"/>
        </w:rPr>
        <w:t>L’avvio dello studio di fattibilità si è fondato sulla decisione di finanziamento cantonale (decisione USE PR. 16.153, n. 198/2016) e quindi avviato a marzo 2017 per la durata di 2 anni.</w:t>
      </w:r>
    </w:p>
    <w:p w14:paraId="5462970C" w14:textId="77777777" w:rsidR="00527F8B" w:rsidRDefault="00527F8B" w:rsidP="00CD6B1C">
      <w:pPr>
        <w:rPr>
          <w:rFonts w:cs="Arial"/>
          <w:sz w:val="24"/>
          <w:szCs w:val="24"/>
        </w:rPr>
      </w:pPr>
    </w:p>
    <w:p w14:paraId="1D591057" w14:textId="77777777" w:rsidR="00CD6B1C" w:rsidRPr="00B532BB" w:rsidRDefault="00CD6B1C" w:rsidP="00CD6B1C">
      <w:pPr>
        <w:rPr>
          <w:rFonts w:cs="Arial"/>
          <w:sz w:val="24"/>
          <w:szCs w:val="24"/>
        </w:rPr>
      </w:pPr>
      <w:r w:rsidRPr="00B532BB">
        <w:rPr>
          <w:rFonts w:cs="Arial"/>
          <w:sz w:val="24"/>
          <w:szCs w:val="24"/>
        </w:rPr>
        <w:t>L’importanza dei “Castelli” è inoltre stata anche analizzata e chiarita da un lavoro di ricerca commissionato dal Dipartimento cantonale delle finanze e dell’economia (DFE) denominato “L’impatto economico del turismo in Ticino” e pubblicato a inizio 2015 il quale dedica specificatamente un capitolo al turismo legato ai castelli di Bellinzona.</w:t>
      </w:r>
    </w:p>
    <w:p w14:paraId="7CD4A222" w14:textId="77777777" w:rsidR="00CD6B1C" w:rsidRPr="00B532BB" w:rsidRDefault="00CD6B1C" w:rsidP="00CD6B1C">
      <w:pPr>
        <w:rPr>
          <w:rFonts w:cs="Arial"/>
          <w:sz w:val="24"/>
          <w:szCs w:val="24"/>
        </w:rPr>
      </w:pPr>
    </w:p>
    <w:p w14:paraId="7BD50EB6" w14:textId="51A5989C" w:rsidR="00CD6B1C" w:rsidRPr="00873EEA" w:rsidRDefault="00CD6B1C" w:rsidP="00CD6B1C">
      <w:pPr>
        <w:rPr>
          <w:rFonts w:cs="Arial"/>
          <w:i/>
          <w:sz w:val="24"/>
          <w:szCs w:val="24"/>
        </w:rPr>
      </w:pPr>
      <w:r w:rsidRPr="00B532BB">
        <w:rPr>
          <w:rFonts w:cs="Arial"/>
          <w:sz w:val="24"/>
          <w:szCs w:val="24"/>
        </w:rPr>
        <w:t>Nel messaggio municipale</w:t>
      </w:r>
      <w:r>
        <w:rPr>
          <w:rFonts w:cs="Arial"/>
          <w:sz w:val="24"/>
          <w:szCs w:val="24"/>
        </w:rPr>
        <w:t xml:space="preserve"> n. 463</w:t>
      </w:r>
      <w:r w:rsidRPr="00B532BB">
        <w:rPr>
          <w:rFonts w:cs="Arial"/>
          <w:sz w:val="24"/>
          <w:szCs w:val="24"/>
        </w:rPr>
        <w:t xml:space="preserve"> del </w:t>
      </w:r>
      <w:r>
        <w:rPr>
          <w:rFonts w:cs="Arial"/>
          <w:sz w:val="24"/>
          <w:szCs w:val="24"/>
        </w:rPr>
        <w:t>25 novembre 2020 a</w:t>
      </w:r>
      <w:r w:rsidRPr="00B532BB">
        <w:rPr>
          <w:rFonts w:cs="Arial"/>
          <w:sz w:val="24"/>
          <w:szCs w:val="24"/>
        </w:rPr>
        <w:t xml:space="preserve"> pag. 6 punto 1.3 viene indicato che ci </w:t>
      </w:r>
      <w:r w:rsidRPr="00787EF7">
        <w:rPr>
          <w:rFonts w:cs="Arial"/>
          <w:i/>
          <w:sz w:val="24"/>
          <w:szCs w:val="24"/>
        </w:rPr>
        <w:t>si è posti la domanda se a distanza di 25 anni dal completamento del restauro del Castel Grande e 20 anni dal riconoscimento quale patrimonio dell’umanità, questo straordinario complesso monumentale risultasse sufficientemente valorizzato e conosciuto dal punto di vista storico-culturale (quanti in Ticino ed in Svizzera conoscono la storia della fortezza e delle pur rilevanti vicende politiche svizzere ed internazionali ad essa collegate?) ma anche economico-turistico, giungendo alla conclusione che il potenziale risultava da questo punto di vista ancora lungi dall’essere esaurito</w:t>
      </w:r>
      <w:r w:rsidRPr="00B532BB">
        <w:rPr>
          <w:rFonts w:cs="Arial"/>
          <w:sz w:val="24"/>
          <w:szCs w:val="24"/>
        </w:rPr>
        <w:t xml:space="preserve">. </w:t>
      </w:r>
      <w:r w:rsidRPr="00787EF7">
        <w:rPr>
          <w:rFonts w:cs="Arial"/>
          <w:i/>
          <w:sz w:val="24"/>
          <w:szCs w:val="24"/>
        </w:rPr>
        <w:t>Riflessioni peraltro fatte proprie anche dalla Commissione di studio incaricata dal Consiglio di Stato del progetto aggregativo del Bellinzonese e confluite quale parte integrante e costitutiva nel progetto di aggregazione della nuova Città.</w:t>
      </w:r>
    </w:p>
    <w:p w14:paraId="37A24DDC" w14:textId="77777777" w:rsidR="00CD6B1C" w:rsidRPr="009418CD" w:rsidRDefault="00CD6B1C" w:rsidP="00CD6B1C">
      <w:pPr>
        <w:rPr>
          <w:rFonts w:cs="Arial"/>
          <w:sz w:val="24"/>
          <w:szCs w:val="24"/>
        </w:rPr>
      </w:pPr>
    </w:p>
    <w:p w14:paraId="2F173049" w14:textId="21739D39" w:rsidR="00CD6B1C" w:rsidRPr="009418CD" w:rsidRDefault="00CD6B1C" w:rsidP="009418CD">
      <w:pPr>
        <w:pStyle w:val="Paragrafoelenco"/>
        <w:numPr>
          <w:ilvl w:val="0"/>
          <w:numId w:val="21"/>
        </w:numPr>
        <w:rPr>
          <w:rFonts w:cs="Arial"/>
          <w:b/>
          <w:sz w:val="24"/>
          <w:szCs w:val="24"/>
        </w:rPr>
      </w:pPr>
      <w:r w:rsidRPr="009418CD">
        <w:rPr>
          <w:rFonts w:cs="Arial"/>
          <w:b/>
          <w:sz w:val="24"/>
          <w:szCs w:val="24"/>
        </w:rPr>
        <w:t>La nuova convenzione concernente la gestione dei Castelli di Bellinzona e stanziamento per il periodo 2020-2024</w:t>
      </w:r>
    </w:p>
    <w:p w14:paraId="27A41EDD" w14:textId="77777777" w:rsidR="00CD6B1C" w:rsidRDefault="00CD6B1C" w:rsidP="00CD6B1C">
      <w:pPr>
        <w:rPr>
          <w:rFonts w:cs="Arial"/>
          <w:sz w:val="24"/>
          <w:szCs w:val="24"/>
        </w:rPr>
      </w:pPr>
    </w:p>
    <w:p w14:paraId="5E40BC8E" w14:textId="77777777" w:rsidR="00CD6B1C" w:rsidRDefault="00CD6B1C" w:rsidP="00CD6B1C">
      <w:pPr>
        <w:rPr>
          <w:rFonts w:cs="Arial"/>
          <w:sz w:val="24"/>
          <w:szCs w:val="24"/>
        </w:rPr>
      </w:pPr>
      <w:r>
        <w:rPr>
          <w:rFonts w:cs="Arial"/>
          <w:sz w:val="24"/>
          <w:szCs w:val="24"/>
        </w:rPr>
        <w:t>La nuova convenzione dell’8 ottobre 2019 concernente la gestione dei Castelli ha portato a semplificare l’organizzazione con l’obiettivo di g</w:t>
      </w:r>
      <w:r w:rsidRPr="00144254">
        <w:rPr>
          <w:rFonts w:cs="Arial"/>
          <w:sz w:val="24"/>
          <w:szCs w:val="24"/>
        </w:rPr>
        <w:t>arantire continuità nell’operatività sino all’attuazione del progetto di rilancio</w:t>
      </w:r>
      <w:r>
        <w:rPr>
          <w:rFonts w:cs="Arial"/>
          <w:sz w:val="24"/>
          <w:szCs w:val="24"/>
        </w:rPr>
        <w:t xml:space="preserve"> dei castelli (cfr. Messaggio n. 7774 del 18 dicembre 2019).</w:t>
      </w:r>
    </w:p>
    <w:p w14:paraId="748E7D3B" w14:textId="77777777" w:rsidR="00CD6B1C" w:rsidRPr="00144254" w:rsidRDefault="00CD6B1C" w:rsidP="00CD6B1C">
      <w:pPr>
        <w:rPr>
          <w:rFonts w:cs="Arial"/>
          <w:sz w:val="24"/>
          <w:szCs w:val="24"/>
        </w:rPr>
      </w:pPr>
    </w:p>
    <w:p w14:paraId="196744FC" w14:textId="724ACE6D" w:rsidR="00CD6B1C" w:rsidRDefault="00CD6B1C" w:rsidP="00CD6B1C">
      <w:pPr>
        <w:rPr>
          <w:rFonts w:cs="Arial"/>
          <w:sz w:val="24"/>
          <w:szCs w:val="24"/>
        </w:rPr>
      </w:pPr>
      <w:r>
        <w:rPr>
          <w:rFonts w:cs="Arial"/>
          <w:sz w:val="24"/>
          <w:szCs w:val="24"/>
        </w:rPr>
        <w:t>Da un lato è st</w:t>
      </w:r>
      <w:r w:rsidRPr="00144254">
        <w:rPr>
          <w:rFonts w:cs="Arial"/>
          <w:sz w:val="24"/>
          <w:szCs w:val="24"/>
        </w:rPr>
        <w:t>at</w:t>
      </w:r>
      <w:r w:rsidR="003A796A">
        <w:rPr>
          <w:rFonts w:cs="Arial"/>
          <w:sz w:val="24"/>
          <w:szCs w:val="24"/>
        </w:rPr>
        <w:t>o</w:t>
      </w:r>
      <w:r w:rsidRPr="00144254">
        <w:rPr>
          <w:rFonts w:cs="Arial"/>
          <w:sz w:val="24"/>
          <w:szCs w:val="24"/>
        </w:rPr>
        <w:t xml:space="preserve"> </w:t>
      </w:r>
      <w:r>
        <w:rPr>
          <w:rFonts w:cs="Arial"/>
          <w:sz w:val="24"/>
          <w:szCs w:val="24"/>
        </w:rPr>
        <w:t>semplificato</w:t>
      </w:r>
      <w:r w:rsidRPr="00144254">
        <w:rPr>
          <w:rFonts w:cs="Arial"/>
          <w:sz w:val="24"/>
          <w:szCs w:val="24"/>
        </w:rPr>
        <w:t xml:space="preserve"> il rapporto convenzionale</w:t>
      </w:r>
      <w:r>
        <w:rPr>
          <w:rFonts w:cs="Arial"/>
          <w:sz w:val="24"/>
          <w:szCs w:val="24"/>
        </w:rPr>
        <w:t xml:space="preserve"> </w:t>
      </w:r>
      <w:r w:rsidRPr="00144254">
        <w:rPr>
          <w:rFonts w:cs="Arial"/>
          <w:sz w:val="24"/>
          <w:szCs w:val="24"/>
        </w:rPr>
        <w:t xml:space="preserve">riducendolo a due parti e </w:t>
      </w:r>
      <w:r>
        <w:rPr>
          <w:rFonts w:cs="Arial"/>
          <w:sz w:val="24"/>
          <w:szCs w:val="24"/>
        </w:rPr>
        <w:t>a</w:t>
      </w:r>
      <w:r w:rsidRPr="00144254">
        <w:rPr>
          <w:rFonts w:cs="Arial"/>
          <w:sz w:val="24"/>
          <w:szCs w:val="24"/>
        </w:rPr>
        <w:t>dotta</w:t>
      </w:r>
      <w:r>
        <w:rPr>
          <w:rFonts w:cs="Arial"/>
          <w:sz w:val="24"/>
          <w:szCs w:val="24"/>
        </w:rPr>
        <w:t xml:space="preserve">ndo </w:t>
      </w:r>
      <w:r w:rsidRPr="00144254">
        <w:rPr>
          <w:rFonts w:cs="Arial"/>
          <w:sz w:val="24"/>
          <w:szCs w:val="24"/>
        </w:rPr>
        <w:t>il modello della concessione dove lo Stato,</w:t>
      </w:r>
      <w:r>
        <w:rPr>
          <w:rFonts w:cs="Arial"/>
          <w:sz w:val="24"/>
          <w:szCs w:val="24"/>
        </w:rPr>
        <w:t xml:space="preserve"> </w:t>
      </w:r>
      <w:r w:rsidRPr="00144254">
        <w:rPr>
          <w:rFonts w:cs="Arial"/>
          <w:sz w:val="24"/>
          <w:szCs w:val="24"/>
        </w:rPr>
        <w:t>proprietario, concede in uso alla Città, che ne diventa unico responsabile verso lo</w:t>
      </w:r>
      <w:r>
        <w:rPr>
          <w:rFonts w:cs="Arial"/>
          <w:sz w:val="24"/>
          <w:szCs w:val="24"/>
        </w:rPr>
        <w:t xml:space="preserve"> </w:t>
      </w:r>
      <w:r w:rsidRPr="00144254">
        <w:rPr>
          <w:rFonts w:cs="Arial"/>
          <w:sz w:val="24"/>
          <w:szCs w:val="24"/>
        </w:rPr>
        <w:t>Stato, un bene demaniale di grande valore storico e culturale e, per questo motivo, il</w:t>
      </w:r>
      <w:r>
        <w:rPr>
          <w:rFonts w:cs="Arial"/>
          <w:sz w:val="24"/>
          <w:szCs w:val="24"/>
        </w:rPr>
        <w:t xml:space="preserve"> </w:t>
      </w:r>
      <w:r w:rsidRPr="00144254">
        <w:rPr>
          <w:rFonts w:cs="Arial"/>
          <w:sz w:val="24"/>
          <w:szCs w:val="24"/>
        </w:rPr>
        <w:t>concessionario riceve anc</w:t>
      </w:r>
      <w:r>
        <w:rPr>
          <w:rFonts w:cs="Arial"/>
          <w:sz w:val="24"/>
          <w:szCs w:val="24"/>
        </w:rPr>
        <w:t xml:space="preserve">he un finanziamento ricorrente, impegnandosi </w:t>
      </w:r>
      <w:r w:rsidRPr="00144254">
        <w:rPr>
          <w:rFonts w:cs="Arial"/>
          <w:sz w:val="24"/>
          <w:szCs w:val="24"/>
        </w:rPr>
        <w:t>ad assumerne e garantirne la gestione con l’obbiettivo di valorizzare,</w:t>
      </w:r>
      <w:r>
        <w:rPr>
          <w:rFonts w:cs="Arial"/>
          <w:sz w:val="24"/>
          <w:szCs w:val="24"/>
        </w:rPr>
        <w:t xml:space="preserve"> </w:t>
      </w:r>
      <w:r w:rsidRPr="00144254">
        <w:rPr>
          <w:rFonts w:cs="Arial"/>
          <w:sz w:val="24"/>
          <w:szCs w:val="24"/>
        </w:rPr>
        <w:t xml:space="preserve">promuovere e tutelare il  carattere culturale e di patrimonio dell’umanità </w:t>
      </w:r>
      <w:r w:rsidR="000C5A7C">
        <w:rPr>
          <w:rFonts w:cs="Arial"/>
          <w:sz w:val="24"/>
          <w:szCs w:val="24"/>
        </w:rPr>
        <w:t xml:space="preserve">dei castelli </w:t>
      </w:r>
      <w:r w:rsidRPr="00144254">
        <w:rPr>
          <w:rFonts w:cs="Arial"/>
          <w:sz w:val="24"/>
          <w:szCs w:val="24"/>
        </w:rPr>
        <w:t xml:space="preserve">sotto </w:t>
      </w:r>
      <w:r w:rsidR="000C5A7C">
        <w:rPr>
          <w:rFonts w:cs="Arial"/>
          <w:sz w:val="24"/>
          <w:szCs w:val="24"/>
        </w:rPr>
        <w:t xml:space="preserve">la </w:t>
      </w:r>
      <w:r w:rsidRPr="00144254">
        <w:rPr>
          <w:rFonts w:cs="Arial"/>
          <w:sz w:val="24"/>
          <w:szCs w:val="24"/>
        </w:rPr>
        <w:t xml:space="preserve">sua responsabilità esclusiva </w:t>
      </w:r>
      <w:r>
        <w:rPr>
          <w:rFonts w:cs="Arial"/>
          <w:sz w:val="24"/>
          <w:szCs w:val="24"/>
        </w:rPr>
        <w:t>contro il pagamento di un finanziamento da parte del Cantone.</w:t>
      </w:r>
    </w:p>
    <w:p w14:paraId="29CE3776" w14:textId="77777777" w:rsidR="00CD6B1C" w:rsidRDefault="00CD6B1C" w:rsidP="00CD6B1C">
      <w:pPr>
        <w:rPr>
          <w:rFonts w:cs="Arial"/>
          <w:sz w:val="24"/>
          <w:szCs w:val="24"/>
        </w:rPr>
      </w:pPr>
    </w:p>
    <w:p w14:paraId="67328162" w14:textId="0544C679" w:rsidR="00CD6B1C" w:rsidRDefault="00CD6B1C" w:rsidP="00CD6B1C">
      <w:pPr>
        <w:rPr>
          <w:rFonts w:cs="Arial"/>
          <w:sz w:val="24"/>
          <w:szCs w:val="24"/>
        </w:rPr>
      </w:pPr>
      <w:r w:rsidRPr="00144254">
        <w:rPr>
          <w:rFonts w:cs="Arial"/>
          <w:sz w:val="24"/>
          <w:szCs w:val="24"/>
        </w:rPr>
        <w:t>Dal profilo operativo la semplificazione principale è stata la delega a due soli servizi</w:t>
      </w:r>
      <w:r>
        <w:rPr>
          <w:rFonts w:cs="Arial"/>
          <w:sz w:val="24"/>
          <w:szCs w:val="24"/>
        </w:rPr>
        <w:t xml:space="preserve"> </w:t>
      </w:r>
      <w:r w:rsidRPr="00144254">
        <w:rPr>
          <w:rFonts w:cs="Arial"/>
          <w:sz w:val="24"/>
          <w:szCs w:val="24"/>
        </w:rPr>
        <w:t xml:space="preserve">del coordinamento amministrativo </w:t>
      </w:r>
      <w:r w:rsidR="00240B3F">
        <w:rPr>
          <w:rFonts w:cs="Arial"/>
          <w:sz w:val="24"/>
          <w:szCs w:val="24"/>
        </w:rPr>
        <w:t>dell’applicazione della convenzione in oggetto</w:t>
      </w:r>
      <w:r>
        <w:rPr>
          <w:rFonts w:cs="Arial"/>
          <w:sz w:val="24"/>
          <w:szCs w:val="24"/>
        </w:rPr>
        <w:t xml:space="preserve">, da un lato i </w:t>
      </w:r>
      <w:r>
        <w:rPr>
          <w:rFonts w:cs="Arial"/>
          <w:sz w:val="24"/>
          <w:szCs w:val="24"/>
        </w:rPr>
        <w:lastRenderedPageBreak/>
        <w:t>Servizi generali del DT e dall’altro il Segretario comunale</w:t>
      </w:r>
      <w:r w:rsidRPr="00144254">
        <w:rPr>
          <w:rFonts w:cs="Arial"/>
          <w:sz w:val="24"/>
          <w:szCs w:val="24"/>
        </w:rPr>
        <w:t>. Questi servizi</w:t>
      </w:r>
      <w:r>
        <w:rPr>
          <w:rFonts w:cs="Arial"/>
          <w:sz w:val="24"/>
          <w:szCs w:val="24"/>
        </w:rPr>
        <w:t xml:space="preserve"> fungono da </w:t>
      </w:r>
      <w:r w:rsidRPr="00144254">
        <w:rPr>
          <w:rFonts w:cs="Arial"/>
          <w:sz w:val="24"/>
          <w:szCs w:val="24"/>
        </w:rPr>
        <w:t xml:space="preserve">referenti con lo scopo di coinvolgere ed attivare </w:t>
      </w:r>
      <w:r w:rsidR="00240B3F">
        <w:rPr>
          <w:rFonts w:cs="Arial"/>
          <w:sz w:val="24"/>
          <w:szCs w:val="24"/>
        </w:rPr>
        <w:t xml:space="preserve">gli </w:t>
      </w:r>
      <w:r w:rsidRPr="00144254">
        <w:rPr>
          <w:rFonts w:cs="Arial"/>
          <w:sz w:val="24"/>
          <w:szCs w:val="24"/>
        </w:rPr>
        <w:t>altri servizi che, per conto dei due contraenti, si occupano dei Castelli.</w:t>
      </w:r>
      <w:r>
        <w:rPr>
          <w:rFonts w:cs="Arial"/>
          <w:sz w:val="24"/>
          <w:szCs w:val="24"/>
        </w:rPr>
        <w:t xml:space="preserve"> </w:t>
      </w:r>
    </w:p>
    <w:p w14:paraId="179A6C70" w14:textId="77777777" w:rsidR="00CD6B1C" w:rsidRDefault="00CD6B1C" w:rsidP="00CD6B1C">
      <w:pPr>
        <w:rPr>
          <w:rFonts w:cs="Arial"/>
          <w:sz w:val="24"/>
          <w:szCs w:val="24"/>
        </w:rPr>
      </w:pPr>
    </w:p>
    <w:p w14:paraId="75007FD9" w14:textId="32B85497" w:rsidR="00CD6B1C" w:rsidRDefault="00CD6B1C" w:rsidP="00CD6B1C">
      <w:pPr>
        <w:rPr>
          <w:rFonts w:cs="Arial"/>
          <w:sz w:val="24"/>
          <w:szCs w:val="24"/>
        </w:rPr>
      </w:pPr>
      <w:r>
        <w:rPr>
          <w:rFonts w:cs="Arial"/>
          <w:sz w:val="24"/>
          <w:szCs w:val="24"/>
        </w:rPr>
        <w:t>Secondo il punto 4. della Convenzione lo Stato assume gli oneri della manutenzione straordinaria e le prestazioni di manutenzione ordinaria dei beni oggetto di concessione, mentre il Comune assume il resto degli oneri di gestione e manutenzione.</w:t>
      </w:r>
    </w:p>
    <w:p w14:paraId="357CB579" w14:textId="77777777" w:rsidR="00CD6B1C" w:rsidRDefault="00CD6B1C" w:rsidP="00CD6B1C">
      <w:pPr>
        <w:rPr>
          <w:rFonts w:cs="Arial"/>
          <w:sz w:val="24"/>
          <w:szCs w:val="24"/>
        </w:rPr>
      </w:pPr>
    </w:p>
    <w:p w14:paraId="0C4AB023" w14:textId="6D0BDF39" w:rsidR="00CD6B1C" w:rsidRPr="009418CD" w:rsidRDefault="00CD6B1C" w:rsidP="009418CD">
      <w:pPr>
        <w:pStyle w:val="Paragrafoelenco"/>
        <w:numPr>
          <w:ilvl w:val="0"/>
          <w:numId w:val="21"/>
        </w:numPr>
        <w:rPr>
          <w:rFonts w:cs="Arial"/>
          <w:b/>
          <w:sz w:val="24"/>
          <w:szCs w:val="24"/>
        </w:rPr>
      </w:pPr>
      <w:r w:rsidRPr="009418CD">
        <w:rPr>
          <w:rFonts w:cs="Arial"/>
          <w:b/>
          <w:sz w:val="24"/>
          <w:szCs w:val="24"/>
        </w:rPr>
        <w:t>Il progetto della Città di Bellinzona di valorizzazione dei castelli</w:t>
      </w:r>
    </w:p>
    <w:p w14:paraId="2853E5A4" w14:textId="77777777" w:rsidR="00CD6B1C" w:rsidRDefault="00CD6B1C" w:rsidP="00CD6B1C">
      <w:pPr>
        <w:rPr>
          <w:rFonts w:cs="Arial"/>
          <w:sz w:val="24"/>
          <w:szCs w:val="24"/>
        </w:rPr>
      </w:pPr>
    </w:p>
    <w:p w14:paraId="359D7D86" w14:textId="31071D30" w:rsidR="00CD6B1C" w:rsidRPr="009F490F" w:rsidRDefault="00527F8B" w:rsidP="00CD6B1C">
      <w:pPr>
        <w:rPr>
          <w:rFonts w:cs="Arial"/>
          <w:sz w:val="24"/>
          <w:szCs w:val="24"/>
          <w:u w:val="single"/>
        </w:rPr>
      </w:pPr>
      <w:r>
        <w:rPr>
          <w:rFonts w:cs="Arial"/>
          <w:sz w:val="24"/>
          <w:szCs w:val="24"/>
          <w:u w:val="single"/>
        </w:rPr>
        <w:t>3</w:t>
      </w:r>
      <w:r w:rsidR="00CD6B1C" w:rsidRPr="009F490F">
        <w:rPr>
          <w:rFonts w:cs="Arial"/>
          <w:sz w:val="24"/>
          <w:szCs w:val="24"/>
          <w:u w:val="single"/>
        </w:rPr>
        <w:t xml:space="preserve">.1. Il progetto </w:t>
      </w:r>
      <w:r w:rsidR="00CD6B1C">
        <w:rPr>
          <w:rFonts w:cs="Arial"/>
          <w:sz w:val="24"/>
          <w:szCs w:val="24"/>
          <w:u w:val="single"/>
        </w:rPr>
        <w:t>previsto dal Comune</w:t>
      </w:r>
    </w:p>
    <w:p w14:paraId="75E55950" w14:textId="77777777" w:rsidR="00CD6B1C" w:rsidRDefault="00CD6B1C" w:rsidP="00CD6B1C">
      <w:pPr>
        <w:rPr>
          <w:rFonts w:cs="Arial"/>
          <w:sz w:val="24"/>
          <w:szCs w:val="24"/>
        </w:rPr>
      </w:pPr>
    </w:p>
    <w:p w14:paraId="7AA057E2" w14:textId="605512B8" w:rsidR="00CD6B1C" w:rsidRDefault="00CD6B1C" w:rsidP="00CD6B1C">
      <w:pPr>
        <w:rPr>
          <w:rFonts w:cs="Arial"/>
          <w:sz w:val="24"/>
          <w:szCs w:val="24"/>
        </w:rPr>
      </w:pPr>
      <w:r>
        <w:rPr>
          <w:rFonts w:cs="Arial"/>
          <w:sz w:val="24"/>
          <w:szCs w:val="24"/>
        </w:rPr>
        <w:t xml:space="preserve">Con messaggio municipale n. 463 del 25 novembre 2020 il Municipio ha presentato il </w:t>
      </w:r>
      <w:r w:rsidRPr="00356470">
        <w:rPr>
          <w:rFonts w:cs="Arial"/>
          <w:sz w:val="24"/>
          <w:szCs w:val="24"/>
        </w:rPr>
        <w:t xml:space="preserve">Programma di Valorizzazione del patrimonio UNESCO “Fortezza di Bellinzona” con i Castelli e la murata </w:t>
      </w:r>
      <w:r>
        <w:rPr>
          <w:rFonts w:cs="Arial"/>
          <w:sz w:val="24"/>
          <w:szCs w:val="24"/>
        </w:rPr>
        <w:t xml:space="preserve">e la richiesta di uno stanziamento </w:t>
      </w:r>
      <w:r w:rsidR="00873EEA">
        <w:rPr>
          <w:rFonts w:cs="Arial"/>
          <w:sz w:val="24"/>
          <w:szCs w:val="24"/>
        </w:rPr>
        <w:t xml:space="preserve">di un credito di progettazione </w:t>
      </w:r>
      <w:r>
        <w:rPr>
          <w:rFonts w:cs="Arial"/>
          <w:sz w:val="24"/>
          <w:szCs w:val="24"/>
        </w:rPr>
        <w:t>di 1.822 milioni di franchi.</w:t>
      </w:r>
    </w:p>
    <w:p w14:paraId="745862D3" w14:textId="77777777" w:rsidR="00CD6B1C" w:rsidRDefault="00CD6B1C" w:rsidP="00CD6B1C">
      <w:pPr>
        <w:rPr>
          <w:rFonts w:cs="Arial"/>
          <w:sz w:val="24"/>
          <w:szCs w:val="24"/>
        </w:rPr>
      </w:pPr>
    </w:p>
    <w:p w14:paraId="2E943CC0" w14:textId="343A1850" w:rsidR="00CD6B1C" w:rsidRDefault="00CD6B1C" w:rsidP="00CD6B1C">
      <w:pPr>
        <w:rPr>
          <w:rFonts w:cs="Arial"/>
          <w:sz w:val="24"/>
          <w:szCs w:val="24"/>
        </w:rPr>
      </w:pPr>
      <w:r>
        <w:rPr>
          <w:rFonts w:cs="Arial"/>
          <w:sz w:val="24"/>
          <w:szCs w:val="24"/>
        </w:rPr>
        <w:t>Nel citato messaggio l</w:t>
      </w:r>
      <w:r w:rsidRPr="00203F09">
        <w:rPr>
          <w:rFonts w:cs="Arial"/>
          <w:sz w:val="24"/>
          <w:szCs w:val="24"/>
        </w:rPr>
        <w:t xml:space="preserve">a fase di progettazione e pianificazione comprende le verifiche di fattibilità nonché l’elaborazione dettagliata dei contenuti di ogni singolo elemento previsto dallo studio di fattibilità. La fase di progettazione e pianificazione comprende </w:t>
      </w:r>
      <w:r>
        <w:rPr>
          <w:rFonts w:cs="Arial"/>
          <w:sz w:val="24"/>
          <w:szCs w:val="24"/>
        </w:rPr>
        <w:t>tre ambiti specifici</w:t>
      </w:r>
      <w:r w:rsidR="00527F8B">
        <w:rPr>
          <w:rFonts w:cs="Arial"/>
          <w:sz w:val="24"/>
          <w:szCs w:val="24"/>
        </w:rPr>
        <w:t>:</w:t>
      </w:r>
    </w:p>
    <w:p w14:paraId="785C0AA3" w14:textId="77777777" w:rsidR="00527F8B" w:rsidRPr="006E511D" w:rsidRDefault="00527F8B" w:rsidP="00CD6B1C">
      <w:pPr>
        <w:rPr>
          <w:rFonts w:cs="Arial"/>
          <w:sz w:val="12"/>
          <w:szCs w:val="12"/>
        </w:rPr>
      </w:pPr>
    </w:p>
    <w:p w14:paraId="07EB532B" w14:textId="77777777" w:rsidR="00CD6B1C" w:rsidRPr="00787EF7" w:rsidRDefault="00CD6B1C" w:rsidP="006E511D">
      <w:pPr>
        <w:pStyle w:val="Paragrafoelenco"/>
        <w:numPr>
          <w:ilvl w:val="0"/>
          <w:numId w:val="20"/>
        </w:numPr>
        <w:suppressAutoHyphens w:val="0"/>
        <w:spacing w:line="259" w:lineRule="auto"/>
        <w:ind w:left="284" w:hanging="284"/>
        <w:rPr>
          <w:rFonts w:cs="Arial"/>
          <w:sz w:val="24"/>
          <w:szCs w:val="24"/>
        </w:rPr>
      </w:pPr>
      <w:r w:rsidRPr="00787EF7">
        <w:rPr>
          <w:rFonts w:cs="Arial"/>
          <w:sz w:val="24"/>
          <w:szCs w:val="24"/>
        </w:rPr>
        <w:t>Contenuti e messa in scena</w:t>
      </w:r>
    </w:p>
    <w:p w14:paraId="69E23BAF" w14:textId="77777777" w:rsidR="00CD6B1C" w:rsidRPr="00203F09" w:rsidRDefault="00CD6B1C" w:rsidP="006E511D">
      <w:pPr>
        <w:ind w:left="567" w:hanging="283"/>
        <w:rPr>
          <w:rFonts w:cs="Arial"/>
          <w:sz w:val="24"/>
          <w:szCs w:val="24"/>
        </w:rPr>
      </w:pPr>
      <w:r w:rsidRPr="00203F09">
        <w:rPr>
          <w:rFonts w:cs="Arial"/>
          <w:sz w:val="24"/>
          <w:szCs w:val="24"/>
        </w:rPr>
        <w:t>-</w:t>
      </w:r>
      <w:r w:rsidRPr="00203F09">
        <w:rPr>
          <w:rFonts w:cs="Arial"/>
          <w:sz w:val="24"/>
          <w:szCs w:val="24"/>
        </w:rPr>
        <w:tab/>
        <w:t>la concezione di dettaglio dei nuovi allestimenti (incluse le opere da esporre);</w:t>
      </w:r>
    </w:p>
    <w:p w14:paraId="2718A914" w14:textId="77777777" w:rsidR="00CD6B1C" w:rsidRPr="00203F09" w:rsidRDefault="00CD6B1C" w:rsidP="006E511D">
      <w:pPr>
        <w:ind w:left="567" w:hanging="283"/>
        <w:rPr>
          <w:rFonts w:cs="Arial"/>
          <w:sz w:val="24"/>
          <w:szCs w:val="24"/>
        </w:rPr>
      </w:pPr>
      <w:r w:rsidRPr="00203F09">
        <w:rPr>
          <w:rFonts w:cs="Arial"/>
          <w:sz w:val="24"/>
          <w:szCs w:val="24"/>
        </w:rPr>
        <w:t>-</w:t>
      </w:r>
      <w:r w:rsidRPr="00203F09">
        <w:rPr>
          <w:rFonts w:cs="Arial"/>
          <w:sz w:val="24"/>
          <w:szCs w:val="24"/>
        </w:rPr>
        <w:tab/>
        <w:t>lo sviluppo di un percorso narrativo che coinvolga l’intera fortezza;</w:t>
      </w:r>
    </w:p>
    <w:p w14:paraId="781B2B72" w14:textId="52D99F48" w:rsidR="00CD6B1C" w:rsidRPr="00203F09" w:rsidRDefault="00CD6B1C" w:rsidP="006E511D">
      <w:pPr>
        <w:ind w:left="567" w:hanging="283"/>
        <w:rPr>
          <w:rFonts w:cs="Arial"/>
          <w:sz w:val="24"/>
          <w:szCs w:val="24"/>
        </w:rPr>
      </w:pPr>
      <w:r w:rsidRPr="00203F09">
        <w:rPr>
          <w:rFonts w:cs="Arial"/>
          <w:sz w:val="24"/>
          <w:szCs w:val="24"/>
        </w:rPr>
        <w:t>-</w:t>
      </w:r>
      <w:r w:rsidRPr="00203F09">
        <w:rPr>
          <w:rFonts w:cs="Arial"/>
          <w:sz w:val="24"/>
          <w:szCs w:val="24"/>
        </w:rPr>
        <w:tab/>
        <w:t xml:space="preserve">la verifica delle condizioni climatiche adeguate nelle sale individuate, onde poter proporre l’esposizione permanente di opere, senza comprometterne la conservazione e </w:t>
      </w:r>
      <w:r w:rsidR="000C5A7C">
        <w:rPr>
          <w:rFonts w:cs="Arial"/>
          <w:sz w:val="24"/>
          <w:szCs w:val="24"/>
        </w:rPr>
        <w:t>l’</w:t>
      </w:r>
      <w:r w:rsidRPr="00203F09">
        <w:rPr>
          <w:rFonts w:cs="Arial"/>
          <w:sz w:val="24"/>
          <w:szCs w:val="24"/>
        </w:rPr>
        <w:t>integrità;</w:t>
      </w:r>
    </w:p>
    <w:p w14:paraId="455EA3AF" w14:textId="77777777" w:rsidR="00CD6B1C" w:rsidRPr="00203F09" w:rsidRDefault="00CD6B1C" w:rsidP="006E511D">
      <w:pPr>
        <w:ind w:left="567" w:hanging="283"/>
        <w:rPr>
          <w:rFonts w:cs="Arial"/>
          <w:sz w:val="24"/>
          <w:szCs w:val="24"/>
        </w:rPr>
      </w:pPr>
      <w:r w:rsidRPr="00203F09">
        <w:rPr>
          <w:rFonts w:cs="Arial"/>
          <w:sz w:val="24"/>
          <w:szCs w:val="24"/>
        </w:rPr>
        <w:t>-</w:t>
      </w:r>
      <w:r w:rsidRPr="00203F09">
        <w:rPr>
          <w:rFonts w:cs="Arial"/>
          <w:sz w:val="24"/>
          <w:szCs w:val="24"/>
        </w:rPr>
        <w:tab/>
        <w:t>la definizione dei partner da coinvolgere nella realizzazione (scenografi, grafici, multimediamaker, programmatori, animatori, ditte di costruzione, ecc.);</w:t>
      </w:r>
    </w:p>
    <w:p w14:paraId="5ABA405F" w14:textId="6D5447DC" w:rsidR="00CD6B1C" w:rsidRPr="00203F09" w:rsidRDefault="00CD6B1C" w:rsidP="006E511D">
      <w:pPr>
        <w:ind w:left="567" w:hanging="283"/>
        <w:rPr>
          <w:rFonts w:cs="Arial"/>
          <w:sz w:val="24"/>
          <w:szCs w:val="24"/>
        </w:rPr>
      </w:pPr>
      <w:r w:rsidRPr="00203F09">
        <w:rPr>
          <w:rFonts w:cs="Arial"/>
          <w:sz w:val="24"/>
          <w:szCs w:val="24"/>
        </w:rPr>
        <w:t>-</w:t>
      </w:r>
      <w:r w:rsidRPr="00203F09">
        <w:rPr>
          <w:rFonts w:cs="Arial"/>
          <w:sz w:val="24"/>
          <w:szCs w:val="24"/>
        </w:rPr>
        <w:tab/>
        <w:t>la valutazione e</w:t>
      </w:r>
      <w:r w:rsidR="000C5A7C">
        <w:rPr>
          <w:rFonts w:cs="Arial"/>
          <w:sz w:val="24"/>
          <w:szCs w:val="24"/>
        </w:rPr>
        <w:t>l’</w:t>
      </w:r>
      <w:r w:rsidRPr="00203F09">
        <w:rPr>
          <w:rFonts w:cs="Arial"/>
          <w:sz w:val="24"/>
          <w:szCs w:val="24"/>
        </w:rPr>
        <w:t>eventuale avvio di collaborazioni con le scuole d’arte e le università;</w:t>
      </w:r>
    </w:p>
    <w:p w14:paraId="36446783" w14:textId="77777777" w:rsidR="00CD6B1C" w:rsidRDefault="00CD6B1C" w:rsidP="006E511D">
      <w:pPr>
        <w:ind w:left="567" w:hanging="283"/>
        <w:rPr>
          <w:rFonts w:cs="Arial"/>
          <w:sz w:val="24"/>
          <w:szCs w:val="24"/>
        </w:rPr>
      </w:pPr>
      <w:r w:rsidRPr="00203F09">
        <w:rPr>
          <w:rFonts w:cs="Arial"/>
          <w:sz w:val="24"/>
          <w:szCs w:val="24"/>
        </w:rPr>
        <w:t>-</w:t>
      </w:r>
      <w:r w:rsidRPr="00203F09">
        <w:rPr>
          <w:rFonts w:cs="Arial"/>
          <w:sz w:val="24"/>
          <w:szCs w:val="24"/>
        </w:rPr>
        <w:tab/>
        <w:t>la definizione dei tempi, delle risorse e dei finanziamenti necessari per la fase di realizzazione.</w:t>
      </w:r>
    </w:p>
    <w:p w14:paraId="7943CEC0" w14:textId="77777777" w:rsidR="00CD6B1C" w:rsidRDefault="00CD6B1C" w:rsidP="00CD6B1C">
      <w:pPr>
        <w:ind w:left="426" w:hanging="426"/>
        <w:rPr>
          <w:rFonts w:cs="Arial"/>
          <w:sz w:val="24"/>
          <w:szCs w:val="24"/>
        </w:rPr>
      </w:pPr>
    </w:p>
    <w:p w14:paraId="395F8480" w14:textId="77777777" w:rsidR="00CD6B1C" w:rsidRDefault="00CD6B1C" w:rsidP="006E511D">
      <w:pPr>
        <w:pStyle w:val="Paragrafoelenco"/>
        <w:numPr>
          <w:ilvl w:val="0"/>
          <w:numId w:val="20"/>
        </w:numPr>
        <w:suppressAutoHyphens w:val="0"/>
        <w:spacing w:line="259" w:lineRule="auto"/>
        <w:ind w:left="284" w:hanging="284"/>
        <w:rPr>
          <w:rFonts w:cs="Arial"/>
          <w:sz w:val="24"/>
          <w:szCs w:val="24"/>
        </w:rPr>
      </w:pPr>
      <w:r w:rsidRPr="00787EF7">
        <w:rPr>
          <w:rFonts w:cs="Arial"/>
          <w:sz w:val="24"/>
          <w:szCs w:val="24"/>
        </w:rPr>
        <w:t>Aspetti tecnici e logistici (Costruzioni)</w:t>
      </w:r>
    </w:p>
    <w:p w14:paraId="206AF9F2" w14:textId="77777777" w:rsidR="00CD6B1C" w:rsidRDefault="00CD6B1C" w:rsidP="006E511D">
      <w:pPr>
        <w:ind w:left="284"/>
        <w:rPr>
          <w:rFonts w:cs="Arial"/>
          <w:sz w:val="24"/>
          <w:szCs w:val="24"/>
        </w:rPr>
      </w:pPr>
      <w:r>
        <w:rPr>
          <w:rFonts w:cs="Arial"/>
          <w:sz w:val="24"/>
          <w:szCs w:val="24"/>
        </w:rPr>
        <w:t>Tale ambito comprende tutte le opere edili necessarie ai fini della realizzazione dei contenuti e della messa in scena indicati dallo studio di fattibilità.</w:t>
      </w:r>
    </w:p>
    <w:p w14:paraId="43036B6A" w14:textId="77777777" w:rsidR="00CD6B1C" w:rsidRDefault="00CD6B1C" w:rsidP="00CD6B1C">
      <w:pPr>
        <w:ind w:left="360"/>
        <w:rPr>
          <w:rFonts w:cs="Arial"/>
          <w:sz w:val="24"/>
          <w:szCs w:val="24"/>
        </w:rPr>
      </w:pPr>
    </w:p>
    <w:p w14:paraId="753CABAE" w14:textId="77777777" w:rsidR="00CD6B1C" w:rsidRDefault="00CD6B1C" w:rsidP="006E511D">
      <w:pPr>
        <w:pStyle w:val="Paragrafoelenco"/>
        <w:numPr>
          <w:ilvl w:val="0"/>
          <w:numId w:val="20"/>
        </w:numPr>
        <w:suppressAutoHyphens w:val="0"/>
        <w:spacing w:line="259" w:lineRule="auto"/>
        <w:ind w:left="284" w:hanging="284"/>
        <w:rPr>
          <w:rFonts w:cs="Arial"/>
          <w:sz w:val="24"/>
          <w:szCs w:val="24"/>
        </w:rPr>
      </w:pPr>
      <w:r>
        <w:rPr>
          <w:rFonts w:cs="Arial"/>
          <w:sz w:val="24"/>
          <w:szCs w:val="24"/>
        </w:rPr>
        <w:t>Governance, posizionamento e marketing</w:t>
      </w:r>
      <w:bookmarkStart w:id="0" w:name="_GoBack"/>
      <w:bookmarkEnd w:id="0"/>
    </w:p>
    <w:p w14:paraId="33931AD0" w14:textId="77777777" w:rsidR="00CD6B1C" w:rsidRDefault="00CD6B1C" w:rsidP="00CD6B1C">
      <w:pPr>
        <w:pStyle w:val="Paragrafoelenco"/>
        <w:ind w:left="360"/>
        <w:rPr>
          <w:rFonts w:cs="Arial"/>
          <w:sz w:val="24"/>
          <w:szCs w:val="24"/>
        </w:rPr>
      </w:pPr>
    </w:p>
    <w:p w14:paraId="2D7866EB" w14:textId="6207D438" w:rsidR="00CD6B1C" w:rsidRPr="00787EF7" w:rsidRDefault="00CD6B1C" w:rsidP="00527F8B">
      <w:pPr>
        <w:pStyle w:val="Paragrafoelenco"/>
        <w:ind w:left="0"/>
        <w:rPr>
          <w:rFonts w:cs="Arial"/>
          <w:sz w:val="24"/>
          <w:szCs w:val="24"/>
        </w:rPr>
      </w:pPr>
      <w:r>
        <w:rPr>
          <w:rFonts w:cs="Arial"/>
          <w:sz w:val="24"/>
          <w:szCs w:val="24"/>
        </w:rPr>
        <w:t>Oltre ai tre ambiti citati a comporre i costi complessivi si affianca anche la gestione del progetto</w:t>
      </w:r>
      <w:r w:rsidR="00527F8B">
        <w:rPr>
          <w:rFonts w:cs="Arial"/>
          <w:sz w:val="24"/>
          <w:szCs w:val="24"/>
        </w:rPr>
        <w:t>.</w:t>
      </w:r>
    </w:p>
    <w:p w14:paraId="5EDD86C6" w14:textId="77777777" w:rsidR="00527F8B" w:rsidRDefault="00527F8B" w:rsidP="00CD6B1C">
      <w:pPr>
        <w:ind w:left="426" w:hanging="426"/>
        <w:rPr>
          <w:rFonts w:cs="Arial"/>
          <w:sz w:val="24"/>
          <w:szCs w:val="24"/>
        </w:rPr>
      </w:pPr>
    </w:p>
    <w:p w14:paraId="3F201C14" w14:textId="1C874E8F" w:rsidR="00CD6B1C" w:rsidRPr="00203F09" w:rsidRDefault="00CD6B1C" w:rsidP="00CD6B1C">
      <w:pPr>
        <w:rPr>
          <w:rFonts w:cs="Arial"/>
          <w:sz w:val="24"/>
          <w:szCs w:val="24"/>
          <w:u w:val="single"/>
        </w:rPr>
      </w:pPr>
      <w:r>
        <w:rPr>
          <w:rFonts w:cs="Arial"/>
          <w:sz w:val="24"/>
          <w:szCs w:val="24"/>
          <w:u w:val="single"/>
        </w:rPr>
        <w:t xml:space="preserve"> </w:t>
      </w:r>
      <w:r w:rsidR="00527F8B">
        <w:rPr>
          <w:rFonts w:cs="Arial"/>
          <w:sz w:val="24"/>
          <w:szCs w:val="24"/>
          <w:u w:val="single"/>
        </w:rPr>
        <w:t>3</w:t>
      </w:r>
      <w:r>
        <w:rPr>
          <w:rFonts w:cs="Arial"/>
          <w:sz w:val="24"/>
          <w:szCs w:val="24"/>
          <w:u w:val="single"/>
        </w:rPr>
        <w:t>.2 Costi previsti per la progettazione della valorizzazione</w:t>
      </w:r>
    </w:p>
    <w:p w14:paraId="4DE2057B" w14:textId="77777777" w:rsidR="00CD6B1C" w:rsidRDefault="00CD6B1C" w:rsidP="00CD6B1C">
      <w:pPr>
        <w:rPr>
          <w:rFonts w:cs="Arial"/>
          <w:sz w:val="24"/>
          <w:szCs w:val="24"/>
        </w:rPr>
      </w:pPr>
    </w:p>
    <w:p w14:paraId="72F90DD5" w14:textId="22CC1465" w:rsidR="00CD6B1C" w:rsidRDefault="00CD6B1C" w:rsidP="00CD6B1C">
      <w:pPr>
        <w:rPr>
          <w:rFonts w:cs="Arial"/>
          <w:sz w:val="24"/>
          <w:szCs w:val="24"/>
        </w:rPr>
      </w:pPr>
      <w:r>
        <w:rPr>
          <w:rFonts w:cs="Arial"/>
          <w:sz w:val="24"/>
          <w:szCs w:val="24"/>
        </w:rPr>
        <w:t>Il preventivo dei costi della progettazione della valorizzazione è presentato nella tabella che segue, estratta dal messaggio municipale n. 463 del 25 novembre 2020.</w:t>
      </w:r>
    </w:p>
    <w:p w14:paraId="0A372A5B" w14:textId="1AD9D12C" w:rsidR="00873EEA" w:rsidRDefault="00873EEA" w:rsidP="00CD6B1C">
      <w:pPr>
        <w:rPr>
          <w:rFonts w:cs="Arial"/>
          <w:sz w:val="24"/>
          <w:szCs w:val="24"/>
        </w:rPr>
      </w:pPr>
    </w:p>
    <w:p w14:paraId="313A449A" w14:textId="77777777" w:rsidR="00873EEA" w:rsidRDefault="00873EEA" w:rsidP="00CD6B1C">
      <w:pPr>
        <w:rPr>
          <w:rFonts w:cs="Arial"/>
          <w:sz w:val="24"/>
          <w:szCs w:val="24"/>
        </w:rPr>
      </w:pPr>
    </w:p>
    <w:p w14:paraId="57948F86" w14:textId="77777777" w:rsidR="00CD6B1C" w:rsidRDefault="00CD6B1C" w:rsidP="00CD6B1C">
      <w:pPr>
        <w:rPr>
          <w:rFonts w:cs="Arial"/>
          <w:sz w:val="24"/>
          <w:szCs w:val="24"/>
        </w:rPr>
      </w:pPr>
    </w:p>
    <w:tbl>
      <w:tblPr>
        <w:tblW w:w="7371" w:type="dxa"/>
        <w:tblInd w:w="-5" w:type="dxa"/>
        <w:tblCellMar>
          <w:left w:w="70" w:type="dxa"/>
          <w:right w:w="70" w:type="dxa"/>
        </w:tblCellMar>
        <w:tblLook w:val="04A0" w:firstRow="1" w:lastRow="0" w:firstColumn="1" w:lastColumn="0" w:noHBand="0" w:noVBand="1"/>
      </w:tblPr>
      <w:tblGrid>
        <w:gridCol w:w="5604"/>
        <w:gridCol w:w="1767"/>
      </w:tblGrid>
      <w:tr w:rsidR="00CD6B1C" w:rsidRPr="00203F09" w14:paraId="0D40A578" w14:textId="77777777" w:rsidTr="006E511D">
        <w:trPr>
          <w:trHeight w:val="420"/>
        </w:trPr>
        <w:tc>
          <w:tcPr>
            <w:tcW w:w="56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52FE4A" w14:textId="77777777" w:rsidR="00CD6B1C" w:rsidRPr="00203F09" w:rsidRDefault="00CD6B1C" w:rsidP="00787EF7">
            <w:pPr>
              <w:rPr>
                <w:rFonts w:eastAsia="Times New Roman" w:cs="Arial"/>
                <w:bCs/>
                <w:color w:val="000000"/>
                <w:lang w:eastAsia="it-CH"/>
              </w:rPr>
            </w:pPr>
            <w:r w:rsidRPr="00203F09">
              <w:rPr>
                <w:rFonts w:eastAsia="Times New Roman" w:cs="Arial"/>
                <w:bCs/>
                <w:color w:val="000000"/>
                <w:lang w:eastAsia="it-CH"/>
              </w:rPr>
              <w:t>Sintesi complessiva dei costi</w:t>
            </w:r>
          </w:p>
        </w:tc>
        <w:tc>
          <w:tcPr>
            <w:tcW w:w="176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FF24B53" w14:textId="77777777" w:rsidR="00CD6B1C" w:rsidRPr="00203F09" w:rsidRDefault="00CD6B1C" w:rsidP="00787EF7">
            <w:pPr>
              <w:jc w:val="right"/>
              <w:rPr>
                <w:rFonts w:eastAsia="Times New Roman" w:cs="Arial"/>
                <w:bCs/>
                <w:color w:val="000000"/>
                <w:lang w:eastAsia="it-CH"/>
              </w:rPr>
            </w:pPr>
            <w:r w:rsidRPr="00203F09">
              <w:rPr>
                <w:rFonts w:eastAsia="Times New Roman" w:cs="Arial"/>
                <w:bCs/>
                <w:color w:val="000000"/>
                <w:lang w:eastAsia="it-CH"/>
              </w:rPr>
              <w:t>Stima costi in fr.</w:t>
            </w:r>
          </w:p>
        </w:tc>
      </w:tr>
      <w:tr w:rsidR="00CD6B1C" w:rsidRPr="00203F09" w14:paraId="285DCF81" w14:textId="77777777" w:rsidTr="006E511D">
        <w:trPr>
          <w:trHeight w:val="420"/>
        </w:trPr>
        <w:tc>
          <w:tcPr>
            <w:tcW w:w="5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898E1" w14:textId="77777777" w:rsidR="00CD6B1C" w:rsidRPr="00203F09" w:rsidRDefault="00CD6B1C" w:rsidP="00787EF7">
            <w:pPr>
              <w:rPr>
                <w:rFonts w:eastAsia="Times New Roman" w:cs="Arial"/>
                <w:color w:val="000000"/>
                <w:lang w:eastAsia="it-CH"/>
              </w:rPr>
            </w:pPr>
            <w:r w:rsidRPr="00203F09">
              <w:rPr>
                <w:rFonts w:eastAsia="Times New Roman" w:cs="Arial"/>
                <w:iCs/>
                <w:color w:val="000000"/>
                <w:lang w:eastAsia="it-CH"/>
              </w:rPr>
              <w:t>Ambito di progettazione</w:t>
            </w:r>
            <w:r w:rsidRPr="00203F09">
              <w:rPr>
                <w:rFonts w:eastAsia="Times New Roman" w:cs="Arial"/>
                <w:color w:val="000000"/>
                <w:lang w:eastAsia="it-CH"/>
              </w:rPr>
              <w:t xml:space="preserve"> “Contenuti e messa in scena”</w:t>
            </w:r>
          </w:p>
        </w:tc>
        <w:tc>
          <w:tcPr>
            <w:tcW w:w="1767" w:type="dxa"/>
            <w:tcBorders>
              <w:top w:val="single" w:sz="4" w:space="0" w:color="auto"/>
              <w:left w:val="nil"/>
              <w:bottom w:val="single" w:sz="4" w:space="0" w:color="auto"/>
              <w:right w:val="single" w:sz="4" w:space="0" w:color="auto"/>
            </w:tcBorders>
            <w:shd w:val="clear" w:color="auto" w:fill="auto"/>
            <w:noWrap/>
            <w:vAlign w:val="bottom"/>
          </w:tcPr>
          <w:p w14:paraId="3EADB0A0" w14:textId="77777777" w:rsidR="00CD6B1C" w:rsidRPr="00203F09" w:rsidRDefault="00CD6B1C" w:rsidP="00787EF7">
            <w:pPr>
              <w:jc w:val="right"/>
              <w:rPr>
                <w:rFonts w:eastAsia="Times New Roman" w:cs="Arial"/>
                <w:color w:val="000000"/>
                <w:lang w:eastAsia="it-CH"/>
              </w:rPr>
            </w:pPr>
            <w:r w:rsidRPr="00203F09">
              <w:rPr>
                <w:rFonts w:eastAsia="Times New Roman" w:cs="Arial"/>
                <w:color w:val="000000"/>
                <w:lang w:eastAsia="it-CH"/>
              </w:rPr>
              <w:t>620’000</w:t>
            </w:r>
          </w:p>
        </w:tc>
      </w:tr>
      <w:tr w:rsidR="00CD6B1C" w:rsidRPr="00203F09" w14:paraId="759846A6" w14:textId="77777777" w:rsidTr="006E511D">
        <w:trPr>
          <w:trHeight w:val="420"/>
        </w:trPr>
        <w:tc>
          <w:tcPr>
            <w:tcW w:w="5604" w:type="dxa"/>
            <w:tcBorders>
              <w:top w:val="nil"/>
              <w:left w:val="single" w:sz="4" w:space="0" w:color="auto"/>
              <w:bottom w:val="single" w:sz="4" w:space="0" w:color="auto"/>
              <w:right w:val="single" w:sz="4" w:space="0" w:color="auto"/>
            </w:tcBorders>
            <w:shd w:val="clear" w:color="auto" w:fill="auto"/>
            <w:noWrap/>
            <w:vAlign w:val="center"/>
            <w:hideMark/>
          </w:tcPr>
          <w:p w14:paraId="31EE587D" w14:textId="77777777" w:rsidR="00CD6B1C" w:rsidRPr="00203F09" w:rsidRDefault="00CD6B1C" w:rsidP="00787EF7">
            <w:pPr>
              <w:rPr>
                <w:rFonts w:eastAsia="Times New Roman" w:cs="Arial"/>
                <w:color w:val="000000"/>
                <w:lang w:eastAsia="it-CH"/>
              </w:rPr>
            </w:pPr>
            <w:r w:rsidRPr="00203F09">
              <w:rPr>
                <w:rFonts w:eastAsia="Times New Roman" w:cs="Arial"/>
                <w:iCs/>
                <w:color w:val="000000"/>
                <w:lang w:eastAsia="it-CH"/>
              </w:rPr>
              <w:t>Ambito di progettazione</w:t>
            </w:r>
            <w:r w:rsidRPr="00203F09">
              <w:rPr>
                <w:rFonts w:eastAsia="Times New Roman" w:cs="Arial"/>
                <w:color w:val="000000"/>
                <w:lang w:eastAsia="it-CH"/>
              </w:rPr>
              <w:t xml:space="preserve"> “Governance”</w:t>
            </w:r>
          </w:p>
        </w:tc>
        <w:tc>
          <w:tcPr>
            <w:tcW w:w="1767" w:type="dxa"/>
            <w:tcBorders>
              <w:top w:val="nil"/>
              <w:left w:val="nil"/>
              <w:bottom w:val="single" w:sz="4" w:space="0" w:color="auto"/>
              <w:right w:val="single" w:sz="4" w:space="0" w:color="auto"/>
            </w:tcBorders>
            <w:shd w:val="clear" w:color="auto" w:fill="auto"/>
            <w:noWrap/>
            <w:vAlign w:val="bottom"/>
            <w:hideMark/>
          </w:tcPr>
          <w:p w14:paraId="1FC577F9" w14:textId="77777777" w:rsidR="00CD6B1C" w:rsidRPr="00203F09" w:rsidRDefault="00CD6B1C" w:rsidP="00787EF7">
            <w:pPr>
              <w:jc w:val="right"/>
              <w:rPr>
                <w:rFonts w:eastAsia="Times New Roman" w:cs="Arial"/>
                <w:color w:val="000000"/>
                <w:lang w:eastAsia="it-CH"/>
              </w:rPr>
            </w:pPr>
            <w:r w:rsidRPr="00203F09">
              <w:rPr>
                <w:rFonts w:eastAsia="Times New Roman" w:cs="Arial"/>
                <w:color w:val="000000"/>
                <w:lang w:eastAsia="it-CH"/>
              </w:rPr>
              <w:t>290’000</w:t>
            </w:r>
          </w:p>
        </w:tc>
      </w:tr>
      <w:tr w:rsidR="00CD6B1C" w:rsidRPr="00203F09" w14:paraId="7A055318" w14:textId="77777777" w:rsidTr="006E511D">
        <w:trPr>
          <w:trHeight w:val="420"/>
        </w:trPr>
        <w:tc>
          <w:tcPr>
            <w:tcW w:w="5604" w:type="dxa"/>
            <w:tcBorders>
              <w:top w:val="nil"/>
              <w:left w:val="single" w:sz="4" w:space="0" w:color="auto"/>
              <w:bottom w:val="single" w:sz="4" w:space="0" w:color="auto"/>
              <w:right w:val="single" w:sz="4" w:space="0" w:color="auto"/>
            </w:tcBorders>
            <w:shd w:val="clear" w:color="auto" w:fill="auto"/>
            <w:noWrap/>
            <w:vAlign w:val="center"/>
            <w:hideMark/>
          </w:tcPr>
          <w:p w14:paraId="6DDB3B2C" w14:textId="77777777" w:rsidR="00CD6B1C" w:rsidRPr="00203F09" w:rsidRDefault="00CD6B1C" w:rsidP="00787EF7">
            <w:pPr>
              <w:rPr>
                <w:rFonts w:eastAsia="Times New Roman" w:cs="Arial"/>
                <w:color w:val="000000"/>
                <w:lang w:eastAsia="it-CH"/>
              </w:rPr>
            </w:pPr>
            <w:r w:rsidRPr="00203F09">
              <w:rPr>
                <w:rFonts w:eastAsia="Times New Roman" w:cs="Arial"/>
                <w:iCs/>
                <w:color w:val="000000"/>
                <w:lang w:eastAsia="it-CH"/>
              </w:rPr>
              <w:t>Ambito di progettazione</w:t>
            </w:r>
            <w:r w:rsidRPr="00203F09">
              <w:rPr>
                <w:rFonts w:eastAsia="Times New Roman" w:cs="Arial"/>
                <w:color w:val="000000"/>
                <w:lang w:eastAsia="it-CH"/>
              </w:rPr>
              <w:t xml:space="preserve"> “Aspetti tecnici e logistici (Costruzione)”</w:t>
            </w:r>
          </w:p>
        </w:tc>
        <w:tc>
          <w:tcPr>
            <w:tcW w:w="1767" w:type="dxa"/>
            <w:tcBorders>
              <w:top w:val="nil"/>
              <w:left w:val="nil"/>
              <w:bottom w:val="single" w:sz="4" w:space="0" w:color="auto"/>
              <w:right w:val="single" w:sz="4" w:space="0" w:color="auto"/>
            </w:tcBorders>
            <w:shd w:val="clear" w:color="auto" w:fill="auto"/>
            <w:noWrap/>
            <w:vAlign w:val="bottom"/>
            <w:hideMark/>
          </w:tcPr>
          <w:p w14:paraId="0E7A0458" w14:textId="77777777" w:rsidR="00CD6B1C" w:rsidRPr="00203F09" w:rsidRDefault="00CD6B1C" w:rsidP="00787EF7">
            <w:pPr>
              <w:jc w:val="right"/>
              <w:rPr>
                <w:rFonts w:eastAsia="Times New Roman" w:cs="Arial"/>
                <w:color w:val="000000"/>
                <w:lang w:eastAsia="it-CH"/>
              </w:rPr>
            </w:pPr>
            <w:r w:rsidRPr="00203F09">
              <w:rPr>
                <w:rFonts w:eastAsia="Times New Roman" w:cs="Arial"/>
                <w:color w:val="000000"/>
                <w:lang w:eastAsia="it-CH"/>
              </w:rPr>
              <w:t>871'000</w:t>
            </w:r>
          </w:p>
        </w:tc>
      </w:tr>
      <w:tr w:rsidR="00CD6B1C" w:rsidRPr="00203F09" w14:paraId="1044D512" w14:textId="77777777" w:rsidTr="006E511D">
        <w:trPr>
          <w:trHeight w:val="420"/>
        </w:trPr>
        <w:tc>
          <w:tcPr>
            <w:tcW w:w="5604" w:type="dxa"/>
            <w:tcBorders>
              <w:top w:val="nil"/>
              <w:left w:val="single" w:sz="4" w:space="0" w:color="auto"/>
              <w:bottom w:val="single" w:sz="4" w:space="0" w:color="auto"/>
              <w:right w:val="single" w:sz="4" w:space="0" w:color="auto"/>
            </w:tcBorders>
            <w:shd w:val="clear" w:color="auto" w:fill="auto"/>
            <w:noWrap/>
            <w:vAlign w:val="center"/>
            <w:hideMark/>
          </w:tcPr>
          <w:p w14:paraId="3951C996" w14:textId="77777777" w:rsidR="00CD6B1C" w:rsidRPr="00203F09" w:rsidRDefault="00CD6B1C" w:rsidP="00787EF7">
            <w:pPr>
              <w:rPr>
                <w:rFonts w:eastAsia="Times New Roman" w:cs="Arial"/>
                <w:color w:val="000000"/>
                <w:lang w:eastAsia="it-CH"/>
              </w:rPr>
            </w:pPr>
            <w:r w:rsidRPr="00203F09">
              <w:rPr>
                <w:rFonts w:eastAsia="Times New Roman" w:cs="Arial"/>
                <w:lang w:eastAsia="it-CH"/>
              </w:rPr>
              <w:t>Gestione del progetto</w:t>
            </w:r>
          </w:p>
        </w:tc>
        <w:tc>
          <w:tcPr>
            <w:tcW w:w="1767" w:type="dxa"/>
            <w:tcBorders>
              <w:top w:val="nil"/>
              <w:left w:val="nil"/>
              <w:bottom w:val="single" w:sz="4" w:space="0" w:color="auto"/>
              <w:right w:val="single" w:sz="4" w:space="0" w:color="auto"/>
            </w:tcBorders>
            <w:shd w:val="clear" w:color="auto" w:fill="auto"/>
            <w:noWrap/>
            <w:vAlign w:val="bottom"/>
            <w:hideMark/>
          </w:tcPr>
          <w:p w14:paraId="11AF61BA" w14:textId="77777777" w:rsidR="00CD6B1C" w:rsidRPr="00203F09" w:rsidRDefault="00CD6B1C" w:rsidP="00787EF7">
            <w:pPr>
              <w:jc w:val="right"/>
              <w:rPr>
                <w:rFonts w:eastAsia="Times New Roman" w:cs="Arial"/>
                <w:color w:val="000000"/>
                <w:lang w:eastAsia="it-CH"/>
              </w:rPr>
            </w:pPr>
            <w:r w:rsidRPr="00203F09">
              <w:rPr>
                <w:rFonts w:eastAsia="Times New Roman" w:cs="Arial"/>
                <w:color w:val="000000"/>
                <w:lang w:eastAsia="it-CH"/>
              </w:rPr>
              <w:t>41’000</w:t>
            </w:r>
          </w:p>
        </w:tc>
      </w:tr>
      <w:tr w:rsidR="00CD6B1C" w:rsidRPr="009418CD" w14:paraId="50EBA96B" w14:textId="77777777" w:rsidTr="006E511D">
        <w:trPr>
          <w:trHeight w:val="420"/>
        </w:trPr>
        <w:tc>
          <w:tcPr>
            <w:tcW w:w="56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AEC55E" w14:textId="77777777" w:rsidR="00CD6B1C" w:rsidRPr="009418CD" w:rsidRDefault="00CD6B1C" w:rsidP="00787EF7">
            <w:pPr>
              <w:rPr>
                <w:rFonts w:eastAsia="Times New Roman" w:cs="Arial"/>
                <w:b/>
                <w:lang w:eastAsia="it-CH"/>
              </w:rPr>
            </w:pPr>
            <w:r w:rsidRPr="009418CD">
              <w:rPr>
                <w:rFonts w:eastAsia="Times New Roman" w:cs="Arial"/>
                <w:b/>
                <w:lang w:eastAsia="it-CH"/>
              </w:rPr>
              <w:t>TOTALE</w:t>
            </w:r>
          </w:p>
        </w:tc>
        <w:tc>
          <w:tcPr>
            <w:tcW w:w="17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AD678F9" w14:textId="77777777" w:rsidR="00CD6B1C" w:rsidRPr="009418CD" w:rsidRDefault="00CD6B1C" w:rsidP="00787EF7">
            <w:pPr>
              <w:jc w:val="right"/>
              <w:rPr>
                <w:rFonts w:eastAsia="Times New Roman" w:cs="Arial"/>
                <w:b/>
                <w:lang w:eastAsia="it-CH"/>
              </w:rPr>
            </w:pPr>
            <w:r w:rsidRPr="009418CD">
              <w:rPr>
                <w:rFonts w:eastAsia="Times New Roman" w:cs="Arial"/>
                <w:b/>
                <w:lang w:eastAsia="it-CH"/>
              </w:rPr>
              <w:t>1'822'000</w:t>
            </w:r>
          </w:p>
        </w:tc>
      </w:tr>
    </w:tbl>
    <w:p w14:paraId="7BCF5A37" w14:textId="77777777" w:rsidR="00CD6B1C" w:rsidRDefault="00CD6B1C" w:rsidP="00CD6B1C">
      <w:pPr>
        <w:rPr>
          <w:rFonts w:cs="Arial"/>
          <w:sz w:val="24"/>
          <w:szCs w:val="24"/>
        </w:rPr>
      </w:pPr>
    </w:p>
    <w:p w14:paraId="5CC4E2D8" w14:textId="5E4A7408" w:rsidR="00CD6B1C" w:rsidRPr="00203F09" w:rsidRDefault="00527F8B" w:rsidP="00CD6B1C">
      <w:pPr>
        <w:rPr>
          <w:rFonts w:cs="Arial"/>
          <w:sz w:val="24"/>
          <w:szCs w:val="24"/>
          <w:u w:val="single"/>
        </w:rPr>
      </w:pPr>
      <w:r>
        <w:rPr>
          <w:rFonts w:cs="Arial"/>
          <w:sz w:val="24"/>
          <w:szCs w:val="24"/>
          <w:u w:val="single"/>
        </w:rPr>
        <w:t>3</w:t>
      </w:r>
      <w:r w:rsidR="00CD6B1C">
        <w:rPr>
          <w:rFonts w:cs="Arial"/>
          <w:sz w:val="24"/>
          <w:szCs w:val="24"/>
          <w:u w:val="single"/>
        </w:rPr>
        <w:t>.3</w:t>
      </w:r>
      <w:r w:rsidR="00CD6B1C" w:rsidRPr="00203F09">
        <w:rPr>
          <w:rFonts w:cs="Arial"/>
          <w:sz w:val="24"/>
          <w:szCs w:val="24"/>
          <w:u w:val="single"/>
        </w:rPr>
        <w:t xml:space="preserve"> Contributo del Cantone</w:t>
      </w:r>
    </w:p>
    <w:p w14:paraId="083F63D8" w14:textId="77777777" w:rsidR="00CD6B1C" w:rsidRDefault="00CD6B1C" w:rsidP="00CD6B1C">
      <w:pPr>
        <w:rPr>
          <w:rFonts w:cs="Arial"/>
          <w:sz w:val="24"/>
          <w:szCs w:val="24"/>
        </w:rPr>
      </w:pPr>
    </w:p>
    <w:p w14:paraId="02E6141D" w14:textId="69524C77" w:rsidR="00CD6B1C" w:rsidRDefault="00CD6B1C" w:rsidP="00CD6B1C">
      <w:pPr>
        <w:rPr>
          <w:rFonts w:cs="Arial"/>
          <w:sz w:val="24"/>
          <w:szCs w:val="24"/>
        </w:rPr>
      </w:pPr>
      <w:r>
        <w:rPr>
          <w:rFonts w:cs="Arial"/>
          <w:sz w:val="24"/>
          <w:szCs w:val="24"/>
        </w:rPr>
        <w:t>Il Municipio di Bellinzona ha presentato il progetto di valorizzazione della Fortezza al Cantone, chiedendo una partecipazione ai costi. Con risoluzione governativa n. 4052 del 19 agosto 2020 il Consiglio di Stato ha confermato alla Città una partecipazione finanziaria ai costi di progettazione, dei quali 1'781'000 franchi computabili, nella misura del 50% sino ad un massimo di 890'500 franchi, con l’auspicio che, in esito alla notevole semplificazione dell’organizzazione di progetto inizialmente ipotizzata, i costi totali potessero risultare inferiori.</w:t>
      </w:r>
    </w:p>
    <w:p w14:paraId="4F9E4A51" w14:textId="77777777" w:rsidR="00CD6B1C" w:rsidRDefault="00CD6B1C" w:rsidP="00CD6B1C">
      <w:pPr>
        <w:rPr>
          <w:rFonts w:cs="Arial"/>
          <w:sz w:val="24"/>
          <w:szCs w:val="24"/>
        </w:rPr>
      </w:pPr>
    </w:p>
    <w:p w14:paraId="0695DE99" w14:textId="5555AE38" w:rsidR="00CD6B1C" w:rsidRDefault="00CD6B1C" w:rsidP="00CD6B1C">
      <w:pPr>
        <w:rPr>
          <w:rFonts w:cs="Arial"/>
          <w:sz w:val="24"/>
          <w:szCs w:val="24"/>
        </w:rPr>
      </w:pPr>
      <w:r>
        <w:rPr>
          <w:rFonts w:cs="Arial"/>
          <w:sz w:val="24"/>
          <w:szCs w:val="24"/>
        </w:rPr>
        <w:t>Il finanziamento di questo contributo massimo di 890'</w:t>
      </w:r>
      <w:r w:rsidR="002C3794">
        <w:rPr>
          <w:rFonts w:cs="Arial"/>
          <w:sz w:val="24"/>
          <w:szCs w:val="24"/>
        </w:rPr>
        <w:t>5</w:t>
      </w:r>
      <w:r>
        <w:rPr>
          <w:rFonts w:cs="Arial"/>
          <w:sz w:val="24"/>
          <w:szCs w:val="24"/>
        </w:rPr>
        <w:t xml:space="preserve">00 franchi è </w:t>
      </w:r>
      <w:r w:rsidR="000C5A7C">
        <w:rPr>
          <w:rFonts w:cs="Arial"/>
          <w:sz w:val="24"/>
          <w:szCs w:val="24"/>
        </w:rPr>
        <w:t>prospettato</w:t>
      </w:r>
      <w:r>
        <w:rPr>
          <w:rFonts w:cs="Arial"/>
          <w:sz w:val="24"/>
          <w:szCs w:val="24"/>
        </w:rPr>
        <w:t xml:space="preserve"> sui seguenti ambiti:</w:t>
      </w:r>
    </w:p>
    <w:p w14:paraId="3E893D8B" w14:textId="77777777" w:rsidR="00CD6B1C" w:rsidRPr="006E511D" w:rsidRDefault="00CD6B1C" w:rsidP="00CD6B1C">
      <w:pPr>
        <w:rPr>
          <w:rFonts w:cs="Arial"/>
          <w:sz w:val="12"/>
          <w:szCs w:val="12"/>
        </w:rPr>
      </w:pPr>
    </w:p>
    <w:p w14:paraId="7B22C6E2" w14:textId="5C83F4E5" w:rsidR="006635D0" w:rsidRPr="005F1021" w:rsidRDefault="005F1021" w:rsidP="00424FE0">
      <w:pPr>
        <w:pStyle w:val="Paragrafoelenco"/>
        <w:numPr>
          <w:ilvl w:val="0"/>
          <w:numId w:val="19"/>
        </w:numPr>
        <w:suppressAutoHyphens w:val="0"/>
        <w:spacing w:line="259" w:lineRule="auto"/>
        <w:ind w:left="284" w:hanging="284"/>
        <w:rPr>
          <w:rFonts w:cs="Arial"/>
          <w:sz w:val="24"/>
          <w:szCs w:val="24"/>
        </w:rPr>
      </w:pPr>
      <w:r>
        <w:rPr>
          <w:rFonts w:cs="Arial"/>
          <w:sz w:val="24"/>
          <w:szCs w:val="24"/>
        </w:rPr>
        <w:t>a</w:t>
      </w:r>
      <w:r w:rsidR="006635D0" w:rsidRPr="005F1021">
        <w:rPr>
          <w:rFonts w:cs="Arial"/>
          <w:sz w:val="24"/>
          <w:szCs w:val="24"/>
        </w:rPr>
        <w:t>mbito di progettazione “contenuti e messa in scena”: 310'000 franchi (massimo) tramite il credito quadro della politica regionale 2020-2023, suddiviso parimenti tra mezzi cantonali e federali a fondo perso. Questo contributo, rientrando nelle deleghe del Consiglio di Stato, non è oggetto della presente richiesta di credito</w:t>
      </w:r>
      <w:r w:rsidR="00482DDF">
        <w:rPr>
          <w:rFonts w:cs="Arial"/>
          <w:sz w:val="24"/>
          <w:szCs w:val="24"/>
        </w:rPr>
        <w:t>;</w:t>
      </w:r>
    </w:p>
    <w:p w14:paraId="6355E289" w14:textId="391E661E" w:rsidR="00CD6B1C" w:rsidRDefault="00482DDF" w:rsidP="00424FE0">
      <w:pPr>
        <w:pStyle w:val="Paragrafoelenco"/>
        <w:numPr>
          <w:ilvl w:val="0"/>
          <w:numId w:val="19"/>
        </w:numPr>
        <w:suppressAutoHyphens w:val="0"/>
        <w:spacing w:line="259" w:lineRule="auto"/>
        <w:ind w:left="284" w:hanging="284"/>
        <w:rPr>
          <w:rFonts w:cs="Arial"/>
          <w:sz w:val="24"/>
          <w:szCs w:val="24"/>
        </w:rPr>
      </w:pPr>
      <w:r>
        <w:rPr>
          <w:rFonts w:cs="Arial"/>
          <w:sz w:val="24"/>
          <w:szCs w:val="24"/>
        </w:rPr>
        <w:t>a</w:t>
      </w:r>
      <w:r w:rsidR="00CD6B1C">
        <w:rPr>
          <w:rFonts w:cs="Arial"/>
          <w:sz w:val="24"/>
          <w:szCs w:val="24"/>
        </w:rPr>
        <w:t>mbito di progettazione “Governance”: 145'000 franchi (massimo) tramite i crediti di pertinenza del</w:t>
      </w:r>
      <w:r w:rsidR="002C3794">
        <w:rPr>
          <w:rFonts w:cs="Arial"/>
          <w:sz w:val="24"/>
          <w:szCs w:val="24"/>
        </w:rPr>
        <w:t xml:space="preserve">la Sezione dello </w:t>
      </w:r>
      <w:r>
        <w:rPr>
          <w:rFonts w:cs="Arial"/>
          <w:sz w:val="24"/>
          <w:szCs w:val="24"/>
        </w:rPr>
        <w:t>s</w:t>
      </w:r>
      <w:r w:rsidR="002C3794">
        <w:rPr>
          <w:rFonts w:cs="Arial"/>
          <w:sz w:val="24"/>
          <w:szCs w:val="24"/>
        </w:rPr>
        <w:t xml:space="preserve">viluppo </w:t>
      </w:r>
      <w:r>
        <w:rPr>
          <w:rFonts w:cs="Arial"/>
          <w:sz w:val="24"/>
          <w:szCs w:val="24"/>
        </w:rPr>
        <w:t>t</w:t>
      </w:r>
      <w:r w:rsidR="002C3794">
        <w:rPr>
          <w:rFonts w:cs="Arial"/>
          <w:sz w:val="24"/>
          <w:szCs w:val="24"/>
        </w:rPr>
        <w:t xml:space="preserve">erritoriale del </w:t>
      </w:r>
      <w:r w:rsidR="00CD6B1C">
        <w:rPr>
          <w:rFonts w:cs="Arial"/>
          <w:sz w:val="24"/>
          <w:szCs w:val="24"/>
        </w:rPr>
        <w:t>D</w:t>
      </w:r>
      <w:r w:rsidR="002C3794">
        <w:rPr>
          <w:rFonts w:cs="Arial"/>
          <w:sz w:val="24"/>
          <w:szCs w:val="24"/>
        </w:rPr>
        <w:t xml:space="preserve">ipartimento del </w:t>
      </w:r>
      <w:r>
        <w:rPr>
          <w:rFonts w:cs="Arial"/>
          <w:sz w:val="24"/>
          <w:szCs w:val="24"/>
        </w:rPr>
        <w:t>t</w:t>
      </w:r>
      <w:r w:rsidR="002C3794">
        <w:rPr>
          <w:rFonts w:cs="Arial"/>
          <w:sz w:val="24"/>
          <w:szCs w:val="24"/>
        </w:rPr>
        <w:t>erritorio</w:t>
      </w:r>
      <w:r>
        <w:rPr>
          <w:rFonts w:cs="Arial"/>
          <w:sz w:val="24"/>
          <w:szCs w:val="24"/>
        </w:rPr>
        <w:t>;</w:t>
      </w:r>
    </w:p>
    <w:p w14:paraId="70E08D24" w14:textId="4815306B" w:rsidR="00CD6B1C" w:rsidRDefault="00482DDF" w:rsidP="00424FE0">
      <w:pPr>
        <w:pStyle w:val="Paragrafoelenco"/>
        <w:numPr>
          <w:ilvl w:val="0"/>
          <w:numId w:val="19"/>
        </w:numPr>
        <w:suppressAutoHyphens w:val="0"/>
        <w:spacing w:line="259" w:lineRule="auto"/>
        <w:ind w:left="284" w:hanging="284"/>
        <w:rPr>
          <w:rFonts w:cs="Arial"/>
          <w:sz w:val="24"/>
          <w:szCs w:val="24"/>
        </w:rPr>
      </w:pPr>
      <w:r>
        <w:rPr>
          <w:rFonts w:cs="Arial"/>
          <w:sz w:val="24"/>
          <w:szCs w:val="24"/>
        </w:rPr>
        <w:t>a</w:t>
      </w:r>
      <w:r w:rsidR="00CD6B1C">
        <w:rPr>
          <w:rFonts w:cs="Arial"/>
          <w:sz w:val="24"/>
          <w:szCs w:val="24"/>
        </w:rPr>
        <w:t>mbito di progettazione “Aspetti tecnici e logistici”: 435'500 franchi (massimo) tramite i crediti di pertinenza della Sezione della logistica in quanto responsabile della parte strutturale di questo importante patrimonio.</w:t>
      </w:r>
    </w:p>
    <w:p w14:paraId="71938314" w14:textId="77777777" w:rsidR="00CD6B1C" w:rsidRDefault="00CD6B1C" w:rsidP="00CD6B1C">
      <w:pPr>
        <w:rPr>
          <w:rFonts w:cs="Arial"/>
          <w:sz w:val="24"/>
          <w:szCs w:val="24"/>
        </w:rPr>
      </w:pPr>
    </w:p>
    <w:p w14:paraId="4F6C9695" w14:textId="4F81AF0E" w:rsidR="00527F8B" w:rsidRDefault="00CD6B1C" w:rsidP="00CD6B1C">
      <w:pPr>
        <w:rPr>
          <w:rFonts w:cs="Arial"/>
          <w:sz w:val="24"/>
          <w:szCs w:val="24"/>
        </w:rPr>
      </w:pPr>
      <w:r>
        <w:rPr>
          <w:rFonts w:cs="Arial"/>
          <w:sz w:val="24"/>
          <w:szCs w:val="24"/>
        </w:rPr>
        <w:t xml:space="preserve">La richiesta di credito al Parlamento, dedotto il contributo che rientra nel credito quadro della politica regionale, è </w:t>
      </w:r>
      <w:r w:rsidR="00E1556F">
        <w:rPr>
          <w:rFonts w:cs="Arial"/>
          <w:sz w:val="24"/>
          <w:szCs w:val="24"/>
        </w:rPr>
        <w:t xml:space="preserve">di </w:t>
      </w:r>
      <w:r>
        <w:rPr>
          <w:rFonts w:cs="Arial"/>
          <w:sz w:val="24"/>
          <w:szCs w:val="24"/>
        </w:rPr>
        <w:t>580'500</w:t>
      </w:r>
      <w:r w:rsidR="00E1556F">
        <w:rPr>
          <w:rFonts w:cs="Arial"/>
          <w:sz w:val="24"/>
          <w:szCs w:val="24"/>
        </w:rPr>
        <w:t xml:space="preserve"> franchi</w:t>
      </w:r>
      <w:r>
        <w:rPr>
          <w:rFonts w:cs="Arial"/>
          <w:sz w:val="24"/>
          <w:szCs w:val="24"/>
        </w:rPr>
        <w:t xml:space="preserve">. Il contributo effettivo è condizionato al rispetto della legislazione in materia di commesse pubbliche e sarà determinato in base ai consuntivi della progettazione elaborati dalla Città, tenuto conto dei vincoli imposti dalla Legge sui sussidi cantonali e dalla </w:t>
      </w:r>
      <w:r w:rsidRPr="00B6062E">
        <w:rPr>
          <w:rFonts w:cs="Arial"/>
          <w:sz w:val="24"/>
          <w:szCs w:val="24"/>
        </w:rPr>
        <w:t>Legge</w:t>
      </w:r>
      <w:r>
        <w:rPr>
          <w:rFonts w:cs="Arial"/>
          <w:sz w:val="24"/>
          <w:szCs w:val="24"/>
        </w:rPr>
        <w:t xml:space="preserve"> </w:t>
      </w:r>
      <w:r w:rsidRPr="00B6062E">
        <w:rPr>
          <w:rFonts w:cs="Arial"/>
          <w:sz w:val="24"/>
          <w:szCs w:val="24"/>
        </w:rPr>
        <w:t>d’applicazione della legge federale sulla politica regionale</w:t>
      </w:r>
      <w:r>
        <w:rPr>
          <w:rFonts w:cs="Arial"/>
          <w:sz w:val="24"/>
          <w:szCs w:val="24"/>
        </w:rPr>
        <w:t xml:space="preserve"> </w:t>
      </w:r>
      <w:r w:rsidRPr="00B6062E">
        <w:rPr>
          <w:rFonts w:cs="Arial"/>
          <w:sz w:val="24"/>
          <w:szCs w:val="24"/>
        </w:rPr>
        <w:t>del 22 giugno 2009</w:t>
      </w:r>
      <w:r>
        <w:rPr>
          <w:rFonts w:cs="Arial"/>
          <w:sz w:val="24"/>
          <w:szCs w:val="24"/>
        </w:rPr>
        <w:t>.</w:t>
      </w:r>
      <w:r w:rsidR="002C3794">
        <w:rPr>
          <w:rFonts w:cs="Arial"/>
          <w:sz w:val="24"/>
          <w:szCs w:val="24"/>
        </w:rPr>
        <w:t xml:space="preserve"> </w:t>
      </w:r>
    </w:p>
    <w:p w14:paraId="24F47389" w14:textId="2028A3EA" w:rsidR="00590B2F" w:rsidRDefault="00590B2F" w:rsidP="00CD6B1C">
      <w:pPr>
        <w:rPr>
          <w:rFonts w:cs="Arial"/>
          <w:sz w:val="24"/>
          <w:szCs w:val="24"/>
        </w:rPr>
      </w:pPr>
    </w:p>
    <w:p w14:paraId="09DCB947" w14:textId="21774998" w:rsidR="00CD6B1C" w:rsidRPr="009418CD" w:rsidRDefault="00CD6B1C" w:rsidP="009418CD">
      <w:pPr>
        <w:pStyle w:val="Paragrafoelenco"/>
        <w:numPr>
          <w:ilvl w:val="0"/>
          <w:numId w:val="21"/>
        </w:numPr>
        <w:rPr>
          <w:rFonts w:cs="Arial"/>
          <w:b/>
          <w:sz w:val="24"/>
          <w:szCs w:val="24"/>
        </w:rPr>
      </w:pPr>
      <w:r w:rsidRPr="009418CD">
        <w:rPr>
          <w:rFonts w:cs="Arial"/>
          <w:b/>
          <w:sz w:val="24"/>
          <w:szCs w:val="24"/>
        </w:rPr>
        <w:t>Progetto di nuova illuminazione dei Castelli</w:t>
      </w:r>
    </w:p>
    <w:p w14:paraId="73BC866C" w14:textId="77777777" w:rsidR="00CD6B1C" w:rsidRDefault="00CD6B1C" w:rsidP="00CD6B1C">
      <w:pPr>
        <w:rPr>
          <w:rFonts w:cs="Arial"/>
          <w:sz w:val="24"/>
          <w:szCs w:val="24"/>
        </w:rPr>
      </w:pPr>
    </w:p>
    <w:p w14:paraId="227DCED4" w14:textId="11A7F6FE" w:rsidR="00CD6B1C" w:rsidRPr="00B6062E" w:rsidRDefault="00527F8B" w:rsidP="00CD6B1C">
      <w:pPr>
        <w:rPr>
          <w:rFonts w:cs="Arial"/>
          <w:sz w:val="24"/>
          <w:szCs w:val="24"/>
          <w:u w:val="single"/>
        </w:rPr>
      </w:pPr>
      <w:r>
        <w:rPr>
          <w:rFonts w:cs="Arial"/>
          <w:sz w:val="24"/>
          <w:szCs w:val="24"/>
          <w:u w:val="single"/>
        </w:rPr>
        <w:t>4</w:t>
      </w:r>
      <w:r w:rsidR="00CD6B1C">
        <w:rPr>
          <w:rFonts w:cs="Arial"/>
          <w:sz w:val="24"/>
          <w:szCs w:val="24"/>
          <w:u w:val="single"/>
        </w:rPr>
        <w:t>.1 Il progetto di nuova illuminazione</w:t>
      </w:r>
    </w:p>
    <w:p w14:paraId="4F745C94" w14:textId="77777777" w:rsidR="00CD6B1C" w:rsidRDefault="00CD6B1C" w:rsidP="00CD6B1C">
      <w:pPr>
        <w:rPr>
          <w:rFonts w:cs="Arial"/>
          <w:sz w:val="24"/>
          <w:szCs w:val="24"/>
        </w:rPr>
      </w:pPr>
    </w:p>
    <w:p w14:paraId="3E107122" w14:textId="77777777" w:rsidR="00CD6B1C" w:rsidRDefault="00CD6B1C" w:rsidP="00CD6B1C">
      <w:pPr>
        <w:rPr>
          <w:rFonts w:cs="Arial"/>
          <w:sz w:val="24"/>
          <w:szCs w:val="24"/>
        </w:rPr>
      </w:pPr>
      <w:r>
        <w:rPr>
          <w:rFonts w:cs="Arial"/>
          <w:sz w:val="24"/>
          <w:szCs w:val="24"/>
        </w:rPr>
        <w:t>Con messaggio municipale n. 490 del 24 marzo 2021il Municipio ha presentato il messaggio per la nuova illuminazione dei Castelli sottoponendo al Consiglio comunale la richiesta per un credito di 1.3 milioni di franchi.</w:t>
      </w:r>
    </w:p>
    <w:p w14:paraId="06BB3EF1" w14:textId="43487883" w:rsidR="00CD6B1C" w:rsidRDefault="00CD6B1C" w:rsidP="00CD6B1C">
      <w:pPr>
        <w:rPr>
          <w:rFonts w:cs="Arial"/>
          <w:sz w:val="24"/>
          <w:szCs w:val="24"/>
        </w:rPr>
      </w:pPr>
      <w:r>
        <w:rPr>
          <w:rFonts w:cs="Arial"/>
          <w:sz w:val="24"/>
          <w:szCs w:val="24"/>
        </w:rPr>
        <w:lastRenderedPageBreak/>
        <w:t xml:space="preserve">L’attuale impianto di illuminazione è stato acceso nel dicembre 1990 nell’ambito del restauro di Castelgrande, stimolato </w:t>
      </w:r>
      <w:r w:rsidRPr="008B1F7A">
        <w:rPr>
          <w:rFonts w:cs="Arial"/>
          <w:sz w:val="24"/>
          <w:szCs w:val="24"/>
        </w:rPr>
        <w:t xml:space="preserve">anche dalla donazione di 5 milioni da parte dell’arch. Della Valle, </w:t>
      </w:r>
      <w:r>
        <w:rPr>
          <w:rFonts w:cs="Arial"/>
          <w:sz w:val="24"/>
          <w:szCs w:val="24"/>
        </w:rPr>
        <w:t xml:space="preserve">che </w:t>
      </w:r>
      <w:r w:rsidRPr="008B1F7A">
        <w:rPr>
          <w:rFonts w:cs="Arial"/>
          <w:sz w:val="24"/>
          <w:szCs w:val="24"/>
        </w:rPr>
        <w:t xml:space="preserve">permise nel 1989 di trovare un accordo tra Città e Cantone sancendo una ripartizione paritetica degli investimenti. I lavori di realizzazione dell’impiantistica vennero realizzati </w:t>
      </w:r>
      <w:r>
        <w:rPr>
          <w:rFonts w:cs="Arial"/>
          <w:sz w:val="24"/>
          <w:szCs w:val="24"/>
        </w:rPr>
        <w:t>dall’</w:t>
      </w:r>
      <w:r w:rsidRPr="008B1F7A">
        <w:rPr>
          <w:rFonts w:cs="Arial"/>
          <w:sz w:val="24"/>
          <w:szCs w:val="24"/>
        </w:rPr>
        <w:t>Azienda elettrica comunale, e con la consulenza architettonica dell’arch. Galfetti, con l’obiettivo di essere in funzione in occasione dei festeggiamenti per il 700esimo anniversario dalla nascita della Confederazione Elvetica</w:t>
      </w:r>
      <w:r>
        <w:rPr>
          <w:rFonts w:cs="Arial"/>
          <w:sz w:val="24"/>
          <w:szCs w:val="24"/>
        </w:rPr>
        <w:t>.</w:t>
      </w:r>
      <w:r w:rsidRPr="008B1F7A">
        <w:rPr>
          <w:rFonts w:cs="Arial"/>
          <w:sz w:val="24"/>
          <w:szCs w:val="24"/>
        </w:rPr>
        <w:t xml:space="preserve"> A partire dal 19 dicembre 1990, giorno dell’inaugurazione, l’impianto di illuminazione dei Castelli di Bellinzona ha contribuito in maniera tangibile alla valorizzazione de</w:t>
      </w:r>
      <w:r>
        <w:rPr>
          <w:rFonts w:cs="Arial"/>
          <w:sz w:val="24"/>
          <w:szCs w:val="24"/>
        </w:rPr>
        <w:t xml:space="preserve">i castelli. </w:t>
      </w:r>
    </w:p>
    <w:p w14:paraId="586A4A10" w14:textId="77777777" w:rsidR="00CD6B1C" w:rsidRDefault="00CD6B1C" w:rsidP="00CD6B1C">
      <w:pPr>
        <w:rPr>
          <w:rFonts w:cs="Arial"/>
          <w:sz w:val="24"/>
          <w:szCs w:val="24"/>
        </w:rPr>
      </w:pPr>
    </w:p>
    <w:p w14:paraId="00A82F98" w14:textId="77777777" w:rsidR="00CD6B1C" w:rsidRPr="001942FB" w:rsidRDefault="00CD6B1C" w:rsidP="00CD6B1C">
      <w:pPr>
        <w:rPr>
          <w:rFonts w:cs="Arial"/>
          <w:sz w:val="24"/>
          <w:szCs w:val="24"/>
        </w:rPr>
      </w:pPr>
      <w:r w:rsidRPr="001942FB">
        <w:rPr>
          <w:rFonts w:cs="Arial"/>
          <w:sz w:val="24"/>
          <w:szCs w:val="24"/>
        </w:rPr>
        <w:t xml:space="preserve">Dopo </w:t>
      </w:r>
      <w:r>
        <w:rPr>
          <w:rFonts w:cs="Arial"/>
          <w:sz w:val="24"/>
          <w:szCs w:val="24"/>
        </w:rPr>
        <w:t>trent’anni dal</w:t>
      </w:r>
      <w:r w:rsidRPr="001942FB">
        <w:rPr>
          <w:rFonts w:cs="Arial"/>
          <w:sz w:val="24"/>
          <w:szCs w:val="24"/>
        </w:rPr>
        <w:t>la messa in funzione dell'impianto, si riscontra che gli interventi per la</w:t>
      </w:r>
      <w:r>
        <w:rPr>
          <w:rFonts w:cs="Arial"/>
          <w:sz w:val="24"/>
          <w:szCs w:val="24"/>
        </w:rPr>
        <w:t xml:space="preserve"> </w:t>
      </w:r>
      <w:r w:rsidRPr="001942FB">
        <w:rPr>
          <w:rFonts w:cs="Arial"/>
          <w:sz w:val="24"/>
          <w:szCs w:val="24"/>
        </w:rPr>
        <w:t xml:space="preserve">manutenzione straordinaria risultano essere sempre più frequenti e necessari. </w:t>
      </w:r>
      <w:r>
        <w:rPr>
          <w:rFonts w:cs="Arial"/>
          <w:sz w:val="24"/>
          <w:szCs w:val="24"/>
        </w:rPr>
        <w:t xml:space="preserve">Circa un terzo dei proiettori, </w:t>
      </w:r>
      <w:r w:rsidRPr="001942FB">
        <w:rPr>
          <w:rFonts w:cs="Arial"/>
          <w:sz w:val="24"/>
          <w:szCs w:val="24"/>
        </w:rPr>
        <w:t>a causa della ruggine, è deteriorato e circa il 10</w:t>
      </w:r>
      <w:r>
        <w:rPr>
          <w:rFonts w:cs="Arial"/>
          <w:sz w:val="24"/>
          <w:szCs w:val="24"/>
        </w:rPr>
        <w:t>%</w:t>
      </w:r>
      <w:r w:rsidRPr="001942FB">
        <w:rPr>
          <w:rFonts w:cs="Arial"/>
          <w:sz w:val="24"/>
          <w:szCs w:val="24"/>
        </w:rPr>
        <w:t xml:space="preserve"> è danneggiato da atti vandalici. La</w:t>
      </w:r>
      <w:r>
        <w:rPr>
          <w:rFonts w:cs="Arial"/>
          <w:sz w:val="24"/>
          <w:szCs w:val="24"/>
        </w:rPr>
        <w:t xml:space="preserve"> </w:t>
      </w:r>
      <w:r w:rsidRPr="001942FB">
        <w:rPr>
          <w:rFonts w:cs="Arial"/>
          <w:sz w:val="24"/>
          <w:szCs w:val="24"/>
        </w:rPr>
        <w:t>situazione è resa ancor più critica dall'impossibilità di reperire sul mercato le componenti di</w:t>
      </w:r>
      <w:r>
        <w:rPr>
          <w:rFonts w:cs="Arial"/>
          <w:sz w:val="24"/>
          <w:szCs w:val="24"/>
        </w:rPr>
        <w:t xml:space="preserve"> </w:t>
      </w:r>
      <w:r w:rsidRPr="001942FB">
        <w:rPr>
          <w:rFonts w:cs="Arial"/>
          <w:sz w:val="24"/>
          <w:szCs w:val="24"/>
        </w:rPr>
        <w:t>ricambio delle varie tipologie di apparecchi illuminanti.</w:t>
      </w:r>
    </w:p>
    <w:p w14:paraId="4F367D49" w14:textId="77777777" w:rsidR="00CD6B1C" w:rsidRDefault="00CD6B1C" w:rsidP="00CD6B1C">
      <w:pPr>
        <w:rPr>
          <w:rFonts w:cs="Arial"/>
          <w:sz w:val="24"/>
          <w:szCs w:val="24"/>
        </w:rPr>
      </w:pPr>
    </w:p>
    <w:p w14:paraId="787133A8" w14:textId="77777777" w:rsidR="00CD6B1C" w:rsidRDefault="00CD6B1C" w:rsidP="00CD6B1C">
      <w:pPr>
        <w:rPr>
          <w:rFonts w:cs="Arial"/>
          <w:sz w:val="24"/>
          <w:szCs w:val="24"/>
        </w:rPr>
      </w:pPr>
      <w:r>
        <w:rPr>
          <w:rFonts w:cs="Arial"/>
          <w:sz w:val="24"/>
          <w:szCs w:val="24"/>
        </w:rPr>
        <w:t xml:space="preserve">Di fronte a questa situazione e quindi alla </w:t>
      </w:r>
      <w:r w:rsidRPr="001942FB">
        <w:rPr>
          <w:rFonts w:cs="Arial"/>
          <w:sz w:val="24"/>
          <w:szCs w:val="24"/>
        </w:rPr>
        <w:t>necessità di prevedere la sostituzione dell'attuale impianto, il Municipio ha dato</w:t>
      </w:r>
      <w:r>
        <w:rPr>
          <w:rFonts w:cs="Arial"/>
          <w:sz w:val="24"/>
          <w:szCs w:val="24"/>
        </w:rPr>
        <w:t xml:space="preserve"> </w:t>
      </w:r>
      <w:r w:rsidRPr="001942FB">
        <w:rPr>
          <w:rFonts w:cs="Arial"/>
          <w:sz w:val="24"/>
          <w:szCs w:val="24"/>
        </w:rPr>
        <w:t>avvio all'elaborazione di un progetto per una nuova illuminazione del complesso fortificato di</w:t>
      </w:r>
      <w:r>
        <w:rPr>
          <w:rFonts w:cs="Arial"/>
          <w:sz w:val="24"/>
          <w:szCs w:val="24"/>
        </w:rPr>
        <w:t xml:space="preserve"> </w:t>
      </w:r>
      <w:r w:rsidRPr="001942FB">
        <w:rPr>
          <w:rFonts w:cs="Arial"/>
          <w:sz w:val="24"/>
          <w:szCs w:val="24"/>
        </w:rPr>
        <w:t>Bellinzona</w:t>
      </w:r>
      <w:r>
        <w:rPr>
          <w:rFonts w:cs="Arial"/>
          <w:sz w:val="24"/>
          <w:szCs w:val="24"/>
        </w:rPr>
        <w:t>, che prevede da un lato la sostituzione dei corpi illuminanti e dall’altro l’ampliamento delle zone illuminate. Obiettivo del Municipio non è semplicemente la sostituzione dell’illuminazione attuale, ma disporre</w:t>
      </w:r>
      <w:r w:rsidRPr="0062477F">
        <w:rPr>
          <w:rFonts w:cs="Arial"/>
          <w:sz w:val="24"/>
          <w:szCs w:val="24"/>
        </w:rPr>
        <w:t xml:space="preserve"> un’illuminazione emozionale </w:t>
      </w:r>
      <w:r>
        <w:rPr>
          <w:rFonts w:cs="Arial"/>
          <w:sz w:val="24"/>
          <w:szCs w:val="24"/>
        </w:rPr>
        <w:t>capace</w:t>
      </w:r>
      <w:r w:rsidRPr="0062477F">
        <w:rPr>
          <w:rFonts w:cs="Arial"/>
          <w:sz w:val="24"/>
          <w:szCs w:val="24"/>
        </w:rPr>
        <w:t xml:space="preserve"> di esaltare alcuni elementi che compongono il complesso storico, mettendo in evidenza aspetti architettonici di rilievi.</w:t>
      </w:r>
      <w:r>
        <w:rPr>
          <w:rFonts w:cs="Arial"/>
          <w:sz w:val="24"/>
          <w:szCs w:val="24"/>
        </w:rPr>
        <w:t xml:space="preserve"> Il progetto è stato preavvisato positivamente dall’Ufficio dei beni culturali.</w:t>
      </w:r>
    </w:p>
    <w:p w14:paraId="29D7AD0B" w14:textId="77777777" w:rsidR="00CD6B1C" w:rsidRDefault="00CD6B1C" w:rsidP="00CD6B1C">
      <w:pPr>
        <w:rPr>
          <w:rFonts w:cs="Arial"/>
          <w:sz w:val="24"/>
          <w:szCs w:val="24"/>
        </w:rPr>
      </w:pPr>
    </w:p>
    <w:p w14:paraId="52163FF5" w14:textId="0B65EED6" w:rsidR="00CD6B1C" w:rsidRPr="00203F09" w:rsidRDefault="00252B3B" w:rsidP="00CD6B1C">
      <w:pPr>
        <w:rPr>
          <w:rFonts w:cs="Arial"/>
          <w:sz w:val="24"/>
          <w:szCs w:val="24"/>
          <w:u w:val="single"/>
        </w:rPr>
      </w:pPr>
      <w:r>
        <w:rPr>
          <w:rFonts w:cs="Arial"/>
          <w:sz w:val="24"/>
          <w:szCs w:val="24"/>
          <w:u w:val="single"/>
        </w:rPr>
        <w:t>4</w:t>
      </w:r>
      <w:r w:rsidR="00CD6B1C">
        <w:rPr>
          <w:rFonts w:cs="Arial"/>
          <w:sz w:val="24"/>
          <w:szCs w:val="24"/>
          <w:u w:val="single"/>
        </w:rPr>
        <w:t>.2 Costi previsti per la realizzazione della nuova illuminazione</w:t>
      </w:r>
    </w:p>
    <w:p w14:paraId="3AA0865A" w14:textId="77777777" w:rsidR="00CD6B1C" w:rsidRDefault="00CD6B1C" w:rsidP="00CD6B1C">
      <w:pPr>
        <w:rPr>
          <w:rFonts w:cs="Arial"/>
          <w:sz w:val="24"/>
          <w:szCs w:val="24"/>
        </w:rPr>
      </w:pPr>
    </w:p>
    <w:p w14:paraId="3B4EF733" w14:textId="5F9E78ED" w:rsidR="00CD6B1C" w:rsidRDefault="00CD6B1C" w:rsidP="00CD6B1C">
      <w:pPr>
        <w:rPr>
          <w:rFonts w:cs="Arial"/>
          <w:sz w:val="24"/>
          <w:szCs w:val="24"/>
        </w:rPr>
      </w:pPr>
      <w:r>
        <w:rPr>
          <w:rFonts w:cs="Arial"/>
          <w:sz w:val="24"/>
          <w:szCs w:val="24"/>
        </w:rPr>
        <w:t>Il preventivo dei costi di realizzazione allestito dal Municipio di Bellinzona distingue due livelli di interventi:</w:t>
      </w:r>
    </w:p>
    <w:p w14:paraId="5D920346" w14:textId="77777777" w:rsidR="00252B3B" w:rsidRPr="006E511D" w:rsidRDefault="00252B3B" w:rsidP="00CD6B1C">
      <w:pPr>
        <w:rPr>
          <w:rFonts w:cs="Arial"/>
          <w:sz w:val="12"/>
          <w:szCs w:val="12"/>
        </w:rPr>
      </w:pPr>
    </w:p>
    <w:p w14:paraId="5F6E2476" w14:textId="77777777" w:rsidR="00CD6B1C" w:rsidRPr="00192F34" w:rsidRDefault="00CD6B1C" w:rsidP="00424FE0">
      <w:pPr>
        <w:pStyle w:val="Paragrafoelenco"/>
        <w:numPr>
          <w:ilvl w:val="0"/>
          <w:numId w:val="19"/>
        </w:numPr>
        <w:suppressAutoHyphens w:val="0"/>
        <w:spacing w:line="259" w:lineRule="auto"/>
        <w:ind w:left="284" w:hanging="284"/>
        <w:rPr>
          <w:rFonts w:cs="Arial"/>
          <w:sz w:val="24"/>
          <w:szCs w:val="24"/>
        </w:rPr>
      </w:pPr>
      <w:r>
        <w:rPr>
          <w:rFonts w:cs="Arial"/>
          <w:sz w:val="24"/>
          <w:szCs w:val="24"/>
        </w:rPr>
        <w:t xml:space="preserve">il primo livello riguarda </w:t>
      </w:r>
      <w:r w:rsidRPr="00192F34">
        <w:rPr>
          <w:rFonts w:cs="Arial"/>
          <w:sz w:val="24"/>
          <w:szCs w:val="24"/>
        </w:rPr>
        <w:t xml:space="preserve">la riqualificazione del sistema di illuminazione risalente al 1990, </w:t>
      </w:r>
      <w:r>
        <w:rPr>
          <w:rFonts w:cs="Arial"/>
          <w:sz w:val="24"/>
          <w:szCs w:val="24"/>
        </w:rPr>
        <w:t>potenziando e migliorando le</w:t>
      </w:r>
      <w:r w:rsidRPr="00192F34">
        <w:rPr>
          <w:rFonts w:cs="Arial"/>
          <w:sz w:val="24"/>
          <w:szCs w:val="24"/>
        </w:rPr>
        <w:t xml:space="preserve"> attuali superfici illuminate</w:t>
      </w:r>
      <w:r>
        <w:rPr>
          <w:rFonts w:cs="Arial"/>
          <w:sz w:val="24"/>
          <w:szCs w:val="24"/>
        </w:rPr>
        <w:t>. Il preventivo indica un costo di 980'000 franchi;</w:t>
      </w:r>
    </w:p>
    <w:p w14:paraId="1F79A0E8" w14:textId="77777777" w:rsidR="00CD6B1C" w:rsidRDefault="00CD6B1C" w:rsidP="00424FE0">
      <w:pPr>
        <w:pStyle w:val="Paragrafoelenco"/>
        <w:numPr>
          <w:ilvl w:val="0"/>
          <w:numId w:val="19"/>
        </w:numPr>
        <w:suppressAutoHyphens w:val="0"/>
        <w:spacing w:line="259" w:lineRule="auto"/>
        <w:ind w:left="284" w:hanging="284"/>
        <w:rPr>
          <w:rFonts w:cs="Arial"/>
          <w:sz w:val="24"/>
          <w:szCs w:val="24"/>
        </w:rPr>
      </w:pPr>
      <w:r w:rsidRPr="00192F34">
        <w:rPr>
          <w:rFonts w:cs="Arial"/>
          <w:sz w:val="24"/>
          <w:szCs w:val="24"/>
        </w:rPr>
        <w:t xml:space="preserve">il secondo consiste nella valorizzazione di elementi architettonici che non erano stati </w:t>
      </w:r>
      <w:r>
        <w:rPr>
          <w:rFonts w:cs="Arial"/>
          <w:sz w:val="24"/>
          <w:szCs w:val="24"/>
        </w:rPr>
        <w:t>coinvolti ne</w:t>
      </w:r>
      <w:r w:rsidRPr="00192F34">
        <w:rPr>
          <w:rFonts w:cs="Arial"/>
          <w:sz w:val="24"/>
          <w:szCs w:val="24"/>
        </w:rPr>
        <w:t>l progetto originale</w:t>
      </w:r>
      <w:r>
        <w:rPr>
          <w:rFonts w:cs="Arial"/>
          <w:sz w:val="24"/>
          <w:szCs w:val="24"/>
        </w:rPr>
        <w:t xml:space="preserve"> tramite un</w:t>
      </w:r>
      <w:r w:rsidRPr="00192F34">
        <w:rPr>
          <w:rFonts w:cs="Arial"/>
          <w:sz w:val="24"/>
          <w:szCs w:val="24"/>
        </w:rPr>
        <w:t>’estensione delle tratte illuminate, in particolare i bastioni a valle del castello Montebello</w:t>
      </w:r>
      <w:r>
        <w:rPr>
          <w:rFonts w:cs="Arial"/>
          <w:sz w:val="24"/>
          <w:szCs w:val="24"/>
        </w:rPr>
        <w:t>. Per questo secondo livello il preventivo di spesa è di 320'000 franchi.</w:t>
      </w:r>
    </w:p>
    <w:p w14:paraId="181E9630" w14:textId="77777777" w:rsidR="00CD6B1C" w:rsidRDefault="00CD6B1C" w:rsidP="00CD6B1C">
      <w:pPr>
        <w:rPr>
          <w:rFonts w:cs="Arial"/>
          <w:sz w:val="24"/>
          <w:szCs w:val="24"/>
        </w:rPr>
      </w:pPr>
      <w:r>
        <w:rPr>
          <w:rFonts w:cs="Arial"/>
          <w:sz w:val="24"/>
          <w:szCs w:val="24"/>
        </w:rPr>
        <w:t>Complessivamente l’intervento è preventivato in 1'300'000 franchi.</w:t>
      </w:r>
    </w:p>
    <w:p w14:paraId="01BDE624" w14:textId="77777777" w:rsidR="001A11BF" w:rsidRPr="00192F34" w:rsidRDefault="001A11BF" w:rsidP="00CD6B1C">
      <w:pPr>
        <w:rPr>
          <w:rFonts w:cs="Arial"/>
          <w:sz w:val="24"/>
          <w:szCs w:val="24"/>
        </w:rPr>
      </w:pPr>
    </w:p>
    <w:p w14:paraId="53DB3E7D" w14:textId="19937FE3" w:rsidR="00CD6B1C" w:rsidRPr="00203F09" w:rsidRDefault="00252B3B" w:rsidP="00CD6B1C">
      <w:pPr>
        <w:rPr>
          <w:rFonts w:cs="Arial"/>
          <w:sz w:val="24"/>
          <w:szCs w:val="24"/>
          <w:u w:val="single"/>
        </w:rPr>
      </w:pPr>
      <w:r>
        <w:rPr>
          <w:rFonts w:cs="Arial"/>
          <w:sz w:val="24"/>
          <w:szCs w:val="24"/>
          <w:u w:val="single"/>
        </w:rPr>
        <w:t>4</w:t>
      </w:r>
      <w:r w:rsidR="00CD6B1C">
        <w:rPr>
          <w:rFonts w:cs="Arial"/>
          <w:sz w:val="24"/>
          <w:szCs w:val="24"/>
          <w:u w:val="single"/>
        </w:rPr>
        <w:t>.3</w:t>
      </w:r>
      <w:r w:rsidR="00CD6B1C" w:rsidRPr="00203F09">
        <w:rPr>
          <w:rFonts w:cs="Arial"/>
          <w:sz w:val="24"/>
          <w:szCs w:val="24"/>
          <w:u w:val="single"/>
        </w:rPr>
        <w:t xml:space="preserve"> Contributo del Cantone</w:t>
      </w:r>
    </w:p>
    <w:p w14:paraId="1CF92E22" w14:textId="77777777" w:rsidR="00CD6B1C" w:rsidRDefault="00CD6B1C" w:rsidP="00CD6B1C">
      <w:pPr>
        <w:rPr>
          <w:rFonts w:cs="Arial"/>
          <w:sz w:val="24"/>
          <w:szCs w:val="24"/>
        </w:rPr>
      </w:pPr>
    </w:p>
    <w:p w14:paraId="1E6B9756" w14:textId="4A1EDB22" w:rsidR="00CD6B1C" w:rsidRPr="006E511D" w:rsidRDefault="00CD6B1C" w:rsidP="00CD6B1C">
      <w:pPr>
        <w:pStyle w:val="Default"/>
        <w:jc w:val="both"/>
        <w:rPr>
          <w:rFonts w:ascii="Arial" w:hAnsi="Arial" w:cs="Arial"/>
        </w:rPr>
      </w:pPr>
      <w:r w:rsidRPr="006E511D">
        <w:rPr>
          <w:rFonts w:ascii="Arial" w:hAnsi="Arial" w:cs="Arial"/>
        </w:rPr>
        <w:t>Il Municipio di Bellinzona ha presentato il progetto di rifacimento dell’illuminazione, chiedendo una partecipazione ai costi, analogamente a quanto avvenuto nel 1990 con l’attuale impianto di illuminazione. Preso atto del preavviso positiv</w:t>
      </w:r>
      <w:r w:rsidR="00E1556F" w:rsidRPr="006E511D">
        <w:rPr>
          <w:rFonts w:ascii="Arial" w:hAnsi="Arial" w:cs="Arial"/>
        </w:rPr>
        <w:t>o</w:t>
      </w:r>
      <w:r w:rsidRPr="006E511D">
        <w:rPr>
          <w:rFonts w:ascii="Arial" w:hAnsi="Arial" w:cs="Arial"/>
        </w:rPr>
        <w:t xml:space="preserve"> sul progetto da parte dell’Ufficio dei beni culturali, il Governo, con risoluzione governativa n. 829 del 24 febbraio 2021, ha confermato la disponibilità a entrare nel merito di una partecipazione finanziaria del Cantone ai costi di investimento Livello 1 e 2 preventivati a 1'300'000</w:t>
      </w:r>
      <w:r w:rsidR="00E1556F" w:rsidRPr="006E511D">
        <w:rPr>
          <w:rFonts w:ascii="Arial" w:hAnsi="Arial" w:cs="Arial"/>
        </w:rPr>
        <w:t xml:space="preserve"> franchi</w:t>
      </w:r>
      <w:r w:rsidRPr="006E511D">
        <w:rPr>
          <w:rFonts w:ascii="Arial" w:hAnsi="Arial" w:cs="Arial"/>
        </w:rPr>
        <w:t xml:space="preserve"> (IVA inclusa), computabili nella misura del 50% sino ad un massimo di 650'000</w:t>
      </w:r>
      <w:r w:rsidR="00E1556F" w:rsidRPr="006E511D">
        <w:rPr>
          <w:rFonts w:ascii="Arial" w:hAnsi="Arial" w:cs="Arial"/>
        </w:rPr>
        <w:t xml:space="preserve"> franchi,</w:t>
      </w:r>
      <w:r w:rsidRPr="006E511D">
        <w:rPr>
          <w:rFonts w:ascii="Arial" w:hAnsi="Arial" w:cs="Arial"/>
        </w:rPr>
        <w:t xml:space="preserve"> con l’auspicio che in sede di delibera i costi totali potessero risultare anche inferiori. </w:t>
      </w:r>
    </w:p>
    <w:p w14:paraId="3933B6F3" w14:textId="77777777" w:rsidR="00CD6B1C" w:rsidRPr="006E511D" w:rsidRDefault="00CD6B1C" w:rsidP="00CD6B1C">
      <w:pPr>
        <w:rPr>
          <w:rFonts w:cs="Arial"/>
          <w:sz w:val="24"/>
          <w:szCs w:val="24"/>
        </w:rPr>
      </w:pPr>
      <w:r w:rsidRPr="006E511D">
        <w:rPr>
          <w:rFonts w:cs="Arial"/>
          <w:color w:val="000000"/>
          <w:sz w:val="24"/>
          <w:szCs w:val="24"/>
        </w:rPr>
        <w:lastRenderedPageBreak/>
        <w:t>Tramite questo contributo, il Cantone riconosce l’importanza di mantenere un aspetto valorizzante del proprio patrimonio costituito dall’illuminazione dei castelli.</w:t>
      </w:r>
      <w:r w:rsidRPr="006E511D">
        <w:rPr>
          <w:rFonts w:cs="Arial"/>
          <w:sz w:val="24"/>
          <w:szCs w:val="24"/>
        </w:rPr>
        <w:t xml:space="preserve"> Il contributo effettivo è condizionato al rispetto della legislazione in materia di commesse pubbliche e sarà determinato in base ai consuntivi delle opere realizzate dalla Città tramite le Aziende municipalizzate di Bellinzona, tenuto conto dei vincoli imposti dalla Legge sui sussidi cantonali e dalla Legge d’applicazione della legge federale sulla politica regionale del 22 giugno 2009.</w:t>
      </w:r>
    </w:p>
    <w:p w14:paraId="000F3DDF" w14:textId="6AC9C2BE" w:rsidR="006E511D" w:rsidRDefault="006E511D" w:rsidP="00CD6B1C">
      <w:pPr>
        <w:rPr>
          <w:rFonts w:cs="Arial"/>
          <w:sz w:val="24"/>
          <w:szCs w:val="24"/>
        </w:rPr>
      </w:pPr>
    </w:p>
    <w:p w14:paraId="2A270BAE" w14:textId="700F04E3" w:rsidR="00CD6B1C" w:rsidRPr="009418CD" w:rsidRDefault="00CD6B1C" w:rsidP="009418CD">
      <w:pPr>
        <w:pStyle w:val="Paragrafoelenco"/>
        <w:numPr>
          <w:ilvl w:val="0"/>
          <w:numId w:val="21"/>
        </w:numPr>
        <w:rPr>
          <w:rFonts w:cs="Arial"/>
          <w:b/>
          <w:sz w:val="24"/>
          <w:szCs w:val="24"/>
        </w:rPr>
      </w:pPr>
      <w:r w:rsidRPr="009418CD">
        <w:rPr>
          <w:rFonts w:cs="Arial"/>
          <w:b/>
          <w:sz w:val="24"/>
          <w:szCs w:val="24"/>
        </w:rPr>
        <w:t>Relazione con le linee direttive e con il piano finanziario</w:t>
      </w:r>
    </w:p>
    <w:p w14:paraId="36F7D86B" w14:textId="77777777" w:rsidR="00CD6B1C" w:rsidRPr="00B25AA4" w:rsidRDefault="00CD6B1C" w:rsidP="00CD6B1C">
      <w:pPr>
        <w:rPr>
          <w:rFonts w:cs="Arial"/>
          <w:sz w:val="24"/>
          <w:szCs w:val="24"/>
        </w:rPr>
      </w:pPr>
    </w:p>
    <w:p w14:paraId="640BEABA" w14:textId="3617CB16" w:rsidR="00CD6B1C" w:rsidRPr="00B25AA4" w:rsidRDefault="00384300" w:rsidP="00CD6B1C">
      <w:pPr>
        <w:rPr>
          <w:rFonts w:cs="Arial"/>
          <w:sz w:val="24"/>
          <w:szCs w:val="24"/>
          <w:u w:val="single"/>
        </w:rPr>
      </w:pPr>
      <w:r>
        <w:rPr>
          <w:rFonts w:cs="Arial"/>
          <w:sz w:val="24"/>
          <w:szCs w:val="24"/>
          <w:u w:val="single"/>
        </w:rPr>
        <w:t>5</w:t>
      </w:r>
      <w:r w:rsidR="00CD6B1C" w:rsidRPr="00B25AA4">
        <w:rPr>
          <w:rFonts w:cs="Arial"/>
          <w:sz w:val="24"/>
          <w:szCs w:val="24"/>
          <w:u w:val="single"/>
        </w:rPr>
        <w:t>.1 Relazioni con il piano finanziario</w:t>
      </w:r>
    </w:p>
    <w:p w14:paraId="3838D5A3" w14:textId="77777777" w:rsidR="00CD6B1C" w:rsidRDefault="00CD6B1C" w:rsidP="00CD6B1C">
      <w:pPr>
        <w:rPr>
          <w:rFonts w:cs="Arial"/>
          <w:sz w:val="24"/>
          <w:szCs w:val="24"/>
        </w:rPr>
      </w:pPr>
    </w:p>
    <w:p w14:paraId="77688F8D" w14:textId="405ABB81" w:rsidR="00CD6B1C" w:rsidRDefault="00CD6B1C" w:rsidP="00CD6B1C">
      <w:pPr>
        <w:rPr>
          <w:rFonts w:cs="Arial"/>
          <w:sz w:val="24"/>
          <w:szCs w:val="24"/>
        </w:rPr>
      </w:pPr>
      <w:r w:rsidRPr="00B25AA4">
        <w:rPr>
          <w:rFonts w:cs="Arial"/>
          <w:sz w:val="24"/>
          <w:szCs w:val="24"/>
        </w:rPr>
        <w:t>La richiesta di credito in oggetto è prevista nelle Linee direttive e nel piano finanziario degli</w:t>
      </w:r>
      <w:r>
        <w:rPr>
          <w:rFonts w:cs="Arial"/>
          <w:sz w:val="24"/>
          <w:szCs w:val="24"/>
        </w:rPr>
        <w:t xml:space="preserve"> </w:t>
      </w:r>
      <w:r w:rsidRPr="00B25AA4">
        <w:rPr>
          <w:rFonts w:cs="Arial"/>
          <w:sz w:val="24"/>
          <w:szCs w:val="24"/>
        </w:rPr>
        <w:t>investimenti</w:t>
      </w:r>
      <w:r>
        <w:rPr>
          <w:rFonts w:cs="Arial"/>
          <w:sz w:val="24"/>
          <w:szCs w:val="24"/>
        </w:rPr>
        <w:t>.</w:t>
      </w:r>
    </w:p>
    <w:p w14:paraId="73D8080C" w14:textId="46BA4B00" w:rsidR="006635D0" w:rsidRPr="006E511D" w:rsidRDefault="006635D0" w:rsidP="00CD6B1C">
      <w:pPr>
        <w:rPr>
          <w:rFonts w:cs="Arial"/>
          <w:sz w:val="12"/>
          <w:szCs w:val="12"/>
        </w:rPr>
      </w:pPr>
    </w:p>
    <w:p w14:paraId="61FE41DA" w14:textId="77777777" w:rsidR="006635D0" w:rsidRPr="005F1021" w:rsidRDefault="006635D0" w:rsidP="00424FE0">
      <w:pPr>
        <w:pStyle w:val="Paragrafoelenco"/>
        <w:numPr>
          <w:ilvl w:val="0"/>
          <w:numId w:val="19"/>
        </w:numPr>
        <w:suppressAutoHyphens w:val="0"/>
        <w:spacing w:line="259" w:lineRule="auto"/>
        <w:ind w:left="284" w:hanging="284"/>
        <w:rPr>
          <w:rFonts w:cs="Arial"/>
          <w:sz w:val="24"/>
          <w:szCs w:val="24"/>
        </w:rPr>
      </w:pPr>
      <w:r w:rsidRPr="005F1021">
        <w:rPr>
          <w:rFonts w:cs="Arial"/>
          <w:sz w:val="24"/>
          <w:szCs w:val="24"/>
        </w:rPr>
        <w:t>Il contributo relativo al credito quadro 2020-2023 di politica economica regionale è a carico del settore 71 posizione 715 - Decreto legislativo concernente lo stanziamento di un credito quadro di 27'000'000 franchi a favore di misure cantonali di politica economica regionale nel quadriennio 2020-2023 come segue:</w:t>
      </w:r>
    </w:p>
    <w:p w14:paraId="72313789" w14:textId="77777777" w:rsidR="006635D0" w:rsidRPr="005F1021" w:rsidRDefault="006635D0" w:rsidP="006635D0">
      <w:pPr>
        <w:pStyle w:val="NORMALE0"/>
        <w:rPr>
          <w:lang w:val="it-IT"/>
        </w:rPr>
      </w:pPr>
    </w:p>
    <w:tbl>
      <w:tblPr>
        <w:tblStyle w:val="Grigliatabella"/>
        <w:tblW w:w="9214" w:type="dxa"/>
        <w:tblInd w:w="279" w:type="dxa"/>
        <w:tblLook w:val="04A0" w:firstRow="1" w:lastRow="0" w:firstColumn="1" w:lastColumn="0" w:noHBand="0" w:noVBand="1"/>
      </w:tblPr>
      <w:tblGrid>
        <w:gridCol w:w="709"/>
        <w:gridCol w:w="6508"/>
        <w:gridCol w:w="446"/>
        <w:gridCol w:w="1551"/>
      </w:tblGrid>
      <w:tr w:rsidR="006635D0" w:rsidRPr="00384300" w14:paraId="42E665B0" w14:textId="77777777" w:rsidTr="006E511D">
        <w:trPr>
          <w:trHeight w:val="567"/>
        </w:trPr>
        <w:tc>
          <w:tcPr>
            <w:tcW w:w="709" w:type="dxa"/>
          </w:tcPr>
          <w:p w14:paraId="652C7FD3" w14:textId="77777777" w:rsidR="006635D0" w:rsidRPr="005F1021" w:rsidRDefault="006635D0" w:rsidP="00AF28A3">
            <w:pPr>
              <w:rPr>
                <w:rFonts w:cs="Arial"/>
                <w:sz w:val="24"/>
                <w:szCs w:val="24"/>
              </w:rPr>
            </w:pPr>
            <w:r w:rsidRPr="005F1021">
              <w:rPr>
                <w:rFonts w:cs="Arial"/>
                <w:sz w:val="24"/>
                <w:szCs w:val="24"/>
              </w:rPr>
              <w:t>PF</w:t>
            </w:r>
          </w:p>
        </w:tc>
        <w:tc>
          <w:tcPr>
            <w:tcW w:w="6508" w:type="dxa"/>
          </w:tcPr>
          <w:p w14:paraId="7730A1A2" w14:textId="77777777" w:rsidR="006635D0" w:rsidRPr="005F1021" w:rsidRDefault="006635D0" w:rsidP="00AF28A3">
            <w:pPr>
              <w:rPr>
                <w:rFonts w:cs="Arial"/>
                <w:b/>
                <w:sz w:val="23"/>
                <w:szCs w:val="23"/>
              </w:rPr>
            </w:pPr>
            <w:r w:rsidRPr="005F1021">
              <w:rPr>
                <w:rFonts w:cs="Arial"/>
                <w:b/>
                <w:sz w:val="23"/>
                <w:szCs w:val="23"/>
              </w:rPr>
              <w:t xml:space="preserve">settore 71 posizioni 715 1 e 715 2, </w:t>
            </w:r>
            <w:r w:rsidRPr="005F1021">
              <w:rPr>
                <w:rFonts w:cs="Arial"/>
                <w:sz w:val="23"/>
                <w:szCs w:val="23"/>
              </w:rPr>
              <w:t xml:space="preserve"> </w:t>
            </w:r>
            <w:r w:rsidRPr="005F1021">
              <w:rPr>
                <w:rFonts w:cs="Arial"/>
                <w:b/>
                <w:sz w:val="23"/>
                <w:szCs w:val="23"/>
              </w:rPr>
              <w:t>politica regionale (PR) collegata ai WBS:</w:t>
            </w:r>
          </w:p>
        </w:tc>
        <w:tc>
          <w:tcPr>
            <w:tcW w:w="446" w:type="dxa"/>
          </w:tcPr>
          <w:p w14:paraId="1FB5B7D8" w14:textId="77777777" w:rsidR="006635D0" w:rsidRPr="005F1021" w:rsidRDefault="006635D0" w:rsidP="00AF28A3">
            <w:pPr>
              <w:rPr>
                <w:rFonts w:cs="Arial"/>
                <w:b/>
                <w:sz w:val="23"/>
                <w:szCs w:val="23"/>
              </w:rPr>
            </w:pPr>
          </w:p>
        </w:tc>
        <w:tc>
          <w:tcPr>
            <w:tcW w:w="1551" w:type="dxa"/>
          </w:tcPr>
          <w:p w14:paraId="195A93D7" w14:textId="77777777" w:rsidR="006635D0" w:rsidRPr="005F1021" w:rsidRDefault="006635D0" w:rsidP="00AF28A3">
            <w:pPr>
              <w:jc w:val="right"/>
              <w:rPr>
                <w:rFonts w:cs="Arial"/>
                <w:b/>
                <w:sz w:val="23"/>
                <w:szCs w:val="23"/>
              </w:rPr>
            </w:pPr>
          </w:p>
        </w:tc>
      </w:tr>
      <w:tr w:rsidR="006635D0" w:rsidRPr="00384300" w14:paraId="055E7A3E" w14:textId="77777777" w:rsidTr="006E511D">
        <w:trPr>
          <w:trHeight w:val="567"/>
        </w:trPr>
        <w:tc>
          <w:tcPr>
            <w:tcW w:w="709" w:type="dxa"/>
          </w:tcPr>
          <w:p w14:paraId="1BD7EED3" w14:textId="77777777" w:rsidR="006635D0" w:rsidRPr="005F1021" w:rsidRDefault="006635D0" w:rsidP="00AF28A3">
            <w:pPr>
              <w:rPr>
                <w:rFonts w:cs="Arial"/>
                <w:sz w:val="24"/>
                <w:szCs w:val="24"/>
              </w:rPr>
            </w:pPr>
          </w:p>
        </w:tc>
        <w:tc>
          <w:tcPr>
            <w:tcW w:w="6508" w:type="dxa"/>
          </w:tcPr>
          <w:p w14:paraId="45F1DEFB" w14:textId="77777777" w:rsidR="006635D0" w:rsidRPr="005F1021" w:rsidRDefault="006635D0" w:rsidP="00AF28A3">
            <w:pPr>
              <w:rPr>
                <w:rFonts w:cs="Arial"/>
                <w:sz w:val="23"/>
                <w:szCs w:val="23"/>
              </w:rPr>
            </w:pPr>
            <w:r w:rsidRPr="005F1021">
              <w:rPr>
                <w:rFonts w:cs="Arial"/>
                <w:sz w:val="23"/>
                <w:szCs w:val="23"/>
              </w:rPr>
              <w:t xml:space="preserve">CRB 836 conto 56200044 “contributi cantonali di PR a enti pubblici” WBS 836 51 </w:t>
            </w:r>
            <w:r w:rsidRPr="005F1021">
              <w:rPr>
                <w:rFonts w:cs="Arial"/>
              </w:rPr>
              <w:t>1064</w:t>
            </w:r>
          </w:p>
        </w:tc>
        <w:tc>
          <w:tcPr>
            <w:tcW w:w="446" w:type="dxa"/>
          </w:tcPr>
          <w:p w14:paraId="6B042437" w14:textId="77777777" w:rsidR="006635D0" w:rsidRPr="005F1021" w:rsidRDefault="006635D0" w:rsidP="00AF28A3">
            <w:pPr>
              <w:rPr>
                <w:rFonts w:cs="Arial"/>
                <w:b/>
                <w:sz w:val="23"/>
                <w:szCs w:val="23"/>
              </w:rPr>
            </w:pPr>
            <w:r w:rsidRPr="005F1021">
              <w:rPr>
                <w:rFonts w:cs="Arial"/>
                <w:sz w:val="23"/>
                <w:szCs w:val="23"/>
              </w:rPr>
              <w:t>fr.</w:t>
            </w:r>
          </w:p>
        </w:tc>
        <w:tc>
          <w:tcPr>
            <w:tcW w:w="1551" w:type="dxa"/>
          </w:tcPr>
          <w:p w14:paraId="18EE3470" w14:textId="77777777" w:rsidR="006635D0" w:rsidRPr="005F1021" w:rsidRDefault="006635D0" w:rsidP="00AF28A3">
            <w:pPr>
              <w:jc w:val="right"/>
              <w:rPr>
                <w:rFonts w:cs="Arial"/>
                <w:b/>
                <w:sz w:val="23"/>
                <w:szCs w:val="23"/>
              </w:rPr>
            </w:pPr>
            <w:r w:rsidRPr="005F1021">
              <w:rPr>
                <w:rFonts w:cs="Arial"/>
                <w:sz w:val="23"/>
                <w:szCs w:val="23"/>
              </w:rPr>
              <w:t>155’000.--</w:t>
            </w:r>
          </w:p>
        </w:tc>
      </w:tr>
      <w:tr w:rsidR="006635D0" w:rsidRPr="00384300" w14:paraId="15E8C755" w14:textId="77777777" w:rsidTr="006E511D">
        <w:trPr>
          <w:trHeight w:val="567"/>
        </w:trPr>
        <w:tc>
          <w:tcPr>
            <w:tcW w:w="709" w:type="dxa"/>
          </w:tcPr>
          <w:p w14:paraId="14844FED" w14:textId="77777777" w:rsidR="006635D0" w:rsidRPr="005F1021" w:rsidRDefault="006635D0" w:rsidP="00AF28A3">
            <w:pPr>
              <w:rPr>
                <w:rFonts w:cs="Arial"/>
                <w:sz w:val="24"/>
                <w:szCs w:val="24"/>
              </w:rPr>
            </w:pPr>
          </w:p>
        </w:tc>
        <w:tc>
          <w:tcPr>
            <w:tcW w:w="6508" w:type="dxa"/>
          </w:tcPr>
          <w:p w14:paraId="32FB01CD" w14:textId="77777777" w:rsidR="006635D0" w:rsidRPr="005F1021" w:rsidRDefault="006635D0" w:rsidP="00AF28A3">
            <w:pPr>
              <w:rPr>
                <w:rFonts w:cs="Arial"/>
                <w:sz w:val="23"/>
                <w:szCs w:val="23"/>
              </w:rPr>
            </w:pPr>
            <w:r w:rsidRPr="005F1021">
              <w:rPr>
                <w:rFonts w:cs="Arial"/>
                <w:sz w:val="23"/>
                <w:szCs w:val="23"/>
              </w:rPr>
              <w:t xml:space="preserve">CRB 836 conto 56200045 “contributi federali di PR a enti pubblici” WBS 836 53 </w:t>
            </w:r>
            <w:r w:rsidRPr="005F1021">
              <w:rPr>
                <w:rFonts w:cs="Arial"/>
              </w:rPr>
              <w:t>1024</w:t>
            </w:r>
          </w:p>
        </w:tc>
        <w:tc>
          <w:tcPr>
            <w:tcW w:w="446" w:type="dxa"/>
          </w:tcPr>
          <w:p w14:paraId="6280F2FB" w14:textId="77777777" w:rsidR="006635D0" w:rsidRPr="005F1021" w:rsidRDefault="006635D0" w:rsidP="00AF28A3">
            <w:pPr>
              <w:rPr>
                <w:rFonts w:cs="Arial"/>
                <w:sz w:val="23"/>
                <w:szCs w:val="23"/>
              </w:rPr>
            </w:pPr>
            <w:r w:rsidRPr="005F1021">
              <w:rPr>
                <w:rFonts w:cs="Arial"/>
                <w:sz w:val="23"/>
                <w:szCs w:val="23"/>
              </w:rPr>
              <w:t>fr.</w:t>
            </w:r>
          </w:p>
        </w:tc>
        <w:tc>
          <w:tcPr>
            <w:tcW w:w="1551" w:type="dxa"/>
          </w:tcPr>
          <w:p w14:paraId="07F67B67" w14:textId="77777777" w:rsidR="006635D0" w:rsidRPr="005F1021" w:rsidRDefault="006635D0" w:rsidP="00AF28A3">
            <w:pPr>
              <w:jc w:val="right"/>
              <w:rPr>
                <w:rFonts w:cs="Arial"/>
                <w:sz w:val="23"/>
                <w:szCs w:val="23"/>
              </w:rPr>
            </w:pPr>
            <w:r w:rsidRPr="005F1021">
              <w:rPr>
                <w:rFonts w:cs="Arial"/>
                <w:sz w:val="23"/>
                <w:szCs w:val="23"/>
              </w:rPr>
              <w:t>155’000.--</w:t>
            </w:r>
          </w:p>
        </w:tc>
      </w:tr>
      <w:tr w:rsidR="006635D0" w:rsidRPr="00384300" w14:paraId="0E5D9834" w14:textId="77777777" w:rsidTr="006E511D">
        <w:trPr>
          <w:trHeight w:val="547"/>
        </w:trPr>
        <w:tc>
          <w:tcPr>
            <w:tcW w:w="709" w:type="dxa"/>
          </w:tcPr>
          <w:p w14:paraId="1E33C21A" w14:textId="77777777" w:rsidR="006635D0" w:rsidRPr="005F1021" w:rsidRDefault="006635D0" w:rsidP="00AF28A3">
            <w:pPr>
              <w:rPr>
                <w:rFonts w:cs="Arial"/>
                <w:sz w:val="24"/>
                <w:szCs w:val="24"/>
              </w:rPr>
            </w:pPr>
          </w:p>
        </w:tc>
        <w:tc>
          <w:tcPr>
            <w:tcW w:w="6508" w:type="dxa"/>
          </w:tcPr>
          <w:p w14:paraId="42AA1817" w14:textId="77777777" w:rsidR="006635D0" w:rsidRPr="005F1021" w:rsidRDefault="006635D0" w:rsidP="00AF28A3">
            <w:pPr>
              <w:rPr>
                <w:rFonts w:cs="Arial"/>
                <w:sz w:val="23"/>
                <w:szCs w:val="23"/>
              </w:rPr>
            </w:pPr>
            <w:r w:rsidRPr="005F1021">
              <w:rPr>
                <w:rFonts w:cs="Arial"/>
                <w:b/>
                <w:sz w:val="23"/>
                <w:szCs w:val="23"/>
              </w:rPr>
              <w:t>Totale contributi di politica regionale</w:t>
            </w:r>
          </w:p>
        </w:tc>
        <w:tc>
          <w:tcPr>
            <w:tcW w:w="446" w:type="dxa"/>
          </w:tcPr>
          <w:p w14:paraId="126B107C" w14:textId="77777777" w:rsidR="006635D0" w:rsidRPr="005F1021" w:rsidRDefault="006635D0" w:rsidP="00AF28A3">
            <w:pPr>
              <w:rPr>
                <w:rFonts w:cs="Arial"/>
                <w:sz w:val="23"/>
                <w:szCs w:val="23"/>
              </w:rPr>
            </w:pPr>
            <w:r w:rsidRPr="005F1021">
              <w:rPr>
                <w:rFonts w:cs="Arial"/>
                <w:b/>
                <w:sz w:val="23"/>
                <w:szCs w:val="23"/>
              </w:rPr>
              <w:t>fr.</w:t>
            </w:r>
          </w:p>
        </w:tc>
        <w:tc>
          <w:tcPr>
            <w:tcW w:w="1551" w:type="dxa"/>
          </w:tcPr>
          <w:p w14:paraId="30642EA1" w14:textId="77777777" w:rsidR="006635D0" w:rsidRPr="005F1021" w:rsidRDefault="006635D0" w:rsidP="00AF28A3">
            <w:pPr>
              <w:jc w:val="right"/>
              <w:rPr>
                <w:rFonts w:cs="Arial"/>
                <w:sz w:val="23"/>
                <w:szCs w:val="23"/>
              </w:rPr>
            </w:pPr>
            <w:r w:rsidRPr="005F1021">
              <w:rPr>
                <w:rFonts w:cs="Arial"/>
                <w:b/>
                <w:sz w:val="23"/>
                <w:szCs w:val="23"/>
              </w:rPr>
              <w:t>310’000.--</w:t>
            </w:r>
          </w:p>
        </w:tc>
      </w:tr>
    </w:tbl>
    <w:p w14:paraId="37A4C1D5" w14:textId="77777777" w:rsidR="006635D0" w:rsidRPr="005F1021" w:rsidRDefault="006635D0" w:rsidP="006635D0">
      <w:pPr>
        <w:ind w:left="709"/>
        <w:rPr>
          <w:sz w:val="24"/>
        </w:rPr>
      </w:pPr>
    </w:p>
    <w:p w14:paraId="15AEF9EF" w14:textId="3D93020B" w:rsidR="00384300" w:rsidRPr="005F1021" w:rsidRDefault="003D1F69" w:rsidP="00424FE0">
      <w:pPr>
        <w:pStyle w:val="Paragrafoelenco"/>
        <w:numPr>
          <w:ilvl w:val="0"/>
          <w:numId w:val="19"/>
        </w:numPr>
        <w:suppressAutoHyphens w:val="0"/>
        <w:spacing w:line="259" w:lineRule="auto"/>
        <w:ind w:left="284" w:hanging="284"/>
        <w:rPr>
          <w:rFonts w:cs="Arial"/>
          <w:sz w:val="24"/>
          <w:szCs w:val="24"/>
        </w:rPr>
      </w:pPr>
      <w:r w:rsidRPr="005F1021">
        <w:rPr>
          <w:rFonts w:cs="Arial"/>
          <w:sz w:val="24"/>
          <w:szCs w:val="24"/>
        </w:rPr>
        <w:t>Settore 51 – Protezione del territorio</w:t>
      </w:r>
      <w:r w:rsidR="00E1556F">
        <w:rPr>
          <w:rFonts w:cs="Arial"/>
          <w:sz w:val="24"/>
          <w:szCs w:val="24"/>
        </w:rPr>
        <w:t>,</w:t>
      </w:r>
      <w:r w:rsidRPr="005F1021">
        <w:rPr>
          <w:rFonts w:cs="Arial"/>
          <w:sz w:val="24"/>
          <w:szCs w:val="24"/>
        </w:rPr>
        <w:t xml:space="preserve"> per 145'000 franchi</w:t>
      </w:r>
      <w:r w:rsidR="00A170B0">
        <w:rPr>
          <w:rFonts w:cs="Arial"/>
          <w:sz w:val="24"/>
          <w:szCs w:val="24"/>
        </w:rPr>
        <w:t>, CRB 773</w:t>
      </w:r>
      <w:r w:rsidR="00E1556F">
        <w:rPr>
          <w:rFonts w:cs="Arial"/>
          <w:sz w:val="24"/>
          <w:szCs w:val="24"/>
        </w:rPr>
        <w:t>,</w:t>
      </w:r>
      <w:r w:rsidR="00482DDF">
        <w:rPr>
          <w:rFonts w:cs="Arial"/>
          <w:sz w:val="24"/>
          <w:szCs w:val="24"/>
        </w:rPr>
        <w:t xml:space="preserve"> </w:t>
      </w:r>
      <w:r w:rsidR="00A170B0" w:rsidRPr="00077DE8">
        <w:rPr>
          <w:rFonts w:cs="Arial"/>
          <w:sz w:val="24"/>
          <w:szCs w:val="24"/>
        </w:rPr>
        <w:t>conto 50400002 “Restauro monumenti statali”</w:t>
      </w:r>
      <w:r w:rsidR="00E1556F">
        <w:rPr>
          <w:rFonts w:cs="Arial"/>
          <w:sz w:val="24"/>
          <w:szCs w:val="24"/>
        </w:rPr>
        <w:t>,</w:t>
      </w:r>
      <w:r w:rsidR="00A170B0" w:rsidRPr="00A170B0">
        <w:rPr>
          <w:rFonts w:cs="Arial"/>
          <w:sz w:val="24"/>
          <w:szCs w:val="24"/>
        </w:rPr>
        <w:t xml:space="preserve"> </w:t>
      </w:r>
      <w:r w:rsidR="00A170B0">
        <w:rPr>
          <w:rFonts w:cs="Arial"/>
          <w:sz w:val="24"/>
          <w:szCs w:val="24"/>
        </w:rPr>
        <w:t>WB</w:t>
      </w:r>
      <w:r w:rsidR="00482DDF">
        <w:rPr>
          <w:rFonts w:cs="Arial"/>
          <w:sz w:val="24"/>
          <w:szCs w:val="24"/>
        </w:rPr>
        <w:t>S</w:t>
      </w:r>
      <w:r w:rsidR="00A170B0">
        <w:rPr>
          <w:rFonts w:cs="Arial"/>
          <w:sz w:val="24"/>
          <w:szCs w:val="24"/>
        </w:rPr>
        <w:t xml:space="preserve"> </w:t>
      </w:r>
      <w:r w:rsidR="00A170B0" w:rsidRPr="00077DE8">
        <w:rPr>
          <w:rFonts w:cs="Arial"/>
          <w:sz w:val="24"/>
          <w:szCs w:val="24"/>
        </w:rPr>
        <w:t>773 50 0029</w:t>
      </w:r>
      <w:r w:rsidR="00A170B0">
        <w:rPr>
          <w:rFonts w:cs="Arial"/>
          <w:sz w:val="24"/>
          <w:szCs w:val="24"/>
        </w:rPr>
        <w:t>.</w:t>
      </w:r>
    </w:p>
    <w:p w14:paraId="311B9943" w14:textId="34EC6264" w:rsidR="00384300" w:rsidRPr="005F1021" w:rsidRDefault="00384300" w:rsidP="00424FE0">
      <w:pPr>
        <w:pStyle w:val="Paragrafoelenco"/>
        <w:numPr>
          <w:ilvl w:val="0"/>
          <w:numId w:val="19"/>
        </w:numPr>
        <w:suppressAutoHyphens w:val="0"/>
        <w:spacing w:line="259" w:lineRule="auto"/>
        <w:ind w:left="284" w:hanging="284"/>
        <w:rPr>
          <w:rFonts w:cs="Arial"/>
          <w:sz w:val="24"/>
          <w:szCs w:val="24"/>
        </w:rPr>
      </w:pPr>
      <w:r w:rsidRPr="005F1021">
        <w:rPr>
          <w:rFonts w:cs="Arial"/>
          <w:sz w:val="24"/>
          <w:szCs w:val="24"/>
        </w:rPr>
        <w:t>Settore 11 – Amministrazione</w:t>
      </w:r>
      <w:r w:rsidR="00E1556F">
        <w:rPr>
          <w:rFonts w:cs="Arial"/>
          <w:sz w:val="24"/>
          <w:szCs w:val="24"/>
        </w:rPr>
        <w:t>,</w:t>
      </w:r>
      <w:r w:rsidRPr="005F1021">
        <w:rPr>
          <w:rFonts w:cs="Arial"/>
          <w:sz w:val="24"/>
          <w:szCs w:val="24"/>
        </w:rPr>
        <w:t xml:space="preserve"> per 435’500 franchi</w:t>
      </w:r>
      <w:r w:rsidR="00E1556F">
        <w:rPr>
          <w:rFonts w:cs="Arial"/>
          <w:sz w:val="24"/>
          <w:szCs w:val="24"/>
        </w:rPr>
        <w:t xml:space="preserve">, CRB </w:t>
      </w:r>
      <w:r w:rsidR="00750E74">
        <w:rPr>
          <w:rFonts w:cs="Arial"/>
          <w:sz w:val="24"/>
          <w:szCs w:val="24"/>
        </w:rPr>
        <w:t>941</w:t>
      </w:r>
      <w:r w:rsidR="00E1556F">
        <w:rPr>
          <w:rFonts w:cs="Arial"/>
          <w:sz w:val="24"/>
          <w:szCs w:val="24"/>
        </w:rPr>
        <w:t xml:space="preserve">, conto </w:t>
      </w:r>
      <w:r w:rsidR="00750E74">
        <w:rPr>
          <w:rFonts w:cs="Arial"/>
          <w:sz w:val="24"/>
          <w:szCs w:val="24"/>
        </w:rPr>
        <w:t>50400003 “Progettazione”</w:t>
      </w:r>
      <w:r w:rsidR="00E1556F">
        <w:rPr>
          <w:rFonts w:cs="Arial"/>
          <w:sz w:val="24"/>
          <w:szCs w:val="24"/>
        </w:rPr>
        <w:t>,</w:t>
      </w:r>
      <w:r w:rsidRPr="005F1021">
        <w:rPr>
          <w:rFonts w:cs="Arial"/>
          <w:sz w:val="24"/>
          <w:szCs w:val="24"/>
        </w:rPr>
        <w:t xml:space="preserve"> WBS </w:t>
      </w:r>
      <w:r w:rsidR="00750E74">
        <w:rPr>
          <w:rFonts w:cs="Arial"/>
          <w:sz w:val="24"/>
          <w:szCs w:val="24"/>
        </w:rPr>
        <w:t>941 59 6185</w:t>
      </w:r>
    </w:p>
    <w:p w14:paraId="3D6AB2C3" w14:textId="61EB82B3" w:rsidR="00384300" w:rsidRPr="005F1021" w:rsidRDefault="00384300" w:rsidP="006635D0">
      <w:pPr>
        <w:ind w:left="709"/>
        <w:rPr>
          <w:sz w:val="24"/>
        </w:rPr>
      </w:pPr>
    </w:p>
    <w:p w14:paraId="30996ADA" w14:textId="4B8224A7" w:rsidR="00384300" w:rsidRPr="005F1021" w:rsidRDefault="00384300" w:rsidP="005F1021">
      <w:pPr>
        <w:suppressAutoHyphens w:val="0"/>
        <w:spacing w:line="259" w:lineRule="auto"/>
        <w:rPr>
          <w:rFonts w:cs="Arial"/>
          <w:sz w:val="24"/>
          <w:szCs w:val="24"/>
        </w:rPr>
      </w:pPr>
      <w:r w:rsidRPr="005F1021">
        <w:rPr>
          <w:rFonts w:cs="Arial"/>
          <w:sz w:val="24"/>
          <w:szCs w:val="24"/>
        </w:rPr>
        <w:t>Il contributo pari a 650'000 franchi per la realizzazione dell’illuminazione è pianificato nel settore 11</w:t>
      </w:r>
      <w:r w:rsidR="00E1556F">
        <w:rPr>
          <w:rFonts w:cs="Arial"/>
          <w:sz w:val="24"/>
          <w:szCs w:val="24"/>
        </w:rPr>
        <w:t>,</w:t>
      </w:r>
      <w:r w:rsidRPr="005F1021">
        <w:rPr>
          <w:rFonts w:cs="Arial"/>
          <w:sz w:val="24"/>
          <w:szCs w:val="24"/>
        </w:rPr>
        <w:t xml:space="preserve"> Amministrazione, </w:t>
      </w:r>
      <w:r w:rsidR="00750E74">
        <w:rPr>
          <w:rFonts w:cs="Arial"/>
          <w:sz w:val="24"/>
          <w:szCs w:val="24"/>
        </w:rPr>
        <w:t xml:space="preserve">CRB 941, conto 50400005 “Interventi in edifici esistenti”, </w:t>
      </w:r>
      <w:r w:rsidRPr="005F1021">
        <w:rPr>
          <w:rFonts w:cs="Arial"/>
          <w:sz w:val="24"/>
          <w:szCs w:val="24"/>
        </w:rPr>
        <w:t xml:space="preserve">WBS </w:t>
      </w:r>
      <w:r w:rsidR="00750E74">
        <w:rPr>
          <w:rFonts w:cs="Arial"/>
          <w:sz w:val="24"/>
          <w:szCs w:val="24"/>
        </w:rPr>
        <w:t>941 59 6184</w:t>
      </w:r>
      <w:r w:rsidRPr="005F1021">
        <w:rPr>
          <w:rFonts w:cs="Arial"/>
          <w:sz w:val="24"/>
          <w:szCs w:val="24"/>
        </w:rPr>
        <w:t>.</w:t>
      </w:r>
    </w:p>
    <w:p w14:paraId="0B08C8BD" w14:textId="77777777" w:rsidR="00CD6B1C" w:rsidRPr="00B25AA4" w:rsidRDefault="00CD6B1C" w:rsidP="00CD6B1C">
      <w:pPr>
        <w:rPr>
          <w:rFonts w:cs="Arial"/>
          <w:sz w:val="24"/>
          <w:szCs w:val="24"/>
        </w:rPr>
      </w:pPr>
    </w:p>
    <w:p w14:paraId="6B09BACC" w14:textId="3517F090" w:rsidR="00CD6B1C" w:rsidRPr="00B25AA4" w:rsidRDefault="00384300" w:rsidP="00CD6B1C">
      <w:pPr>
        <w:rPr>
          <w:rFonts w:cs="Arial"/>
          <w:sz w:val="24"/>
          <w:szCs w:val="24"/>
          <w:u w:val="single"/>
        </w:rPr>
      </w:pPr>
      <w:r>
        <w:rPr>
          <w:rFonts w:cs="Arial"/>
          <w:sz w:val="24"/>
          <w:szCs w:val="24"/>
          <w:u w:val="single"/>
        </w:rPr>
        <w:t>5</w:t>
      </w:r>
      <w:r w:rsidR="00CD6B1C" w:rsidRPr="00B25AA4">
        <w:rPr>
          <w:rFonts w:cs="Arial"/>
          <w:sz w:val="24"/>
          <w:szCs w:val="24"/>
          <w:u w:val="single"/>
        </w:rPr>
        <w:t>.2 Conseguenze finanziarie sulla gestione corrente</w:t>
      </w:r>
    </w:p>
    <w:p w14:paraId="6F501087" w14:textId="3B22C329" w:rsidR="00CD6B1C" w:rsidRDefault="00CD6B1C" w:rsidP="00CD6B1C">
      <w:pPr>
        <w:rPr>
          <w:rFonts w:cs="Arial"/>
          <w:sz w:val="24"/>
          <w:szCs w:val="24"/>
        </w:rPr>
      </w:pPr>
    </w:p>
    <w:p w14:paraId="4F66C75D" w14:textId="77777777" w:rsidR="00384300" w:rsidRPr="00A0141F" w:rsidRDefault="00384300" w:rsidP="00384300">
      <w:pPr>
        <w:rPr>
          <w:rFonts w:cs="Arial"/>
          <w:sz w:val="24"/>
          <w:szCs w:val="24"/>
        </w:rPr>
      </w:pPr>
      <w:r w:rsidRPr="005F1021">
        <w:rPr>
          <w:rFonts w:cs="Arial"/>
          <w:sz w:val="24"/>
          <w:szCs w:val="24"/>
        </w:rPr>
        <w:t>In sede di consuntivo, conformemente al regolamento sulla gestione finanziaria dello Stato (RLGF); si applicherà un tasso di ammortamento sui contributi per beni amministrativi che ad oggi equivale al 25%.</w:t>
      </w:r>
    </w:p>
    <w:p w14:paraId="3FA5DA3B" w14:textId="77777777" w:rsidR="00384300" w:rsidRDefault="00384300" w:rsidP="00CD6B1C">
      <w:pPr>
        <w:rPr>
          <w:rFonts w:cs="Arial"/>
          <w:sz w:val="24"/>
          <w:szCs w:val="24"/>
        </w:rPr>
      </w:pPr>
    </w:p>
    <w:p w14:paraId="6D9704F3" w14:textId="72749934" w:rsidR="00CD6B1C" w:rsidRPr="00B25AA4" w:rsidRDefault="00CD6B1C" w:rsidP="00CD6B1C">
      <w:pPr>
        <w:rPr>
          <w:rFonts w:cs="Arial"/>
          <w:sz w:val="24"/>
          <w:szCs w:val="24"/>
        </w:rPr>
      </w:pPr>
      <w:r>
        <w:rPr>
          <w:rFonts w:cs="Arial"/>
          <w:sz w:val="24"/>
          <w:szCs w:val="24"/>
        </w:rPr>
        <w:t xml:space="preserve">Non sono previste conseguenze a livello di gestione corrente (vedasi convenzione menzionata al punto </w:t>
      </w:r>
      <w:r w:rsidR="00384300">
        <w:rPr>
          <w:rFonts w:cs="Arial"/>
          <w:sz w:val="24"/>
          <w:szCs w:val="24"/>
        </w:rPr>
        <w:t>2</w:t>
      </w:r>
      <w:r>
        <w:rPr>
          <w:rFonts w:cs="Arial"/>
          <w:sz w:val="24"/>
          <w:szCs w:val="24"/>
        </w:rPr>
        <w:t xml:space="preserve">). </w:t>
      </w:r>
    </w:p>
    <w:p w14:paraId="55A5CC7F" w14:textId="4A7754F8" w:rsidR="00CD6B1C" w:rsidRDefault="00CD6B1C" w:rsidP="00CD6B1C">
      <w:pPr>
        <w:rPr>
          <w:rFonts w:cs="Arial"/>
          <w:sz w:val="24"/>
          <w:szCs w:val="24"/>
        </w:rPr>
      </w:pPr>
    </w:p>
    <w:p w14:paraId="5F0395DE" w14:textId="77777777" w:rsidR="00873EEA" w:rsidRDefault="00873EEA" w:rsidP="00CD6B1C">
      <w:pPr>
        <w:rPr>
          <w:rFonts w:cs="Arial"/>
          <w:sz w:val="24"/>
          <w:szCs w:val="24"/>
        </w:rPr>
      </w:pPr>
    </w:p>
    <w:p w14:paraId="39286E21" w14:textId="77777777" w:rsidR="009418CD" w:rsidRDefault="009418CD" w:rsidP="00CD6B1C">
      <w:pPr>
        <w:rPr>
          <w:rFonts w:cs="Arial"/>
          <w:sz w:val="24"/>
          <w:szCs w:val="24"/>
        </w:rPr>
      </w:pPr>
    </w:p>
    <w:p w14:paraId="54A30578" w14:textId="00042E54" w:rsidR="00CD6B1C" w:rsidRPr="00B25AA4" w:rsidRDefault="00384300" w:rsidP="00CD6B1C">
      <w:pPr>
        <w:rPr>
          <w:rFonts w:cs="Arial"/>
          <w:sz w:val="24"/>
          <w:szCs w:val="24"/>
          <w:u w:val="single"/>
        </w:rPr>
      </w:pPr>
      <w:r>
        <w:rPr>
          <w:rFonts w:cs="Arial"/>
          <w:sz w:val="24"/>
          <w:szCs w:val="24"/>
          <w:u w:val="single"/>
        </w:rPr>
        <w:lastRenderedPageBreak/>
        <w:t>5</w:t>
      </w:r>
      <w:r w:rsidR="00CD6B1C" w:rsidRPr="00B25AA4">
        <w:rPr>
          <w:rFonts w:cs="Arial"/>
          <w:sz w:val="24"/>
          <w:szCs w:val="24"/>
          <w:u w:val="single"/>
        </w:rPr>
        <w:t>.3 Conseguenze sull’ambiente</w:t>
      </w:r>
    </w:p>
    <w:p w14:paraId="0D15A490" w14:textId="77777777" w:rsidR="00CD6B1C" w:rsidRDefault="00CD6B1C" w:rsidP="00CD6B1C">
      <w:pPr>
        <w:rPr>
          <w:rFonts w:cs="Arial"/>
          <w:sz w:val="24"/>
          <w:szCs w:val="24"/>
        </w:rPr>
      </w:pPr>
    </w:p>
    <w:p w14:paraId="1256E53B" w14:textId="178F0DE2" w:rsidR="00CD6B1C" w:rsidRDefault="00CD6B1C" w:rsidP="00CD6B1C">
      <w:pPr>
        <w:rPr>
          <w:rFonts w:cs="Arial"/>
          <w:sz w:val="24"/>
          <w:szCs w:val="24"/>
        </w:rPr>
      </w:pPr>
      <w:r>
        <w:rPr>
          <w:rFonts w:cs="Arial"/>
          <w:sz w:val="24"/>
          <w:szCs w:val="24"/>
        </w:rPr>
        <w:t>La valorizzazione dei castelli è un elemento qualificante per il territorio ticinese. Gli interventi per i quali sono previsti i contributi cantonali, in particolare quello per la realizzazione della nuova illuminazione permetterà un importante risparmio energetico rispetto alla situazione attuale. Secondo il messaggio municipale n. 490 del 24 marzo 2021, la nuova illuminazione sarà caratterizzata da u</w:t>
      </w:r>
      <w:r w:rsidRPr="00FA1180">
        <w:rPr>
          <w:rFonts w:cs="Arial"/>
          <w:sz w:val="24"/>
          <w:szCs w:val="24"/>
        </w:rPr>
        <w:t>na potenza assorbita di 40 KW contro l’attuale potenza di 52 KW ma per un numero triplo di proiettori e per una superficie illuminata molto maggiore. A livello di costi di esercizio, la minore potenza utilizzata, sommata alla possibilità di ridurre l’illuminazione nelle ore notturne, porterà ad una</w:t>
      </w:r>
      <w:r>
        <w:rPr>
          <w:rFonts w:cs="Arial"/>
          <w:sz w:val="24"/>
          <w:szCs w:val="24"/>
        </w:rPr>
        <w:t xml:space="preserve"> sensibile</w:t>
      </w:r>
      <w:r w:rsidRPr="00FA1180">
        <w:rPr>
          <w:rFonts w:cs="Arial"/>
          <w:sz w:val="24"/>
          <w:szCs w:val="24"/>
        </w:rPr>
        <w:t xml:space="preserve"> riduzione dei consumi elettrici.</w:t>
      </w:r>
    </w:p>
    <w:p w14:paraId="6614464E" w14:textId="3C30CF33" w:rsidR="003D1F69" w:rsidRDefault="003D1F69" w:rsidP="00CD6B1C">
      <w:pPr>
        <w:rPr>
          <w:rFonts w:cs="Arial"/>
          <w:sz w:val="24"/>
          <w:szCs w:val="24"/>
        </w:rPr>
      </w:pPr>
    </w:p>
    <w:p w14:paraId="3789BD5B" w14:textId="47ED9D0D" w:rsidR="003D1F69" w:rsidRDefault="003D1F69" w:rsidP="00CD6B1C">
      <w:pPr>
        <w:rPr>
          <w:rFonts w:cs="Arial"/>
          <w:sz w:val="24"/>
          <w:szCs w:val="24"/>
          <w:u w:val="single"/>
        </w:rPr>
      </w:pPr>
      <w:r w:rsidRPr="005F1021">
        <w:rPr>
          <w:rFonts w:cs="Arial"/>
          <w:sz w:val="24"/>
          <w:szCs w:val="24"/>
          <w:u w:val="single"/>
        </w:rPr>
        <w:t>5.4 Conseguenze per i Comuni</w:t>
      </w:r>
    </w:p>
    <w:p w14:paraId="01AEE1B4" w14:textId="738126C0" w:rsidR="003D1F69" w:rsidRDefault="003D1F69" w:rsidP="00CD6B1C">
      <w:pPr>
        <w:rPr>
          <w:rFonts w:cs="Arial"/>
          <w:sz w:val="24"/>
          <w:szCs w:val="24"/>
          <w:u w:val="single"/>
        </w:rPr>
      </w:pPr>
    </w:p>
    <w:p w14:paraId="3CB88976" w14:textId="74485724" w:rsidR="003D1F69" w:rsidRDefault="005F1021" w:rsidP="00CD6B1C">
      <w:pPr>
        <w:rPr>
          <w:rFonts w:cs="Arial"/>
          <w:sz w:val="24"/>
          <w:szCs w:val="24"/>
        </w:rPr>
      </w:pPr>
      <w:r w:rsidRPr="005F1021">
        <w:rPr>
          <w:rFonts w:cs="Arial"/>
          <w:sz w:val="24"/>
          <w:szCs w:val="24"/>
        </w:rPr>
        <w:t>Il contributo ha un impatto positivo sull’attrattività della Città di Bellinzona</w:t>
      </w:r>
      <w:r w:rsidR="00590B2F">
        <w:rPr>
          <w:rFonts w:cs="Arial"/>
          <w:sz w:val="24"/>
          <w:szCs w:val="24"/>
        </w:rPr>
        <w:t xml:space="preserve"> visto</w:t>
      </w:r>
      <w:r w:rsidRPr="005F1021">
        <w:rPr>
          <w:rFonts w:cs="Arial"/>
          <w:sz w:val="24"/>
          <w:szCs w:val="24"/>
        </w:rPr>
        <w:t xml:space="preserve"> l’obiettivo di valorizzazione del bene patrimonio dell’Unesco.</w:t>
      </w:r>
    </w:p>
    <w:p w14:paraId="6AF4751D" w14:textId="49B83875" w:rsidR="00BA5DBF" w:rsidRDefault="00BA5DBF" w:rsidP="00CD6B1C">
      <w:pPr>
        <w:rPr>
          <w:rFonts w:cs="Arial"/>
          <w:sz w:val="24"/>
          <w:szCs w:val="24"/>
        </w:rPr>
      </w:pPr>
    </w:p>
    <w:p w14:paraId="3B5ABE64" w14:textId="68E2FB6E" w:rsidR="00BA5DBF" w:rsidRPr="009418CD" w:rsidRDefault="00BA5DBF" w:rsidP="00CD6B1C">
      <w:pPr>
        <w:rPr>
          <w:rFonts w:cs="Arial"/>
          <w:sz w:val="24"/>
          <w:szCs w:val="24"/>
        </w:rPr>
      </w:pPr>
      <w:r w:rsidRPr="009418CD">
        <w:rPr>
          <w:rFonts w:cs="Arial"/>
          <w:sz w:val="24"/>
          <w:szCs w:val="24"/>
        </w:rPr>
        <w:t>Lo stanziamento dei crediti proposti con l’allegato Decreto legislativo richiede l’approvazione da parte della maggioranza assoluta dei membri del Gran Consiglio (cfr. art. 5 cpv. 3 Legge sulla gestione e sul controllo finanziario dello Stato del 20 gennaio 1986).</w:t>
      </w:r>
    </w:p>
    <w:p w14:paraId="5AE1BB7E" w14:textId="54D899BF" w:rsidR="00590B2F" w:rsidRPr="00B25AA4" w:rsidRDefault="00590B2F" w:rsidP="00CD6B1C">
      <w:pPr>
        <w:rPr>
          <w:rFonts w:cs="Arial"/>
          <w:sz w:val="24"/>
          <w:szCs w:val="24"/>
        </w:rPr>
      </w:pPr>
    </w:p>
    <w:p w14:paraId="10A95EB4" w14:textId="27966A37" w:rsidR="00CD6B1C" w:rsidRPr="009418CD" w:rsidRDefault="00CD6B1C" w:rsidP="009418CD">
      <w:pPr>
        <w:pStyle w:val="Paragrafoelenco"/>
        <w:numPr>
          <w:ilvl w:val="0"/>
          <w:numId w:val="21"/>
        </w:numPr>
        <w:rPr>
          <w:rFonts w:cs="Arial"/>
          <w:b/>
          <w:sz w:val="24"/>
          <w:szCs w:val="24"/>
        </w:rPr>
      </w:pPr>
      <w:r w:rsidRPr="009418CD">
        <w:rPr>
          <w:rFonts w:cs="Arial"/>
          <w:b/>
          <w:sz w:val="24"/>
          <w:szCs w:val="24"/>
        </w:rPr>
        <w:t>Conclusione</w:t>
      </w:r>
    </w:p>
    <w:p w14:paraId="4CA2D018" w14:textId="77777777" w:rsidR="00CD6B1C" w:rsidRPr="009418CD" w:rsidRDefault="00CD6B1C" w:rsidP="00CD6B1C">
      <w:pPr>
        <w:rPr>
          <w:rFonts w:cs="Arial"/>
          <w:sz w:val="24"/>
          <w:szCs w:val="24"/>
        </w:rPr>
      </w:pPr>
    </w:p>
    <w:p w14:paraId="1D16051C" w14:textId="77777777" w:rsidR="00CD6B1C" w:rsidRDefault="00CD6B1C" w:rsidP="00CD6B1C">
      <w:pPr>
        <w:rPr>
          <w:rFonts w:cs="Arial"/>
          <w:sz w:val="24"/>
          <w:szCs w:val="24"/>
        </w:rPr>
      </w:pPr>
      <w:r w:rsidRPr="00B25AA4">
        <w:rPr>
          <w:rFonts w:cs="Arial"/>
          <w:sz w:val="24"/>
          <w:szCs w:val="24"/>
        </w:rPr>
        <w:t>Con l’approvazione di questo messaggio</w:t>
      </w:r>
      <w:r>
        <w:rPr>
          <w:rFonts w:cs="Arial"/>
          <w:sz w:val="24"/>
          <w:szCs w:val="24"/>
        </w:rPr>
        <w:t>, il Cantone sostiene da un lato l’obiettivo di valorizzazione della Fortezza tramite un contributo alla progettazione di una rinnovata sensibilità per questo importante monumento storico e dall’altro conferma il suo sostegno al progetto di illuminazione, già sostenuto nell’ambito dei Festeggiamenti per il 700° della Confederazione.</w:t>
      </w:r>
    </w:p>
    <w:p w14:paraId="450B326F" w14:textId="54A80DB1" w:rsidR="00993310" w:rsidRPr="006F2A27" w:rsidRDefault="00993310" w:rsidP="00993310">
      <w:pPr>
        <w:rPr>
          <w:sz w:val="24"/>
          <w:szCs w:val="24"/>
        </w:rPr>
      </w:pPr>
    </w:p>
    <w:p w14:paraId="599AA75C" w14:textId="28A30DCA" w:rsidR="00993310" w:rsidRPr="006F2A27" w:rsidRDefault="00993310" w:rsidP="00993310">
      <w:pPr>
        <w:rPr>
          <w:sz w:val="24"/>
          <w:szCs w:val="24"/>
        </w:rPr>
      </w:pPr>
      <w:r w:rsidRPr="006F2A27">
        <w:rPr>
          <w:sz w:val="24"/>
          <w:szCs w:val="24"/>
        </w:rPr>
        <w:t>Vogliate gradire, signor</w:t>
      </w:r>
      <w:r w:rsidR="00CF5948">
        <w:rPr>
          <w:sz w:val="24"/>
          <w:szCs w:val="24"/>
        </w:rPr>
        <w:t>a</w:t>
      </w:r>
      <w:r w:rsidRPr="006F2A27">
        <w:rPr>
          <w:sz w:val="24"/>
          <w:szCs w:val="24"/>
        </w:rPr>
        <w:t xml:space="preserve"> Presidente, signore e signori </w:t>
      </w:r>
      <w:r>
        <w:rPr>
          <w:sz w:val="24"/>
          <w:szCs w:val="24"/>
        </w:rPr>
        <w:t>d</w:t>
      </w:r>
      <w:r w:rsidRPr="006F2A27">
        <w:rPr>
          <w:sz w:val="24"/>
          <w:szCs w:val="24"/>
        </w:rPr>
        <w:t>eputati, l’espressione della nostra massima stima.</w:t>
      </w:r>
    </w:p>
    <w:p w14:paraId="1D1368DD" w14:textId="77777777" w:rsidR="00993310" w:rsidRPr="006F2A27" w:rsidRDefault="00993310" w:rsidP="00993310">
      <w:pPr>
        <w:rPr>
          <w:sz w:val="24"/>
          <w:szCs w:val="24"/>
        </w:rPr>
      </w:pPr>
    </w:p>
    <w:p w14:paraId="0CAAA41B" w14:textId="77777777" w:rsidR="00993310" w:rsidRPr="006F2A27" w:rsidRDefault="00993310" w:rsidP="00993310">
      <w:pPr>
        <w:rPr>
          <w:sz w:val="24"/>
          <w:szCs w:val="24"/>
        </w:rPr>
      </w:pPr>
    </w:p>
    <w:p w14:paraId="09664DAB" w14:textId="77777777" w:rsidR="00993310" w:rsidRPr="006F2A27" w:rsidRDefault="00993310" w:rsidP="00993310">
      <w:pPr>
        <w:rPr>
          <w:sz w:val="24"/>
          <w:szCs w:val="24"/>
        </w:rPr>
      </w:pPr>
      <w:r w:rsidRPr="006F2A27">
        <w:rPr>
          <w:sz w:val="24"/>
          <w:szCs w:val="24"/>
        </w:rPr>
        <w:t>Per il Consiglio di Stato</w:t>
      </w:r>
    </w:p>
    <w:p w14:paraId="34BE52E4" w14:textId="77777777" w:rsidR="00993310" w:rsidRPr="006F2A27" w:rsidRDefault="00993310" w:rsidP="00993310">
      <w:pPr>
        <w:rPr>
          <w:sz w:val="24"/>
          <w:szCs w:val="24"/>
        </w:rPr>
      </w:pPr>
    </w:p>
    <w:p w14:paraId="047ED065" w14:textId="6C0D8711" w:rsidR="00993310" w:rsidRPr="006F2A27" w:rsidRDefault="00993310" w:rsidP="00993310">
      <w:pPr>
        <w:rPr>
          <w:sz w:val="24"/>
          <w:szCs w:val="24"/>
        </w:rPr>
      </w:pPr>
      <w:r w:rsidRPr="006F2A27">
        <w:rPr>
          <w:sz w:val="24"/>
          <w:szCs w:val="24"/>
        </w:rPr>
        <w:t xml:space="preserve">Il Presidente: </w:t>
      </w:r>
      <w:r w:rsidR="00384300">
        <w:rPr>
          <w:sz w:val="24"/>
          <w:szCs w:val="24"/>
        </w:rPr>
        <w:t>Claudio Zali</w:t>
      </w:r>
    </w:p>
    <w:p w14:paraId="100D64D2" w14:textId="5E037C41" w:rsidR="0023436A" w:rsidRDefault="00993310" w:rsidP="00993310">
      <w:pPr>
        <w:rPr>
          <w:sz w:val="24"/>
          <w:szCs w:val="24"/>
        </w:rPr>
      </w:pPr>
      <w:r w:rsidRPr="006F2A27">
        <w:rPr>
          <w:sz w:val="24"/>
          <w:szCs w:val="24"/>
        </w:rPr>
        <w:t xml:space="preserve">Il Cancelliere: </w:t>
      </w:r>
      <w:r w:rsidR="00384300">
        <w:rPr>
          <w:sz w:val="24"/>
          <w:szCs w:val="24"/>
        </w:rPr>
        <w:t>Arnoldo Coduri</w:t>
      </w:r>
    </w:p>
    <w:p w14:paraId="3E1F9445" w14:textId="77777777" w:rsidR="00DE2E17" w:rsidRDefault="007673A4" w:rsidP="00DE2E17">
      <w:pPr>
        <w:rPr>
          <w:rFonts w:cs="Arial"/>
          <w:sz w:val="24"/>
          <w:szCs w:val="24"/>
        </w:rPr>
      </w:pPr>
      <w:r>
        <w:rPr>
          <w:sz w:val="24"/>
          <w:szCs w:val="24"/>
        </w:rPr>
        <w:br w:type="page"/>
      </w:r>
      <w:r w:rsidR="00DE2E17" w:rsidRPr="00B346F4">
        <w:rPr>
          <w:rFonts w:cs="Arial"/>
          <w:sz w:val="24"/>
          <w:szCs w:val="24"/>
        </w:rPr>
        <w:lastRenderedPageBreak/>
        <w:t>Disegno di</w:t>
      </w:r>
    </w:p>
    <w:p w14:paraId="5C87EA57" w14:textId="77777777" w:rsidR="00DE2E17" w:rsidRPr="00B346F4" w:rsidRDefault="00DE2E17" w:rsidP="00DE2E17">
      <w:pPr>
        <w:rPr>
          <w:rFonts w:cs="Arial"/>
          <w:sz w:val="24"/>
          <w:szCs w:val="24"/>
        </w:rPr>
      </w:pPr>
    </w:p>
    <w:p w14:paraId="6535EC30" w14:textId="77777777" w:rsidR="00DE2E17" w:rsidRPr="00E632E5" w:rsidRDefault="00DE2E17" w:rsidP="00DE2E17">
      <w:pPr>
        <w:rPr>
          <w:rFonts w:cs="Arial"/>
          <w:b/>
          <w:sz w:val="24"/>
          <w:szCs w:val="24"/>
        </w:rPr>
      </w:pPr>
      <w:r>
        <w:rPr>
          <w:rFonts w:cs="Arial"/>
          <w:b/>
          <w:sz w:val="24"/>
          <w:szCs w:val="24"/>
        </w:rPr>
        <w:t>Decreto legislativo</w:t>
      </w:r>
    </w:p>
    <w:p w14:paraId="60B2CC72" w14:textId="77777777" w:rsidR="00DE2E17" w:rsidRDefault="00DE2E17" w:rsidP="00DE2E17">
      <w:pPr>
        <w:rPr>
          <w:rFonts w:eastAsia="Calibri" w:cs="Arial"/>
          <w:b/>
          <w:sz w:val="24"/>
          <w:szCs w:val="24"/>
          <w:lang w:val="it-IT"/>
        </w:rPr>
      </w:pPr>
      <w:r>
        <w:rPr>
          <w:rFonts w:eastAsia="Calibri" w:cs="Arial"/>
          <w:b/>
          <w:sz w:val="24"/>
          <w:szCs w:val="24"/>
        </w:rPr>
        <w:t xml:space="preserve">concernente la </w:t>
      </w:r>
      <w:r w:rsidRPr="00273A95">
        <w:rPr>
          <w:rFonts w:eastAsia="Calibri" w:cs="Arial"/>
          <w:b/>
          <w:sz w:val="24"/>
          <w:szCs w:val="24"/>
          <w:lang w:val="it-IT"/>
        </w:rPr>
        <w:t xml:space="preserve">concessione di un contributo di </w:t>
      </w:r>
      <w:r>
        <w:rPr>
          <w:rFonts w:eastAsia="Calibri" w:cs="Arial"/>
          <w:b/>
          <w:sz w:val="24"/>
          <w:szCs w:val="24"/>
          <w:lang w:val="it-IT"/>
        </w:rPr>
        <w:t>580'500 franchi</w:t>
      </w:r>
      <w:r w:rsidRPr="00273A95">
        <w:rPr>
          <w:rFonts w:eastAsia="Calibri" w:cs="Arial"/>
          <w:b/>
          <w:sz w:val="24"/>
          <w:szCs w:val="24"/>
          <w:lang w:val="it-IT"/>
        </w:rPr>
        <w:t xml:space="preserve"> massimi per la progettazione del programma di valorizzazione della Fortezza di Bellinzona e di un contributo di </w:t>
      </w:r>
      <w:r>
        <w:rPr>
          <w:rFonts w:eastAsia="Calibri" w:cs="Arial"/>
          <w:b/>
          <w:sz w:val="24"/>
          <w:szCs w:val="24"/>
          <w:lang w:val="it-IT"/>
        </w:rPr>
        <w:t xml:space="preserve">650'000 franchi massimi </w:t>
      </w:r>
      <w:r w:rsidRPr="00273A95">
        <w:rPr>
          <w:rFonts w:eastAsia="Calibri" w:cs="Arial"/>
          <w:b/>
          <w:sz w:val="24"/>
          <w:szCs w:val="24"/>
          <w:lang w:val="it-IT"/>
        </w:rPr>
        <w:t>per il rifacimento dell’illuminazione dei castelli</w:t>
      </w:r>
    </w:p>
    <w:p w14:paraId="465A178B" w14:textId="77777777" w:rsidR="00DE2E17" w:rsidRDefault="00DE2E17" w:rsidP="00DE2E17">
      <w:pPr>
        <w:rPr>
          <w:rFonts w:cs="Arial"/>
          <w:sz w:val="24"/>
          <w:szCs w:val="24"/>
        </w:rPr>
      </w:pPr>
      <w:r w:rsidRPr="00FA1180">
        <w:rPr>
          <w:rFonts w:cs="Arial"/>
          <w:sz w:val="24"/>
          <w:szCs w:val="24"/>
        </w:rPr>
        <w:t>del ....................</w:t>
      </w:r>
    </w:p>
    <w:p w14:paraId="0945F914" w14:textId="77777777" w:rsidR="00DE2E17" w:rsidRDefault="00DE2E17" w:rsidP="00DE2E17">
      <w:pPr>
        <w:rPr>
          <w:rFonts w:cs="Arial"/>
          <w:sz w:val="24"/>
          <w:szCs w:val="24"/>
        </w:rPr>
      </w:pPr>
    </w:p>
    <w:p w14:paraId="5C7135FA" w14:textId="77777777" w:rsidR="00DE2E17" w:rsidRPr="00FA1180" w:rsidRDefault="00DE2E17" w:rsidP="00DE2E17">
      <w:pPr>
        <w:rPr>
          <w:rFonts w:cs="Arial"/>
          <w:sz w:val="24"/>
          <w:szCs w:val="24"/>
        </w:rPr>
      </w:pPr>
      <w:r w:rsidRPr="00FA1180">
        <w:rPr>
          <w:rFonts w:cs="Arial"/>
          <w:sz w:val="24"/>
          <w:szCs w:val="24"/>
        </w:rPr>
        <w:t>IL GRAN CONSIGLIO</w:t>
      </w:r>
    </w:p>
    <w:p w14:paraId="7E309D1F" w14:textId="77777777" w:rsidR="00DE2E17" w:rsidRPr="00FA1180" w:rsidRDefault="00DE2E17" w:rsidP="00DE2E17">
      <w:pPr>
        <w:rPr>
          <w:rFonts w:cs="Arial"/>
          <w:sz w:val="24"/>
          <w:szCs w:val="24"/>
        </w:rPr>
      </w:pPr>
      <w:r w:rsidRPr="00FA1180">
        <w:rPr>
          <w:rFonts w:cs="Arial"/>
          <w:sz w:val="24"/>
          <w:szCs w:val="24"/>
        </w:rPr>
        <w:t>DELLA REPUBBLICA E CANTONE TICINO</w:t>
      </w:r>
    </w:p>
    <w:p w14:paraId="2A089E48" w14:textId="77777777" w:rsidR="00DE2E17" w:rsidRDefault="00DE2E17" w:rsidP="00DE2E17">
      <w:pPr>
        <w:rPr>
          <w:rFonts w:cs="Arial"/>
          <w:sz w:val="24"/>
          <w:szCs w:val="24"/>
        </w:rPr>
      </w:pPr>
    </w:p>
    <w:p w14:paraId="27ACF8EA" w14:textId="2DE07282" w:rsidR="00DE2E17" w:rsidRDefault="00DE2E17" w:rsidP="00DE2E17">
      <w:pPr>
        <w:rPr>
          <w:rFonts w:cs="Arial"/>
          <w:sz w:val="24"/>
          <w:szCs w:val="24"/>
        </w:rPr>
      </w:pPr>
      <w:r w:rsidRPr="00FA1180">
        <w:rPr>
          <w:rFonts w:cs="Arial"/>
          <w:sz w:val="24"/>
          <w:szCs w:val="24"/>
        </w:rPr>
        <w:t xml:space="preserve">visto il messaggio del Consiglio di Stato n. </w:t>
      </w:r>
      <w:r w:rsidR="00027BFA">
        <w:rPr>
          <w:rFonts w:cs="Arial"/>
          <w:sz w:val="24"/>
          <w:szCs w:val="24"/>
        </w:rPr>
        <w:t xml:space="preserve">8194 </w:t>
      </w:r>
      <w:r w:rsidRPr="0046718E">
        <w:rPr>
          <w:rFonts w:cs="Arial"/>
          <w:sz w:val="24"/>
          <w:szCs w:val="24"/>
        </w:rPr>
        <w:t xml:space="preserve">del </w:t>
      </w:r>
      <w:r w:rsidR="009418CD">
        <w:rPr>
          <w:rFonts w:cs="Arial"/>
          <w:sz w:val="24"/>
          <w:szCs w:val="24"/>
        </w:rPr>
        <w:t>5 ottobre 2022</w:t>
      </w:r>
      <w:r w:rsidRPr="00FA1180">
        <w:rPr>
          <w:rFonts w:cs="Arial"/>
          <w:sz w:val="24"/>
          <w:szCs w:val="24"/>
        </w:rPr>
        <w:t>,</w:t>
      </w:r>
    </w:p>
    <w:p w14:paraId="31D5EACC" w14:textId="77777777" w:rsidR="00DE2E17" w:rsidRDefault="00DE2E17" w:rsidP="00DE2E17">
      <w:pPr>
        <w:rPr>
          <w:rFonts w:cs="Arial"/>
          <w:sz w:val="24"/>
          <w:szCs w:val="24"/>
        </w:rPr>
      </w:pPr>
    </w:p>
    <w:p w14:paraId="769D5A04" w14:textId="77777777" w:rsidR="00DE2E17" w:rsidRDefault="00DE2E17" w:rsidP="00DE2E17">
      <w:pPr>
        <w:rPr>
          <w:rFonts w:cs="Arial"/>
          <w:sz w:val="24"/>
          <w:szCs w:val="24"/>
        </w:rPr>
      </w:pPr>
      <w:r w:rsidRPr="00FA1180">
        <w:rPr>
          <w:rFonts w:cs="Arial"/>
          <w:sz w:val="24"/>
          <w:szCs w:val="24"/>
        </w:rPr>
        <w:t>decreta:</w:t>
      </w:r>
    </w:p>
    <w:p w14:paraId="0D93375A" w14:textId="77777777" w:rsidR="00DE2E17" w:rsidRPr="00FA1180" w:rsidRDefault="00DE2E17" w:rsidP="00DE2E17">
      <w:pPr>
        <w:rPr>
          <w:rFonts w:cs="Arial"/>
          <w:sz w:val="24"/>
          <w:szCs w:val="24"/>
        </w:rPr>
      </w:pPr>
    </w:p>
    <w:p w14:paraId="63BF40C0" w14:textId="77777777" w:rsidR="00DE2E17" w:rsidRPr="00B346F4" w:rsidRDefault="00DE2E17" w:rsidP="00DE2E17">
      <w:pPr>
        <w:rPr>
          <w:rFonts w:cs="Arial"/>
          <w:b/>
          <w:sz w:val="24"/>
          <w:szCs w:val="24"/>
        </w:rPr>
      </w:pPr>
      <w:r w:rsidRPr="00B346F4">
        <w:rPr>
          <w:rFonts w:cs="Arial"/>
          <w:b/>
          <w:sz w:val="24"/>
          <w:szCs w:val="24"/>
        </w:rPr>
        <w:t>Art. 1</w:t>
      </w:r>
    </w:p>
    <w:p w14:paraId="3B23E369" w14:textId="77777777" w:rsidR="00DE2E17" w:rsidRDefault="00DE2E17" w:rsidP="00DE2E17">
      <w:pPr>
        <w:rPr>
          <w:rFonts w:cs="Arial"/>
          <w:sz w:val="24"/>
          <w:szCs w:val="24"/>
        </w:rPr>
      </w:pPr>
      <w:r w:rsidRPr="00FA1180">
        <w:rPr>
          <w:rFonts w:cs="Arial"/>
          <w:sz w:val="24"/>
          <w:szCs w:val="24"/>
        </w:rPr>
        <w:t xml:space="preserve">È stanziato un credito </w:t>
      </w:r>
      <w:r>
        <w:rPr>
          <w:rFonts w:cs="Arial"/>
          <w:sz w:val="24"/>
          <w:szCs w:val="24"/>
        </w:rPr>
        <w:t xml:space="preserve">massimo </w:t>
      </w:r>
      <w:r w:rsidRPr="00FA1180">
        <w:rPr>
          <w:rFonts w:cs="Arial"/>
          <w:sz w:val="24"/>
          <w:szCs w:val="24"/>
        </w:rPr>
        <w:t xml:space="preserve">di </w:t>
      </w:r>
      <w:r>
        <w:rPr>
          <w:rFonts w:cs="Arial"/>
          <w:sz w:val="24"/>
          <w:szCs w:val="24"/>
        </w:rPr>
        <w:t>580’500</w:t>
      </w:r>
      <w:r w:rsidRPr="00FA1180">
        <w:rPr>
          <w:rFonts w:cs="Arial"/>
          <w:sz w:val="24"/>
          <w:szCs w:val="24"/>
        </w:rPr>
        <w:t xml:space="preserve"> franchi</w:t>
      </w:r>
      <w:r>
        <w:rPr>
          <w:rFonts w:cs="Arial"/>
          <w:sz w:val="24"/>
          <w:szCs w:val="24"/>
        </w:rPr>
        <w:t xml:space="preserve"> quale contributo per la progettazione del programma di valorizzazione della Fortezza di Bellinzona.</w:t>
      </w:r>
    </w:p>
    <w:p w14:paraId="6AD80EEE" w14:textId="77777777" w:rsidR="00DE2E17" w:rsidRDefault="00DE2E17" w:rsidP="00DE2E17">
      <w:pPr>
        <w:rPr>
          <w:rFonts w:cs="Arial"/>
          <w:sz w:val="24"/>
          <w:szCs w:val="24"/>
        </w:rPr>
      </w:pPr>
    </w:p>
    <w:p w14:paraId="7DC1ADDA" w14:textId="77777777" w:rsidR="00DE2E17" w:rsidRPr="00B346F4" w:rsidRDefault="00DE2E17" w:rsidP="00DE2E17">
      <w:pPr>
        <w:rPr>
          <w:rFonts w:cs="Arial"/>
          <w:b/>
          <w:sz w:val="24"/>
          <w:szCs w:val="24"/>
        </w:rPr>
      </w:pPr>
      <w:r w:rsidRPr="00B346F4">
        <w:rPr>
          <w:rFonts w:cs="Arial"/>
          <w:b/>
          <w:sz w:val="24"/>
          <w:szCs w:val="24"/>
        </w:rPr>
        <w:t>Art. 2</w:t>
      </w:r>
    </w:p>
    <w:p w14:paraId="0A378BE5" w14:textId="77777777" w:rsidR="00DE2E17" w:rsidRDefault="00DE2E17" w:rsidP="00DE2E17">
      <w:pPr>
        <w:rPr>
          <w:rFonts w:cs="Arial"/>
          <w:sz w:val="24"/>
          <w:szCs w:val="24"/>
        </w:rPr>
      </w:pPr>
      <w:r w:rsidRPr="00FA1180">
        <w:rPr>
          <w:rFonts w:cs="Arial"/>
          <w:sz w:val="24"/>
          <w:szCs w:val="24"/>
        </w:rPr>
        <w:t xml:space="preserve">Il credito è iscritto </w:t>
      </w:r>
      <w:r>
        <w:rPr>
          <w:rFonts w:cs="Arial"/>
          <w:sz w:val="24"/>
          <w:szCs w:val="24"/>
        </w:rPr>
        <w:t xml:space="preserve">nel conto degli investimenti secondo la seguente suddivisione: </w:t>
      </w:r>
    </w:p>
    <w:p w14:paraId="0FFE81DF" w14:textId="77777777" w:rsidR="00DE2E17" w:rsidRPr="00FA1180" w:rsidRDefault="00DE2E17" w:rsidP="00DE2E17">
      <w:pPr>
        <w:rPr>
          <w:rFonts w:cs="Arial"/>
          <w:sz w:val="24"/>
          <w:szCs w:val="24"/>
        </w:rPr>
      </w:pPr>
      <w:r w:rsidRPr="00FA1180">
        <w:rPr>
          <w:rFonts w:cs="Arial"/>
          <w:sz w:val="24"/>
          <w:szCs w:val="24"/>
        </w:rPr>
        <w:t xml:space="preserve">a) </w:t>
      </w:r>
      <w:r>
        <w:rPr>
          <w:rFonts w:cs="Arial"/>
          <w:sz w:val="24"/>
          <w:szCs w:val="24"/>
        </w:rPr>
        <w:t>massimo 435’500</w:t>
      </w:r>
      <w:r w:rsidRPr="00FA1180">
        <w:rPr>
          <w:rFonts w:cs="Arial"/>
          <w:sz w:val="24"/>
          <w:szCs w:val="24"/>
        </w:rPr>
        <w:t xml:space="preserve"> franchi</w:t>
      </w:r>
      <w:r>
        <w:rPr>
          <w:rFonts w:cs="Arial"/>
          <w:sz w:val="24"/>
          <w:szCs w:val="24"/>
        </w:rPr>
        <w:t xml:space="preserve"> a favore del Dipartimento delle finanze e dell’economia, </w:t>
      </w:r>
      <w:r w:rsidRPr="00FA1180">
        <w:rPr>
          <w:rFonts w:cs="Arial"/>
          <w:sz w:val="24"/>
          <w:szCs w:val="24"/>
        </w:rPr>
        <w:t>Sezione della logistica;</w:t>
      </w:r>
    </w:p>
    <w:p w14:paraId="31C90BE6" w14:textId="77777777" w:rsidR="00DE2E17" w:rsidRDefault="00DE2E17" w:rsidP="00DE2E17">
      <w:pPr>
        <w:rPr>
          <w:rFonts w:cs="Arial"/>
          <w:sz w:val="24"/>
          <w:szCs w:val="24"/>
        </w:rPr>
      </w:pPr>
      <w:r w:rsidRPr="00FA1180">
        <w:rPr>
          <w:rFonts w:cs="Arial"/>
          <w:sz w:val="24"/>
          <w:szCs w:val="24"/>
        </w:rPr>
        <w:t xml:space="preserve">b) </w:t>
      </w:r>
      <w:r>
        <w:rPr>
          <w:rFonts w:cs="Arial"/>
          <w:sz w:val="24"/>
          <w:szCs w:val="24"/>
        </w:rPr>
        <w:t xml:space="preserve">massimo 145’000 franchi a favore del Dipartimento del territorio, Sezione dello sviluppo territoriale. </w:t>
      </w:r>
    </w:p>
    <w:p w14:paraId="08DA3FC3" w14:textId="77777777" w:rsidR="00DE2E17" w:rsidRDefault="00DE2E17" w:rsidP="00DE2E17">
      <w:pPr>
        <w:rPr>
          <w:rFonts w:cs="Arial"/>
          <w:sz w:val="24"/>
          <w:szCs w:val="24"/>
        </w:rPr>
      </w:pPr>
    </w:p>
    <w:p w14:paraId="37CCE113" w14:textId="77777777" w:rsidR="00DE2E17" w:rsidRPr="00B346F4" w:rsidRDefault="00DE2E17" w:rsidP="00DE2E17">
      <w:pPr>
        <w:rPr>
          <w:rFonts w:cs="Arial"/>
          <w:b/>
          <w:sz w:val="24"/>
          <w:szCs w:val="24"/>
        </w:rPr>
      </w:pPr>
      <w:r w:rsidRPr="00B346F4">
        <w:rPr>
          <w:rFonts w:cs="Arial"/>
          <w:b/>
          <w:sz w:val="24"/>
          <w:szCs w:val="24"/>
        </w:rPr>
        <w:t xml:space="preserve">Art. </w:t>
      </w:r>
      <w:r>
        <w:rPr>
          <w:rFonts w:cs="Arial"/>
          <w:b/>
          <w:sz w:val="24"/>
          <w:szCs w:val="24"/>
        </w:rPr>
        <w:t>3</w:t>
      </w:r>
    </w:p>
    <w:p w14:paraId="49E36972" w14:textId="77777777" w:rsidR="00DE2E17" w:rsidRPr="00FA1180" w:rsidRDefault="00DE2E17" w:rsidP="00DE2E17">
      <w:pPr>
        <w:rPr>
          <w:rFonts w:cs="Arial"/>
          <w:sz w:val="24"/>
          <w:szCs w:val="24"/>
        </w:rPr>
      </w:pPr>
      <w:r w:rsidRPr="00FA1180">
        <w:rPr>
          <w:rFonts w:cs="Arial"/>
          <w:sz w:val="24"/>
          <w:szCs w:val="24"/>
        </w:rPr>
        <w:t xml:space="preserve">È stanziato un credito di </w:t>
      </w:r>
      <w:r>
        <w:rPr>
          <w:rFonts w:cs="Arial"/>
          <w:sz w:val="24"/>
          <w:szCs w:val="24"/>
        </w:rPr>
        <w:t>650’500</w:t>
      </w:r>
      <w:r w:rsidRPr="00FA1180">
        <w:rPr>
          <w:rFonts w:cs="Arial"/>
          <w:sz w:val="24"/>
          <w:szCs w:val="24"/>
        </w:rPr>
        <w:t xml:space="preserve"> franchi</w:t>
      </w:r>
      <w:r>
        <w:rPr>
          <w:rFonts w:cs="Arial"/>
          <w:sz w:val="24"/>
          <w:szCs w:val="24"/>
        </w:rPr>
        <w:t xml:space="preserve"> quale contributo per la realizzazione di una nuova illuminazione dei castelli di Bellinzona.</w:t>
      </w:r>
    </w:p>
    <w:p w14:paraId="3451288F" w14:textId="77777777" w:rsidR="00DE2E17" w:rsidRDefault="00DE2E17" w:rsidP="00DE2E17">
      <w:pPr>
        <w:rPr>
          <w:rFonts w:cs="Arial"/>
          <w:sz w:val="24"/>
          <w:szCs w:val="24"/>
        </w:rPr>
      </w:pPr>
    </w:p>
    <w:p w14:paraId="288DD03D" w14:textId="77777777" w:rsidR="00DE2E17" w:rsidRPr="00B346F4" w:rsidRDefault="00DE2E17" w:rsidP="00DE2E17">
      <w:pPr>
        <w:rPr>
          <w:rFonts w:cs="Arial"/>
          <w:b/>
          <w:sz w:val="24"/>
          <w:szCs w:val="24"/>
        </w:rPr>
      </w:pPr>
      <w:r w:rsidRPr="00B346F4">
        <w:rPr>
          <w:rFonts w:cs="Arial"/>
          <w:b/>
          <w:sz w:val="24"/>
          <w:szCs w:val="24"/>
        </w:rPr>
        <w:t xml:space="preserve">Art. </w:t>
      </w:r>
      <w:r>
        <w:rPr>
          <w:rFonts w:cs="Arial"/>
          <w:b/>
          <w:sz w:val="24"/>
          <w:szCs w:val="24"/>
        </w:rPr>
        <w:t>4</w:t>
      </w:r>
    </w:p>
    <w:p w14:paraId="637A8947" w14:textId="77777777" w:rsidR="00DE2E17" w:rsidRDefault="00DE2E17" w:rsidP="00DE2E17">
      <w:pPr>
        <w:rPr>
          <w:rFonts w:cs="Arial"/>
          <w:sz w:val="24"/>
          <w:szCs w:val="24"/>
        </w:rPr>
      </w:pPr>
      <w:r w:rsidRPr="00FA1180">
        <w:rPr>
          <w:rFonts w:cs="Arial"/>
          <w:sz w:val="24"/>
          <w:szCs w:val="24"/>
        </w:rPr>
        <w:t xml:space="preserve">Il credito è iscritto </w:t>
      </w:r>
      <w:r>
        <w:rPr>
          <w:rFonts w:cs="Arial"/>
          <w:sz w:val="24"/>
          <w:szCs w:val="24"/>
        </w:rPr>
        <w:t xml:space="preserve">nel conto degli investimenti del Dipartimento delle finanze dell’economia, Sezione della logistica. </w:t>
      </w:r>
    </w:p>
    <w:p w14:paraId="6EF14FD1" w14:textId="77777777" w:rsidR="00DE2E17" w:rsidRDefault="00DE2E17" w:rsidP="00DE2E17">
      <w:pPr>
        <w:rPr>
          <w:rFonts w:cs="Arial"/>
          <w:sz w:val="24"/>
          <w:szCs w:val="24"/>
        </w:rPr>
      </w:pPr>
    </w:p>
    <w:p w14:paraId="3A8FFBC3" w14:textId="77777777" w:rsidR="00DE2E17" w:rsidRPr="00B346F4" w:rsidRDefault="00DE2E17" w:rsidP="00DE2E17">
      <w:pPr>
        <w:rPr>
          <w:rFonts w:cs="Arial"/>
          <w:b/>
          <w:sz w:val="24"/>
          <w:szCs w:val="24"/>
        </w:rPr>
      </w:pPr>
      <w:r w:rsidRPr="00B346F4">
        <w:rPr>
          <w:rFonts w:cs="Arial"/>
          <w:b/>
          <w:sz w:val="24"/>
          <w:szCs w:val="24"/>
        </w:rPr>
        <w:t xml:space="preserve">Art. </w:t>
      </w:r>
      <w:r>
        <w:rPr>
          <w:rFonts w:cs="Arial"/>
          <w:b/>
          <w:sz w:val="24"/>
          <w:szCs w:val="24"/>
        </w:rPr>
        <w:t>5</w:t>
      </w:r>
    </w:p>
    <w:p w14:paraId="40BA44FA" w14:textId="77777777" w:rsidR="00DE2E17" w:rsidRDefault="00DE2E17" w:rsidP="00DE2E17">
      <w:pPr>
        <w:rPr>
          <w:rFonts w:cs="Arial"/>
          <w:sz w:val="24"/>
          <w:szCs w:val="24"/>
        </w:rPr>
      </w:pPr>
      <w:r w:rsidRPr="00E84F11">
        <w:rPr>
          <w:rFonts w:cs="Arial"/>
          <w:sz w:val="24"/>
          <w:szCs w:val="24"/>
          <w:vertAlign w:val="superscript"/>
        </w:rPr>
        <w:t>1</w:t>
      </w:r>
      <w:r>
        <w:rPr>
          <w:rFonts w:cs="Arial"/>
          <w:sz w:val="24"/>
          <w:szCs w:val="24"/>
        </w:rPr>
        <w:t>I contributi saranno versati a conclusione della progettazione dopo verifica dei consuntivi.</w:t>
      </w:r>
    </w:p>
    <w:p w14:paraId="44F4FC31" w14:textId="77777777" w:rsidR="00DE2E17" w:rsidRDefault="00DE2E17" w:rsidP="00DE2E17">
      <w:pPr>
        <w:rPr>
          <w:rFonts w:cs="Arial"/>
          <w:sz w:val="24"/>
          <w:szCs w:val="24"/>
        </w:rPr>
      </w:pPr>
      <w:r w:rsidRPr="00E84F11">
        <w:rPr>
          <w:rFonts w:cs="Arial"/>
          <w:sz w:val="24"/>
          <w:szCs w:val="24"/>
          <w:vertAlign w:val="superscript"/>
        </w:rPr>
        <w:t>2</w:t>
      </w:r>
      <w:r w:rsidRPr="00E84F11">
        <w:rPr>
          <w:rFonts w:cs="Arial"/>
          <w:sz w:val="24"/>
          <w:szCs w:val="24"/>
        </w:rPr>
        <w:t>I contribut</w:t>
      </w:r>
      <w:r>
        <w:rPr>
          <w:rFonts w:cs="Arial"/>
          <w:sz w:val="24"/>
          <w:szCs w:val="24"/>
        </w:rPr>
        <w:t>i</w:t>
      </w:r>
      <w:r w:rsidRPr="00E84F11">
        <w:rPr>
          <w:rFonts w:cs="Arial"/>
          <w:sz w:val="24"/>
          <w:szCs w:val="24"/>
        </w:rPr>
        <w:t xml:space="preserve"> </w:t>
      </w:r>
      <w:r>
        <w:rPr>
          <w:rFonts w:cs="Arial"/>
          <w:sz w:val="24"/>
          <w:szCs w:val="24"/>
        </w:rPr>
        <w:t>sono</w:t>
      </w:r>
      <w:r w:rsidRPr="00E84F11">
        <w:rPr>
          <w:rFonts w:cs="Arial"/>
          <w:sz w:val="24"/>
          <w:szCs w:val="24"/>
        </w:rPr>
        <w:t xml:space="preserve"> condizionat</w:t>
      </w:r>
      <w:r>
        <w:rPr>
          <w:rFonts w:cs="Arial"/>
          <w:sz w:val="24"/>
          <w:szCs w:val="24"/>
        </w:rPr>
        <w:t>i</w:t>
      </w:r>
      <w:r w:rsidRPr="00E84F11">
        <w:rPr>
          <w:rFonts w:cs="Arial"/>
          <w:sz w:val="24"/>
          <w:szCs w:val="24"/>
        </w:rPr>
        <w:t xml:space="preserve"> all’applicazione per tutte le opere previste della legge sulle commesse pubbliche del 20 febbraio 2001 (LCPubb) e del concordato intercantonale sugli appalti pubblici del 25 novembre 1994 (CIAP).</w:t>
      </w:r>
    </w:p>
    <w:p w14:paraId="057BC7AF" w14:textId="77777777" w:rsidR="00DE2E17" w:rsidRDefault="00DE2E17" w:rsidP="00DE2E17">
      <w:pPr>
        <w:rPr>
          <w:rFonts w:cs="Arial"/>
          <w:sz w:val="24"/>
          <w:szCs w:val="24"/>
        </w:rPr>
      </w:pPr>
    </w:p>
    <w:p w14:paraId="78A83CEB" w14:textId="77777777" w:rsidR="00DE2E17" w:rsidRPr="00B346F4" w:rsidRDefault="00DE2E17" w:rsidP="00DE2E17">
      <w:pPr>
        <w:rPr>
          <w:rFonts w:cs="Arial"/>
          <w:b/>
          <w:sz w:val="24"/>
          <w:szCs w:val="24"/>
        </w:rPr>
      </w:pPr>
      <w:r w:rsidRPr="00B346F4">
        <w:rPr>
          <w:rFonts w:cs="Arial"/>
          <w:b/>
          <w:sz w:val="24"/>
          <w:szCs w:val="24"/>
        </w:rPr>
        <w:t xml:space="preserve">Art. </w:t>
      </w:r>
      <w:r>
        <w:rPr>
          <w:rFonts w:cs="Arial"/>
          <w:b/>
          <w:sz w:val="24"/>
          <w:szCs w:val="24"/>
        </w:rPr>
        <w:t>6</w:t>
      </w:r>
    </w:p>
    <w:p w14:paraId="6935F3FC" w14:textId="77777777" w:rsidR="00DE2E17" w:rsidRPr="00FA1180" w:rsidRDefault="00DE2E17" w:rsidP="00DE2E17">
      <w:pPr>
        <w:rPr>
          <w:rFonts w:cs="Arial"/>
          <w:sz w:val="24"/>
          <w:szCs w:val="24"/>
        </w:rPr>
      </w:pPr>
      <w:r w:rsidRPr="00DE70FC">
        <w:rPr>
          <w:rFonts w:cs="Arial"/>
          <w:sz w:val="24"/>
          <w:szCs w:val="24"/>
          <w:vertAlign w:val="superscript"/>
        </w:rPr>
        <w:t>1</w:t>
      </w:r>
      <w:r w:rsidRPr="00FA1180">
        <w:rPr>
          <w:rFonts w:cs="Arial"/>
          <w:sz w:val="24"/>
          <w:szCs w:val="24"/>
        </w:rPr>
        <w:t>Il presente decreto legislativo sottostà a referendum facoltativo.</w:t>
      </w:r>
    </w:p>
    <w:p w14:paraId="55DE0B0C" w14:textId="77777777" w:rsidR="00DE2E17" w:rsidRDefault="00DE2E17" w:rsidP="00DE2E17">
      <w:pPr>
        <w:rPr>
          <w:rFonts w:cs="Arial"/>
          <w:sz w:val="24"/>
          <w:szCs w:val="24"/>
        </w:rPr>
      </w:pPr>
      <w:r w:rsidRPr="00DE70FC">
        <w:rPr>
          <w:rFonts w:cs="Arial"/>
          <w:sz w:val="24"/>
          <w:szCs w:val="24"/>
          <w:vertAlign w:val="superscript"/>
        </w:rPr>
        <w:t>2</w:t>
      </w:r>
      <w:r w:rsidRPr="00FA1180">
        <w:rPr>
          <w:rFonts w:cs="Arial"/>
          <w:sz w:val="24"/>
          <w:szCs w:val="24"/>
        </w:rPr>
        <w:t>Esso entra in vigore immediatamente.</w:t>
      </w:r>
    </w:p>
    <w:sectPr w:rsidR="00DE2E17" w:rsidSect="00375115">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7E2AA" w14:textId="77777777" w:rsidR="00C029F0" w:rsidRDefault="00C029F0" w:rsidP="00F657BF">
      <w:r>
        <w:separator/>
      </w:r>
    </w:p>
  </w:endnote>
  <w:endnote w:type="continuationSeparator" w:id="0">
    <w:p w14:paraId="68126F03" w14:textId="77777777" w:rsidR="00C029F0" w:rsidRDefault="00C029F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Segoe UI Semilight"/>
    <w:panose1 w:val="020B0302020104020203"/>
    <w:charset w:val="00"/>
    <w:family w:val="swiss"/>
    <w:pitch w:val="variable"/>
    <w:sig w:usb0="A00000AF" w:usb1="4000205A" w:usb2="00000000" w:usb3="00000000" w:csb0="00000093" w:csb1="00000000"/>
  </w:font>
  <w:font w:name="Gill Sans Display MT Pro BdCn">
    <w:altName w:val="Franklin Gothic Demi Cond"/>
    <w:panose1 w:val="020B0806020104020203"/>
    <w:charset w:val="00"/>
    <w:family w:val="swiss"/>
    <w:pitch w:val="variable"/>
    <w:sig w:usb0="A00000EF" w:usb1="5000205A" w:usb2="00000000" w:usb3="00000000" w:csb0="00000093" w:csb1="00000000"/>
  </w:font>
  <w:font w:name="TisaOT-Light">
    <w:altName w:val="TisaOT-Light"/>
    <w:panose1 w:val="00000000000000000000"/>
    <w:charset w:val="00"/>
    <w:family w:val="modern"/>
    <w:notTrueType/>
    <w:pitch w:val="variable"/>
    <w:sig w:usb0="00000003" w:usb1="4000205B" w:usb2="00000008"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E79B" w14:textId="77777777" w:rsidR="00DC776B" w:rsidRDefault="00DC77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24CF12ED" w14:textId="77777777" w:rsidTr="007A3D11">
      <w:trPr>
        <w:trHeight w:hRule="exact" w:val="737"/>
      </w:trPr>
      <w:tc>
        <w:tcPr>
          <w:tcW w:w="4695" w:type="dxa"/>
        </w:tcPr>
        <w:p w14:paraId="0CCD64FF" w14:textId="77777777" w:rsidR="00912E34" w:rsidRPr="003D1008" w:rsidRDefault="00124638" w:rsidP="00912E34">
          <w:pPr>
            <w:tabs>
              <w:tab w:val="center" w:pos="2382"/>
            </w:tabs>
          </w:pPr>
        </w:p>
      </w:tc>
      <w:tc>
        <w:tcPr>
          <w:tcW w:w="721" w:type="dxa"/>
        </w:tcPr>
        <w:p w14:paraId="3EA84D2C" w14:textId="77777777" w:rsidR="00912E34" w:rsidRPr="003D1008" w:rsidRDefault="00993310" w:rsidP="00912E34">
          <w:pPr>
            <w:jc w:val="center"/>
          </w:pPr>
          <w:r w:rsidRPr="003D1008">
            <w:rPr>
              <w:noProof/>
              <w:lang w:eastAsia="it-CH"/>
            </w:rPr>
            <w:drawing>
              <wp:anchor distT="0" distB="0" distL="114300" distR="114300" simplePos="0" relativeHeight="251669504" behindDoc="0" locked="1" layoutInCell="1" allowOverlap="1" wp14:anchorId="694D5255" wp14:editId="565C826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59A57636" w14:textId="77777777" w:rsidR="00912E34" w:rsidRPr="003D1008" w:rsidRDefault="00993310" w:rsidP="00912E34">
          <w:pPr>
            <w:jc w:val="center"/>
          </w:pPr>
          <w:r w:rsidRPr="003D1008">
            <w:rPr>
              <w:noProof/>
              <w:lang w:eastAsia="it-CH"/>
            </w:rPr>
            <w:drawing>
              <wp:anchor distT="0" distB="0" distL="114300" distR="114300" simplePos="0" relativeHeight="251670528" behindDoc="0" locked="1" layoutInCell="1" allowOverlap="1" wp14:anchorId="3604CA52" wp14:editId="70D27823">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3BB4DEAB" w14:textId="77777777" w:rsidR="00912E34" w:rsidRPr="003D1008" w:rsidRDefault="00124638" w:rsidP="00912E34"/>
      </w:tc>
    </w:tr>
  </w:tbl>
  <w:p w14:paraId="3715C88B"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27D7" w14:textId="77777777" w:rsidR="006E0BB7" w:rsidRDefault="00124638">
    <w:pPr>
      <w:pStyle w:val="Pidipagina"/>
      <w:jc w:val="center"/>
    </w:pPr>
  </w:p>
  <w:p w14:paraId="21433CDF"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A0834" w14:textId="77777777" w:rsidR="00C029F0" w:rsidRDefault="00C029F0" w:rsidP="00F657BF">
      <w:r>
        <w:separator/>
      </w:r>
    </w:p>
  </w:footnote>
  <w:footnote w:type="continuationSeparator" w:id="0">
    <w:p w14:paraId="1B5329C7" w14:textId="77777777" w:rsidR="00C029F0" w:rsidRDefault="00C029F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BF6C" w14:textId="77777777" w:rsidR="00DC776B" w:rsidRDefault="00DC77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79F0C81D"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D255929-AA8A-433D-9ED5-D7C8B2A841CE}"/>
          <w:text w:multiLine="1"/>
        </w:sdtPr>
        <w:sdtEndPr/>
        <w:sdtContent>
          <w:tc>
            <w:tcPr>
              <w:tcW w:w="8383" w:type="dxa"/>
              <w:tcBorders>
                <w:left w:val="single" w:sz="4" w:space="0" w:color="auto"/>
                <w:bottom w:val="single" w:sz="4" w:space="0" w:color="auto"/>
              </w:tcBorders>
              <w:tcMar>
                <w:left w:w="142" w:type="dxa"/>
              </w:tcMar>
              <w:vAlign w:val="bottom"/>
            </w:tcPr>
            <w:p w14:paraId="10DDC3E8" w14:textId="322C06BB" w:rsidR="005012EC" w:rsidRPr="00E8185F" w:rsidRDefault="00C72B9E"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14:paraId="26B146AB" w14:textId="029B9EFC" w:rsidR="005012EC" w:rsidRPr="004204CB" w:rsidRDefault="0099331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24638">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24638">
            <w:rPr>
              <w:noProof/>
              <w:sz w:val="24"/>
            </w:rPr>
            <w:t>8</w:t>
          </w:r>
          <w:r w:rsidRPr="004204CB">
            <w:rPr>
              <w:noProof/>
              <w:sz w:val="24"/>
            </w:rPr>
            <w:fldChar w:fldCharType="end"/>
          </w:r>
        </w:p>
      </w:tc>
    </w:tr>
    <w:tr w:rsidR="005012EC" w:rsidRPr="009E444B" w14:paraId="2B2DAD1A"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D255929-AA8A-433D-9ED5-D7C8B2A841CE}"/>
          <w:text w:multiLine="1"/>
        </w:sdtPr>
        <w:sdtEndPr/>
        <w:sdtContent>
          <w:tc>
            <w:tcPr>
              <w:tcW w:w="8383" w:type="dxa"/>
              <w:tcBorders>
                <w:left w:val="single" w:sz="4" w:space="0" w:color="auto"/>
              </w:tcBorders>
              <w:tcMar>
                <w:top w:w="0" w:type="dxa"/>
                <w:left w:w="142" w:type="dxa"/>
              </w:tcMar>
            </w:tcPr>
            <w:p w14:paraId="2539F101" w14:textId="27BAE152" w:rsidR="005012EC" w:rsidRPr="00E8185F" w:rsidRDefault="00027BFA" w:rsidP="001B4187">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8194 del 5 ottobre 2022</w:t>
              </w:r>
            </w:p>
          </w:tc>
        </w:sdtContent>
      </w:sdt>
      <w:tc>
        <w:tcPr>
          <w:tcW w:w="1710" w:type="dxa"/>
          <w:tcBorders>
            <w:top w:val="single" w:sz="4" w:space="0" w:color="auto"/>
          </w:tcBorders>
        </w:tcPr>
        <w:p w14:paraId="3ADF7F91" w14:textId="77777777" w:rsidR="005012EC" w:rsidRPr="00E043A3" w:rsidRDefault="00124638" w:rsidP="00662409">
          <w:pPr>
            <w:pStyle w:val="InvisibleLine"/>
            <w:rPr>
              <w:lang w:val="de-DE"/>
            </w:rPr>
          </w:pPr>
        </w:p>
      </w:tc>
    </w:tr>
  </w:tbl>
  <w:p w14:paraId="1256869B" w14:textId="77777777" w:rsidR="00F657BF" w:rsidRPr="00980362" w:rsidRDefault="0099331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72B70254" wp14:editId="71E13F7B">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D255929-AA8A-433D-9ED5-D7C8B2A841CE}"/>
                            <w:text w:multiLine="1"/>
                          </w:sdtPr>
                          <w:sdtEndPr/>
                          <w:sdtContent>
                            <w:p w14:paraId="2502C7CC" w14:textId="77777777" w:rsidR="008065E8" w:rsidRPr="00411371" w:rsidRDefault="0099331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70254"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F44ECC5-B028-479A-8611-D10B4D0E300B}"/>
                      <w:text w:multiLine="1"/>
                    </w:sdtPr>
                    <w:sdtEndPr/>
                    <w:sdtContent>
                      <w:p w14:paraId="2502C7CC" w14:textId="77777777" w:rsidR="008065E8" w:rsidRPr="00411371" w:rsidRDefault="0099331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27DC6A1E" w14:textId="77777777" w:rsidTr="0098208F">
      <w:trPr>
        <w:trHeight w:val="586"/>
      </w:trPr>
      <w:tc>
        <w:tcPr>
          <w:tcW w:w="2440" w:type="pct"/>
          <w:gridSpan w:val="3"/>
          <w:tcBorders>
            <w:top w:val="nil"/>
            <w:left w:val="nil"/>
            <w:bottom w:val="single" w:sz="4" w:space="0" w:color="auto"/>
          </w:tcBorders>
          <w:vAlign w:val="bottom"/>
        </w:tcPr>
        <w:p w14:paraId="01148821" w14:textId="77777777" w:rsidR="00662409" w:rsidRPr="003108C0" w:rsidRDefault="00124638" w:rsidP="00D07D6E">
          <w:pPr>
            <w:pStyle w:val="InvisibleLine"/>
            <w:ind w:left="150"/>
            <w:rPr>
              <w:sz w:val="16"/>
            </w:rPr>
          </w:pPr>
        </w:p>
      </w:tc>
      <w:tc>
        <w:tcPr>
          <w:tcW w:w="373" w:type="pct"/>
          <w:tcBorders>
            <w:top w:val="nil"/>
            <w:bottom w:val="single" w:sz="4" w:space="0" w:color="auto"/>
          </w:tcBorders>
          <w:vAlign w:val="bottom"/>
        </w:tcPr>
        <w:p w14:paraId="0BB6FE55" w14:textId="77777777" w:rsidR="00662409" w:rsidRPr="003108C0" w:rsidRDefault="00124638" w:rsidP="00D07D6E">
          <w:pPr>
            <w:pStyle w:val="Level"/>
            <w:ind w:left="150"/>
            <w:rPr>
              <w:sz w:val="16"/>
            </w:rPr>
          </w:pPr>
        </w:p>
      </w:tc>
      <w:tc>
        <w:tcPr>
          <w:tcW w:w="209" w:type="pct"/>
          <w:tcBorders>
            <w:top w:val="nil"/>
            <w:bottom w:val="single" w:sz="4" w:space="0" w:color="auto"/>
          </w:tcBorders>
        </w:tcPr>
        <w:p w14:paraId="0647BA08" w14:textId="77777777" w:rsidR="00662409" w:rsidRDefault="00993310" w:rsidP="00D07D6E">
          <w:pPr>
            <w:pStyle w:val="InvisibleLine"/>
            <w:ind w:left="150"/>
          </w:pPr>
          <w:r>
            <w:rPr>
              <w:noProof/>
              <w:lang w:val="it-CH" w:eastAsia="it-CH"/>
            </w:rPr>
            <w:drawing>
              <wp:anchor distT="0" distB="0" distL="114300" distR="114300" simplePos="0" relativeHeight="251667456" behindDoc="1" locked="1" layoutInCell="1" allowOverlap="1" wp14:anchorId="5557DA70" wp14:editId="2663E11E">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08B877E6" w14:textId="5B225D05" w:rsidR="00662409" w:rsidRPr="004204CB" w:rsidRDefault="0099331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2463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24638">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14:paraId="1B2A1C33"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D255929-AA8A-433D-9ED5-D7C8B2A841CE}"/>
          <w:text w:multiLine="1"/>
        </w:sdtPr>
        <w:sdtEndPr/>
        <w:sdtContent>
          <w:tc>
            <w:tcPr>
              <w:tcW w:w="5000" w:type="pct"/>
              <w:gridSpan w:val="6"/>
              <w:tcBorders>
                <w:left w:val="nil"/>
                <w:right w:val="nil"/>
              </w:tcBorders>
              <w:noWrap/>
              <w:tcMar>
                <w:top w:w="0" w:type="dxa"/>
              </w:tcMar>
              <w:vAlign w:val="bottom"/>
            </w:tcPr>
            <w:p w14:paraId="4DDFBB88" w14:textId="77777777" w:rsidR="00662409" w:rsidRPr="008C03B5" w:rsidRDefault="0064316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14:paraId="56698E6A" w14:textId="77777777" w:rsidTr="00B76ABD">
      <w:trPr>
        <w:trHeight w:hRule="exact" w:val="306"/>
      </w:trPr>
      <w:tc>
        <w:tcPr>
          <w:tcW w:w="670" w:type="pct"/>
          <w:tcBorders>
            <w:left w:val="nil"/>
            <w:bottom w:val="nil"/>
          </w:tcBorders>
          <w:noWrap/>
          <w:tcMar>
            <w:top w:w="57" w:type="dxa"/>
            <w:left w:w="142" w:type="dxa"/>
          </w:tcMar>
        </w:tcPr>
        <w:p w14:paraId="39888CC5" w14:textId="77777777" w:rsidR="008C03B5" w:rsidRPr="00C7320A" w:rsidRDefault="00993310"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468D3CE7" w14:textId="77777777" w:rsidR="008C03B5" w:rsidRPr="00C7320A" w:rsidRDefault="0012463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336653DE" w14:textId="77777777" w:rsidR="008C03B5" w:rsidRPr="00C7320A" w:rsidRDefault="00993310"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77AC3F57" w14:textId="77777777" w:rsidR="008C03B5" w:rsidRPr="00C7320A" w:rsidRDefault="0012463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2606E8B0" w14:textId="77777777" w:rsidR="008C03B5" w:rsidRPr="00C7320A" w:rsidRDefault="00993310" w:rsidP="002B0F22">
          <w:pPr>
            <w:pStyle w:val="Level"/>
            <w:spacing w:before="60"/>
            <w:rPr>
              <w:rFonts w:ascii="Gill Alt One MT Light" w:hAnsi="Gill Alt One MT Light"/>
              <w:sz w:val="16"/>
            </w:rPr>
          </w:pPr>
          <w:r>
            <w:rPr>
              <w:rFonts w:ascii="Gill Alt One MT Light" w:hAnsi="Gill Alt One MT Light"/>
              <w:sz w:val="16"/>
            </w:rPr>
            <w:t>competenza</w:t>
          </w:r>
        </w:p>
        <w:p w14:paraId="721979FB" w14:textId="77777777" w:rsidR="008C03B5" w:rsidRPr="008C03B5" w:rsidRDefault="00124638" w:rsidP="002B0F22">
          <w:pPr>
            <w:pStyle w:val="Level"/>
            <w:spacing w:before="60" w:line="240" w:lineRule="auto"/>
            <w:rPr>
              <w:rFonts w:ascii="Gill Alt One MT Light" w:hAnsi="Gill Alt One MT Light"/>
              <w:sz w:val="16"/>
            </w:rPr>
          </w:pPr>
        </w:p>
      </w:tc>
    </w:tr>
    <w:tr w:rsidR="008C03B5" w:rsidRPr="0004624C" w14:paraId="1396B073" w14:textId="77777777" w:rsidTr="008C03B5">
      <w:trPr>
        <w:trHeight w:hRule="exact" w:val="699"/>
      </w:trPr>
      <w:tc>
        <w:tcPr>
          <w:tcW w:w="670" w:type="pct"/>
          <w:tcBorders>
            <w:top w:val="nil"/>
            <w:left w:val="nil"/>
            <w:bottom w:val="single" w:sz="4" w:space="0" w:color="auto"/>
            <w:right w:val="nil"/>
          </w:tcBorders>
          <w:noWrap/>
          <w:tcMar>
            <w:top w:w="0" w:type="dxa"/>
          </w:tcMar>
        </w:tcPr>
        <w:p w14:paraId="2A8958A4" w14:textId="113D4E0F" w:rsidR="008C03B5" w:rsidRPr="00BE22A2" w:rsidRDefault="0012463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D255929-AA8A-433D-9ED5-D7C8B2A841CE}"/>
              <w:text w:multiLine="1"/>
            </w:sdtPr>
            <w:sdtEndPr/>
            <w:sdtContent>
              <w:r w:rsidR="00027BFA">
                <w:rPr>
                  <w:rFonts w:cstheme="minorHAnsi"/>
                  <w:b/>
                  <w:sz w:val="24"/>
                  <w:szCs w:val="24"/>
                </w:rPr>
                <w:t>8194</w:t>
              </w:r>
            </w:sdtContent>
          </w:sdt>
        </w:p>
      </w:tc>
      <w:sdt>
        <w:sdtPr>
          <w:rPr>
            <w:sz w:val="24"/>
          </w:rPr>
          <w:alias w:val="DocParam.Date"/>
          <w:id w:val="-464426178"/>
          <w:dataBinding w:xpath="//DateTime[@id='DocParam.Date']" w:storeItemID="{0D255929-AA8A-433D-9ED5-D7C8B2A841CE}"/>
          <w:date w:fullDate="2022-10-05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721A6723" w14:textId="4E6FE9CE" w:rsidR="008C03B5" w:rsidRPr="002A0371" w:rsidRDefault="00590B2F" w:rsidP="00384300">
              <w:pPr>
                <w:pStyle w:val="Data"/>
              </w:pPr>
              <w:r>
                <w:rPr>
                  <w:sz w:val="24"/>
                </w:rPr>
                <w:t>5 ottobre 2022</w:t>
              </w:r>
            </w:p>
          </w:tc>
        </w:sdtContent>
      </w:sdt>
      <w:tc>
        <w:tcPr>
          <w:tcW w:w="3218" w:type="pct"/>
          <w:gridSpan w:val="4"/>
          <w:tcBorders>
            <w:top w:val="nil"/>
            <w:left w:val="nil"/>
            <w:bottom w:val="nil"/>
            <w:right w:val="nil"/>
          </w:tcBorders>
        </w:tcPr>
        <w:p w14:paraId="79F3A891" w14:textId="760BC06E" w:rsidR="008C03B5" w:rsidRPr="009B103F" w:rsidRDefault="0024637A" w:rsidP="00590B2F">
          <w:pPr>
            <w:pStyle w:val="Data"/>
            <w:rPr>
              <w:rFonts w:cs="Arial"/>
              <w:sz w:val="23"/>
              <w:szCs w:val="23"/>
            </w:rPr>
          </w:pPr>
          <w:r w:rsidRPr="009B103F">
            <w:rPr>
              <w:rFonts w:cs="Arial"/>
              <w:sz w:val="23"/>
              <w:szCs w:val="23"/>
            </w:rPr>
            <w:t>D</w:t>
          </w:r>
          <w:r w:rsidR="00590B2F" w:rsidRPr="009B103F">
            <w:rPr>
              <w:rFonts w:cs="Arial"/>
              <w:sz w:val="23"/>
              <w:szCs w:val="23"/>
            </w:rPr>
            <w:t>I</w:t>
          </w:r>
          <w:r w:rsidR="005C147E" w:rsidRPr="009B103F">
            <w:rPr>
              <w:rFonts w:cs="Arial"/>
              <w:sz w:val="23"/>
              <w:szCs w:val="23"/>
            </w:rPr>
            <w:t>PARTIMENTO DELLE FINANZE E DELL</w:t>
          </w:r>
          <w:r w:rsidR="00590B2F" w:rsidRPr="009B103F">
            <w:rPr>
              <w:rFonts w:cs="Arial"/>
              <w:sz w:val="23"/>
              <w:szCs w:val="23"/>
            </w:rPr>
            <w:t>’ECONOMIA</w:t>
          </w:r>
          <w:r w:rsidR="00027BFA" w:rsidRPr="009B103F">
            <w:rPr>
              <w:rFonts w:cs="Arial"/>
              <w:sz w:val="23"/>
              <w:szCs w:val="23"/>
            </w:rPr>
            <w:t xml:space="preserve"> </w:t>
          </w:r>
          <w:r w:rsidR="00590B2F" w:rsidRPr="009B103F">
            <w:rPr>
              <w:rFonts w:cs="Arial"/>
              <w:sz w:val="23"/>
              <w:szCs w:val="23"/>
            </w:rPr>
            <w:t>DIPARTIMENTO DEL TERRITORIO</w:t>
          </w:r>
        </w:p>
      </w:tc>
    </w:tr>
    <w:tr w:rsidR="00912E34" w:rsidRPr="00C63927" w14:paraId="584BCB4D"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16FBE34D" w14:textId="77777777" w:rsidR="00662409" w:rsidRPr="00C7320A" w:rsidRDefault="00124638" w:rsidP="00D07D6E">
          <w:pPr>
            <w:pStyle w:val="Level"/>
            <w:ind w:left="150"/>
            <w:rPr>
              <w:rFonts w:ascii="Gill Alt One MT Light" w:hAnsi="Gill Alt One MT Light"/>
              <w:sz w:val="16"/>
              <w:szCs w:val="16"/>
            </w:rPr>
          </w:pPr>
        </w:p>
      </w:tc>
    </w:tr>
  </w:tbl>
  <w:p w14:paraId="6EC32A01" w14:textId="77777777" w:rsidR="00F657BF" w:rsidRPr="00DA2879" w:rsidRDefault="0099331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60BFFAFD" wp14:editId="400C9380">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3D837C4D" wp14:editId="784477E7">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D255929-AA8A-433D-9ED5-D7C8B2A841CE}"/>
                            <w:text w:multiLine="1"/>
                          </w:sdtPr>
                          <w:sdtEndPr/>
                          <w:sdtContent>
                            <w:p w14:paraId="0048C195" w14:textId="77777777" w:rsidR="00E93620" w:rsidRPr="00411371" w:rsidRDefault="0099331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37C4D"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F44ECC5-B028-479A-8611-D10B4D0E300B}"/>
                      <w:text w:multiLine="1"/>
                    </w:sdtPr>
                    <w:sdtEndPr/>
                    <w:sdtContent>
                      <w:p w14:paraId="0048C195" w14:textId="77777777" w:rsidR="00E93620" w:rsidRPr="00411371" w:rsidRDefault="0099331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3E0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C16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405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6A88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626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4605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C7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C5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04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989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E1B64"/>
    <w:multiLevelType w:val="hybridMultilevel"/>
    <w:tmpl w:val="E7B0FFE0"/>
    <w:lvl w:ilvl="0" w:tplc="89203210">
      <w:numFmt w:val="bullet"/>
      <w:lvlText w:val="-"/>
      <w:lvlJc w:val="left"/>
      <w:pPr>
        <w:ind w:left="720" w:hanging="360"/>
      </w:pPr>
      <w:rPr>
        <w:rFonts w:ascii="Arial" w:eastAsia="Calibri" w:hAnsi="Arial" w:cs="Arial" w:hint="default"/>
        <w:sz w:val="24"/>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B643528"/>
    <w:multiLevelType w:val="hybridMultilevel"/>
    <w:tmpl w:val="0CEE4A26"/>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8" w15:restartNumberingAfterBreak="0">
    <w:nsid w:val="470D7E13"/>
    <w:multiLevelType w:val="hybridMultilevel"/>
    <w:tmpl w:val="AA8C3AD0"/>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num w:numId="1">
    <w:abstractNumId w:val="13"/>
  </w:num>
  <w:num w:numId="2">
    <w:abstractNumId w:val="20"/>
  </w:num>
  <w:num w:numId="3">
    <w:abstractNumId w:val="11"/>
  </w:num>
  <w:num w:numId="4">
    <w:abstractNumId w:val="19"/>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0"/>
  </w:num>
  <w:num w:numId="20">
    <w:abstractNumId w:val="18"/>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71"/>
    <w:rsid w:val="00027BFA"/>
    <w:rsid w:val="0005078F"/>
    <w:rsid w:val="000555E0"/>
    <w:rsid w:val="00077DE8"/>
    <w:rsid w:val="00095C6E"/>
    <w:rsid w:val="000C5A7C"/>
    <w:rsid w:val="000D2CD4"/>
    <w:rsid w:val="00124638"/>
    <w:rsid w:val="001274F6"/>
    <w:rsid w:val="001A11BF"/>
    <w:rsid w:val="001B4187"/>
    <w:rsid w:val="001C0E9C"/>
    <w:rsid w:val="00210533"/>
    <w:rsid w:val="00222487"/>
    <w:rsid w:val="0023436A"/>
    <w:rsid w:val="00240B3F"/>
    <w:rsid w:val="0024637A"/>
    <w:rsid w:val="00252B3B"/>
    <w:rsid w:val="002A7E51"/>
    <w:rsid w:val="002B5D9F"/>
    <w:rsid w:val="002C3794"/>
    <w:rsid w:val="002D145F"/>
    <w:rsid w:val="00323E8E"/>
    <w:rsid w:val="0034068A"/>
    <w:rsid w:val="00345CA8"/>
    <w:rsid w:val="00384300"/>
    <w:rsid w:val="003844EA"/>
    <w:rsid w:val="003A796A"/>
    <w:rsid w:val="003B756D"/>
    <w:rsid w:val="003D08DA"/>
    <w:rsid w:val="003D1F69"/>
    <w:rsid w:val="003E477A"/>
    <w:rsid w:val="003F4675"/>
    <w:rsid w:val="00403ADB"/>
    <w:rsid w:val="004108BD"/>
    <w:rsid w:val="00413B10"/>
    <w:rsid w:val="00415363"/>
    <w:rsid w:val="00424FE0"/>
    <w:rsid w:val="00442AB9"/>
    <w:rsid w:val="00477BF7"/>
    <w:rsid w:val="00482DDF"/>
    <w:rsid w:val="004C0D78"/>
    <w:rsid w:val="00527F8B"/>
    <w:rsid w:val="00572FD3"/>
    <w:rsid w:val="00581BC4"/>
    <w:rsid w:val="00590B2F"/>
    <w:rsid w:val="005A746C"/>
    <w:rsid w:val="005C147E"/>
    <w:rsid w:val="005F1021"/>
    <w:rsid w:val="00606099"/>
    <w:rsid w:val="00621D2B"/>
    <w:rsid w:val="00623F40"/>
    <w:rsid w:val="00643165"/>
    <w:rsid w:val="006635D0"/>
    <w:rsid w:val="006743A7"/>
    <w:rsid w:val="00676B4E"/>
    <w:rsid w:val="006C014D"/>
    <w:rsid w:val="006C0B93"/>
    <w:rsid w:val="006E511D"/>
    <w:rsid w:val="00721E4E"/>
    <w:rsid w:val="00750E74"/>
    <w:rsid w:val="0075417F"/>
    <w:rsid w:val="007664C7"/>
    <w:rsid w:val="007673A4"/>
    <w:rsid w:val="007A2FAD"/>
    <w:rsid w:val="007A3074"/>
    <w:rsid w:val="007C6E1E"/>
    <w:rsid w:val="00833E20"/>
    <w:rsid w:val="008554C7"/>
    <w:rsid w:val="008720C4"/>
    <w:rsid w:val="00873EEA"/>
    <w:rsid w:val="008979C9"/>
    <w:rsid w:val="008C1EB5"/>
    <w:rsid w:val="008F52AF"/>
    <w:rsid w:val="009418CD"/>
    <w:rsid w:val="00993310"/>
    <w:rsid w:val="009B103F"/>
    <w:rsid w:val="009C5E5A"/>
    <w:rsid w:val="00A170B0"/>
    <w:rsid w:val="00A319C2"/>
    <w:rsid w:val="00AB1E3B"/>
    <w:rsid w:val="00AC02AA"/>
    <w:rsid w:val="00AE7C79"/>
    <w:rsid w:val="00AF0268"/>
    <w:rsid w:val="00B25FF8"/>
    <w:rsid w:val="00BA5DBF"/>
    <w:rsid w:val="00BD0525"/>
    <w:rsid w:val="00BF0A1F"/>
    <w:rsid w:val="00C029F0"/>
    <w:rsid w:val="00C10CCC"/>
    <w:rsid w:val="00C21B83"/>
    <w:rsid w:val="00C70910"/>
    <w:rsid w:val="00C72B9E"/>
    <w:rsid w:val="00CD6B1C"/>
    <w:rsid w:val="00CF5948"/>
    <w:rsid w:val="00D33940"/>
    <w:rsid w:val="00D600FD"/>
    <w:rsid w:val="00D63171"/>
    <w:rsid w:val="00D649A8"/>
    <w:rsid w:val="00D6655C"/>
    <w:rsid w:val="00D751DC"/>
    <w:rsid w:val="00D77751"/>
    <w:rsid w:val="00DB0667"/>
    <w:rsid w:val="00DB53E1"/>
    <w:rsid w:val="00DC776B"/>
    <w:rsid w:val="00DE195A"/>
    <w:rsid w:val="00DE2E17"/>
    <w:rsid w:val="00E1556F"/>
    <w:rsid w:val="00E639EE"/>
    <w:rsid w:val="00E6459B"/>
    <w:rsid w:val="00E874A8"/>
    <w:rsid w:val="00EA1EFA"/>
    <w:rsid w:val="00EA358F"/>
    <w:rsid w:val="00EB088A"/>
    <w:rsid w:val="00EC3290"/>
    <w:rsid w:val="00F21269"/>
    <w:rsid w:val="00F31040"/>
    <w:rsid w:val="00F354EE"/>
    <w:rsid w:val="00F3617D"/>
    <w:rsid w:val="00F657BF"/>
    <w:rsid w:val="00FF79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BFC2EC"/>
  <w15:docId w15:val="{79281280-8EA3-4F38-AECF-89D6055B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DC277C"/>
    <w:pPr>
      <w:keepNext/>
      <w:numPr>
        <w:numId w:val="2"/>
      </w:numPr>
      <w:spacing w:before="240" w:after="120"/>
      <w:jc w:val="left"/>
      <w:outlineLvl w:val="0"/>
    </w:pPr>
    <w:rPr>
      <w:rFonts w:asciiTheme="majorHAnsi" w:hAnsiTheme="majorHAnsi"/>
      <w:b/>
    </w:rPr>
  </w:style>
  <w:style w:type="paragraph" w:styleId="Titolo2">
    <w:name w:val="heading 2"/>
    <w:basedOn w:val="Titolo1"/>
    <w:next w:val="Normale"/>
    <w:link w:val="Titolo2Carattere"/>
    <w:uiPriority w:val="9"/>
    <w:unhideWhenUsed/>
    <w:qFormat/>
    <w:rsid w:val="00EC214A"/>
    <w:pPr>
      <w:numPr>
        <w:ilvl w:val="1"/>
      </w:numPr>
      <w:spacing w:before="120" w:after="60"/>
      <w:outlineLvl w:val="1"/>
    </w:pPr>
    <w:rPr>
      <w:sz w:val="20"/>
    </w:rPr>
  </w:style>
  <w:style w:type="paragraph" w:styleId="Titolo3">
    <w:name w:val="heading 3"/>
    <w:basedOn w:val="Titolo1"/>
    <w:next w:val="Normale"/>
    <w:link w:val="Titolo3Carattere"/>
    <w:uiPriority w:val="9"/>
    <w:unhideWhenUsed/>
    <w:qFormat/>
    <w:rsid w:val="00EC214A"/>
    <w:pPr>
      <w:numPr>
        <w:ilvl w:val="2"/>
      </w:numPr>
      <w:spacing w:before="120" w:after="60"/>
      <w:outlineLvl w:val="2"/>
    </w:pPr>
    <w:rPr>
      <w:sz w:val="20"/>
    </w:rPr>
  </w:style>
  <w:style w:type="paragraph" w:styleId="Titolo4">
    <w:name w:val="heading 4"/>
    <w:basedOn w:val="Titolo1"/>
    <w:next w:val="Normale"/>
    <w:link w:val="Titolo4Carattere"/>
    <w:uiPriority w:val="9"/>
    <w:unhideWhenUsed/>
    <w:qFormat/>
    <w:rsid w:val="00EC214A"/>
    <w:pPr>
      <w:numPr>
        <w:ilvl w:val="3"/>
      </w:numPr>
      <w:spacing w:before="120" w:after="60"/>
      <w:outlineLvl w:val="3"/>
    </w:pPr>
    <w:rPr>
      <w:sz w:val="20"/>
    </w:rPr>
  </w:style>
  <w:style w:type="paragraph" w:styleId="Titolo5">
    <w:name w:val="heading 5"/>
    <w:basedOn w:val="Normale"/>
    <w:next w:val="Normale"/>
    <w:link w:val="Titolo5Carattere"/>
    <w:uiPriority w:val="9"/>
    <w:semiHidden/>
    <w:unhideWhenUsed/>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DC277C"/>
    <w:rPr>
      <w:rFonts w:asciiTheme="majorHAnsi" w:hAnsiTheme="majorHAnsi"/>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1329CE"/>
    <w:rPr>
      <w:rFonts w:asciiTheme="majorHAnsi" w:hAnsiTheme="majorHAnsi"/>
      <w:b/>
      <w:sz w:val="20"/>
      <w:lang w:val="it-CH"/>
    </w:rPr>
  </w:style>
  <w:style w:type="character" w:customStyle="1" w:styleId="Titolo3Carattere">
    <w:name w:val="Titolo 3 Carattere"/>
    <w:basedOn w:val="Carpredefinitoparagrafo"/>
    <w:link w:val="Titolo3"/>
    <w:uiPriority w:val="9"/>
    <w:rsid w:val="001329CE"/>
    <w:rPr>
      <w:rFonts w:asciiTheme="majorHAnsi" w:hAnsiTheme="majorHAnsi"/>
      <w:b/>
      <w:sz w:val="20"/>
      <w:lang w:val="it-CH"/>
    </w:rPr>
  </w:style>
  <w:style w:type="character" w:customStyle="1" w:styleId="Titolo4Carattere">
    <w:name w:val="Titolo 4 Carattere"/>
    <w:basedOn w:val="Carpredefinitoparagrafo"/>
    <w:link w:val="Titolo4"/>
    <w:uiPriority w:val="9"/>
    <w:rsid w:val="004D121B"/>
    <w:rPr>
      <w:rFonts w:asciiTheme="majorHAnsi" w:hAnsiTheme="majorHAnsi"/>
      <w:b/>
      <w:sz w:val="20"/>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styleId="Collegamentoipertestuale">
    <w:name w:val="Hyperlink"/>
    <w:basedOn w:val="Carpredefinitoparagrafo"/>
    <w:uiPriority w:val="99"/>
    <w:unhideWhenUsed/>
    <w:rsid w:val="007673A4"/>
    <w:rPr>
      <w:color w:val="0000FF" w:themeColor="hyperlink"/>
      <w:u w:val="single"/>
    </w:rPr>
  </w:style>
  <w:style w:type="paragraph" w:customStyle="1" w:styleId="Default">
    <w:name w:val="Default"/>
    <w:rsid w:val="00CD6B1C"/>
    <w:pPr>
      <w:autoSpaceDE w:val="0"/>
      <w:autoSpaceDN w:val="0"/>
      <w:adjustRightInd w:val="0"/>
      <w:spacing w:after="0"/>
    </w:pPr>
    <w:rPr>
      <w:rFonts w:ascii="TisaOT-Light" w:hAnsi="TisaOT-Light" w:cs="TisaOT-Light"/>
      <w:color w:val="000000"/>
      <w:sz w:val="24"/>
      <w:szCs w:val="24"/>
      <w:lang w:val="it-CH"/>
    </w:rPr>
  </w:style>
  <w:style w:type="character" w:styleId="Rimandocommento">
    <w:name w:val="annotation reference"/>
    <w:basedOn w:val="Carpredefinitoparagrafo"/>
    <w:uiPriority w:val="99"/>
    <w:semiHidden/>
    <w:unhideWhenUsed/>
    <w:rsid w:val="00CD6B1C"/>
    <w:rPr>
      <w:sz w:val="16"/>
      <w:szCs w:val="16"/>
    </w:rPr>
  </w:style>
  <w:style w:type="paragraph" w:styleId="Testocommento">
    <w:name w:val="annotation text"/>
    <w:basedOn w:val="Normale"/>
    <w:link w:val="TestocommentoCarattere"/>
    <w:uiPriority w:val="99"/>
    <w:semiHidden/>
    <w:unhideWhenUsed/>
    <w:rsid w:val="00CD6B1C"/>
    <w:pPr>
      <w:suppressAutoHyphens w:val="0"/>
      <w:spacing w:after="16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CD6B1C"/>
    <w:rPr>
      <w:sz w:val="20"/>
      <w:szCs w:val="20"/>
      <w:lang w:val="it-CH"/>
    </w:rPr>
  </w:style>
  <w:style w:type="paragraph" w:styleId="Testofumetto">
    <w:name w:val="Balloon Text"/>
    <w:basedOn w:val="Normale"/>
    <w:link w:val="TestofumettoCarattere"/>
    <w:uiPriority w:val="99"/>
    <w:semiHidden/>
    <w:unhideWhenUsed/>
    <w:rsid w:val="00CD6B1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6B1C"/>
    <w:rPr>
      <w:rFonts w:ascii="Segoe UI" w:hAnsi="Segoe UI" w:cs="Segoe UI"/>
      <w:sz w:val="18"/>
      <w:szCs w:val="18"/>
      <w:lang w:val="it-CH"/>
    </w:rPr>
  </w:style>
  <w:style w:type="paragraph" w:styleId="Soggettocommento">
    <w:name w:val="annotation subject"/>
    <w:basedOn w:val="Testocommento"/>
    <w:next w:val="Testocommento"/>
    <w:link w:val="SoggettocommentoCarattere"/>
    <w:uiPriority w:val="99"/>
    <w:semiHidden/>
    <w:unhideWhenUsed/>
    <w:rsid w:val="00CD6B1C"/>
    <w:pPr>
      <w:suppressAutoHyphens/>
      <w:spacing w:after="0"/>
      <w:jc w:val="both"/>
    </w:pPr>
    <w:rPr>
      <w:rFonts w:ascii="Arial" w:hAnsi="Arial"/>
      <w:b/>
      <w:bCs/>
    </w:rPr>
  </w:style>
  <w:style w:type="character" w:customStyle="1" w:styleId="SoggettocommentoCarattere">
    <w:name w:val="Soggetto commento Carattere"/>
    <w:basedOn w:val="TestocommentoCarattere"/>
    <w:link w:val="Soggettocommento"/>
    <w:uiPriority w:val="99"/>
    <w:semiHidden/>
    <w:rsid w:val="00CD6B1C"/>
    <w:rPr>
      <w:rFonts w:ascii="Arial" w:hAnsi="Arial"/>
      <w:b/>
      <w:bCs/>
      <w:sz w:val="20"/>
      <w:szCs w:val="20"/>
      <w:lang w:val="it-CH"/>
    </w:rPr>
  </w:style>
  <w:style w:type="table" w:styleId="Grigliatabella">
    <w:name w:val="Table Grid"/>
    <w:basedOn w:val="Tabellanormale"/>
    <w:uiPriority w:val="59"/>
    <w:rsid w:val="006635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
    <w:name w:val="NORMALE"/>
    <w:basedOn w:val="Normale"/>
    <w:link w:val="NORMALECarattere"/>
    <w:autoRedefine/>
    <w:qFormat/>
    <w:rsid w:val="006635D0"/>
    <w:pPr>
      <w:suppressAutoHyphens w:val="0"/>
    </w:pPr>
    <w:rPr>
      <w:sz w:val="24"/>
    </w:rPr>
  </w:style>
  <w:style w:type="character" w:customStyle="1" w:styleId="NORMALECarattere">
    <w:name w:val="NORMALE Carattere"/>
    <w:basedOn w:val="Carpredefinitoparagrafo"/>
    <w:link w:val="NORMALE0"/>
    <w:rsid w:val="006635D0"/>
    <w:rPr>
      <w:rFonts w:ascii="Arial" w:hAnsi="Arial"/>
      <w:sz w:val="24"/>
      <w:lang w:val="it-CH"/>
    </w:rPr>
  </w:style>
  <w:style w:type="paragraph" w:styleId="Revisione">
    <w:name w:val="Revision"/>
    <w:hidden/>
    <w:uiPriority w:val="99"/>
    <w:semiHidden/>
    <w:rsid w:val="00FF79E8"/>
    <w:pPr>
      <w:spacing w:after="0"/>
    </w:pPr>
    <w:rPr>
      <w:rFonts w:ascii="Arial" w:hAnsi="Arial"/>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05694\AppData\Local\Temp\OneOffixx\generated\ec2ac610-663e-4830-9e2c-762b6273833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ct:contentTypeSchema xmlns:ct="http://schemas.microsoft.com/office/2006/metadata/contentType" xmlns:ma="http://schemas.microsoft.com/office/2006/metadata/properties/metaAttributes" ct:_="" ma:_="" ma:contentTypeName="Documento" ma:contentTypeID="0x0101009ADC68158AE22443B0736413669B69B5" ma:contentTypeVersion="14" ma:contentTypeDescription="Creare un nuovo documento." ma:contentTypeScope="" ma:versionID="f7dc18cfd27cd511ad651d5b34c2220d">
  <xsd:schema xmlns:xsd="http://www.w3.org/2001/XMLSchema" xmlns:xs="http://www.w3.org/2001/XMLSchema" xmlns:p="http://schemas.microsoft.com/office/2006/metadata/properties" xmlns:ns2="56c1edf6-be81-452d-a18a-873408006b75" xmlns:ns3="500022df-510b-49f4-9c25-770d1af90034" targetNamespace="http://schemas.microsoft.com/office/2006/metadata/properties" ma:root="true" ma:fieldsID="d080b91e4b622410f1bb4f83254ac25f" ns2:_="" ns3:_="">
    <xsd:import namespace="56c1edf6-be81-452d-a18a-873408006b75"/>
    <xsd:import namespace="500022df-510b-49f4-9c25-770d1af90034"/>
    <xsd:element name="properties">
      <xsd:complexType>
        <xsd:sequence>
          <xsd:element name="documentManagement">
            <xsd:complexType>
              <xsd:all>
                <xsd:element ref="ns2:Descrizione" minOccurs="0"/>
                <xsd:element ref="ns2:InEvidenza" minOccurs="0"/>
                <xsd:element ref="ns2:Ordinamento" minOccurs="0"/>
                <xsd:element ref="ns2:o25eb73e229f4d10b877d5ec762fb0a4" minOccurs="0"/>
                <xsd:element ref="ns3:TaxCatchAll" minOccurs="0"/>
                <xsd:element ref="ns2:Target" minOccurs="0"/>
                <xsd:element ref="ns2:cedb35f1b32c4783853e9228d07d24fd" minOccurs="0"/>
                <xsd:element ref="ns2:hb75f49a3b8e4a5db108f81032febda4" minOccurs="0"/>
                <xsd:element ref="ns2:Visib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1edf6-be81-452d-a18a-873408006b75" elementFormDefault="qualified">
    <xsd:import namespace="http://schemas.microsoft.com/office/2006/documentManagement/types"/>
    <xsd:import namespace="http://schemas.microsoft.com/office/infopath/2007/PartnerControls"/>
    <xsd:element name="Descrizione" ma:index="8" nillable="true" ma:displayName="Descrizione" ma:internalName="Descrizione">
      <xsd:simpleType>
        <xsd:restriction base="dms:Note"/>
      </xsd:simpleType>
    </xsd:element>
    <xsd:element name="InEvidenza" ma:index="9" nillable="true" ma:displayName="InEvidenza" ma:default="0" ma:internalName="InEvidenza">
      <xsd:simpleType>
        <xsd:restriction base="dms:Boolean"/>
      </xsd:simpleType>
    </xsd:element>
    <xsd:element name="Ordinamento" ma:index="10" nillable="true" ma:displayName="Ordinamento" ma:internalName="Ordinamento">
      <xsd:simpleType>
        <xsd:restriction base="dms:Number"/>
      </xsd:simpleType>
    </xsd:element>
    <xsd:element name="o25eb73e229f4d10b877d5ec762fb0a4" ma:index="12" ma:taxonomy="true" ma:internalName="o25eb73e229f4d10b877d5ec762fb0a4" ma:taxonomyFieldName="PosizionamentoTAG" ma:displayName="PosizionamentoTAG" ma:readOnly="false" ma:default="" ma:fieldId="{825eb73e-229f-4d10-b877-d5ec762fb0a4}" ma:taxonomyMulti="true" ma:sspId="0701f52e-0181-41ca-bb28-d58fdf6a15c5" ma:termSetId="95bf7a6f-d12d-4766-94a8-edd4d6175a13" ma:anchorId="00000000-0000-0000-0000-000000000000" ma:open="false" ma:isKeyword="false">
      <xsd:complexType>
        <xsd:sequence>
          <xsd:element ref="pc:Terms" minOccurs="0" maxOccurs="1"/>
        </xsd:sequence>
      </xsd:complexType>
    </xsd:element>
    <xsd:element name="Target" ma:index="14" nillable="true" ma:displayName="Target" ma:default="_blank" ma:format="Dropdown" ma:internalName="Target">
      <xsd:simpleType>
        <xsd:restriction base="dms:Choice">
          <xsd:enumeration value="_blank"/>
        </xsd:restriction>
      </xsd:simpleType>
    </xsd:element>
    <xsd:element name="cedb35f1b32c4783853e9228d07d24fd" ma:index="16" nillable="true" ma:taxonomy="true" ma:internalName="cedb35f1b32c4783853e9228d07d24fd" ma:taxonomyFieldName="Tipologia" ma:displayName="Tipologia" ma:default="" ma:fieldId="{cedb35f1-b32c-4783-853e-9228d07d24fd}" ma:sspId="0701f52e-0181-41ca-bb28-d58fdf6a15c5" ma:termSetId="e1f367c1-8e2b-4894-bcf5-9494590005a4" ma:anchorId="00000000-0000-0000-0000-000000000000" ma:open="false" ma:isKeyword="false">
      <xsd:complexType>
        <xsd:sequence>
          <xsd:element ref="pc:Terms" minOccurs="0" maxOccurs="1"/>
        </xsd:sequence>
      </xsd:complexType>
    </xsd:element>
    <xsd:element name="hb75f49a3b8e4a5db108f81032febda4" ma:index="18" nillable="true" ma:taxonomy="true" ma:internalName="hb75f49a3b8e4a5db108f81032febda4" ma:taxonomyFieldName="UA" ma:displayName="UA" ma:default="" ma:fieldId="{1b75f49a-3b8e-4a5d-b108-f81032febda4}" ma:sspId="0701f52e-0181-41ca-bb28-d58fdf6a15c5" ma:termSetId="cb8069f6-d40e-47da-bff8-69516fa82cdc" ma:anchorId="00000000-0000-0000-0000-000000000000" ma:open="false" ma:isKeyword="false">
      <xsd:complexType>
        <xsd:sequence>
          <xsd:element ref="pc:Terms" minOccurs="0" maxOccurs="1"/>
        </xsd:sequence>
      </xsd:complexType>
    </xsd:element>
    <xsd:element name="Visibile" ma:index="19" nillable="true" ma:displayName="Visibile" ma:default="1" ma:internalName="Visibi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022df-510b-49f4-9c25-770d1af90034" elementFormDefault="qualified">
    <xsd:import namespace="http://schemas.microsoft.com/office/2006/documentManagement/types"/>
    <xsd:import namespace="http://schemas.microsoft.com/office/infopath/2007/PartnerControls"/>
    <xsd:element name="TaxCatchAll" ma:index="13" nillable="true" ma:displayName="Colonna per tutti i valori di tassonomia" ma:hidden="true" ma:list="{5e388310-b6cf-4596-88cd-bf04625af0ec}" ma:internalName="TaxCatchAll" ma:showField="CatchAllData" ma:web="500022df-510b-49f4-9c25-770d1af90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6.xml><?xml version="1.0" encoding="utf-8"?>
<p:properties xmlns:p="http://schemas.microsoft.com/office/2006/metadata/properties" xmlns:xsi="http://www.w3.org/2001/XMLSchema-instance" xmlns:pc="http://schemas.microsoft.com/office/infopath/2007/PartnerControls">
  <documentManagement>
    <Target xmlns="56c1edf6-be81-452d-a18a-873408006b75">_blank</Target>
    <cedb35f1b32c4783853e9228d07d24fd xmlns="56c1edf6-be81-452d-a18a-873408006b75">
      <Terms xmlns="http://schemas.microsoft.com/office/infopath/2007/PartnerControls">
        <TermInfo xmlns="http://schemas.microsoft.com/office/infopath/2007/PartnerControls">
          <TermName xmlns="http://schemas.microsoft.com/office/infopath/2007/PartnerControls">Modello</TermName>
          <TermId xmlns="http://schemas.microsoft.com/office/infopath/2007/PartnerControls">e4ed0d71-d8b7-4b95-acbb-0d70ef5ae075</TermId>
        </TermInfo>
      </Terms>
    </cedb35f1b32c4783853e9228d07d24fd>
    <Visibile xmlns="56c1edf6-be81-452d-a18a-873408006b75">true</Visibile>
    <Ordinamento xmlns="56c1edf6-be81-452d-a18a-873408006b75">31</Ordinamento>
    <o25eb73e229f4d10b877d5ec762fb0a4 xmlns="56c1edf6-be81-452d-a18a-873408006b75">
      <Terms xmlns="http://schemas.microsoft.com/office/infopath/2007/PartnerControls">
        <TermInfo xmlns="http://schemas.microsoft.com/office/infopath/2007/PartnerControls">
          <TermName xmlns="http://schemas.microsoft.com/office/infopath/2007/PartnerControls">Modelli atti</TermName>
          <TermId xmlns="http://schemas.microsoft.com/office/infopath/2007/PartnerControls">357a3e39-d738-4c8b-bd62-3777cd798c3a</TermId>
        </TermInfo>
      </Terms>
    </o25eb73e229f4d10b877d5ec762fb0a4>
    <Descrizione xmlns="56c1edf6-be81-452d-a18a-873408006b75" xsi:nil="true"/>
    <InEvidenza xmlns="56c1edf6-be81-452d-a18a-873408006b75">false</InEvidenza>
    <hb75f49a3b8e4a5db108f81032febda4 xmlns="56c1edf6-be81-452d-a18a-873408006b75">
      <Terms xmlns="http://schemas.microsoft.com/office/infopath/2007/PartnerControls"/>
    </hb75f49a3b8e4a5db108f81032febda4>
    <TaxCatchAll xmlns="500022df-510b-49f4-9c25-770d1af90034">
      <Value>206</Value>
      <Value>393</Value>
    </TaxCatchAll>
  </documentManagement>
</p:properties>
</file>

<file path=customXml/item7.xml>��< ? x m l   v e r s i o n = " 1 . 0 "   e n c o d i n g = " u t f - 1 6 " ? > < O n e O f f i x x D o c u m e n t P a r t   x m l n s : x s d = " h t t p : / / w w w . w 3 . o r g / 2 0 0 1 / X M L S c h e m a "   x m l n s : x s i = " h t t p : / / w w w . w 3 . o r g / 2 0 0 1 / X M L S c h e m a - i n s t a n c e "   i d = " 5 6 e 6 3 8 e 8 - 2 8 a c - 4 6 c c - 8 3 0 b - c 6 f 5 d 9 0 0 f e e d "   t I d = " a 3 6 2 a 5 d 4 - 9 5 8 9 - 4 1 b f - a 4 e 6 - 4 f 8 7 c 4 e 4 1 2 3 9 "   i n t e r n a l T I d = " 9 0 6 4 c c 7 f - 3 1 6 d - 4 6 b 1 - a 4 a c - 7 4 8 6 0 c 3 f 8 a 5 b "   m t I d = " 2 7 5 a f 3 2 e - b c 4 0 - 4 5 c 2 - 8 5 b 7 - a f b 1 c 0 3 8 2 6 5 3 "   r e v i s i o n = " 0 "   c r e a t e d m a j o r v e r s i o n = " 0 "   c r e a t e d m i n o r v e r s i o n = " 0 "   c r e a t e d = " 2 0 2 1 - 0 5 - 2 8 T 0 7 : 4 4 : 2 5 . 2 6 4 7 7 7 6 Z "   m o d i f i e d m a j o r v e r s i o n = " 0 "   m o d i f i e d m i n o r v e r s i o n = " 0 "   m o d i f i e d = " 0 0 0 1 - 0 1 - 0 1 T 0 0 : 0 0 : 0 0 "   p r o f i l e = " 7 9 d 0 7 7 0 6 - 0 b d d - 4 0 8 1 - 8 e c 7 - 0 8 4 b 6 9 8 d a 5 0 6 " 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M e s s a g g i o   n .   8 1 9 4   d e l   0 5   o t t o 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M e s s a g g i o ] ] > < / T e x t >  
                 < T e x t   i d = " C u s t o m E l e m e n t s . F i e l d s . T i t o l o 2 "   l a b e l = " C u s t o m E l e m e n t s . F i e l d s . T i t o l o 2 " > < ! [ C D A T A [ M e s s a g g i o   n .   8 1 9 4   d e l   5   o t t o b r e   2 0 2 2 ] ] > < / T e x t >  
             < / S c r i p t i n g >  
             < S c r i p t i n g >  
                 < T e x t   i d = " C u s t o m E l e m e n t s . T e x t s . D r a f t "   l a b e l = " C u s t o m E l e m e n t s . T e x t s . D r a f t " > < ! [ C D A T A [ B o z z a ] ] > < / T e x t >  
                 < T e x t   i d = " C u s t o m E l e m e n t s . F i e l d s . D i p a r t i m e n t i "   l a b e l = " C u s t o m E l e m e n t s . F i e l d s . D i p a r t i m e n t i " > < ! [ C D A T A [   ] ] > < / T e x t >  
                 < T e x t   i d = " C u s t o m E l e m e n t s . F i e l d s . T i t o l o 1 "   l a b e l = " C u s t o m E l e m e n t s . F i e l d s . T i t o l o 1 " > < ! [ C D A T A [   ] ] > < / T e x t >  
                 < T e x t   i d = " C u s t o m E l e m e n t s . F i e l d s . T i t o l o 2 "   l a b e l = " C u s t o m E l e m e n t s . F i e l d s . T i t o l o 2 " > < ! [ C D A T A [   ] ] > < / T e x t >  
             < / S c r i p t i n g >  
             < P r o f i l e >  
                 < T e x t   i d = " P r o f i l e . I d "   l a b e l = " P r o f i l e . I d " > < ! [ C D A T A [ 7 9 d 0 7 7 0 6 - 0 b d d - 4 0 8 1 - 8 e c 7 - 0 8 4 b 6 9 8 d a 5 0 6 ] ] > < / T e x t >  
                 < T e x t   i d = " P r o f i l e . O r g a n i z a t i o n U n i t I d "   l a b e l = " P r o f i l e . O r g a n i z a t i o n U n i t I d " > < ! [ C D A T A [ f 7 6 b 5 5 8 d - 2 d 0 c - 4 3 f 0 - b 0 1 0 - 6 6 c 0 7 a f 7 d 1 2 3 ] ] > < / T e x t >  
                 < T e x t   i d = " P r o f i l e . O r g . E m a i l "   l a b e l = " P r o f i l e . O r g . E m a i l " > < ! [ C D A T A [ c a n - s c @ t i . c h ] ] > < / T e x t >  
                 < T e x t   i d = " P r o f i l e . O r g . F a x "   l a b e l = " P r o f i l e . O r g . F a x " > < ! [ C D A T A [ + 4 1   9 1   8 1 4   4 4   3 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C o n s i g l i o   d i   S t a t o ] ] > < / T e x t >  
                 < T e x t   i d = " P r o f i l e . O r g . P h o n e "   l a b e l = " P r o f i l e . O r g . P h o n e " > < ! [ C D A T A [ + 4 1   9 1   8 1 4   4 1   1 1 ] ] > < / 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w w w . t i . c h / c a n ] ] > < / T e x t >  
                 < T e x t   i d = " P r o f i l e . U s e r . A l i a s "   l a b e l = " P r o f i l e . U s e r . A l i a s " > < ! [ C D A T A [   ] ] > < / T e x t >  
                 < T e x t   i d = " P r o f i l e . U s e r . E m a i l "   l a b e l = " P r o f i l e . U s e r . E m a i l " > < ! [ C D A T A [ p a o l a . f u s a r o l i @ t i . c h ] ] > < / T e x t >  
                 < T e x t   i d = " P r o f i l e . U s e r . F i r s t N a m e "   l a b e l = " P r o f i l e . U s e r . F i r s t N a m e " > < ! [ C D A T A [ P a o l a ] ] > < / T e x t >  
                 < T e x t   i d = " P r o f i l e . U s e r . F u n c t i o n "   l a b e l = " P r o f i l e . U s e r . F u n c t i o n " > < ! [ C D A T A [ C A N - S T C A N C ] ] > < / T e x t >  
                 < T e x t   i d = " P r o f i l e . U s e r . L a s t N a m e "   l a b e l = " P r o f i l e . U s e r . L a s t N a m e " > < ! [ C D A T A [ D e   M a r c h i - F u s a r o l i ] ] > < / T e x t >  
                 < T e x t   i d = " P r o f i l e . U s e r . M o b i l e "   l a b e l = " P r o f i l e . U s e r . M o b i l e " > < ! [ C D A T A [   ] ] > < / T e x t >  
                 < T e x t   i d = " P r o f i l e . U s e r . P h o n e "   l a b e l = " P r o f i l e . U s e r . P h o n e " > < ! [ C D A T A [ + 4 1 9 1 8 1 4 3 1 6 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p a o l a . f u s a r o l i @ t i . c h ] ] > < / T e x t >  
                 < T e x t   i d = " A u t h o r . U s e r . F i r s t N a m e "   l a b e l = " A u t h o r . U s e r . F i r s t N a m e " > < ! [ C D A T A [ P a o l a ] ] > < / T e x t >  
                 < T e x t   i d = " A u t h o r . U s e r . F u n c t i o n "   l a b e l = " A u t h o r . U s e r . F u n c t i o n " > < ! [ C D A T A [ C A N - S T C A N C ] ] > < / T e x t >  
                 < T e x t   i d = " A u t h o r . U s e r . L a s t N a m e "   l a b e l = " A u t h o r . U s e r . L a s t N a m e " > < ! [ C D A T A [ D e   M a r c h i - F u s a r o l i ] ] > < / T e x t >  
                 < T e x t   i d = " A u t h o r . U s e r . M o b i l e "   l a b e l = " A u t h o r . U s e r . M o b i l e " > < ! [ C D A T A [   ] ] > < / T e x t >  
                 < T e x t   i d = " A u t h o r . U s e r . P h o n e "   l a b e l = " A u t h o r . U s e r . P h o n e " > < ! [ C D A T A [ + 4 1 9 1 8 1 4 3 1 6 6 ] ] > < / T e x t >  
                 < T e x t   i d = " A u t h o r . U s e r . S a l u t a t i o n "   l a b e l = " A u t h o r . U s e r . S a l u t a t i o n " > < ! [ C D A T A [   ] ] > < / T e x t >  
                 < T e x t   i d = " A u t h o r . U s e r . T i t l e "   l a b e l = " A u t h o r . U s e r . T i t l e " > < ! [ C D A T A [   ] ] > < / T e x t >  
             < / A u t h o r >  
             < S i g n e r _ 0 >  
                 < T e x t   i d = " S i g n e r _ 0 . I d "   l a b e l = " S i g n e r _ 0 . I d " > < ! [ C D A T A [ 7 9 d 0 7 7 0 6 - 0 b d d - 4 0 8 1 - 8 e c 7 - 0 8 4 b 6 9 8 d a 5 0 6 ] ] > < / T e x t >  
                 < T e x t   i d = " S i g n e r _ 0 . O r g a n i z a t i o n U n i t I d "   l a b e l = " S i g n e r _ 0 . O r g a n i z a t i o n U n i t I d " > < ! [ C D A T A [ f 7 6 b 5 5 8 d - 2 d 0 c - 4 3 f 0 - b 0 1 0 - 6 6 c 0 7 a f 7 d 1 2 3 ] ] > < / T e x t >  
                 < T e x t   i d = " S i g n e r _ 0 . O r g . E m a i l "   l a b e l = " S i g n e r _ 0 . O r g . E m a i l " > < ! [ C D A T A [ c a n - s c @ t i . c h ] ] > < / T e x t >  
                 < T e x t   i d = " S i g n e r _ 0 . O r g . F a x "   l a b e l = " S i g n e r _ 0 . O r g . F a x " > < ! [ C D A T A [ + 4 1   9 1   8 1 4   4 4   3 5 ] ] > < / 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C o n s i g l i o   d i   S t a t o ] ] > < / T e x t >  
                 < T e x t   i d = " S i g n e r _ 0 . O r g . P h o n e "   l a b e l = " S i g n e r _ 0 . O r g . P h o n e " > < ! [ C D A T A [ + 4 1   9 1   8 1 4   4 1   1 1 ] ] > < / 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w w w . t i . c h / c a n ] ] > < / T e x t >  
                 < T e x t   i d = " S i g n e r _ 0 . U s e r . A l i a s "   l a b e l = " S i g n e r _ 0 . U s e r . A l i a s " > < ! [ C D A T A [   ] ] > < / T e x t >  
                 < T e x t   i d = " S i g n e r _ 0 . U s e r . E m a i l "   l a b e l = " S i g n e r _ 0 . U s e r . E m a i l " > < ! [ C D A T A [ p a o l a . f u s a r o l i @ t i . c h ] ] > < / T e x t >  
                 < T e x t   i d = " S i g n e r _ 0 . U s e r . F i r s t N a m e "   l a b e l = " S i g n e r _ 0 . U s e r . F i r s t N a m e " > < ! [ C D A T A [ P a o l a ] ] > < / T e x t >  
                 < T e x t   i d = " S i g n e r _ 0 . U s e r . F u n c t i o n "   l a b e l = " S i g n e r _ 0 . U s e r . F u n c t i o n " > < ! [ C D A T A [ C A N - S T C A N C ] ] > < / T e x t >  
                 < T e x t   i d = " S i g n e r _ 0 . U s e r . L a s t N a m e "   l a b e l = " S i g n e r _ 0 . U s e r . L a s t N a m e " > < ! [ C D A T A [ D e   M a r c h i - F u s a r o l i ] ] > < / T e x t >  
                 < T e x t   i d = " S i g n e r _ 0 . U s e r . M o b i l e "   l a b e l = " S i g n e r _ 0 . U s e r . M o b i l e " > < ! [ C D A T A [   ] ] > < / T e x t >  
                 < T e x t   i d = " S i g n e r _ 0 . U s e r . P h o n e "   l a b e l = " S i g n e r _ 0 . U s e r . P h o n e " > < ! [ C D A T A [ + 4 1 9 1 8 1 4 3 1 6 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 2 0 2 2 - 1 0 - 0 5 T 0 0 : 0 0 : 0 0 Z < / D a t e T i m e >  
                 < T e x t   i d = " D o c P a r a m . N u m b e r " > < ! [ C D A T A [ 8 1 9 4 ] ] > < / T e x t >  
                 < T e x t   i d = " D o c P a r a m . D o c u m e n t o " > < ! [ C D A T A [ M e s s a g g i 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782F-2078-4199-84EC-EBBDBD4E7BDE}">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F12437EA-2D6D-47DB-AD95-03D68DE0C7BF}">
  <ds:schemaRefs>
    <ds:schemaRef ds:uri="http://schemas.microsoft.com/sharepoint/v3/contenttype/forms"/>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7878367C-9D17-4106-94F2-A59B17580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1edf6-be81-452d-a18a-873408006b75"/>
    <ds:schemaRef ds:uri="500022df-510b-49f4-9c25-770d1af90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6.xml><?xml version="1.0" encoding="utf-8"?>
<ds:datastoreItem xmlns:ds="http://schemas.openxmlformats.org/officeDocument/2006/customXml" ds:itemID="{998F89A7-BE5E-4860-A973-2352D7F8C038}">
  <ds:schemaRefs>
    <ds:schemaRef ds:uri="500022df-510b-49f4-9c25-770d1af90034"/>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6c1edf6-be81-452d-a18a-873408006b75"/>
    <ds:schemaRef ds:uri="http://purl.org/dc/terms/"/>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0D255929-AA8A-433D-9ED5-D7C8B2A841CE}">
  <ds:schemaRefs>
    <ds:schemaRef ds:uri="http://www.w3.org/2001/XMLSchema"/>
    <ds:schemaRef ds:uri="http://schema.oneoffixx.com/OneOffixxDocumentPart/1"/>
    <ds:schemaRef ds:uri=""/>
  </ds:schemaRefs>
</ds:datastoreItem>
</file>

<file path=customXml/itemProps8.xml><?xml version="1.0" encoding="utf-8"?>
<ds:datastoreItem xmlns:ds="http://schemas.openxmlformats.org/officeDocument/2006/customXml" ds:itemID="{36FC1BBD-E28C-4629-AC3F-E4AA87DC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ec2ac610-663e-4830-9e2c-762b62738331.dotx</Template>
  <TotalTime>13</TotalTime>
  <Pages>8</Pages>
  <Words>2905</Words>
  <Characters>16563</Characters>
  <Application>Microsoft Office Word</Application>
  <DocSecurity>0</DocSecurity>
  <Lines>138</Lines>
  <Paragraphs>38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Messaggio governativo DFE</vt: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Messaggio governativo DFE</dc:title>
  <dc:creator>Fusaroli Paola / T105694</dc:creator>
  <cp:lastModifiedBy>Alioli Anna</cp:lastModifiedBy>
  <cp:revision>17</cp:revision>
  <cp:lastPrinted>2022-10-06T12:42:00Z</cp:lastPrinted>
  <dcterms:created xsi:type="dcterms:W3CDTF">2022-10-06T05:59:00Z</dcterms:created>
  <dcterms:modified xsi:type="dcterms:W3CDTF">2022-10-06T13:33:00Z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0x0101009ADC68158AE22443B0736413669B69B5</vt:lpwstr>
  </property>
  <property fmtid="{D5CDD505-2E9C-101B-9397-08002B2CF9AE}" pid="4" name="PosizionamentoTAG">
    <vt:lpwstr>393;#Modelli atti|357a3e39-d738-4c8b-bd62-3777cd798c3a</vt:lpwstr>
  </property>
  <property fmtid="{D5CDD505-2E9C-101B-9397-08002B2CF9AE}" pid="5" name="UA">
    <vt:lpwstr/>
  </property>
  <property fmtid="{D5CDD505-2E9C-101B-9397-08002B2CF9AE}" pid="6" name="Tipologia">
    <vt:lpwstr>206;#Modello|e4ed0d71-d8b7-4b95-acbb-0d70ef5ae075</vt:lpwstr>
  </property>
</Properties>
</file>