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C1C64" w14:textId="77777777" w:rsidR="008F52AF" w:rsidRPr="0023436A" w:rsidRDefault="00491D95" w:rsidP="00D33940">
      <w:pPr>
        <w:pStyle w:val="StandardRisoluzionedelConsigliodiStato"/>
        <w:ind w:right="-1"/>
        <w:rPr>
          <w:b/>
          <w:sz w:val="28"/>
          <w:szCs w:val="28"/>
        </w:rPr>
      </w:pPr>
      <w:bookmarkStart w:id="0" w:name="_GoBack"/>
      <w:bookmarkEnd w:id="0"/>
      <w:r>
        <w:rPr>
          <w:b/>
          <w:sz w:val="28"/>
          <w:szCs w:val="28"/>
        </w:rPr>
        <w:t xml:space="preserve">Rapporto sulla mozione del 13 marzo 2019 presentata da </w:t>
      </w:r>
      <w:r w:rsidR="00F36BCC">
        <w:rPr>
          <w:b/>
          <w:sz w:val="28"/>
          <w:szCs w:val="28"/>
        </w:rPr>
        <w:t xml:space="preserve">Matteo Pronzini </w:t>
      </w:r>
      <w:r>
        <w:rPr>
          <w:b/>
          <w:sz w:val="28"/>
          <w:szCs w:val="28"/>
        </w:rPr>
        <w:t>“Reparti AMI: revocare con effetto immediato la fatturazione ai degenti della partecipazione di fr. 30.- giornalieri”</w:t>
      </w:r>
    </w:p>
    <w:p w14:paraId="1AFA13DA" w14:textId="77777777" w:rsidR="00D649A8" w:rsidRPr="00D63171" w:rsidRDefault="00D649A8" w:rsidP="00D33940">
      <w:pPr>
        <w:pStyle w:val="StandardRisoluzionedelConsigliodiStato"/>
        <w:ind w:right="-1"/>
      </w:pPr>
    </w:p>
    <w:p w14:paraId="06D85EC7" w14:textId="77777777" w:rsidR="00993310" w:rsidRDefault="00993310" w:rsidP="00993310">
      <w:pPr>
        <w:pStyle w:val="StandardRisoluzionedelConsigliodiStato"/>
        <w:ind w:right="-1"/>
      </w:pPr>
      <w:r>
        <w:t>Signor</w:t>
      </w:r>
      <w:r w:rsidR="001C6870">
        <w:t>a</w:t>
      </w:r>
      <w:r>
        <w:t xml:space="preserve"> Presidente,</w:t>
      </w:r>
    </w:p>
    <w:p w14:paraId="35B89DD5" w14:textId="77777777" w:rsidR="00993310" w:rsidRPr="006F2A27" w:rsidRDefault="00993310" w:rsidP="00993310">
      <w:pPr>
        <w:rPr>
          <w:sz w:val="24"/>
        </w:rPr>
      </w:pPr>
      <w:r w:rsidRPr="006F2A27">
        <w:rPr>
          <w:sz w:val="24"/>
        </w:rPr>
        <w:t xml:space="preserve">signore e signori </w:t>
      </w:r>
      <w:r>
        <w:rPr>
          <w:sz w:val="24"/>
        </w:rPr>
        <w:t>d</w:t>
      </w:r>
      <w:r w:rsidRPr="006F2A27">
        <w:rPr>
          <w:sz w:val="24"/>
        </w:rPr>
        <w:t>eputati,</w:t>
      </w:r>
    </w:p>
    <w:p w14:paraId="068BCE4C" w14:textId="77777777" w:rsidR="00993310" w:rsidRPr="006F2A27" w:rsidRDefault="00993310" w:rsidP="00993310">
      <w:pPr>
        <w:rPr>
          <w:sz w:val="24"/>
        </w:rPr>
      </w:pPr>
    </w:p>
    <w:p w14:paraId="3C75EBE3" w14:textId="77777777" w:rsidR="00F36BCC" w:rsidRDefault="00F36BCC" w:rsidP="00F36BCC">
      <w:pPr>
        <w:rPr>
          <w:sz w:val="24"/>
        </w:rPr>
      </w:pPr>
      <w:r>
        <w:rPr>
          <w:sz w:val="24"/>
        </w:rPr>
        <w:t>la mozione in oggetto prende spunto dalla sentenza del Tribunale amministrativo federale del 25 febbraio 2019</w:t>
      </w:r>
      <w:r>
        <w:rPr>
          <w:rStyle w:val="Rimandonotaapidipagina"/>
          <w:sz w:val="24"/>
        </w:rPr>
        <w:footnoteReference w:id="1"/>
      </w:r>
      <w:r>
        <w:rPr>
          <w:sz w:val="24"/>
        </w:rPr>
        <w:t xml:space="preserve"> che aveva accolto il ricorso presentato da una clinica privata contro il Decreto legislativo concernente l’elenco degli istituti autorizzati ad esercitare a carico dell’assicurazione obbligatoria contro le malattie del 15 dicembre 2015. </w:t>
      </w:r>
    </w:p>
    <w:p w14:paraId="621109C9" w14:textId="77777777" w:rsidR="00F36BCC" w:rsidRDefault="00F36BCC" w:rsidP="00F36BCC">
      <w:pPr>
        <w:rPr>
          <w:sz w:val="24"/>
        </w:rPr>
      </w:pPr>
      <w:r>
        <w:rPr>
          <w:sz w:val="24"/>
        </w:rPr>
        <w:t>In particolare, la clinica aveva contestato l’attribuzione di 60 letti di cure acute di minore intensità in quanto questa nuova categoria di fornitori di prestazioni:</w:t>
      </w:r>
    </w:p>
    <w:p w14:paraId="42B141C1" w14:textId="77777777" w:rsidR="00F36BCC" w:rsidRDefault="00F36BCC" w:rsidP="00F36BCC">
      <w:pPr>
        <w:pStyle w:val="Paragrafoelenco"/>
        <w:numPr>
          <w:ilvl w:val="0"/>
          <w:numId w:val="19"/>
        </w:numPr>
        <w:ind w:left="284" w:hanging="284"/>
        <w:rPr>
          <w:sz w:val="24"/>
        </w:rPr>
      </w:pPr>
      <w:r w:rsidRPr="00F36BCC">
        <w:rPr>
          <w:sz w:val="24"/>
        </w:rPr>
        <w:t xml:space="preserve">non </w:t>
      </w:r>
      <w:r>
        <w:rPr>
          <w:sz w:val="24"/>
        </w:rPr>
        <w:t xml:space="preserve">era </w:t>
      </w:r>
      <w:r w:rsidRPr="00F36BCC">
        <w:rPr>
          <w:sz w:val="24"/>
        </w:rPr>
        <w:t>supportat</w:t>
      </w:r>
      <w:r>
        <w:rPr>
          <w:sz w:val="24"/>
        </w:rPr>
        <w:t>a</w:t>
      </w:r>
      <w:r w:rsidRPr="00F36BCC">
        <w:rPr>
          <w:sz w:val="24"/>
        </w:rPr>
        <w:t xml:space="preserve"> da uno studio sul fabbisogno</w:t>
      </w:r>
      <w:r>
        <w:rPr>
          <w:sz w:val="24"/>
        </w:rPr>
        <w:t>;</w:t>
      </w:r>
      <w:r w:rsidRPr="00F36BCC">
        <w:rPr>
          <w:sz w:val="24"/>
        </w:rPr>
        <w:t xml:space="preserve"> </w:t>
      </w:r>
    </w:p>
    <w:p w14:paraId="25346BDF" w14:textId="77777777" w:rsidR="00F36BCC" w:rsidRDefault="00F36BCC" w:rsidP="00F36BCC">
      <w:pPr>
        <w:pStyle w:val="Paragrafoelenco"/>
        <w:numPr>
          <w:ilvl w:val="0"/>
          <w:numId w:val="19"/>
        </w:numPr>
        <w:ind w:left="284" w:hanging="284"/>
        <w:rPr>
          <w:sz w:val="24"/>
        </w:rPr>
      </w:pPr>
      <w:r>
        <w:rPr>
          <w:sz w:val="24"/>
        </w:rPr>
        <w:t xml:space="preserve">era inserita </w:t>
      </w:r>
      <w:r w:rsidRPr="00F36BCC">
        <w:rPr>
          <w:sz w:val="24"/>
        </w:rPr>
        <w:t xml:space="preserve">in </w:t>
      </w:r>
      <w:r>
        <w:rPr>
          <w:sz w:val="24"/>
        </w:rPr>
        <w:t>una r</w:t>
      </w:r>
      <w:r w:rsidRPr="00F36BCC">
        <w:rPr>
          <w:sz w:val="24"/>
        </w:rPr>
        <w:t>ealtà ospedalier</w:t>
      </w:r>
      <w:r>
        <w:rPr>
          <w:sz w:val="24"/>
        </w:rPr>
        <w:t>a</w:t>
      </w:r>
      <w:r w:rsidRPr="00F36BCC">
        <w:rPr>
          <w:sz w:val="24"/>
        </w:rPr>
        <w:t xml:space="preserve"> (art. 39 cpv. 1 LAMal)</w:t>
      </w:r>
      <w:r>
        <w:rPr>
          <w:sz w:val="24"/>
        </w:rPr>
        <w:t>, ma pianificata in numero di letti e non per prestazioni;</w:t>
      </w:r>
    </w:p>
    <w:p w14:paraId="671B0CEC" w14:textId="77777777" w:rsidR="00F36BCC" w:rsidRDefault="00F36BCC" w:rsidP="00F36BCC">
      <w:pPr>
        <w:pStyle w:val="Paragrafoelenco"/>
        <w:numPr>
          <w:ilvl w:val="0"/>
          <w:numId w:val="19"/>
        </w:numPr>
        <w:ind w:left="284" w:hanging="284"/>
        <w:rPr>
          <w:sz w:val="24"/>
        </w:rPr>
      </w:pPr>
      <w:r>
        <w:rPr>
          <w:sz w:val="24"/>
        </w:rPr>
        <w:t xml:space="preserve">era </w:t>
      </w:r>
      <w:r w:rsidRPr="00F36BCC">
        <w:rPr>
          <w:sz w:val="24"/>
        </w:rPr>
        <w:t>finanzia</w:t>
      </w:r>
      <w:r>
        <w:rPr>
          <w:sz w:val="24"/>
        </w:rPr>
        <w:t>ta in base al costo per giornata come avviene</w:t>
      </w:r>
      <w:r w:rsidRPr="00F36BCC">
        <w:rPr>
          <w:sz w:val="24"/>
        </w:rPr>
        <w:t xml:space="preserve"> </w:t>
      </w:r>
      <w:r>
        <w:rPr>
          <w:sz w:val="24"/>
        </w:rPr>
        <w:t>per l</w:t>
      </w:r>
      <w:r w:rsidRPr="00F36BCC">
        <w:rPr>
          <w:sz w:val="24"/>
        </w:rPr>
        <w:t>e case di cura (art. 39 cpv. 3 LAMal)</w:t>
      </w:r>
      <w:r>
        <w:rPr>
          <w:sz w:val="24"/>
        </w:rPr>
        <w:t xml:space="preserve"> e non secondo il sistema tariffale SwissDRG</w:t>
      </w:r>
      <w:r w:rsidRPr="00F36BCC">
        <w:rPr>
          <w:sz w:val="24"/>
        </w:rPr>
        <w:t>.</w:t>
      </w:r>
    </w:p>
    <w:p w14:paraId="13CB9B72" w14:textId="77777777" w:rsidR="00F36BCC" w:rsidRDefault="00F36BCC" w:rsidP="00993310">
      <w:pPr>
        <w:rPr>
          <w:sz w:val="24"/>
        </w:rPr>
      </w:pPr>
      <w:r>
        <w:rPr>
          <w:sz w:val="24"/>
        </w:rPr>
        <w:t xml:space="preserve">La sentenza ha ritenuto valide le motivazioni della ricorrente e ha concluso che i reparti acuti di minore intensità, così come inseriti nella legislazione cantonale, costituiscono una forma ibrida di fornitore di prestazioni che viola il diritto federale. </w:t>
      </w:r>
    </w:p>
    <w:p w14:paraId="05171280" w14:textId="77777777" w:rsidR="00122E48" w:rsidRDefault="00122E48" w:rsidP="00993310">
      <w:pPr>
        <w:rPr>
          <w:sz w:val="24"/>
        </w:rPr>
      </w:pPr>
    </w:p>
    <w:p w14:paraId="612D60CF" w14:textId="77777777" w:rsidR="00F36BCC" w:rsidRDefault="00F36BCC" w:rsidP="00993310">
      <w:pPr>
        <w:rPr>
          <w:sz w:val="24"/>
        </w:rPr>
      </w:pPr>
      <w:r>
        <w:rPr>
          <w:sz w:val="24"/>
        </w:rPr>
        <w:t>La mozione, richiamando la sentenza, chiede quindi l’abolizione immediata della fatturazione al paziente di fr. 30.- per ogni giornata di degenza trascorsa in un reparto acuto di minore intensità.</w:t>
      </w:r>
    </w:p>
    <w:p w14:paraId="24E7DAC4" w14:textId="77777777" w:rsidR="00F36BCC" w:rsidRDefault="00F36BCC" w:rsidP="00F36BCC">
      <w:pPr>
        <w:rPr>
          <w:sz w:val="24"/>
        </w:rPr>
      </w:pPr>
    </w:p>
    <w:p w14:paraId="6DC04474" w14:textId="77777777" w:rsidR="003C4A38" w:rsidRDefault="003C4A38" w:rsidP="00F36BCC">
      <w:pPr>
        <w:rPr>
          <w:sz w:val="24"/>
        </w:rPr>
      </w:pPr>
    </w:p>
    <w:p w14:paraId="040EF946" w14:textId="77777777" w:rsidR="00993310" w:rsidRPr="00F36BCC" w:rsidRDefault="00993310" w:rsidP="00F36BCC">
      <w:pPr>
        <w:pStyle w:val="Paragrafoelenco"/>
        <w:numPr>
          <w:ilvl w:val="0"/>
          <w:numId w:val="20"/>
        </w:numPr>
        <w:ind w:left="567" w:hanging="567"/>
        <w:rPr>
          <w:b/>
          <w:sz w:val="24"/>
          <w:szCs w:val="24"/>
        </w:rPr>
      </w:pPr>
      <w:r w:rsidRPr="00F36BCC">
        <w:rPr>
          <w:b/>
          <w:sz w:val="24"/>
          <w:szCs w:val="24"/>
        </w:rPr>
        <w:t>INTRODUZIONE</w:t>
      </w:r>
    </w:p>
    <w:p w14:paraId="4D7DB1E5" w14:textId="77777777" w:rsidR="00993310" w:rsidRPr="002E4857" w:rsidRDefault="00993310" w:rsidP="00993310">
      <w:pPr>
        <w:rPr>
          <w:sz w:val="24"/>
          <w:szCs w:val="24"/>
        </w:rPr>
      </w:pPr>
    </w:p>
    <w:p w14:paraId="6A1E7242" w14:textId="3F4B76B7" w:rsidR="00122E48" w:rsidRDefault="00F36BCC" w:rsidP="00F36BCC">
      <w:pPr>
        <w:rPr>
          <w:rFonts w:cs="Arial"/>
          <w:sz w:val="24"/>
          <w:szCs w:val="24"/>
        </w:rPr>
      </w:pPr>
      <w:r>
        <w:rPr>
          <w:rFonts w:cs="Arial"/>
          <w:sz w:val="24"/>
          <w:szCs w:val="24"/>
        </w:rPr>
        <w:t xml:space="preserve">Al fine di contestualizzare meglio la tematica si ritiene opportuno ripercorrere brevemente la genesi </w:t>
      </w:r>
      <w:r w:rsidRPr="00F36BCC">
        <w:rPr>
          <w:rFonts w:cs="Arial"/>
          <w:sz w:val="24"/>
          <w:szCs w:val="24"/>
        </w:rPr>
        <w:t>dei reparti Acuti di minore intensità (AMI)</w:t>
      </w:r>
      <w:r w:rsidR="00122E48">
        <w:rPr>
          <w:rFonts w:cs="Arial"/>
          <w:sz w:val="24"/>
          <w:szCs w:val="24"/>
        </w:rPr>
        <w:t xml:space="preserve">. </w:t>
      </w:r>
      <w:r w:rsidRPr="00F36BCC">
        <w:rPr>
          <w:rFonts w:cs="Arial"/>
          <w:sz w:val="24"/>
          <w:szCs w:val="24"/>
        </w:rPr>
        <w:t xml:space="preserve">Il progetto finale approvato dal Parlamento </w:t>
      </w:r>
      <w:r>
        <w:rPr>
          <w:rFonts w:cs="Arial"/>
          <w:sz w:val="24"/>
          <w:szCs w:val="24"/>
        </w:rPr>
        <w:t xml:space="preserve">con il Decreto legislativo del 15 dicembre 2015 soprammenzionato, inseriva </w:t>
      </w:r>
      <w:r w:rsidRPr="00F36BCC">
        <w:rPr>
          <w:rFonts w:cs="Arial"/>
          <w:sz w:val="24"/>
          <w:szCs w:val="24"/>
        </w:rPr>
        <w:t xml:space="preserve">nella categoria AMI i letti provenienti da reparti acuti di medicina di base situati presso l’Ente </w:t>
      </w:r>
      <w:r w:rsidR="007E288D">
        <w:rPr>
          <w:rFonts w:cs="Arial"/>
          <w:sz w:val="24"/>
          <w:szCs w:val="24"/>
        </w:rPr>
        <w:t>Os</w:t>
      </w:r>
      <w:r w:rsidRPr="00F36BCC">
        <w:rPr>
          <w:rFonts w:cs="Arial"/>
          <w:sz w:val="24"/>
          <w:szCs w:val="24"/>
        </w:rPr>
        <w:t xml:space="preserve">pedaliero </w:t>
      </w:r>
      <w:r w:rsidR="007E288D">
        <w:rPr>
          <w:rFonts w:cs="Arial"/>
          <w:sz w:val="24"/>
          <w:szCs w:val="24"/>
        </w:rPr>
        <w:t>C</w:t>
      </w:r>
      <w:r w:rsidRPr="00F36BCC">
        <w:rPr>
          <w:rFonts w:cs="Arial"/>
          <w:sz w:val="24"/>
          <w:szCs w:val="24"/>
        </w:rPr>
        <w:t xml:space="preserve">antonale, sedi di Acquarossa, Mendrisio e Locarno per un totale di 75 letti e presso le cliniche private: Malcantonese di Castelrotto 30 letti; Varini di Orselina 30 letti e Luganese, sede di S. Rocco 60 letti. Questa trasformazione si </w:t>
      </w:r>
      <w:r>
        <w:rPr>
          <w:rFonts w:cs="Arial"/>
          <w:sz w:val="24"/>
          <w:szCs w:val="24"/>
        </w:rPr>
        <w:t xml:space="preserve">era </w:t>
      </w:r>
      <w:r w:rsidRPr="00F36BCC">
        <w:rPr>
          <w:rFonts w:cs="Arial"/>
          <w:sz w:val="24"/>
          <w:szCs w:val="24"/>
        </w:rPr>
        <w:t xml:space="preserve">resa necessaria dopo aver preso atto delle risultanze dello studio sul fabbisogno (previsto dall’art. 58b OAMal e commissionato alla </w:t>
      </w:r>
      <w:r w:rsidR="00640EC9">
        <w:rPr>
          <w:rFonts w:cs="Arial"/>
          <w:sz w:val="24"/>
          <w:szCs w:val="24"/>
        </w:rPr>
        <w:t>Direzione della sanità del Canton Zurigo – GD-ZH</w:t>
      </w:r>
      <w:r w:rsidRPr="00F36BCC">
        <w:rPr>
          <w:rFonts w:cs="Arial"/>
          <w:sz w:val="24"/>
          <w:szCs w:val="24"/>
        </w:rPr>
        <w:t xml:space="preserve">) che </w:t>
      </w:r>
      <w:r>
        <w:rPr>
          <w:rFonts w:cs="Arial"/>
          <w:sz w:val="24"/>
          <w:szCs w:val="24"/>
        </w:rPr>
        <w:t>aveva</w:t>
      </w:r>
      <w:r w:rsidRPr="00F36BCC">
        <w:rPr>
          <w:rFonts w:cs="Arial"/>
          <w:sz w:val="24"/>
          <w:szCs w:val="24"/>
        </w:rPr>
        <w:t xml:space="preserve"> evidenziato con orizzonte temporale 2020 una diminuzione di giornate di cura per la popolazione ticinese valutata attorno al 18% (in particolare a causa del progresso tecnologico e medico che influenza la durata della degenza media e al trasferimento di </w:t>
      </w:r>
      <w:r w:rsidRPr="00F36BCC">
        <w:rPr>
          <w:rFonts w:cs="Arial"/>
          <w:sz w:val="24"/>
          <w:szCs w:val="24"/>
        </w:rPr>
        <w:lastRenderedPageBreak/>
        <w:t xml:space="preserve">trattamenti dal settore stazionario al settore ambulatoriale) per un totale di circa 76'000 giornate, corrispondenti a 250 posti-letto. </w:t>
      </w:r>
    </w:p>
    <w:p w14:paraId="2D12468A" w14:textId="77777777" w:rsidR="00122E48" w:rsidRDefault="00122E48" w:rsidP="00F36BCC">
      <w:pPr>
        <w:rPr>
          <w:rFonts w:cs="Arial"/>
          <w:sz w:val="24"/>
          <w:szCs w:val="24"/>
        </w:rPr>
      </w:pPr>
    </w:p>
    <w:p w14:paraId="3128D993" w14:textId="77777777" w:rsidR="00F36BCC" w:rsidRDefault="00F36BCC" w:rsidP="00F36BCC">
      <w:pPr>
        <w:rPr>
          <w:rFonts w:cs="Arial"/>
          <w:sz w:val="24"/>
          <w:szCs w:val="24"/>
        </w:rPr>
      </w:pPr>
      <w:r w:rsidRPr="00F36BCC">
        <w:rPr>
          <w:rFonts w:cs="Arial"/>
          <w:sz w:val="24"/>
          <w:szCs w:val="24"/>
        </w:rPr>
        <w:t xml:space="preserve">La proposta pianificatoria avrebbe potuto prevedere la semplice chiusura dei letti in esubero, ma il Cantone ha tenuto conto di altre esigenze, in particolare della situazione </w:t>
      </w:r>
      <w:r w:rsidR="00122E48">
        <w:rPr>
          <w:rFonts w:cs="Arial"/>
          <w:sz w:val="24"/>
          <w:szCs w:val="24"/>
        </w:rPr>
        <w:t>non pienamente s</w:t>
      </w:r>
      <w:r w:rsidRPr="00F36BCC">
        <w:rPr>
          <w:rFonts w:cs="Arial"/>
          <w:sz w:val="24"/>
          <w:szCs w:val="24"/>
        </w:rPr>
        <w:t xml:space="preserve">oddisfacente nel settore della post-cura. Da un lato un’analisi effettuata dall’Ufficio del medico cantonale aveva evidenziato ospedalizzazioni improprie nel settore somatico-acuto e dall’altro lato i 4 reparti di cure acute e transitorie </w:t>
      </w:r>
      <w:r>
        <w:rPr>
          <w:rFonts w:cs="Arial"/>
          <w:sz w:val="24"/>
          <w:szCs w:val="24"/>
        </w:rPr>
        <w:t xml:space="preserve">(CAT) </w:t>
      </w:r>
      <w:r w:rsidRPr="00F36BCC">
        <w:rPr>
          <w:rFonts w:cs="Arial"/>
          <w:sz w:val="24"/>
          <w:szCs w:val="24"/>
        </w:rPr>
        <w:t xml:space="preserve">situati nelle case per anziani per un totale di 60 posti letto, si dimostravano insufficienti dal punto di vista </w:t>
      </w:r>
      <w:r w:rsidR="00122E48">
        <w:rPr>
          <w:rFonts w:cs="Arial"/>
          <w:sz w:val="24"/>
          <w:szCs w:val="24"/>
        </w:rPr>
        <w:t xml:space="preserve">quantitativo </w:t>
      </w:r>
      <w:r w:rsidRPr="00F36BCC">
        <w:rPr>
          <w:rFonts w:cs="Arial"/>
          <w:sz w:val="24"/>
          <w:szCs w:val="24"/>
        </w:rPr>
        <w:t>e inadeguati dal punt</w:t>
      </w:r>
      <w:r w:rsidR="00122E48">
        <w:rPr>
          <w:rFonts w:cs="Arial"/>
          <w:sz w:val="24"/>
          <w:szCs w:val="24"/>
        </w:rPr>
        <w:t>o vista strutturale e di livello</w:t>
      </w:r>
      <w:r w:rsidRPr="00F36BCC">
        <w:rPr>
          <w:rFonts w:cs="Arial"/>
          <w:sz w:val="24"/>
          <w:szCs w:val="24"/>
        </w:rPr>
        <w:t xml:space="preserve"> delle cure erogate</w:t>
      </w:r>
      <w:r>
        <w:rPr>
          <w:rFonts w:cs="Arial"/>
          <w:sz w:val="24"/>
          <w:szCs w:val="24"/>
        </w:rPr>
        <w:t xml:space="preserve">. Di conseguenza </w:t>
      </w:r>
      <w:r w:rsidRPr="00F36BCC">
        <w:rPr>
          <w:rFonts w:cs="Arial"/>
          <w:sz w:val="24"/>
          <w:szCs w:val="24"/>
        </w:rPr>
        <w:t xml:space="preserve">si è optato, </w:t>
      </w:r>
      <w:r>
        <w:rPr>
          <w:rFonts w:cs="Arial"/>
          <w:sz w:val="24"/>
          <w:szCs w:val="24"/>
        </w:rPr>
        <w:t xml:space="preserve">anche </w:t>
      </w:r>
      <w:r w:rsidRPr="00F36BCC">
        <w:rPr>
          <w:rFonts w:cs="Arial"/>
          <w:sz w:val="24"/>
          <w:szCs w:val="24"/>
        </w:rPr>
        <w:t xml:space="preserve">su suggerimento </w:t>
      </w:r>
      <w:r>
        <w:rPr>
          <w:rFonts w:cs="Arial"/>
          <w:sz w:val="24"/>
          <w:szCs w:val="24"/>
        </w:rPr>
        <w:t>degli assicuratori malattia</w:t>
      </w:r>
      <w:r w:rsidRPr="00F36BCC">
        <w:rPr>
          <w:rFonts w:cs="Arial"/>
          <w:sz w:val="24"/>
          <w:szCs w:val="24"/>
        </w:rPr>
        <w:t>, per la creazione di istituti di cura conformi alla LAMal (cfr. art. 39 cpv. 3)</w:t>
      </w:r>
      <w:r>
        <w:rPr>
          <w:rFonts w:cs="Arial"/>
          <w:sz w:val="24"/>
          <w:szCs w:val="24"/>
        </w:rPr>
        <w:t xml:space="preserve">, “ribattezzati” dal Gran Consiglio in reparti acuti di minore intensità </w:t>
      </w:r>
      <w:r w:rsidR="00640EC9">
        <w:rPr>
          <w:rFonts w:cs="Arial"/>
          <w:sz w:val="24"/>
          <w:szCs w:val="24"/>
        </w:rPr>
        <w:t xml:space="preserve">(RAMI) </w:t>
      </w:r>
      <w:r>
        <w:rPr>
          <w:rFonts w:cs="Arial"/>
          <w:sz w:val="24"/>
          <w:szCs w:val="24"/>
        </w:rPr>
        <w:t>per richiamare la loro c</w:t>
      </w:r>
      <w:r w:rsidR="003C4A38">
        <w:rPr>
          <w:rFonts w:cs="Arial"/>
          <w:sz w:val="24"/>
          <w:szCs w:val="24"/>
        </w:rPr>
        <w:t xml:space="preserve">ollocazione presso </w:t>
      </w:r>
      <w:r w:rsidR="00122E48">
        <w:rPr>
          <w:rFonts w:cs="Arial"/>
          <w:sz w:val="24"/>
          <w:szCs w:val="24"/>
        </w:rPr>
        <w:t xml:space="preserve">strutture </w:t>
      </w:r>
      <w:r w:rsidR="003C4A38">
        <w:rPr>
          <w:rFonts w:cs="Arial"/>
          <w:sz w:val="24"/>
          <w:szCs w:val="24"/>
        </w:rPr>
        <w:t>ospedali</w:t>
      </w:r>
      <w:r w:rsidR="00122E48">
        <w:rPr>
          <w:rFonts w:cs="Arial"/>
          <w:sz w:val="24"/>
          <w:szCs w:val="24"/>
        </w:rPr>
        <w:t>ere</w:t>
      </w:r>
      <w:r w:rsidRPr="00F36BCC">
        <w:rPr>
          <w:rFonts w:cs="Arial"/>
          <w:sz w:val="24"/>
          <w:szCs w:val="24"/>
        </w:rPr>
        <w:t xml:space="preserve">. </w:t>
      </w:r>
      <w:r>
        <w:rPr>
          <w:rFonts w:cs="Arial"/>
          <w:sz w:val="24"/>
          <w:szCs w:val="24"/>
        </w:rPr>
        <w:t xml:space="preserve">Questi reparti sono destinati ad accogliere </w:t>
      </w:r>
      <w:r w:rsidRPr="00F36BCC">
        <w:rPr>
          <w:rFonts w:cs="Arial"/>
          <w:sz w:val="24"/>
          <w:szCs w:val="24"/>
        </w:rPr>
        <w:t>pazienti dimessi dall’ospedale somatico-acuto, ma non ancora pronti per ritornare al loro domicilio</w:t>
      </w:r>
      <w:r w:rsidR="00122E48">
        <w:rPr>
          <w:rFonts w:cs="Arial"/>
          <w:sz w:val="24"/>
          <w:szCs w:val="24"/>
        </w:rPr>
        <w:t>,</w:t>
      </w:r>
      <w:r w:rsidRPr="00F36BCC">
        <w:rPr>
          <w:rFonts w:cs="Arial"/>
          <w:sz w:val="24"/>
          <w:szCs w:val="24"/>
        </w:rPr>
        <w:t xml:space="preserve"> o provenienti dal domicilio, ma che non necessariamente </w:t>
      </w:r>
      <w:r>
        <w:rPr>
          <w:rFonts w:cs="Arial"/>
          <w:sz w:val="24"/>
          <w:szCs w:val="24"/>
        </w:rPr>
        <w:t>necessitano una degenza</w:t>
      </w:r>
      <w:r w:rsidRPr="00F36BCC">
        <w:rPr>
          <w:rFonts w:cs="Arial"/>
          <w:sz w:val="24"/>
          <w:szCs w:val="24"/>
        </w:rPr>
        <w:t xml:space="preserve"> in un ospedale somatico-acuto</w:t>
      </w:r>
      <w:r>
        <w:rPr>
          <w:rFonts w:cs="Arial"/>
          <w:sz w:val="24"/>
          <w:szCs w:val="24"/>
        </w:rPr>
        <w:t>.</w:t>
      </w:r>
    </w:p>
    <w:p w14:paraId="072FB426" w14:textId="77777777" w:rsidR="00993310" w:rsidRDefault="00993310" w:rsidP="00993310">
      <w:pPr>
        <w:rPr>
          <w:sz w:val="24"/>
          <w:szCs w:val="24"/>
        </w:rPr>
      </w:pPr>
    </w:p>
    <w:p w14:paraId="4C1EBDD1" w14:textId="77777777" w:rsidR="003C4A38" w:rsidRPr="002E4857" w:rsidRDefault="003C4A38" w:rsidP="00993310">
      <w:pPr>
        <w:rPr>
          <w:sz w:val="24"/>
          <w:szCs w:val="24"/>
        </w:rPr>
      </w:pPr>
    </w:p>
    <w:p w14:paraId="5264D49D" w14:textId="77777777" w:rsidR="00F36BCC" w:rsidRPr="00F36BCC" w:rsidRDefault="00F36BCC" w:rsidP="00F36BCC">
      <w:pPr>
        <w:pStyle w:val="ListNumeric12"/>
        <w:numPr>
          <w:ilvl w:val="0"/>
          <w:numId w:val="20"/>
        </w:numPr>
        <w:ind w:left="567" w:hanging="567"/>
        <w:rPr>
          <w:b/>
        </w:rPr>
      </w:pPr>
      <w:r>
        <w:rPr>
          <w:b/>
        </w:rPr>
        <w:t>FATTURAZIONE DELLE PRESTAZIONI E PARTECIPAZIONE DEL PAZIENTE</w:t>
      </w:r>
    </w:p>
    <w:p w14:paraId="013D7523" w14:textId="77777777" w:rsidR="00993310" w:rsidRDefault="00993310" w:rsidP="00993310"/>
    <w:p w14:paraId="2DC37AFC" w14:textId="77777777" w:rsidR="00993310" w:rsidRDefault="00F36BCC" w:rsidP="00F36BCC">
      <w:pPr>
        <w:pStyle w:val="StandardRisoluzionedelConsigliodiStato"/>
        <w:ind w:right="-1"/>
        <w:rPr>
          <w:szCs w:val="24"/>
        </w:rPr>
      </w:pPr>
      <w:r>
        <w:rPr>
          <w:szCs w:val="24"/>
        </w:rPr>
        <w:t xml:space="preserve">Nei </w:t>
      </w:r>
      <w:r w:rsidR="00640EC9">
        <w:rPr>
          <w:szCs w:val="24"/>
        </w:rPr>
        <w:t>RAMI</w:t>
      </w:r>
      <w:r>
        <w:rPr>
          <w:szCs w:val="24"/>
        </w:rPr>
        <w:t xml:space="preserve"> le prestazioni sanitarie sono fatturate all’atto, come se fossero dispensate in regime ambulatoriale e come se il paziente fosse ricoverato in una casa di cura, mentre le spese di albergheria sono assunte dall’ente pubblico che richiede al paziente una partecipazione di fr. 30.- al giorno (massimo fr. 600.- all’anno). Si ricorda che nei reparti CAT la partecipazione è di fr. 50.- al giorno senza limiti annui e nelle case per anziani ammonta al minimo a fr. 84.- al giorno, pure evidentemente senza limiti annui.</w:t>
      </w:r>
    </w:p>
    <w:p w14:paraId="3F51E306" w14:textId="77777777" w:rsidR="00122E48" w:rsidRDefault="00122E48" w:rsidP="00F36BCC">
      <w:pPr>
        <w:pStyle w:val="StandardRisoluzionedelConsigliodiStato"/>
        <w:ind w:right="-1"/>
        <w:rPr>
          <w:szCs w:val="24"/>
        </w:rPr>
      </w:pPr>
    </w:p>
    <w:p w14:paraId="437F3B7A" w14:textId="77777777" w:rsidR="00F36BCC" w:rsidRDefault="00F36BCC" w:rsidP="00F36BCC">
      <w:pPr>
        <w:pStyle w:val="StandardRisoluzionedelConsigliodiStato"/>
        <w:ind w:right="-1"/>
        <w:rPr>
          <w:szCs w:val="24"/>
        </w:rPr>
      </w:pPr>
      <w:r>
        <w:rPr>
          <w:szCs w:val="24"/>
        </w:rPr>
        <w:t>Non è corretto paragonare il soggiorno RAMI al soggiorno ospedaliero e alle conseguenti partecipazioni ai costi (fr. 15.- al giorno, più franchigia e 10% delle fatture), poiché la partecipazione richiesta al pazi</w:t>
      </w:r>
      <w:r w:rsidR="00122E48">
        <w:rPr>
          <w:szCs w:val="24"/>
        </w:rPr>
        <w:t>ente persegue obiettivi diversi:</w:t>
      </w:r>
      <w:r>
        <w:rPr>
          <w:szCs w:val="24"/>
        </w:rPr>
        <w:t xml:space="preserve"> nel caso delle strutture post-acute contribuisce al finanziamento delle spese alberghiere e viene fatturata e incassata direttamente dai fornitori di prestazioni, nel caso delle strutture acute (somatiche, psichiatriche e di riabilitazione), la partecipazione è versata all’assicuratore permettendo così un contenimento dei premi dell’assicurazione malattia.</w:t>
      </w:r>
    </w:p>
    <w:p w14:paraId="031994D6" w14:textId="77777777" w:rsidR="00F36BCC" w:rsidRDefault="00F36BCC" w:rsidP="00F36BCC">
      <w:pPr>
        <w:pStyle w:val="StandardRisoluzionedelConsigliodiStato"/>
        <w:ind w:right="-1"/>
        <w:rPr>
          <w:szCs w:val="24"/>
        </w:rPr>
      </w:pPr>
    </w:p>
    <w:p w14:paraId="076F7D3C" w14:textId="77777777" w:rsidR="003C4A38" w:rsidRDefault="003C4A38" w:rsidP="00F36BCC">
      <w:pPr>
        <w:pStyle w:val="StandardRisoluzionedelConsigliodiStato"/>
        <w:ind w:right="-1"/>
        <w:rPr>
          <w:szCs w:val="24"/>
        </w:rPr>
      </w:pPr>
    </w:p>
    <w:p w14:paraId="5B240FB5" w14:textId="77777777" w:rsidR="00F36BCC" w:rsidRPr="00F36BCC" w:rsidRDefault="00F36BCC" w:rsidP="00F36BCC">
      <w:pPr>
        <w:pStyle w:val="StandardRisoluzionedelConsigliodiStato"/>
        <w:numPr>
          <w:ilvl w:val="0"/>
          <w:numId w:val="20"/>
        </w:numPr>
        <w:ind w:left="567" w:right="-1" w:hanging="567"/>
        <w:rPr>
          <w:b/>
          <w:szCs w:val="24"/>
        </w:rPr>
      </w:pPr>
      <w:r w:rsidRPr="00F36BCC">
        <w:rPr>
          <w:b/>
          <w:szCs w:val="24"/>
        </w:rPr>
        <w:t xml:space="preserve"> FINANZIAMENTO DEI REPARTI AMI</w:t>
      </w:r>
    </w:p>
    <w:p w14:paraId="117B8A55" w14:textId="77777777" w:rsidR="00F36BCC" w:rsidRDefault="00F36BCC" w:rsidP="00F36BCC">
      <w:pPr>
        <w:pStyle w:val="StandardRisoluzionedelConsigliodiStato"/>
        <w:ind w:right="-1"/>
        <w:rPr>
          <w:szCs w:val="24"/>
        </w:rPr>
      </w:pPr>
    </w:p>
    <w:p w14:paraId="4B76A589" w14:textId="77777777" w:rsidR="00F36BCC" w:rsidRDefault="00F36BCC" w:rsidP="00F36BCC">
      <w:pPr>
        <w:pStyle w:val="StandardRisoluzionedelConsigliodiStato"/>
        <w:ind w:right="-1"/>
        <w:rPr>
          <w:szCs w:val="24"/>
        </w:rPr>
      </w:pPr>
      <w:r>
        <w:rPr>
          <w:szCs w:val="24"/>
        </w:rPr>
        <w:t xml:space="preserve">Il principio della partecipazione del paziente alle degenze RAMI è codificato nella LCAMal </w:t>
      </w:r>
    </w:p>
    <w:p w14:paraId="21B95DA0" w14:textId="77777777" w:rsidR="00F36BCC" w:rsidRDefault="00F36BCC" w:rsidP="00F36BCC">
      <w:pPr>
        <w:pStyle w:val="StandardRisoluzionedelConsigliodiStato"/>
        <w:ind w:right="-1"/>
        <w:rPr>
          <w:szCs w:val="24"/>
        </w:rPr>
      </w:pPr>
      <w:r>
        <w:rPr>
          <w:szCs w:val="24"/>
        </w:rPr>
        <w:t xml:space="preserve">all’art. 66e bis, </w:t>
      </w:r>
      <w:r w:rsidR="00122E48">
        <w:rPr>
          <w:szCs w:val="24"/>
        </w:rPr>
        <w:t>che ha il tenore seguente</w:t>
      </w:r>
      <w:r>
        <w:rPr>
          <w:szCs w:val="24"/>
        </w:rPr>
        <w:t>:</w:t>
      </w:r>
    </w:p>
    <w:p w14:paraId="5F498955" w14:textId="77777777" w:rsidR="00F36BCC" w:rsidRDefault="00F36BCC" w:rsidP="00F36BCC">
      <w:pPr>
        <w:pStyle w:val="NormaleWeb"/>
        <w:shd w:val="clear" w:color="auto" w:fill="FFFFFF"/>
        <w:spacing w:before="0" w:beforeAutospacing="0" w:after="0" w:afterAutospacing="0"/>
        <w:ind w:right="187"/>
        <w:jc w:val="both"/>
        <w:rPr>
          <w:rFonts w:ascii="Arial" w:eastAsiaTheme="minorHAnsi" w:hAnsi="Arial" w:cstheme="minorBidi"/>
          <w:lang w:eastAsia="en-US"/>
        </w:rPr>
      </w:pPr>
    </w:p>
    <w:p w14:paraId="2326634A" w14:textId="77777777" w:rsidR="00F36BCC" w:rsidRDefault="00F36BCC" w:rsidP="00F36BCC">
      <w:pPr>
        <w:pStyle w:val="NormaleWeb"/>
        <w:shd w:val="clear" w:color="auto" w:fill="FFFFFF"/>
        <w:spacing w:before="0" w:beforeAutospacing="0" w:after="0" w:afterAutospacing="0"/>
        <w:ind w:right="187"/>
        <w:jc w:val="both"/>
        <w:rPr>
          <w:rFonts w:ascii="Arial" w:hAnsi="Arial" w:cs="Arial"/>
          <w:color w:val="000000"/>
          <w:sz w:val="20"/>
          <w:szCs w:val="20"/>
        </w:rPr>
      </w:pPr>
      <w:r>
        <w:rPr>
          <w:rFonts w:ascii="Arial" w:hAnsi="Arial" w:cs="Arial"/>
          <w:b/>
          <w:bCs/>
          <w:color w:val="000000"/>
          <w:sz w:val="20"/>
          <w:szCs w:val="20"/>
        </w:rPr>
        <w:t>Prestazioni erogate dai reparti acuti di minore intensità</w:t>
      </w:r>
    </w:p>
    <w:p w14:paraId="12BBC675" w14:textId="77777777" w:rsidR="00F36BCC" w:rsidRDefault="00F36BCC" w:rsidP="00F36BCC">
      <w:pPr>
        <w:pStyle w:val="NormaleWeb"/>
        <w:shd w:val="clear" w:color="auto" w:fill="FFFFFF"/>
        <w:spacing w:before="0" w:beforeAutospacing="0" w:after="0" w:afterAutospacing="0"/>
        <w:ind w:right="187"/>
        <w:jc w:val="both"/>
        <w:rPr>
          <w:rFonts w:ascii="Arial" w:hAnsi="Arial" w:cs="Arial"/>
          <w:color w:val="000000"/>
          <w:sz w:val="20"/>
          <w:szCs w:val="20"/>
        </w:rPr>
      </w:pPr>
      <w:r>
        <w:rPr>
          <w:rFonts w:ascii="Arial" w:hAnsi="Arial" w:cs="Arial"/>
          <w:b/>
          <w:bCs/>
          <w:color w:val="000000"/>
          <w:sz w:val="20"/>
          <w:szCs w:val="20"/>
        </w:rPr>
        <w:t>Art. 66e bis</w:t>
      </w:r>
      <w:bookmarkStart w:id="1" w:name="_ftnref133"/>
      <w:bookmarkEnd w:id="1"/>
      <w:r w:rsidR="003C4A38">
        <w:rPr>
          <w:rFonts w:ascii="Arial" w:hAnsi="Arial" w:cs="Arial"/>
          <w:color w:val="000000"/>
          <w:sz w:val="13"/>
          <w:szCs w:val="13"/>
          <w:vertAlign w:val="superscript"/>
        </w:rPr>
        <w:t xml:space="preserve"> </w:t>
      </w:r>
      <w:r>
        <w:rPr>
          <w:rFonts w:ascii="Arial" w:hAnsi="Arial" w:cs="Arial"/>
          <w:color w:val="000000"/>
          <w:sz w:val="20"/>
          <w:szCs w:val="20"/>
        </w:rPr>
        <w:t>Il contributo globale è stabilito tenendo conto:</w:t>
      </w:r>
    </w:p>
    <w:p w14:paraId="48B92F4D" w14:textId="77777777" w:rsidR="00F36BCC" w:rsidRDefault="00F36BCC" w:rsidP="00F36BCC">
      <w:pPr>
        <w:pStyle w:val="NormaleWeb"/>
        <w:numPr>
          <w:ilvl w:val="0"/>
          <w:numId w:val="22"/>
        </w:numPr>
        <w:shd w:val="clear" w:color="auto" w:fill="FFFFFF"/>
        <w:spacing w:before="0" w:beforeAutospacing="0" w:after="0" w:afterAutospacing="0"/>
        <w:ind w:right="187"/>
        <w:jc w:val="both"/>
        <w:rPr>
          <w:rFonts w:ascii="Arial" w:hAnsi="Arial" w:cs="Arial"/>
          <w:color w:val="000000"/>
          <w:sz w:val="20"/>
          <w:szCs w:val="20"/>
        </w:rPr>
      </w:pPr>
      <w:r>
        <w:rPr>
          <w:rFonts w:ascii="Arial" w:hAnsi="Arial" w:cs="Arial"/>
          <w:color w:val="000000"/>
          <w:sz w:val="20"/>
          <w:szCs w:val="20"/>
        </w:rPr>
        <w:t>dei costi:</w:t>
      </w:r>
    </w:p>
    <w:p w14:paraId="03586AAD" w14:textId="77777777" w:rsidR="00F36BCC" w:rsidRDefault="00F36BCC" w:rsidP="00F36BCC">
      <w:pPr>
        <w:pStyle w:val="NormaleWeb"/>
        <w:numPr>
          <w:ilvl w:val="0"/>
          <w:numId w:val="21"/>
        </w:numPr>
        <w:shd w:val="clear" w:color="auto" w:fill="FFFFFF"/>
        <w:spacing w:before="0" w:beforeAutospacing="0" w:after="0" w:afterAutospacing="0"/>
        <w:ind w:right="187"/>
        <w:jc w:val="both"/>
        <w:rPr>
          <w:rFonts w:ascii="Arial" w:hAnsi="Arial" w:cs="Arial"/>
          <w:color w:val="000000"/>
          <w:sz w:val="20"/>
          <w:szCs w:val="20"/>
        </w:rPr>
      </w:pPr>
      <w:r>
        <w:rPr>
          <w:rFonts w:ascii="Arial" w:hAnsi="Arial" w:cs="Arial"/>
          <w:color w:val="000000"/>
          <w:sz w:val="20"/>
          <w:szCs w:val="20"/>
        </w:rPr>
        <w:t>delle prestazioni di cura;</w:t>
      </w:r>
    </w:p>
    <w:p w14:paraId="7201302F" w14:textId="77777777" w:rsidR="00F36BCC" w:rsidRDefault="00F36BCC" w:rsidP="00F36BCC">
      <w:pPr>
        <w:pStyle w:val="NormaleWeb"/>
        <w:numPr>
          <w:ilvl w:val="0"/>
          <w:numId w:val="21"/>
        </w:numPr>
        <w:shd w:val="clear" w:color="auto" w:fill="FFFFFF"/>
        <w:spacing w:before="0" w:beforeAutospacing="0" w:after="0" w:afterAutospacing="0"/>
        <w:ind w:right="187"/>
        <w:jc w:val="both"/>
        <w:rPr>
          <w:rFonts w:ascii="Arial" w:hAnsi="Arial" w:cs="Arial"/>
          <w:color w:val="000000"/>
          <w:sz w:val="20"/>
          <w:szCs w:val="20"/>
        </w:rPr>
      </w:pPr>
      <w:r>
        <w:rPr>
          <w:rFonts w:ascii="Arial" w:hAnsi="Arial" w:cs="Arial"/>
          <w:color w:val="000000"/>
          <w:sz w:val="20"/>
          <w:szCs w:val="20"/>
        </w:rPr>
        <w:t>alberghieri;</w:t>
      </w:r>
    </w:p>
    <w:p w14:paraId="32A263E6" w14:textId="77777777" w:rsidR="00F36BCC" w:rsidRDefault="00F36BCC" w:rsidP="00F36BCC">
      <w:pPr>
        <w:pStyle w:val="NormaleWeb"/>
        <w:numPr>
          <w:ilvl w:val="0"/>
          <w:numId w:val="21"/>
        </w:numPr>
        <w:shd w:val="clear" w:color="auto" w:fill="FFFFFF"/>
        <w:spacing w:before="0" w:beforeAutospacing="0" w:after="0" w:afterAutospacing="0"/>
        <w:ind w:right="187"/>
        <w:jc w:val="both"/>
        <w:rPr>
          <w:rFonts w:ascii="Arial" w:hAnsi="Arial" w:cs="Arial"/>
          <w:color w:val="000000"/>
          <w:sz w:val="20"/>
          <w:szCs w:val="20"/>
        </w:rPr>
      </w:pPr>
      <w:r>
        <w:rPr>
          <w:rFonts w:ascii="Arial" w:hAnsi="Arial" w:cs="Arial"/>
          <w:color w:val="000000"/>
          <w:sz w:val="20"/>
          <w:szCs w:val="20"/>
        </w:rPr>
        <w:t>della formazione non universitaria;</w:t>
      </w:r>
    </w:p>
    <w:p w14:paraId="1ADF4CE4" w14:textId="4ECB84B6" w:rsidR="00F36BCC" w:rsidRDefault="00F36BCC" w:rsidP="00F36BCC">
      <w:pPr>
        <w:pStyle w:val="NormaleWeb"/>
        <w:numPr>
          <w:ilvl w:val="0"/>
          <w:numId w:val="21"/>
        </w:numPr>
        <w:shd w:val="clear" w:color="auto" w:fill="FFFFFF"/>
        <w:spacing w:before="0" w:beforeAutospacing="0" w:after="0" w:afterAutospacing="0"/>
        <w:ind w:right="187"/>
        <w:jc w:val="both"/>
        <w:rPr>
          <w:rFonts w:ascii="Arial" w:hAnsi="Arial" w:cs="Arial"/>
          <w:color w:val="000000"/>
          <w:sz w:val="20"/>
          <w:szCs w:val="20"/>
        </w:rPr>
      </w:pPr>
      <w:r>
        <w:rPr>
          <w:rFonts w:ascii="Arial" w:hAnsi="Arial" w:cs="Arial"/>
          <w:color w:val="000000"/>
          <w:sz w:val="20"/>
          <w:szCs w:val="20"/>
        </w:rPr>
        <w:t>d’investimento.</w:t>
      </w:r>
    </w:p>
    <w:p w14:paraId="70AF185F" w14:textId="37AB1600" w:rsidR="007E288D" w:rsidRDefault="007E288D" w:rsidP="007E288D">
      <w:pPr>
        <w:pStyle w:val="NormaleWeb"/>
        <w:shd w:val="clear" w:color="auto" w:fill="FFFFFF"/>
        <w:spacing w:before="0" w:beforeAutospacing="0" w:after="0" w:afterAutospacing="0"/>
        <w:ind w:left="720" w:right="187"/>
        <w:jc w:val="both"/>
        <w:rPr>
          <w:rFonts w:ascii="Arial" w:hAnsi="Arial" w:cs="Arial"/>
          <w:color w:val="000000"/>
          <w:sz w:val="20"/>
          <w:szCs w:val="20"/>
        </w:rPr>
      </w:pPr>
    </w:p>
    <w:p w14:paraId="3977C1D0" w14:textId="77777777" w:rsidR="007E288D" w:rsidRDefault="007E288D" w:rsidP="007E288D">
      <w:pPr>
        <w:pStyle w:val="NormaleWeb"/>
        <w:shd w:val="clear" w:color="auto" w:fill="FFFFFF"/>
        <w:spacing w:before="0" w:beforeAutospacing="0" w:after="0" w:afterAutospacing="0"/>
        <w:ind w:left="720" w:right="187"/>
        <w:jc w:val="both"/>
        <w:rPr>
          <w:rFonts w:ascii="Arial" w:hAnsi="Arial" w:cs="Arial"/>
          <w:color w:val="000000"/>
          <w:sz w:val="20"/>
          <w:szCs w:val="20"/>
        </w:rPr>
      </w:pPr>
    </w:p>
    <w:p w14:paraId="0395949C" w14:textId="77777777" w:rsidR="00F36BCC" w:rsidRDefault="00F36BCC" w:rsidP="00F36BCC">
      <w:pPr>
        <w:pStyle w:val="NormaleWeb"/>
        <w:numPr>
          <w:ilvl w:val="0"/>
          <w:numId w:val="22"/>
        </w:numPr>
        <w:shd w:val="clear" w:color="auto" w:fill="FFFFFF"/>
        <w:spacing w:before="0" w:beforeAutospacing="0" w:after="0" w:afterAutospacing="0"/>
        <w:ind w:right="187"/>
        <w:jc w:val="both"/>
        <w:rPr>
          <w:rFonts w:ascii="Arial" w:hAnsi="Arial" w:cs="Arial"/>
          <w:color w:val="000000"/>
          <w:sz w:val="20"/>
          <w:szCs w:val="20"/>
        </w:rPr>
      </w:pPr>
      <w:r>
        <w:rPr>
          <w:rFonts w:ascii="Arial" w:hAnsi="Arial" w:cs="Arial"/>
          <w:color w:val="000000"/>
          <w:sz w:val="20"/>
          <w:szCs w:val="20"/>
        </w:rPr>
        <w:lastRenderedPageBreak/>
        <w:t>delle seguenti entrate:</w:t>
      </w:r>
    </w:p>
    <w:p w14:paraId="1C72C69E" w14:textId="77777777" w:rsidR="00F36BCC" w:rsidRDefault="00F36BCC" w:rsidP="00F36BCC">
      <w:pPr>
        <w:pStyle w:val="NormaleWeb"/>
        <w:numPr>
          <w:ilvl w:val="0"/>
          <w:numId w:val="23"/>
        </w:numPr>
        <w:shd w:val="clear" w:color="auto" w:fill="FFFFFF"/>
        <w:spacing w:before="0" w:beforeAutospacing="0" w:after="0" w:afterAutospacing="0"/>
        <w:ind w:right="187"/>
        <w:jc w:val="both"/>
        <w:rPr>
          <w:rFonts w:ascii="Arial" w:hAnsi="Arial" w:cs="Arial"/>
          <w:color w:val="000000"/>
          <w:sz w:val="20"/>
          <w:szCs w:val="20"/>
        </w:rPr>
      </w:pPr>
      <w:r>
        <w:rPr>
          <w:rFonts w:ascii="Arial" w:hAnsi="Arial" w:cs="Arial"/>
          <w:color w:val="000000"/>
          <w:sz w:val="20"/>
          <w:szCs w:val="20"/>
        </w:rPr>
        <w:t>rimborso delle prestazioni mediche, infermieristiche, diagnostiche e terapeutiche sulla base di forfait stabiliti tramite convenzione (si vedano art. 67 e ss. LCAMal);</w:t>
      </w:r>
    </w:p>
    <w:p w14:paraId="7A3A59BC" w14:textId="77777777" w:rsidR="00F36BCC" w:rsidRPr="00F36BCC" w:rsidRDefault="00F36BCC" w:rsidP="00F36BCC">
      <w:pPr>
        <w:pStyle w:val="NormaleWeb"/>
        <w:numPr>
          <w:ilvl w:val="0"/>
          <w:numId w:val="23"/>
        </w:numPr>
        <w:shd w:val="clear" w:color="auto" w:fill="FFFFFF"/>
        <w:spacing w:before="0" w:beforeAutospacing="0" w:after="0" w:afterAutospacing="0"/>
        <w:ind w:right="187"/>
        <w:jc w:val="both"/>
        <w:rPr>
          <w:rFonts w:ascii="Arial" w:hAnsi="Arial" w:cs="Arial"/>
          <w:b/>
          <w:color w:val="000000"/>
          <w:sz w:val="20"/>
          <w:szCs w:val="20"/>
        </w:rPr>
      </w:pPr>
      <w:r w:rsidRPr="00F36BCC">
        <w:rPr>
          <w:rFonts w:ascii="Arial" w:hAnsi="Arial" w:cs="Arial"/>
          <w:b/>
          <w:color w:val="000000"/>
          <w:sz w:val="20"/>
          <w:szCs w:val="20"/>
        </w:rPr>
        <w:t>contributi a carico dei pazienti, stabiliti in CHF 30 a giornata per un massimo di CHF 600.- annui;</w:t>
      </w:r>
    </w:p>
    <w:p w14:paraId="2B91864C" w14:textId="77777777" w:rsidR="00F36BCC" w:rsidRDefault="00F36BCC" w:rsidP="00F36BCC">
      <w:pPr>
        <w:pStyle w:val="NormaleWeb"/>
        <w:numPr>
          <w:ilvl w:val="0"/>
          <w:numId w:val="23"/>
        </w:numPr>
        <w:shd w:val="clear" w:color="auto" w:fill="FFFFFF"/>
        <w:spacing w:before="0" w:beforeAutospacing="0" w:after="0" w:afterAutospacing="0"/>
        <w:ind w:right="187"/>
        <w:jc w:val="both"/>
        <w:rPr>
          <w:rFonts w:ascii="Arial" w:hAnsi="Arial" w:cs="Arial"/>
          <w:color w:val="000000"/>
          <w:sz w:val="20"/>
          <w:szCs w:val="20"/>
        </w:rPr>
      </w:pPr>
      <w:r>
        <w:rPr>
          <w:rFonts w:ascii="Arial" w:hAnsi="Arial" w:cs="Arial"/>
          <w:color w:val="000000"/>
          <w:sz w:val="20"/>
          <w:szCs w:val="20"/>
        </w:rPr>
        <w:t>altre partecipazioni assicurative;</w:t>
      </w:r>
    </w:p>
    <w:p w14:paraId="08D9D4F9" w14:textId="77777777" w:rsidR="00640EC9" w:rsidRDefault="00F36BCC" w:rsidP="003C4A38">
      <w:pPr>
        <w:pStyle w:val="NormaleWeb"/>
        <w:numPr>
          <w:ilvl w:val="0"/>
          <w:numId w:val="23"/>
        </w:numPr>
        <w:shd w:val="clear" w:color="auto" w:fill="FFFFFF"/>
        <w:spacing w:before="0" w:beforeAutospacing="0" w:after="0" w:afterAutospacing="0"/>
        <w:ind w:right="187"/>
        <w:jc w:val="both"/>
        <w:rPr>
          <w:rFonts w:ascii="Arial" w:hAnsi="Arial" w:cs="Arial"/>
          <w:color w:val="000000"/>
          <w:sz w:val="20"/>
          <w:szCs w:val="20"/>
        </w:rPr>
      </w:pPr>
      <w:r>
        <w:rPr>
          <w:rFonts w:ascii="Arial" w:hAnsi="Arial" w:cs="Arial"/>
          <w:color w:val="000000"/>
          <w:sz w:val="20"/>
          <w:szCs w:val="20"/>
        </w:rPr>
        <w:t>altri ricavi d’esercizio.</w:t>
      </w:r>
    </w:p>
    <w:p w14:paraId="27CC1340" w14:textId="77777777" w:rsidR="00122E48" w:rsidRPr="003C4A38" w:rsidRDefault="00122E48" w:rsidP="00122E48">
      <w:pPr>
        <w:pStyle w:val="NormaleWeb"/>
        <w:shd w:val="clear" w:color="auto" w:fill="FFFFFF"/>
        <w:spacing w:before="0" w:beforeAutospacing="0" w:after="0" w:afterAutospacing="0"/>
        <w:ind w:left="720" w:right="187"/>
        <w:jc w:val="both"/>
        <w:rPr>
          <w:rFonts w:ascii="Arial" w:hAnsi="Arial" w:cs="Arial"/>
          <w:color w:val="000000"/>
          <w:sz w:val="20"/>
          <w:szCs w:val="20"/>
        </w:rPr>
      </w:pPr>
    </w:p>
    <w:p w14:paraId="5B0B39F7" w14:textId="77777777" w:rsidR="00F36BCC" w:rsidRDefault="00F36BCC" w:rsidP="00F36BCC">
      <w:pPr>
        <w:pStyle w:val="StandardRisoluzionedelConsigliodiStato"/>
        <w:ind w:right="-1"/>
        <w:rPr>
          <w:szCs w:val="24"/>
        </w:rPr>
      </w:pPr>
      <w:r>
        <w:rPr>
          <w:szCs w:val="24"/>
        </w:rPr>
        <w:t xml:space="preserve">Giova ricordare che la sentenza del 25 febbraio 2019 citata in entrata, </w:t>
      </w:r>
      <w:r w:rsidR="004D371D">
        <w:rPr>
          <w:szCs w:val="24"/>
        </w:rPr>
        <w:t xml:space="preserve">non si è espressa </w:t>
      </w:r>
      <w:r>
        <w:rPr>
          <w:szCs w:val="24"/>
        </w:rPr>
        <w:t xml:space="preserve">a proposito delle modalità di </w:t>
      </w:r>
      <w:r w:rsidR="004D371D">
        <w:rPr>
          <w:szCs w:val="24"/>
        </w:rPr>
        <w:t xml:space="preserve">fatturazione. A pagina 30 </w:t>
      </w:r>
      <w:r>
        <w:rPr>
          <w:szCs w:val="24"/>
        </w:rPr>
        <w:t>si legge infatti</w:t>
      </w:r>
      <w:r w:rsidR="00640EC9">
        <w:rPr>
          <w:szCs w:val="24"/>
        </w:rPr>
        <w:t>:</w:t>
      </w:r>
    </w:p>
    <w:p w14:paraId="58BBB004" w14:textId="77777777" w:rsidR="00F36BCC" w:rsidRPr="004D371D" w:rsidRDefault="00F36BCC" w:rsidP="00F36BCC">
      <w:pPr>
        <w:suppressAutoHyphens w:val="0"/>
        <w:autoSpaceDE w:val="0"/>
        <w:autoSpaceDN w:val="0"/>
        <w:adjustRightInd w:val="0"/>
        <w:rPr>
          <w:rFonts w:cs="Arial"/>
          <w:i/>
          <w:sz w:val="24"/>
          <w:szCs w:val="24"/>
        </w:rPr>
      </w:pPr>
      <w:r w:rsidRPr="004D371D">
        <w:rPr>
          <w:i/>
          <w:szCs w:val="24"/>
        </w:rPr>
        <w:t>“</w:t>
      </w:r>
      <w:r w:rsidRPr="004D371D">
        <w:rPr>
          <w:rFonts w:cs="Arial"/>
          <w:i/>
          <w:sz w:val="24"/>
          <w:szCs w:val="24"/>
        </w:rPr>
        <w:t>A prescindere dalla problematica della compatibilità alla legge federale del metodo di fatturazione dei reparti acuti a minore intensità previsto all'art. 84a LCAMal (</w:t>
      </w:r>
      <w:r w:rsidRPr="004D371D">
        <w:rPr>
          <w:rFonts w:cs="Arial"/>
          <w:b/>
          <w:i/>
          <w:sz w:val="24"/>
          <w:szCs w:val="24"/>
        </w:rPr>
        <w:t>questione</w:t>
      </w:r>
      <w:r w:rsidR="004D371D" w:rsidRPr="004D371D">
        <w:rPr>
          <w:rFonts w:cs="Arial"/>
          <w:b/>
          <w:i/>
          <w:sz w:val="24"/>
          <w:szCs w:val="24"/>
        </w:rPr>
        <w:t xml:space="preserve"> </w:t>
      </w:r>
      <w:r w:rsidRPr="004D371D">
        <w:rPr>
          <w:rFonts w:cs="Arial"/>
          <w:b/>
          <w:i/>
          <w:sz w:val="24"/>
          <w:szCs w:val="24"/>
        </w:rPr>
        <w:t>che può essere lasciata indecisa in questa sede, la fattispecie in esame non riguardando tale problematica</w:t>
      </w:r>
      <w:r w:rsidRPr="004D371D">
        <w:rPr>
          <w:rFonts w:cs="Arial"/>
          <w:i/>
          <w:sz w:val="24"/>
          <w:szCs w:val="24"/>
        </w:rPr>
        <w:t>),[…]</w:t>
      </w:r>
      <w:r w:rsidR="004D371D" w:rsidRPr="004D371D">
        <w:rPr>
          <w:rFonts w:cs="Arial"/>
          <w:i/>
          <w:sz w:val="24"/>
          <w:szCs w:val="24"/>
        </w:rPr>
        <w:t>”</w:t>
      </w:r>
      <w:r w:rsidRPr="004D371D">
        <w:rPr>
          <w:rFonts w:cs="Arial"/>
          <w:i/>
          <w:sz w:val="24"/>
          <w:szCs w:val="24"/>
        </w:rPr>
        <w:t xml:space="preserve">. </w:t>
      </w:r>
    </w:p>
    <w:p w14:paraId="335C69E3" w14:textId="77777777" w:rsidR="00F36BCC" w:rsidRDefault="00F36BCC" w:rsidP="00F36BCC">
      <w:pPr>
        <w:suppressAutoHyphens w:val="0"/>
        <w:autoSpaceDE w:val="0"/>
        <w:autoSpaceDN w:val="0"/>
        <w:adjustRightInd w:val="0"/>
        <w:rPr>
          <w:rFonts w:cs="Arial"/>
          <w:sz w:val="24"/>
          <w:szCs w:val="24"/>
        </w:rPr>
      </w:pPr>
    </w:p>
    <w:p w14:paraId="7B56FA89" w14:textId="77777777" w:rsidR="00F36BCC" w:rsidRDefault="00F36BCC" w:rsidP="00F36BCC">
      <w:pPr>
        <w:suppressAutoHyphens w:val="0"/>
        <w:autoSpaceDE w:val="0"/>
        <w:autoSpaceDN w:val="0"/>
        <w:adjustRightInd w:val="0"/>
        <w:rPr>
          <w:rFonts w:cs="Arial"/>
          <w:sz w:val="24"/>
          <w:szCs w:val="24"/>
        </w:rPr>
      </w:pPr>
      <w:r>
        <w:rPr>
          <w:rFonts w:cs="Arial"/>
          <w:sz w:val="24"/>
          <w:szCs w:val="24"/>
        </w:rPr>
        <w:t xml:space="preserve">La sentenza </w:t>
      </w:r>
      <w:r w:rsidR="003C4A38">
        <w:rPr>
          <w:rFonts w:cs="Arial"/>
          <w:sz w:val="24"/>
          <w:szCs w:val="24"/>
        </w:rPr>
        <w:t xml:space="preserve">del TAF </w:t>
      </w:r>
      <w:r>
        <w:rPr>
          <w:rFonts w:cs="Arial"/>
          <w:sz w:val="24"/>
          <w:szCs w:val="24"/>
        </w:rPr>
        <w:t>non può quindi essere portata a sostegno della mozione in oggetto.</w:t>
      </w:r>
    </w:p>
    <w:p w14:paraId="52D64823" w14:textId="77777777" w:rsidR="003C4A38" w:rsidRDefault="003C4A38" w:rsidP="00F36BCC">
      <w:pPr>
        <w:suppressAutoHyphens w:val="0"/>
        <w:autoSpaceDE w:val="0"/>
        <w:autoSpaceDN w:val="0"/>
        <w:adjustRightInd w:val="0"/>
        <w:rPr>
          <w:rFonts w:cs="Arial"/>
          <w:sz w:val="24"/>
          <w:szCs w:val="24"/>
        </w:rPr>
      </w:pPr>
    </w:p>
    <w:p w14:paraId="019A55FD" w14:textId="77777777" w:rsidR="003C4A38" w:rsidRPr="003C4A38" w:rsidRDefault="003C4A38" w:rsidP="003C4A38">
      <w:pPr>
        <w:tabs>
          <w:tab w:val="left" w:pos="720"/>
        </w:tabs>
        <w:rPr>
          <w:rFonts w:cs="Arial"/>
          <w:sz w:val="24"/>
          <w:szCs w:val="24"/>
        </w:rPr>
      </w:pPr>
      <w:r w:rsidRPr="003C4A38">
        <w:rPr>
          <w:rFonts w:cs="Arial"/>
          <w:sz w:val="24"/>
          <w:szCs w:val="24"/>
        </w:rPr>
        <w:t xml:space="preserve">Il Messaggio n. 6945 del 26 maggio 2014 motivava la scelta della partecipazione giornaliera a carico del paziente di fr. 30.- come una soluzione a metà strada tra la partecipazione richiesta in ambito acuto e </w:t>
      </w:r>
      <w:r>
        <w:rPr>
          <w:rFonts w:cs="Arial"/>
          <w:sz w:val="24"/>
          <w:szCs w:val="24"/>
        </w:rPr>
        <w:t xml:space="preserve">quella richiesta </w:t>
      </w:r>
      <w:r w:rsidRPr="003C4A38">
        <w:rPr>
          <w:rFonts w:cs="Arial"/>
          <w:sz w:val="24"/>
          <w:szCs w:val="24"/>
        </w:rPr>
        <w:t xml:space="preserve">nei </w:t>
      </w:r>
      <w:r>
        <w:rPr>
          <w:rFonts w:cs="Arial"/>
          <w:sz w:val="24"/>
          <w:szCs w:val="24"/>
        </w:rPr>
        <w:t>CAT</w:t>
      </w:r>
      <w:r w:rsidR="004D371D">
        <w:rPr>
          <w:rFonts w:cs="Arial"/>
          <w:sz w:val="24"/>
          <w:szCs w:val="24"/>
        </w:rPr>
        <w:t>. I</w:t>
      </w:r>
      <w:r>
        <w:rPr>
          <w:rFonts w:cs="Arial"/>
          <w:sz w:val="24"/>
          <w:szCs w:val="24"/>
        </w:rPr>
        <w:t xml:space="preserve">l </w:t>
      </w:r>
      <w:r w:rsidRPr="003C4A38">
        <w:rPr>
          <w:rFonts w:cs="Arial"/>
          <w:sz w:val="24"/>
          <w:szCs w:val="24"/>
        </w:rPr>
        <w:t xml:space="preserve">limite massimo di </w:t>
      </w:r>
      <w:r>
        <w:rPr>
          <w:rFonts w:cs="Arial"/>
          <w:sz w:val="24"/>
          <w:szCs w:val="24"/>
        </w:rPr>
        <w:t>fr.</w:t>
      </w:r>
      <w:r w:rsidRPr="003C4A38">
        <w:rPr>
          <w:rFonts w:cs="Arial"/>
          <w:sz w:val="24"/>
          <w:szCs w:val="24"/>
        </w:rPr>
        <w:t xml:space="preserve"> 600 </w:t>
      </w:r>
      <w:r>
        <w:rPr>
          <w:rFonts w:cs="Arial"/>
          <w:sz w:val="24"/>
          <w:szCs w:val="24"/>
        </w:rPr>
        <w:t xml:space="preserve">.- </w:t>
      </w:r>
      <w:r w:rsidR="004D371D">
        <w:rPr>
          <w:rFonts w:cs="Arial"/>
          <w:sz w:val="24"/>
          <w:szCs w:val="24"/>
        </w:rPr>
        <w:t>all’anno</w:t>
      </w:r>
      <w:r w:rsidRPr="003C4A38">
        <w:rPr>
          <w:rFonts w:cs="Arial"/>
          <w:sz w:val="24"/>
          <w:szCs w:val="24"/>
        </w:rPr>
        <w:t xml:space="preserve"> corrisponde</w:t>
      </w:r>
      <w:r>
        <w:rPr>
          <w:rFonts w:cs="Arial"/>
          <w:sz w:val="24"/>
          <w:szCs w:val="24"/>
        </w:rPr>
        <w:t xml:space="preserve"> </w:t>
      </w:r>
      <w:r w:rsidR="004D371D">
        <w:rPr>
          <w:rFonts w:cs="Arial"/>
          <w:sz w:val="24"/>
          <w:szCs w:val="24"/>
        </w:rPr>
        <w:t xml:space="preserve">poi </w:t>
      </w:r>
      <w:r w:rsidRPr="003C4A38">
        <w:rPr>
          <w:rFonts w:cs="Arial"/>
          <w:sz w:val="24"/>
          <w:szCs w:val="24"/>
        </w:rPr>
        <w:t xml:space="preserve">al contributo per un ricovero della durata media </w:t>
      </w:r>
      <w:r>
        <w:rPr>
          <w:rFonts w:cs="Arial"/>
          <w:sz w:val="24"/>
          <w:szCs w:val="24"/>
        </w:rPr>
        <w:t xml:space="preserve">di degenza in un RAMI </w:t>
      </w:r>
      <w:r w:rsidRPr="003C4A38">
        <w:rPr>
          <w:rFonts w:cs="Arial"/>
          <w:sz w:val="24"/>
          <w:szCs w:val="24"/>
        </w:rPr>
        <w:t xml:space="preserve">di tre settimane. </w:t>
      </w:r>
      <w:r>
        <w:rPr>
          <w:rFonts w:cs="Arial"/>
          <w:sz w:val="24"/>
          <w:szCs w:val="24"/>
        </w:rPr>
        <w:t>Il Parlamento ha avallato questa scelta, accettandone il principio sancito nella modifica della LCAMal citata, il 15 dicembre 2015.</w:t>
      </w:r>
    </w:p>
    <w:p w14:paraId="18E17446" w14:textId="77777777" w:rsidR="003C4A38" w:rsidRDefault="003C4A38" w:rsidP="00F36BCC">
      <w:pPr>
        <w:suppressAutoHyphens w:val="0"/>
        <w:autoSpaceDE w:val="0"/>
        <w:autoSpaceDN w:val="0"/>
        <w:adjustRightInd w:val="0"/>
        <w:rPr>
          <w:rFonts w:cs="Arial"/>
          <w:sz w:val="24"/>
          <w:szCs w:val="24"/>
        </w:rPr>
      </w:pPr>
    </w:p>
    <w:p w14:paraId="1C365F19" w14:textId="77777777" w:rsidR="00F36BCC" w:rsidRDefault="00F36BCC" w:rsidP="00F36BCC">
      <w:pPr>
        <w:suppressAutoHyphens w:val="0"/>
        <w:autoSpaceDE w:val="0"/>
        <w:autoSpaceDN w:val="0"/>
        <w:adjustRightInd w:val="0"/>
        <w:rPr>
          <w:rFonts w:cs="Arial"/>
          <w:sz w:val="24"/>
          <w:szCs w:val="24"/>
        </w:rPr>
      </w:pPr>
    </w:p>
    <w:p w14:paraId="6CEB13DD" w14:textId="77777777" w:rsidR="00F36BCC" w:rsidRPr="00F36BCC" w:rsidRDefault="00F36BCC" w:rsidP="00F36BCC">
      <w:pPr>
        <w:pStyle w:val="Paragrafoelenco"/>
        <w:numPr>
          <w:ilvl w:val="0"/>
          <w:numId w:val="20"/>
        </w:numPr>
        <w:suppressAutoHyphens w:val="0"/>
        <w:autoSpaceDE w:val="0"/>
        <w:autoSpaceDN w:val="0"/>
        <w:adjustRightInd w:val="0"/>
        <w:ind w:left="567" w:hanging="567"/>
        <w:rPr>
          <w:rFonts w:cs="Arial"/>
          <w:b/>
          <w:sz w:val="24"/>
          <w:szCs w:val="24"/>
        </w:rPr>
      </w:pPr>
      <w:r w:rsidRPr="00F36BCC">
        <w:rPr>
          <w:rFonts w:cs="Arial"/>
          <w:b/>
          <w:sz w:val="24"/>
          <w:szCs w:val="24"/>
        </w:rPr>
        <w:t>SENTENZA DEL TRIBUNALE CANTONALE DELLE ASSICURAZIONI</w:t>
      </w:r>
    </w:p>
    <w:p w14:paraId="1165FC50" w14:textId="77777777" w:rsidR="00F36BCC" w:rsidRDefault="00F36BCC" w:rsidP="00F36BCC">
      <w:pPr>
        <w:suppressAutoHyphens w:val="0"/>
        <w:autoSpaceDE w:val="0"/>
        <w:autoSpaceDN w:val="0"/>
        <w:adjustRightInd w:val="0"/>
        <w:rPr>
          <w:rFonts w:cs="Arial"/>
          <w:sz w:val="24"/>
          <w:szCs w:val="24"/>
        </w:rPr>
      </w:pPr>
    </w:p>
    <w:p w14:paraId="108D3E0A" w14:textId="77777777" w:rsidR="00F36BCC" w:rsidRDefault="004D371D" w:rsidP="00F36BCC">
      <w:pPr>
        <w:suppressAutoHyphens w:val="0"/>
        <w:autoSpaceDE w:val="0"/>
        <w:autoSpaceDN w:val="0"/>
        <w:adjustRightInd w:val="0"/>
        <w:rPr>
          <w:rFonts w:cs="Arial"/>
          <w:sz w:val="24"/>
          <w:szCs w:val="24"/>
        </w:rPr>
      </w:pPr>
      <w:r>
        <w:rPr>
          <w:rFonts w:cs="Arial"/>
          <w:sz w:val="24"/>
          <w:szCs w:val="24"/>
        </w:rPr>
        <w:t>In data 9 gennaio 2019</w:t>
      </w:r>
      <w:r w:rsidR="00F36BCC">
        <w:rPr>
          <w:rFonts w:cs="Arial"/>
          <w:sz w:val="24"/>
          <w:szCs w:val="24"/>
        </w:rPr>
        <w:t xml:space="preserve"> è stato inoltrato un ricorso al Tribunale cantonale delle assicurazioni (TCA) da parte di una paziente che rifiutava di pagare la fattura inviatale dalla sua cassa malati relativa al suo ricovero in un RAMI. La signora contestava le modalità di fatturazione applicate dall’ospedale, in particolare la fatturazione analitica dei medicamenti, della fisioterapia, d</w:t>
      </w:r>
      <w:r w:rsidR="003C4A38">
        <w:rPr>
          <w:rFonts w:cs="Arial"/>
          <w:sz w:val="24"/>
          <w:szCs w:val="24"/>
        </w:rPr>
        <w:t>elle</w:t>
      </w:r>
      <w:r w:rsidR="00F36BCC">
        <w:rPr>
          <w:rFonts w:cs="Arial"/>
          <w:sz w:val="24"/>
          <w:szCs w:val="24"/>
        </w:rPr>
        <w:t xml:space="preserve"> analisi di laboratorio e di diverse prestazioni ambulatoriali, ritenendo la cura dispensata in un RAMI assimilabile a un trattamento ospedaliero</w:t>
      </w:r>
      <w:r>
        <w:rPr>
          <w:rFonts w:cs="Arial"/>
          <w:sz w:val="24"/>
          <w:szCs w:val="24"/>
        </w:rPr>
        <w:t xml:space="preserve">. Riteneva pertanto ingiustificata </w:t>
      </w:r>
      <w:r w:rsidR="00F36BCC">
        <w:rPr>
          <w:rFonts w:cs="Arial"/>
          <w:sz w:val="24"/>
          <w:szCs w:val="24"/>
        </w:rPr>
        <w:t>non solo la fatturazione analitica in luogo di un forfait per l’intero soggiorno, ma ovviamente anche il calcolo della sua partecipazione alla spesa (franchigia e 10% di partecipazione ai costi). Inoltre, la signora aveva ricevuto la fattura da parte dell’ospedale inerente la partecipazione di fr. 30.- al giorno, da lei onorata solo nella misura di fr. 15.- al giorno, coerentemente con la sua tesi di essere stata ricoverata in un ospedale.</w:t>
      </w:r>
    </w:p>
    <w:p w14:paraId="1591C939" w14:textId="77777777" w:rsidR="00F36BCC" w:rsidRDefault="00F36BCC" w:rsidP="00F36BCC">
      <w:pPr>
        <w:suppressAutoHyphens w:val="0"/>
        <w:autoSpaceDE w:val="0"/>
        <w:autoSpaceDN w:val="0"/>
        <w:adjustRightInd w:val="0"/>
        <w:rPr>
          <w:rFonts w:cs="Arial"/>
          <w:sz w:val="24"/>
          <w:szCs w:val="24"/>
        </w:rPr>
      </w:pPr>
    </w:p>
    <w:p w14:paraId="14E13D0B" w14:textId="77777777" w:rsidR="00640EC9" w:rsidRDefault="00F36BCC" w:rsidP="00F36BCC">
      <w:pPr>
        <w:suppressAutoHyphens w:val="0"/>
        <w:autoSpaceDE w:val="0"/>
        <w:autoSpaceDN w:val="0"/>
        <w:adjustRightInd w:val="0"/>
        <w:rPr>
          <w:rFonts w:cs="Arial"/>
          <w:sz w:val="24"/>
          <w:szCs w:val="24"/>
        </w:rPr>
      </w:pPr>
      <w:r w:rsidRPr="00F36BCC">
        <w:rPr>
          <w:rFonts w:cs="Arial"/>
          <w:sz w:val="24"/>
          <w:szCs w:val="24"/>
        </w:rPr>
        <w:t xml:space="preserve">La sentenza del </w:t>
      </w:r>
      <w:r>
        <w:rPr>
          <w:rFonts w:cs="Arial"/>
          <w:sz w:val="24"/>
          <w:szCs w:val="24"/>
        </w:rPr>
        <w:t>TCA</w:t>
      </w:r>
      <w:r w:rsidRPr="00F36BCC">
        <w:rPr>
          <w:rStyle w:val="Rimandonotaapidipagina"/>
          <w:sz w:val="24"/>
          <w:szCs w:val="24"/>
        </w:rPr>
        <w:footnoteReference w:id="2"/>
      </w:r>
      <w:r>
        <w:rPr>
          <w:rFonts w:cs="Arial"/>
          <w:sz w:val="24"/>
          <w:szCs w:val="24"/>
        </w:rPr>
        <w:t xml:space="preserve"> del 10 settembre 2019 ripropone ampi stralci della sentenza del TAF</w:t>
      </w:r>
      <w:r w:rsidR="004D371D">
        <w:rPr>
          <w:rFonts w:cs="Arial"/>
          <w:sz w:val="24"/>
          <w:szCs w:val="24"/>
        </w:rPr>
        <w:t xml:space="preserve"> </w:t>
      </w:r>
      <w:r w:rsidR="003C4A38">
        <w:rPr>
          <w:rFonts w:cs="Arial"/>
          <w:sz w:val="24"/>
          <w:szCs w:val="24"/>
        </w:rPr>
        <w:t>del 25 febbraio 2019</w:t>
      </w:r>
      <w:r>
        <w:rPr>
          <w:rFonts w:cs="Arial"/>
          <w:sz w:val="24"/>
          <w:szCs w:val="24"/>
        </w:rPr>
        <w:t xml:space="preserve"> e si pronuncia sulla legittimità della fatturazione analitica e della richiesta della partecipazione di fr. 30.- al giorno</w:t>
      </w:r>
      <w:r w:rsidR="00640EC9">
        <w:rPr>
          <w:rFonts w:cs="Arial"/>
          <w:sz w:val="24"/>
          <w:szCs w:val="24"/>
        </w:rPr>
        <w:t xml:space="preserve">, </w:t>
      </w:r>
      <w:r w:rsidR="003C4A38">
        <w:rPr>
          <w:rFonts w:cs="Arial"/>
          <w:sz w:val="24"/>
          <w:szCs w:val="24"/>
        </w:rPr>
        <w:t>come riportato di seguito.</w:t>
      </w:r>
    </w:p>
    <w:p w14:paraId="41CF14BE" w14:textId="77777777" w:rsidR="003C4A38" w:rsidRDefault="003C4A38" w:rsidP="00F36BCC">
      <w:pPr>
        <w:suppressAutoHyphens w:val="0"/>
        <w:autoSpaceDE w:val="0"/>
        <w:autoSpaceDN w:val="0"/>
        <w:adjustRightInd w:val="0"/>
        <w:rPr>
          <w:rFonts w:cs="Arial"/>
          <w:sz w:val="24"/>
          <w:szCs w:val="24"/>
        </w:rPr>
      </w:pPr>
    </w:p>
    <w:p w14:paraId="405B92E4" w14:textId="77777777" w:rsidR="003C4A38" w:rsidRDefault="003C4A38" w:rsidP="00F36BCC">
      <w:pPr>
        <w:suppressAutoHyphens w:val="0"/>
        <w:autoSpaceDE w:val="0"/>
        <w:autoSpaceDN w:val="0"/>
        <w:adjustRightInd w:val="0"/>
        <w:rPr>
          <w:rFonts w:cs="Arial"/>
          <w:sz w:val="24"/>
          <w:szCs w:val="24"/>
        </w:rPr>
      </w:pPr>
      <w:r>
        <w:rPr>
          <w:rFonts w:cs="Arial"/>
          <w:sz w:val="24"/>
          <w:szCs w:val="24"/>
        </w:rPr>
        <w:t>Il TCA parte dalla cons</w:t>
      </w:r>
      <w:r w:rsidR="004D371D">
        <w:rPr>
          <w:rFonts w:cs="Arial"/>
          <w:sz w:val="24"/>
          <w:szCs w:val="24"/>
        </w:rPr>
        <w:t>iderazione che l’o</w:t>
      </w:r>
      <w:r>
        <w:rPr>
          <w:rFonts w:cs="Arial"/>
          <w:sz w:val="24"/>
          <w:szCs w:val="24"/>
        </w:rPr>
        <w:t>spedal</w:t>
      </w:r>
      <w:r w:rsidR="004D371D">
        <w:rPr>
          <w:rFonts w:cs="Arial"/>
          <w:sz w:val="24"/>
          <w:szCs w:val="24"/>
        </w:rPr>
        <w:t>e gerente del RAMI in questione</w:t>
      </w:r>
      <w:r>
        <w:rPr>
          <w:rFonts w:cs="Arial"/>
          <w:sz w:val="24"/>
          <w:szCs w:val="24"/>
        </w:rPr>
        <w:t xml:space="preserve"> non è in possesso di alcun mandato nell’ambito della medicina </w:t>
      </w:r>
      <w:r w:rsidR="004D371D">
        <w:rPr>
          <w:rFonts w:cs="Arial"/>
          <w:sz w:val="24"/>
          <w:szCs w:val="24"/>
        </w:rPr>
        <w:t>acuta e di conseguenza (pag. 46 seg.</w:t>
      </w:r>
      <w:r>
        <w:rPr>
          <w:rFonts w:cs="Arial"/>
          <w:sz w:val="24"/>
          <w:szCs w:val="24"/>
        </w:rPr>
        <w:t xml:space="preserve"> della sentenza) “</w:t>
      </w:r>
      <w:r w:rsidRPr="003C4A38">
        <w:rPr>
          <w:rFonts w:cs="Arial"/>
          <w:i/>
          <w:sz w:val="24"/>
          <w:szCs w:val="24"/>
        </w:rPr>
        <w:t>nel caso di specie è esclusa d’acchito e non può in ogni capo trovare applicazione, per il ricovero della ricorrente […] una fatturazione forfetaria ai sensi dello SwissDRG, applicabile unicamente per i ricoveri in istituti somatico-acuti</w:t>
      </w:r>
      <w:r>
        <w:rPr>
          <w:rFonts w:cs="Arial"/>
          <w:sz w:val="24"/>
          <w:szCs w:val="24"/>
        </w:rPr>
        <w:t>.</w:t>
      </w:r>
    </w:p>
    <w:p w14:paraId="141F14D0" w14:textId="77777777" w:rsidR="003C4A38" w:rsidRDefault="003C4A38" w:rsidP="00F36BCC">
      <w:pPr>
        <w:suppressAutoHyphens w:val="0"/>
        <w:autoSpaceDE w:val="0"/>
        <w:autoSpaceDN w:val="0"/>
        <w:adjustRightInd w:val="0"/>
        <w:rPr>
          <w:rFonts w:cs="Arial"/>
          <w:sz w:val="24"/>
          <w:szCs w:val="24"/>
        </w:rPr>
      </w:pPr>
      <w:r>
        <w:rPr>
          <w:rFonts w:cs="Arial"/>
          <w:sz w:val="24"/>
          <w:szCs w:val="24"/>
        </w:rPr>
        <w:lastRenderedPageBreak/>
        <w:t>[…]</w:t>
      </w:r>
    </w:p>
    <w:p w14:paraId="076E3D31" w14:textId="77777777" w:rsidR="003C4A38" w:rsidRDefault="003C4A38" w:rsidP="003C4A38">
      <w:pPr>
        <w:suppressAutoHyphens w:val="0"/>
        <w:autoSpaceDE w:val="0"/>
        <w:autoSpaceDN w:val="0"/>
        <w:adjustRightInd w:val="0"/>
        <w:rPr>
          <w:rFonts w:cs="Arial"/>
          <w:sz w:val="24"/>
          <w:szCs w:val="24"/>
        </w:rPr>
      </w:pPr>
      <w:r w:rsidRPr="003C4A38">
        <w:rPr>
          <w:rFonts w:cs="Arial"/>
          <w:i/>
          <w:sz w:val="24"/>
          <w:szCs w:val="24"/>
        </w:rPr>
        <w:t>Nel caso di specie non può trovare applicazione neppure la fatturazione forfetaria delle cure acute e transitorie (CAT). La ricorrente è st</w:t>
      </w:r>
      <w:r>
        <w:rPr>
          <w:rFonts w:cs="Arial"/>
          <w:i/>
          <w:sz w:val="24"/>
          <w:szCs w:val="24"/>
        </w:rPr>
        <w:t xml:space="preserve">ata </w:t>
      </w:r>
      <w:r w:rsidRPr="003C4A38">
        <w:rPr>
          <w:rFonts w:cs="Arial"/>
          <w:i/>
          <w:sz w:val="24"/>
          <w:szCs w:val="24"/>
        </w:rPr>
        <w:t>degente presso la struttura sanitaria per 16 giorni […] mentre nei CAT è ammessa una degenza massima di 2 settimane (art. 25a OAMal). […] se il ricovero in esame fosse stato assimilato ad un CAT, ella avrebbe dovuto pagare un contributo ai costi di degenza di fr. 50.-, superiore a quello, di fr. 30.-, che le è stato richiesto</w:t>
      </w:r>
      <w:r>
        <w:rPr>
          <w:rFonts w:cs="Arial"/>
          <w:sz w:val="24"/>
          <w:szCs w:val="24"/>
        </w:rPr>
        <w:t>.”</w:t>
      </w:r>
    </w:p>
    <w:p w14:paraId="2B2E3B2C" w14:textId="77777777" w:rsidR="003C4A38" w:rsidRDefault="003C4A38" w:rsidP="00F36BCC">
      <w:pPr>
        <w:suppressAutoHyphens w:val="0"/>
        <w:autoSpaceDE w:val="0"/>
        <w:autoSpaceDN w:val="0"/>
        <w:adjustRightInd w:val="0"/>
        <w:rPr>
          <w:rFonts w:cs="Arial"/>
          <w:sz w:val="24"/>
          <w:szCs w:val="24"/>
        </w:rPr>
      </w:pPr>
      <w:r>
        <w:rPr>
          <w:rFonts w:cs="Arial"/>
          <w:sz w:val="24"/>
          <w:szCs w:val="24"/>
        </w:rPr>
        <w:t xml:space="preserve"> </w:t>
      </w:r>
    </w:p>
    <w:p w14:paraId="27A0CD92" w14:textId="26F98DA7" w:rsidR="003C4A38" w:rsidRPr="003C4A38" w:rsidRDefault="003C4A38" w:rsidP="003C4A38">
      <w:pPr>
        <w:suppressAutoHyphens w:val="0"/>
        <w:autoSpaceDE w:val="0"/>
        <w:autoSpaceDN w:val="0"/>
        <w:adjustRightInd w:val="0"/>
        <w:rPr>
          <w:rFonts w:cs="Arial"/>
          <w:i/>
          <w:sz w:val="24"/>
          <w:szCs w:val="24"/>
        </w:rPr>
      </w:pPr>
      <w:r>
        <w:rPr>
          <w:rFonts w:cs="Arial"/>
          <w:sz w:val="24"/>
          <w:szCs w:val="24"/>
        </w:rPr>
        <w:t xml:space="preserve">La sentenza conclude poi a pag. 47 </w:t>
      </w:r>
      <w:r w:rsidRPr="003C4A38">
        <w:rPr>
          <w:rFonts w:cs="Arial"/>
          <w:i/>
          <w:sz w:val="24"/>
          <w:szCs w:val="24"/>
        </w:rPr>
        <w:t>“In concreto solo una fatturazione come quella applicata nel caso di specie, analoga a quella utilizzata nel settore della lungo degenza (cure infermieristiche secondo il grado d</w:t>
      </w:r>
      <w:r w:rsidR="007E288D">
        <w:rPr>
          <w:rFonts w:cs="Arial"/>
          <w:i/>
          <w:sz w:val="24"/>
          <w:szCs w:val="24"/>
        </w:rPr>
        <w:t>i</w:t>
      </w:r>
      <w:r w:rsidRPr="003C4A38">
        <w:rPr>
          <w:rFonts w:cs="Arial"/>
          <w:i/>
          <w:sz w:val="24"/>
          <w:szCs w:val="24"/>
        </w:rPr>
        <w:t xml:space="preserve"> dipendenza ai sensi dell’art. 7a OPRe e cure mediche, terapeutiche e diagnostiche all’atto) può dunque trovare applicazione viste le prestazioni fornite concretamente all’assicurata […] </w:t>
      </w:r>
    </w:p>
    <w:p w14:paraId="5EFB118F" w14:textId="77777777" w:rsidR="003C4A38" w:rsidRDefault="003C4A38" w:rsidP="003C4A38">
      <w:pPr>
        <w:suppressAutoHyphens w:val="0"/>
        <w:autoSpaceDE w:val="0"/>
        <w:autoSpaceDN w:val="0"/>
        <w:adjustRightInd w:val="0"/>
        <w:rPr>
          <w:rFonts w:cs="Arial"/>
          <w:sz w:val="24"/>
          <w:szCs w:val="24"/>
        </w:rPr>
      </w:pPr>
    </w:p>
    <w:p w14:paraId="60DD8BA4" w14:textId="77777777" w:rsidR="003C4A38" w:rsidRPr="003C4A38" w:rsidRDefault="003C4A38" w:rsidP="003C4A38">
      <w:pPr>
        <w:suppressAutoHyphens w:val="0"/>
        <w:autoSpaceDE w:val="0"/>
        <w:autoSpaceDN w:val="0"/>
        <w:adjustRightInd w:val="0"/>
        <w:rPr>
          <w:rFonts w:cs="Arial"/>
          <w:i/>
          <w:sz w:val="24"/>
          <w:szCs w:val="24"/>
        </w:rPr>
      </w:pPr>
      <w:r w:rsidRPr="003C4A38">
        <w:rPr>
          <w:rFonts w:cs="Arial"/>
          <w:i/>
          <w:sz w:val="24"/>
          <w:szCs w:val="24"/>
        </w:rPr>
        <w:t>Tale metodo di fatturazione, conforme al tipo di degenza e di prestazioni fruite dall’interessata e correttamente codificato nella LCAMal, non viola il diritto federale.”</w:t>
      </w:r>
    </w:p>
    <w:p w14:paraId="2E42F39D" w14:textId="77777777" w:rsidR="003C4A38" w:rsidRDefault="003C4A38" w:rsidP="00F36BCC">
      <w:pPr>
        <w:suppressAutoHyphens w:val="0"/>
        <w:autoSpaceDE w:val="0"/>
        <w:autoSpaceDN w:val="0"/>
        <w:adjustRightInd w:val="0"/>
        <w:rPr>
          <w:rFonts w:cs="Arial"/>
          <w:sz w:val="24"/>
          <w:szCs w:val="24"/>
        </w:rPr>
      </w:pPr>
    </w:p>
    <w:p w14:paraId="59888A20" w14:textId="77777777" w:rsidR="003C4A38" w:rsidRDefault="003C4A38" w:rsidP="00F36BCC">
      <w:pPr>
        <w:suppressAutoHyphens w:val="0"/>
        <w:autoSpaceDE w:val="0"/>
        <w:autoSpaceDN w:val="0"/>
        <w:adjustRightInd w:val="0"/>
        <w:rPr>
          <w:rFonts w:cs="Arial"/>
          <w:sz w:val="24"/>
          <w:szCs w:val="24"/>
        </w:rPr>
      </w:pPr>
    </w:p>
    <w:p w14:paraId="6627E163" w14:textId="77777777" w:rsidR="00993310" w:rsidRPr="002E4857" w:rsidRDefault="00993310" w:rsidP="003C4A38">
      <w:pPr>
        <w:pStyle w:val="Paragrafoelenco"/>
        <w:numPr>
          <w:ilvl w:val="0"/>
          <w:numId w:val="20"/>
        </w:numPr>
        <w:ind w:left="567" w:hanging="567"/>
        <w:rPr>
          <w:b/>
          <w:sz w:val="24"/>
          <w:szCs w:val="24"/>
        </w:rPr>
      </w:pPr>
      <w:r w:rsidRPr="002E4857">
        <w:rPr>
          <w:b/>
          <w:sz w:val="24"/>
          <w:szCs w:val="24"/>
        </w:rPr>
        <w:t>CONCLUSIONI</w:t>
      </w:r>
    </w:p>
    <w:p w14:paraId="22FE8528" w14:textId="77777777" w:rsidR="00993310" w:rsidRDefault="00993310" w:rsidP="00993310">
      <w:pPr>
        <w:rPr>
          <w:sz w:val="24"/>
          <w:szCs w:val="24"/>
        </w:rPr>
      </w:pPr>
    </w:p>
    <w:p w14:paraId="1947227B" w14:textId="77777777" w:rsidR="00993310" w:rsidRPr="002E4857" w:rsidRDefault="003C4A38" w:rsidP="00993310">
      <w:pPr>
        <w:rPr>
          <w:sz w:val="24"/>
          <w:szCs w:val="24"/>
        </w:rPr>
      </w:pPr>
      <w:r>
        <w:rPr>
          <w:sz w:val="24"/>
          <w:szCs w:val="24"/>
        </w:rPr>
        <w:t xml:space="preserve">Dalla loro implementazione ad oggi i reparti acuti di minor intensità si sono rivelati un tassello non solo importante, ma essenziale nella catena di cura. Essi, grazie alla presa in carico differenziata e più intensa rispetto a quanto garantito nei CAT, offrono una valida alternativa commisurata ai bisogni </w:t>
      </w:r>
      <w:r w:rsidR="00AF06C6">
        <w:rPr>
          <w:sz w:val="24"/>
          <w:szCs w:val="24"/>
        </w:rPr>
        <w:t xml:space="preserve">di determinati pazienti </w:t>
      </w:r>
      <w:r>
        <w:rPr>
          <w:sz w:val="24"/>
          <w:szCs w:val="24"/>
        </w:rPr>
        <w:t xml:space="preserve">al fine di evitare soggiorni ospedalieri ingiustificati. La questione della fatturazione analitica è stata accettata dagli assicuratori poiché conforme con la legislazione in vigore (tesi confermata dalla sentenza </w:t>
      </w:r>
      <w:r w:rsidR="00AF06C6">
        <w:rPr>
          <w:sz w:val="24"/>
          <w:szCs w:val="24"/>
        </w:rPr>
        <w:t xml:space="preserve">del TCA </w:t>
      </w:r>
      <w:r>
        <w:rPr>
          <w:sz w:val="24"/>
          <w:szCs w:val="24"/>
        </w:rPr>
        <w:t xml:space="preserve">citata in precedenza) e la partecipazione del paziente, grazie anche al limite annuale fissato, permette al paziente </w:t>
      </w:r>
      <w:r w:rsidR="00AF06C6">
        <w:rPr>
          <w:sz w:val="24"/>
          <w:szCs w:val="24"/>
        </w:rPr>
        <w:t xml:space="preserve">stesso </w:t>
      </w:r>
      <w:r>
        <w:rPr>
          <w:sz w:val="24"/>
          <w:szCs w:val="24"/>
        </w:rPr>
        <w:t xml:space="preserve">(indipendentemente dall’età, </w:t>
      </w:r>
      <w:r w:rsidR="00AF06C6">
        <w:rPr>
          <w:sz w:val="24"/>
          <w:szCs w:val="24"/>
        </w:rPr>
        <w:t xml:space="preserve">mentre i </w:t>
      </w:r>
      <w:r>
        <w:rPr>
          <w:sz w:val="24"/>
          <w:szCs w:val="24"/>
        </w:rPr>
        <w:t xml:space="preserve">CAT </w:t>
      </w:r>
      <w:r w:rsidR="00AF06C6">
        <w:rPr>
          <w:sz w:val="24"/>
          <w:szCs w:val="24"/>
        </w:rPr>
        <w:t xml:space="preserve">sono </w:t>
      </w:r>
      <w:r>
        <w:rPr>
          <w:sz w:val="24"/>
          <w:szCs w:val="24"/>
        </w:rPr>
        <w:t xml:space="preserve">destinati alle persone in età AVS) di essere </w:t>
      </w:r>
      <w:r w:rsidR="00266791">
        <w:rPr>
          <w:sz w:val="24"/>
          <w:szCs w:val="24"/>
        </w:rPr>
        <w:t xml:space="preserve">ricoverati </w:t>
      </w:r>
      <w:r>
        <w:rPr>
          <w:sz w:val="24"/>
          <w:szCs w:val="24"/>
        </w:rPr>
        <w:t xml:space="preserve">anche più volte in un anno, senza per questo essere penalizzati finanziariamente. </w:t>
      </w:r>
    </w:p>
    <w:p w14:paraId="59027F15" w14:textId="77777777" w:rsidR="00993310" w:rsidRDefault="00993310" w:rsidP="00993310">
      <w:pPr>
        <w:rPr>
          <w:sz w:val="24"/>
          <w:szCs w:val="24"/>
        </w:rPr>
      </w:pPr>
    </w:p>
    <w:p w14:paraId="4FD21D86" w14:textId="77777777" w:rsidR="003C4A38" w:rsidRDefault="003C4A38" w:rsidP="00993310">
      <w:pPr>
        <w:rPr>
          <w:sz w:val="24"/>
          <w:szCs w:val="24"/>
        </w:rPr>
      </w:pPr>
      <w:r>
        <w:rPr>
          <w:sz w:val="24"/>
          <w:szCs w:val="24"/>
        </w:rPr>
        <w:t>Visto quanto precede, si ritiene di aver risposto compiutamente a quanto sollevato dall’atto parlamentare in oggetto, dimostrando legittimità e coerenza delle scelte operate nel 2015 e, pertanto, si raccomanda di respingere la mozione.</w:t>
      </w:r>
    </w:p>
    <w:p w14:paraId="4AC36FCD" w14:textId="77777777" w:rsidR="00993310" w:rsidRPr="006F2A27" w:rsidRDefault="00993310" w:rsidP="00993310">
      <w:pPr>
        <w:rPr>
          <w:sz w:val="24"/>
          <w:szCs w:val="24"/>
        </w:rPr>
      </w:pPr>
    </w:p>
    <w:p w14:paraId="46A4E84F" w14:textId="0B814522" w:rsidR="00993310" w:rsidRPr="006F2A27" w:rsidRDefault="00993310" w:rsidP="00993310">
      <w:pPr>
        <w:rPr>
          <w:sz w:val="24"/>
          <w:szCs w:val="24"/>
        </w:rPr>
      </w:pPr>
      <w:r w:rsidRPr="006F2A27">
        <w:rPr>
          <w:sz w:val="24"/>
          <w:szCs w:val="24"/>
        </w:rPr>
        <w:t>Vogliate gradire, signor</w:t>
      </w:r>
      <w:r w:rsidR="007E288D">
        <w:rPr>
          <w:sz w:val="24"/>
          <w:szCs w:val="24"/>
        </w:rPr>
        <w:t>a</w:t>
      </w:r>
      <w:r w:rsidRPr="006F2A27">
        <w:rPr>
          <w:sz w:val="24"/>
          <w:szCs w:val="24"/>
        </w:rPr>
        <w:t xml:space="preserve"> Presidente, signore e signori </w:t>
      </w:r>
      <w:r>
        <w:rPr>
          <w:sz w:val="24"/>
          <w:szCs w:val="24"/>
        </w:rPr>
        <w:t>d</w:t>
      </w:r>
      <w:r w:rsidRPr="006F2A27">
        <w:rPr>
          <w:sz w:val="24"/>
          <w:szCs w:val="24"/>
        </w:rPr>
        <w:t>eputati, l’espressione della nostra massima stima.</w:t>
      </w:r>
    </w:p>
    <w:p w14:paraId="3F70FA90" w14:textId="77777777" w:rsidR="00993310" w:rsidRPr="006F2A27" w:rsidRDefault="00993310" w:rsidP="00993310">
      <w:pPr>
        <w:rPr>
          <w:sz w:val="24"/>
          <w:szCs w:val="24"/>
        </w:rPr>
      </w:pPr>
    </w:p>
    <w:p w14:paraId="6C49344F" w14:textId="77777777" w:rsidR="00993310" w:rsidRPr="006F2A27" w:rsidRDefault="00993310" w:rsidP="00993310">
      <w:pPr>
        <w:rPr>
          <w:sz w:val="24"/>
          <w:szCs w:val="24"/>
        </w:rPr>
      </w:pPr>
    </w:p>
    <w:p w14:paraId="4F68BE46" w14:textId="77777777" w:rsidR="00993310" w:rsidRPr="006F2A27" w:rsidRDefault="00993310" w:rsidP="00993310">
      <w:pPr>
        <w:rPr>
          <w:sz w:val="24"/>
          <w:szCs w:val="24"/>
        </w:rPr>
      </w:pPr>
      <w:r w:rsidRPr="006F2A27">
        <w:rPr>
          <w:sz w:val="24"/>
          <w:szCs w:val="24"/>
        </w:rPr>
        <w:t>Per il Consiglio di Stato</w:t>
      </w:r>
    </w:p>
    <w:p w14:paraId="00585BC6" w14:textId="77777777" w:rsidR="00993310" w:rsidRPr="006F2A27" w:rsidRDefault="00993310" w:rsidP="00993310">
      <w:pPr>
        <w:rPr>
          <w:sz w:val="24"/>
          <w:szCs w:val="24"/>
        </w:rPr>
      </w:pPr>
    </w:p>
    <w:p w14:paraId="58C57453" w14:textId="77777777" w:rsidR="00993310" w:rsidRPr="006F2A27" w:rsidRDefault="00993310" w:rsidP="00993310">
      <w:pPr>
        <w:rPr>
          <w:sz w:val="24"/>
          <w:szCs w:val="24"/>
        </w:rPr>
      </w:pPr>
      <w:r w:rsidRPr="006F2A27">
        <w:rPr>
          <w:sz w:val="24"/>
          <w:szCs w:val="24"/>
        </w:rPr>
        <w:t xml:space="preserve">Il Presidente: </w:t>
      </w:r>
      <w:r w:rsidR="003C4A38">
        <w:rPr>
          <w:sz w:val="24"/>
          <w:szCs w:val="24"/>
        </w:rPr>
        <w:t>Claudio Zali</w:t>
      </w:r>
    </w:p>
    <w:p w14:paraId="2A0C733D" w14:textId="77777777" w:rsidR="0023436A" w:rsidRDefault="00993310" w:rsidP="00993310">
      <w:pPr>
        <w:rPr>
          <w:sz w:val="24"/>
          <w:szCs w:val="24"/>
        </w:rPr>
      </w:pPr>
      <w:r w:rsidRPr="006F2A27">
        <w:rPr>
          <w:sz w:val="24"/>
          <w:szCs w:val="24"/>
        </w:rPr>
        <w:t xml:space="preserve">Il Cancelliere: </w:t>
      </w:r>
      <w:r w:rsidR="003C4A38">
        <w:rPr>
          <w:sz w:val="24"/>
          <w:szCs w:val="24"/>
        </w:rPr>
        <w:t>Arnoldo Coduri</w:t>
      </w:r>
    </w:p>
    <w:p w14:paraId="3AADC048" w14:textId="77777777" w:rsidR="007673A4" w:rsidRPr="00D53FC1" w:rsidRDefault="007673A4" w:rsidP="00640EC9">
      <w:pPr>
        <w:suppressAutoHyphens w:val="0"/>
        <w:spacing w:after="240"/>
        <w:jc w:val="left"/>
        <w:rPr>
          <w:sz w:val="24"/>
          <w:szCs w:val="24"/>
        </w:rPr>
      </w:pPr>
    </w:p>
    <w:sectPr w:rsidR="007673A4" w:rsidRPr="00D53FC1" w:rsidSect="00375115">
      <w:headerReference w:type="even" r:id="rId15"/>
      <w:headerReference w:type="default" r:id="rId16"/>
      <w:footerReference w:type="even" r:id="rId17"/>
      <w:footerReference w:type="default" r:id="rId18"/>
      <w:headerReference w:type="first" r:id="rId19"/>
      <w:footerReference w:type="first" r:id="rId20"/>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4F5CD" w14:textId="77777777" w:rsidR="008C1EB5" w:rsidRDefault="008C1EB5" w:rsidP="00F657BF">
      <w:r>
        <w:separator/>
      </w:r>
    </w:p>
  </w:endnote>
  <w:endnote w:type="continuationSeparator" w:id="0">
    <w:p w14:paraId="0406A898" w14:textId="77777777" w:rsidR="008C1EB5" w:rsidRDefault="008C1EB5"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C95C6" w14:textId="77777777" w:rsidR="00646C20" w:rsidRDefault="00646C2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14:paraId="389CC752" w14:textId="77777777" w:rsidTr="007A3D11">
      <w:trPr>
        <w:trHeight w:hRule="exact" w:val="737"/>
      </w:trPr>
      <w:tc>
        <w:tcPr>
          <w:tcW w:w="4695" w:type="dxa"/>
        </w:tcPr>
        <w:p w14:paraId="35F4B77E" w14:textId="77777777" w:rsidR="00912E34" w:rsidRPr="003D1008" w:rsidRDefault="00BD40E2" w:rsidP="00912E34">
          <w:pPr>
            <w:tabs>
              <w:tab w:val="center" w:pos="2382"/>
            </w:tabs>
          </w:pPr>
        </w:p>
      </w:tc>
      <w:tc>
        <w:tcPr>
          <w:tcW w:w="721" w:type="dxa"/>
        </w:tcPr>
        <w:p w14:paraId="08303D82" w14:textId="77777777" w:rsidR="00912E34" w:rsidRPr="003D1008" w:rsidRDefault="00993310"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14:paraId="3DB46ACF" w14:textId="77777777" w:rsidR="00912E34" w:rsidRPr="003D1008" w:rsidRDefault="00993310"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14:paraId="4D726515" w14:textId="77777777" w:rsidR="00912E34" w:rsidRPr="003D1008" w:rsidRDefault="00BD40E2" w:rsidP="00912E34"/>
      </w:tc>
    </w:tr>
  </w:tbl>
  <w:p w14:paraId="719775D2" w14:textId="77777777"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538A6" w14:textId="77777777" w:rsidR="006E0BB7" w:rsidRDefault="00BD40E2">
    <w:pPr>
      <w:pStyle w:val="Pidipagina"/>
      <w:jc w:val="center"/>
    </w:pPr>
  </w:p>
  <w:p w14:paraId="691B1750" w14:textId="77777777"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A3E30" w14:textId="77777777" w:rsidR="008C1EB5" w:rsidRDefault="008C1EB5" w:rsidP="00F657BF">
      <w:r>
        <w:separator/>
      </w:r>
    </w:p>
  </w:footnote>
  <w:footnote w:type="continuationSeparator" w:id="0">
    <w:p w14:paraId="5410A761" w14:textId="77777777" w:rsidR="008C1EB5" w:rsidRDefault="008C1EB5" w:rsidP="00F657BF">
      <w:r>
        <w:continuationSeparator/>
      </w:r>
    </w:p>
  </w:footnote>
  <w:footnote w:id="1">
    <w:p w14:paraId="1DF21C51" w14:textId="77777777" w:rsidR="00F36BCC" w:rsidRPr="00F36BCC" w:rsidRDefault="00F36BCC">
      <w:pPr>
        <w:pStyle w:val="Testonotaapidipagina"/>
        <w:rPr>
          <w:lang w:val="it-CH"/>
        </w:rPr>
      </w:pPr>
      <w:r>
        <w:rPr>
          <w:rStyle w:val="Rimandonotaapidipagina"/>
        </w:rPr>
        <w:footnoteRef/>
      </w:r>
      <w:r>
        <w:t xml:space="preserve"> </w:t>
      </w:r>
      <w:r w:rsidRPr="00F36BCC">
        <w:rPr>
          <w:rFonts w:cs="Arial"/>
          <w:sz w:val="20"/>
        </w:rPr>
        <w:t>C-2229/2016</w:t>
      </w:r>
    </w:p>
  </w:footnote>
  <w:footnote w:id="2">
    <w:p w14:paraId="6C350E5D" w14:textId="77777777" w:rsidR="00F36BCC" w:rsidRPr="00F36BCC" w:rsidRDefault="00F36BCC">
      <w:pPr>
        <w:pStyle w:val="Testonotaapidipagina"/>
        <w:rPr>
          <w:sz w:val="20"/>
          <w:lang w:val="it-CH"/>
        </w:rPr>
      </w:pPr>
      <w:r w:rsidRPr="00F36BCC">
        <w:rPr>
          <w:rStyle w:val="Rimandonotaapidipagina"/>
          <w:sz w:val="20"/>
        </w:rPr>
        <w:footnoteRef/>
      </w:r>
      <w:r w:rsidRPr="00F36BCC">
        <w:rPr>
          <w:sz w:val="20"/>
        </w:rPr>
        <w:t xml:space="preserve"> 36.2019.3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957B2" w14:textId="77777777" w:rsidR="00646C20" w:rsidRDefault="00646C2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14:paraId="70E02373" w14:textId="7777777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A16CF06D-B466-446D-9097-9209EAEB10DC}"/>
          <w:text w:multiLine="1"/>
        </w:sdtPr>
        <w:sdtEndPr/>
        <w:sdtContent>
          <w:tc>
            <w:tcPr>
              <w:tcW w:w="8383" w:type="dxa"/>
              <w:tcBorders>
                <w:left w:val="single" w:sz="4" w:space="0" w:color="auto"/>
                <w:bottom w:val="single" w:sz="4" w:space="0" w:color="auto"/>
              </w:tcBorders>
              <w:tcMar>
                <w:left w:w="142" w:type="dxa"/>
              </w:tcMar>
              <w:vAlign w:val="bottom"/>
            </w:tcPr>
            <w:p w14:paraId="0A612AC4" w14:textId="77777777" w:rsidR="005012EC" w:rsidRPr="00E8185F" w:rsidRDefault="009F5512" w:rsidP="00A532F6">
              <w:pPr>
                <w:pStyle w:val="Page"/>
                <w:rPr>
                  <w:rFonts w:ascii="Gill Alt One MT Light" w:hAnsi="Gill Alt One MT Light"/>
                  <w:sz w:val="16"/>
                  <w:szCs w:val="16"/>
                </w:rPr>
              </w:pPr>
              <w:r>
                <w:rPr>
                  <w:rFonts w:ascii="Gill Alt One MT Light" w:hAnsi="Gill Alt One MT Light"/>
                  <w:sz w:val="16"/>
                  <w:szCs w:val="16"/>
                </w:rPr>
                <w:t>Dipartimento della sanità e della socialità</w:t>
              </w:r>
            </w:p>
          </w:tc>
        </w:sdtContent>
      </w:sdt>
      <w:tc>
        <w:tcPr>
          <w:tcW w:w="1710" w:type="dxa"/>
          <w:tcBorders>
            <w:bottom w:val="single" w:sz="4" w:space="0" w:color="auto"/>
          </w:tcBorders>
          <w:vAlign w:val="bottom"/>
        </w:tcPr>
        <w:p w14:paraId="4CB257D3" w14:textId="53099DB9" w:rsidR="005012EC" w:rsidRPr="004204CB" w:rsidRDefault="00993310"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BD40E2">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BD40E2">
            <w:rPr>
              <w:noProof/>
              <w:sz w:val="24"/>
            </w:rPr>
            <w:t>4</w:t>
          </w:r>
          <w:r w:rsidRPr="004204CB">
            <w:rPr>
              <w:noProof/>
              <w:sz w:val="24"/>
            </w:rPr>
            <w:fldChar w:fldCharType="end"/>
          </w:r>
        </w:p>
      </w:tc>
    </w:tr>
    <w:tr w:rsidR="005012EC" w:rsidRPr="009E444B" w14:paraId="5123A81F" w14:textId="77777777"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A16CF06D-B466-446D-9097-9209EAEB10DC}"/>
          <w:text w:multiLine="1"/>
        </w:sdtPr>
        <w:sdtEndPr/>
        <w:sdtContent>
          <w:tc>
            <w:tcPr>
              <w:tcW w:w="8383" w:type="dxa"/>
              <w:tcBorders>
                <w:left w:val="single" w:sz="4" w:space="0" w:color="auto"/>
              </w:tcBorders>
              <w:tcMar>
                <w:top w:w="0" w:type="dxa"/>
                <w:left w:w="142" w:type="dxa"/>
              </w:tcMar>
            </w:tcPr>
            <w:p w14:paraId="61BCDEE6" w14:textId="4F3E0438" w:rsidR="005012EC" w:rsidRPr="006241DE" w:rsidRDefault="00646C20" w:rsidP="00D53FC1">
              <w:pPr>
                <w:pStyle w:val="Information"/>
                <w:rPr>
                  <w:rFonts w:ascii="Gill Sans Display MT Pro BdCn" w:hAnsi="Gill Sans Display MT Pro BdCn"/>
                  <w:sz w:val="18"/>
                  <w:szCs w:val="18"/>
                </w:rPr>
              </w:pPr>
              <w:r>
                <w:rPr>
                  <w:rFonts w:ascii="Gill Sans Display MT Pro BdCn" w:hAnsi="Gill Sans Display MT Pro BdCn"/>
                  <w:sz w:val="18"/>
                  <w:szCs w:val="18"/>
                </w:rPr>
                <w:t>Messaggio n. 8212 del 30 novembre 2022</w:t>
              </w:r>
            </w:p>
          </w:tc>
        </w:sdtContent>
      </w:sdt>
      <w:tc>
        <w:tcPr>
          <w:tcW w:w="1710" w:type="dxa"/>
          <w:tcBorders>
            <w:top w:val="single" w:sz="4" w:space="0" w:color="auto"/>
          </w:tcBorders>
        </w:tcPr>
        <w:p w14:paraId="25BFFB97" w14:textId="77777777" w:rsidR="005012EC" w:rsidRPr="006241DE" w:rsidRDefault="00BD40E2" w:rsidP="00662409">
          <w:pPr>
            <w:pStyle w:val="InvisibleLine"/>
            <w:rPr>
              <w:lang w:val="it-CH"/>
            </w:rPr>
          </w:pPr>
        </w:p>
      </w:tc>
    </w:tr>
  </w:tbl>
  <w:p w14:paraId="5FF5860D" w14:textId="77777777" w:rsidR="00F657BF" w:rsidRPr="00980362" w:rsidRDefault="00993310" w:rsidP="00980362">
    <w:pPr>
      <w:pStyle w:val="Intestazione"/>
    </w:pPr>
    <w:r>
      <w:rPr>
        <w:noProof/>
        <w:lang w:val="it-CH" w:eastAsia="it-CH"/>
      </w:rPr>
      <mc:AlternateContent>
        <mc:Choice Requires="wps">
          <w:drawing>
            <wp:anchor distT="0" distB="0" distL="114300" distR="114300" simplePos="0" relativeHeight="251659264"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A16CF06D-B466-446D-9097-9209EAEB10DC}"/>
                            <w:text w:multiLine="1"/>
                          </w:sdtPr>
                          <w:sdtEndPr/>
                          <w:sdtContent>
                            <w:p w14:paraId="449749C2" w14:textId="77777777" w:rsidR="008065E8" w:rsidRPr="00411371" w:rsidRDefault="00993310"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margin-left:-46.5pt;margin-top:-1273.35pt;width:680.3pt;height:141.75pt;rotation:-6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F7710E6C-AFA3-401F-868C-7E235D9A8E14}"/>
                      <w:text w:multiLine="1"/>
                    </w:sdtPr>
                    <w:sdtEndPr/>
                    <w:sdtContent>
                      <w:p w14:paraId="449749C2" w14:textId="77777777" w:rsidR="008065E8" w:rsidRPr="00411371" w:rsidRDefault="00993310"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14:paraId="482E6389" w14:textId="77777777" w:rsidTr="0098208F">
      <w:trPr>
        <w:trHeight w:val="586"/>
      </w:trPr>
      <w:tc>
        <w:tcPr>
          <w:tcW w:w="2440" w:type="pct"/>
          <w:gridSpan w:val="3"/>
          <w:tcBorders>
            <w:top w:val="nil"/>
            <w:left w:val="nil"/>
            <w:bottom w:val="single" w:sz="4" w:space="0" w:color="auto"/>
          </w:tcBorders>
          <w:vAlign w:val="bottom"/>
        </w:tcPr>
        <w:p w14:paraId="5BEDFBF0" w14:textId="77777777" w:rsidR="00662409" w:rsidRPr="003108C0" w:rsidRDefault="00BD40E2" w:rsidP="00D07D6E">
          <w:pPr>
            <w:pStyle w:val="InvisibleLine"/>
            <w:ind w:left="150"/>
            <w:rPr>
              <w:sz w:val="16"/>
            </w:rPr>
          </w:pPr>
        </w:p>
      </w:tc>
      <w:tc>
        <w:tcPr>
          <w:tcW w:w="373" w:type="pct"/>
          <w:tcBorders>
            <w:top w:val="nil"/>
            <w:bottom w:val="single" w:sz="4" w:space="0" w:color="auto"/>
          </w:tcBorders>
          <w:vAlign w:val="bottom"/>
        </w:tcPr>
        <w:p w14:paraId="53E6FFF3" w14:textId="77777777" w:rsidR="00662409" w:rsidRPr="003108C0" w:rsidRDefault="00BD40E2" w:rsidP="00D07D6E">
          <w:pPr>
            <w:pStyle w:val="Level"/>
            <w:ind w:left="150"/>
            <w:rPr>
              <w:sz w:val="16"/>
            </w:rPr>
          </w:pPr>
        </w:p>
      </w:tc>
      <w:tc>
        <w:tcPr>
          <w:tcW w:w="209" w:type="pct"/>
          <w:tcBorders>
            <w:top w:val="nil"/>
            <w:bottom w:val="single" w:sz="4" w:space="0" w:color="auto"/>
          </w:tcBorders>
        </w:tcPr>
        <w:p w14:paraId="5FF5FE58" w14:textId="77777777" w:rsidR="00662409" w:rsidRDefault="00993310" w:rsidP="00D07D6E">
          <w:pPr>
            <w:pStyle w:val="InvisibleLine"/>
            <w:ind w:left="150"/>
          </w:pPr>
          <w:r>
            <w:rPr>
              <w:noProof/>
              <w:lang w:val="it-CH" w:eastAsia="it-CH"/>
            </w:rPr>
            <w:drawing>
              <wp:anchor distT="0" distB="0" distL="114300" distR="114300" simplePos="0" relativeHeight="251661312"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14:paraId="7B2B537A" w14:textId="125ED127" w:rsidR="00662409" w:rsidRPr="004204CB" w:rsidRDefault="00993310"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BD40E2">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BD40E2">
            <w:rPr>
              <w:rFonts w:asciiTheme="minorHAnsi" w:hAnsiTheme="minorHAnsi" w:cstheme="minorHAnsi"/>
              <w:noProof/>
              <w:sz w:val="24"/>
            </w:rPr>
            <w:t>4</w:t>
          </w:r>
          <w:r w:rsidRPr="004204CB">
            <w:rPr>
              <w:rFonts w:asciiTheme="minorHAnsi" w:hAnsiTheme="minorHAnsi" w:cstheme="minorHAnsi"/>
              <w:noProof/>
              <w:sz w:val="24"/>
            </w:rPr>
            <w:fldChar w:fldCharType="end"/>
          </w:r>
        </w:p>
      </w:tc>
    </w:tr>
    <w:tr w:rsidR="00912E34" w:rsidRPr="0004624C" w14:paraId="319ABC73" w14:textId="77777777"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A16CF06D-B466-446D-9097-9209EAEB10DC}"/>
          <w:text w:multiLine="1"/>
        </w:sdtPr>
        <w:sdtEndPr/>
        <w:sdtContent>
          <w:tc>
            <w:tcPr>
              <w:tcW w:w="5000" w:type="pct"/>
              <w:gridSpan w:val="6"/>
              <w:tcBorders>
                <w:left w:val="nil"/>
                <w:right w:val="nil"/>
              </w:tcBorders>
              <w:noWrap/>
              <w:tcMar>
                <w:top w:w="0" w:type="dxa"/>
              </w:tcMar>
              <w:vAlign w:val="bottom"/>
            </w:tcPr>
            <w:p w14:paraId="36AD4E1F" w14:textId="77777777" w:rsidR="00662409" w:rsidRPr="008C03B5" w:rsidRDefault="00643165"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Messaggio</w:t>
              </w:r>
            </w:p>
          </w:tc>
        </w:sdtContent>
      </w:sdt>
    </w:tr>
    <w:tr w:rsidR="008C03B5" w:rsidRPr="0004624C" w14:paraId="734172D6" w14:textId="77777777" w:rsidTr="00B76ABD">
      <w:trPr>
        <w:trHeight w:hRule="exact" w:val="306"/>
      </w:trPr>
      <w:tc>
        <w:tcPr>
          <w:tcW w:w="670" w:type="pct"/>
          <w:tcBorders>
            <w:left w:val="nil"/>
            <w:bottom w:val="nil"/>
          </w:tcBorders>
          <w:noWrap/>
          <w:tcMar>
            <w:top w:w="57" w:type="dxa"/>
            <w:left w:w="142" w:type="dxa"/>
          </w:tcMar>
        </w:tcPr>
        <w:p w14:paraId="183C62AB" w14:textId="77777777" w:rsidR="008C03B5" w:rsidRPr="00C7320A" w:rsidRDefault="00993310" w:rsidP="002B0F22">
          <w:pPr>
            <w:pStyle w:val="Level"/>
            <w:spacing w:before="60"/>
            <w:rPr>
              <w:rFonts w:ascii="Gill Alt One MT Light" w:hAnsi="Gill Alt One MT Light"/>
              <w:sz w:val="16"/>
            </w:rPr>
          </w:pPr>
          <w:r w:rsidRPr="00C7320A">
            <w:rPr>
              <w:rFonts w:ascii="Gill Alt One MT Light" w:hAnsi="Gill Alt One MT Light"/>
              <w:sz w:val="16"/>
            </w:rPr>
            <w:t>numero</w:t>
          </w:r>
        </w:p>
        <w:p w14:paraId="5FA1FA42" w14:textId="77777777" w:rsidR="008C03B5" w:rsidRPr="00C7320A" w:rsidRDefault="00BD40E2"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14:paraId="640AA265" w14:textId="77777777" w:rsidR="008C03B5" w:rsidRPr="00C7320A" w:rsidRDefault="00993310" w:rsidP="002B0F22">
          <w:pPr>
            <w:pStyle w:val="Level"/>
            <w:spacing w:before="60"/>
            <w:rPr>
              <w:rFonts w:ascii="Gill Alt One MT Light" w:hAnsi="Gill Alt One MT Light"/>
              <w:sz w:val="16"/>
            </w:rPr>
          </w:pPr>
          <w:r w:rsidRPr="00C7320A">
            <w:rPr>
              <w:rFonts w:ascii="Gill Alt One MT Light" w:hAnsi="Gill Alt One MT Light"/>
              <w:sz w:val="16"/>
            </w:rPr>
            <w:t>data</w:t>
          </w:r>
        </w:p>
        <w:p w14:paraId="0704F687" w14:textId="77777777" w:rsidR="008C03B5" w:rsidRPr="00C7320A" w:rsidRDefault="00BD40E2"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14:paraId="647259DB" w14:textId="77777777" w:rsidR="008C03B5" w:rsidRPr="00C7320A" w:rsidRDefault="00993310" w:rsidP="002B0F22">
          <w:pPr>
            <w:pStyle w:val="Level"/>
            <w:spacing w:before="60"/>
            <w:rPr>
              <w:rFonts w:ascii="Gill Alt One MT Light" w:hAnsi="Gill Alt One MT Light"/>
              <w:sz w:val="16"/>
            </w:rPr>
          </w:pPr>
          <w:r>
            <w:rPr>
              <w:rFonts w:ascii="Gill Alt One MT Light" w:hAnsi="Gill Alt One MT Light"/>
              <w:sz w:val="16"/>
            </w:rPr>
            <w:t>competenza</w:t>
          </w:r>
        </w:p>
        <w:p w14:paraId="11EE04F9" w14:textId="77777777" w:rsidR="008C03B5" w:rsidRPr="008C03B5" w:rsidRDefault="00BD40E2" w:rsidP="002B0F22">
          <w:pPr>
            <w:pStyle w:val="Level"/>
            <w:spacing w:before="60" w:line="240" w:lineRule="auto"/>
            <w:rPr>
              <w:rFonts w:ascii="Gill Alt One MT Light" w:hAnsi="Gill Alt One MT Light"/>
              <w:sz w:val="16"/>
            </w:rPr>
          </w:pPr>
        </w:p>
      </w:tc>
    </w:tr>
    <w:tr w:rsidR="008C03B5" w:rsidRPr="0004624C" w14:paraId="073C0083" w14:textId="77777777" w:rsidTr="008C03B5">
      <w:trPr>
        <w:trHeight w:hRule="exact" w:val="699"/>
      </w:trPr>
      <w:tc>
        <w:tcPr>
          <w:tcW w:w="670" w:type="pct"/>
          <w:tcBorders>
            <w:top w:val="nil"/>
            <w:left w:val="nil"/>
            <w:bottom w:val="single" w:sz="4" w:space="0" w:color="auto"/>
            <w:right w:val="nil"/>
          </w:tcBorders>
          <w:noWrap/>
          <w:tcMar>
            <w:top w:w="0" w:type="dxa"/>
          </w:tcMar>
        </w:tcPr>
        <w:p w14:paraId="30DF664B" w14:textId="648602FA" w:rsidR="008C03B5" w:rsidRPr="00BE22A2" w:rsidRDefault="00BD40E2"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A16CF06D-B466-446D-9097-9209EAEB10DC}"/>
              <w:text w:multiLine="1"/>
            </w:sdtPr>
            <w:sdtEndPr/>
            <w:sdtContent>
              <w:r w:rsidR="00646C20">
                <w:rPr>
                  <w:rFonts w:cstheme="minorHAnsi"/>
                  <w:b/>
                  <w:sz w:val="24"/>
                  <w:szCs w:val="24"/>
                </w:rPr>
                <w:t>8212</w:t>
              </w:r>
            </w:sdtContent>
          </w:sdt>
        </w:p>
      </w:tc>
      <w:sdt>
        <w:sdtPr>
          <w:rPr>
            <w:sz w:val="24"/>
          </w:rPr>
          <w:alias w:val="DocParam.Date"/>
          <w:id w:val="-464426178"/>
          <w:dataBinding w:xpath="//DateTime[@id='DocParam.Date']" w:storeItemID="{A16CF06D-B466-446D-9097-9209EAEB10DC}"/>
          <w:date w:fullDate="2022-11-30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14:paraId="05640A1D" w14:textId="77777777" w:rsidR="008C03B5" w:rsidRPr="002A0371" w:rsidRDefault="001C6870" w:rsidP="009F5512">
              <w:pPr>
                <w:pStyle w:val="Data"/>
              </w:pPr>
              <w:r>
                <w:rPr>
                  <w:sz w:val="24"/>
                </w:rPr>
                <w:t>30 novembre 2022</w:t>
              </w:r>
            </w:p>
          </w:tc>
        </w:sdtContent>
      </w:sdt>
      <w:tc>
        <w:tcPr>
          <w:tcW w:w="3218" w:type="pct"/>
          <w:gridSpan w:val="4"/>
          <w:tcBorders>
            <w:top w:val="nil"/>
            <w:left w:val="nil"/>
            <w:bottom w:val="nil"/>
            <w:right w:val="nil"/>
          </w:tcBorders>
        </w:tcPr>
        <w:p w14:paraId="69E4BD38" w14:textId="77777777" w:rsidR="008C03B5" w:rsidRPr="00BE22A2" w:rsidRDefault="00BD40E2" w:rsidP="00833E20">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A16CF06D-B466-446D-9097-9209EAEB10DC}"/>
              <w:text w:multiLine="1"/>
            </w:sdtPr>
            <w:sdtEndPr/>
            <w:sdtContent>
              <w:r w:rsidR="009F5512">
                <w:rPr>
                  <w:smallCaps/>
                  <w:sz w:val="23"/>
                  <w:szCs w:val="23"/>
                </w:rPr>
                <w:t>Dipartimento della sanità e della socialità</w:t>
              </w:r>
            </w:sdtContent>
          </w:sdt>
        </w:p>
      </w:tc>
    </w:tr>
    <w:tr w:rsidR="00912E34" w:rsidRPr="00C63927" w14:paraId="3D9392D2" w14:textId="77777777" w:rsidTr="0098208F">
      <w:trPr>
        <w:trHeight w:hRule="exact" w:val="198"/>
      </w:trPr>
      <w:tc>
        <w:tcPr>
          <w:tcW w:w="5000" w:type="pct"/>
          <w:gridSpan w:val="6"/>
          <w:tcBorders>
            <w:left w:val="nil"/>
            <w:bottom w:val="nil"/>
            <w:right w:val="nil"/>
          </w:tcBorders>
          <w:noWrap/>
          <w:tcMar>
            <w:top w:w="57" w:type="dxa"/>
            <w:left w:w="85" w:type="dxa"/>
            <w:bottom w:w="170" w:type="dxa"/>
          </w:tcMar>
        </w:tcPr>
        <w:p w14:paraId="23EC5C09" w14:textId="77777777" w:rsidR="00662409" w:rsidRPr="00C7320A" w:rsidRDefault="00BD40E2" w:rsidP="00D07D6E">
          <w:pPr>
            <w:pStyle w:val="Level"/>
            <w:ind w:left="150"/>
            <w:rPr>
              <w:rFonts w:ascii="Gill Alt One MT Light" w:hAnsi="Gill Alt One MT Light"/>
              <w:sz w:val="16"/>
              <w:szCs w:val="16"/>
            </w:rPr>
          </w:pPr>
        </w:p>
      </w:tc>
    </w:tr>
  </w:tbl>
  <w:p w14:paraId="61745C0D" w14:textId="77777777" w:rsidR="00F657BF" w:rsidRPr="00DA2879" w:rsidRDefault="00993310" w:rsidP="00C7320A">
    <w:pPr>
      <w:pStyle w:val="Nessunaspaziatura"/>
      <w:spacing w:line="40" w:lineRule="exact"/>
    </w:pPr>
    <w:r>
      <w:rPr>
        <w:noProof/>
        <w:lang w:val="it-CH" w:eastAsia="it-CH"/>
      </w:rPr>
      <w:drawing>
        <wp:anchor distT="0" distB="0" distL="114300" distR="114300" simplePos="0" relativeHeight="251657216"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4144"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A16CF06D-B466-446D-9097-9209EAEB10DC}"/>
                            <w:text w:multiLine="1"/>
                          </w:sdtPr>
                          <w:sdtEndPr/>
                          <w:sdtContent>
                            <w:p w14:paraId="1D53800B" w14:textId="77777777" w:rsidR="00E93620" w:rsidRPr="00411371" w:rsidRDefault="00993310"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margin-left:0;margin-top:-1273.7pt;width:680.3pt;height:141.75pt;rotation:-60;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F7710E6C-AFA3-401F-868C-7E235D9A8E14}"/>
                      <w:text w:multiLine="1"/>
                    </w:sdtPr>
                    <w:sdtEndPr/>
                    <w:sdtContent>
                      <w:p w14:paraId="1D53800B" w14:textId="77777777" w:rsidR="00E93620" w:rsidRPr="00411371" w:rsidRDefault="00993310"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3E04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9C16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4058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6A88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6266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4605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DC74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6C5E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D04C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989F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8081428"/>
    <w:multiLevelType w:val="hybridMultilevel"/>
    <w:tmpl w:val="7E6085FA"/>
    <w:lvl w:ilvl="0" w:tplc="BA0023C4">
      <w:start w:val="1"/>
      <w:numFmt w:val="upperRoman"/>
      <w:lvlText w:val="%1."/>
      <w:lvlJc w:val="left"/>
      <w:pPr>
        <w:ind w:left="1287" w:hanging="72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2"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17A07E0"/>
    <w:multiLevelType w:val="hybridMultilevel"/>
    <w:tmpl w:val="529CA9C0"/>
    <w:lvl w:ilvl="0" w:tplc="9C42356C">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01C5B6C"/>
    <w:multiLevelType w:val="hybridMultilevel"/>
    <w:tmpl w:val="1B9A6BEC"/>
    <w:lvl w:ilvl="0" w:tplc="EAC87CE2">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41A574C"/>
    <w:multiLevelType w:val="hybridMultilevel"/>
    <w:tmpl w:val="C2C24522"/>
    <w:lvl w:ilvl="0" w:tplc="E586CE2A">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0" w15:restartNumberingAfterBreak="0">
    <w:nsid w:val="49D524CC"/>
    <w:multiLevelType w:val="multilevel"/>
    <w:tmpl w:val="953CA1B2"/>
    <w:numStyleLink w:val="HeadingList"/>
  </w:abstractNum>
  <w:abstractNum w:abstractNumId="21" w15:restartNumberingAfterBreak="0">
    <w:nsid w:val="502448FB"/>
    <w:multiLevelType w:val="hybridMultilevel"/>
    <w:tmpl w:val="0C1A88E4"/>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2" w15:restartNumberingAfterBreak="0">
    <w:nsid w:val="7ACA6A62"/>
    <w:multiLevelType w:val="hybridMultilevel"/>
    <w:tmpl w:val="ED300A42"/>
    <w:lvl w:ilvl="0" w:tplc="EAC87CE2">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0"/>
  </w:num>
  <w:num w:numId="4">
    <w:abstractNumId w:val="19"/>
  </w:num>
  <w:num w:numId="5">
    <w:abstractNumId w:val="17"/>
  </w:num>
  <w:num w:numId="6">
    <w:abstractNumId w:val="13"/>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1"/>
  </w:num>
  <w:num w:numId="19">
    <w:abstractNumId w:val="18"/>
  </w:num>
  <w:num w:numId="20">
    <w:abstractNumId w:val="14"/>
  </w:num>
  <w:num w:numId="21">
    <w:abstractNumId w:val="16"/>
  </w:num>
  <w:num w:numId="22">
    <w:abstractNumId w:val="21"/>
  </w:num>
  <w:num w:numId="23">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71"/>
    <w:rsid w:val="0005078F"/>
    <w:rsid w:val="00065065"/>
    <w:rsid w:val="000908AB"/>
    <w:rsid w:val="000E4A6F"/>
    <w:rsid w:val="00122E48"/>
    <w:rsid w:val="001274F6"/>
    <w:rsid w:val="001C6870"/>
    <w:rsid w:val="0023436A"/>
    <w:rsid w:val="00266791"/>
    <w:rsid w:val="002B5D9F"/>
    <w:rsid w:val="00316A46"/>
    <w:rsid w:val="00323E8E"/>
    <w:rsid w:val="00377C5E"/>
    <w:rsid w:val="003B756D"/>
    <w:rsid w:val="003C4A38"/>
    <w:rsid w:val="003D577E"/>
    <w:rsid w:val="003F03AE"/>
    <w:rsid w:val="003F4675"/>
    <w:rsid w:val="00403ADB"/>
    <w:rsid w:val="00415363"/>
    <w:rsid w:val="00491D95"/>
    <w:rsid w:val="004B7ED8"/>
    <w:rsid w:val="004C6585"/>
    <w:rsid w:val="004D371D"/>
    <w:rsid w:val="00572FD3"/>
    <w:rsid w:val="006241DE"/>
    <w:rsid w:val="00640EC9"/>
    <w:rsid w:val="00643165"/>
    <w:rsid w:val="00646C20"/>
    <w:rsid w:val="00676B4E"/>
    <w:rsid w:val="006C014D"/>
    <w:rsid w:val="007673A4"/>
    <w:rsid w:val="007C6E1E"/>
    <w:rsid w:val="007E288D"/>
    <w:rsid w:val="00833E20"/>
    <w:rsid w:val="008720C4"/>
    <w:rsid w:val="008C1EB5"/>
    <w:rsid w:val="008F52AF"/>
    <w:rsid w:val="00916026"/>
    <w:rsid w:val="0095598D"/>
    <w:rsid w:val="00993310"/>
    <w:rsid w:val="009C5E5A"/>
    <w:rsid w:val="009F5512"/>
    <w:rsid w:val="00A319C2"/>
    <w:rsid w:val="00AE7C79"/>
    <w:rsid w:val="00AF0268"/>
    <w:rsid w:val="00AF06C6"/>
    <w:rsid w:val="00BB2FF4"/>
    <w:rsid w:val="00BD40E2"/>
    <w:rsid w:val="00BF0A1F"/>
    <w:rsid w:val="00C10CCC"/>
    <w:rsid w:val="00C66870"/>
    <w:rsid w:val="00C678FF"/>
    <w:rsid w:val="00CC3FAA"/>
    <w:rsid w:val="00D33940"/>
    <w:rsid w:val="00D40B2E"/>
    <w:rsid w:val="00D53FC1"/>
    <w:rsid w:val="00D600FD"/>
    <w:rsid w:val="00D63171"/>
    <w:rsid w:val="00D649A8"/>
    <w:rsid w:val="00DB0667"/>
    <w:rsid w:val="00DC3AA9"/>
    <w:rsid w:val="00E235B7"/>
    <w:rsid w:val="00EB088A"/>
    <w:rsid w:val="00EF539C"/>
    <w:rsid w:val="00F21269"/>
    <w:rsid w:val="00F36BCC"/>
    <w:rsid w:val="00F657BF"/>
    <w:rsid w:val="00FE49F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5931433"/>
  <w15:docId w15:val="{79281280-8EA3-4F38-AECF-89D6055B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pPr>
      <w:suppressAutoHyphens/>
      <w:spacing w:after="0"/>
      <w:jc w:val="both"/>
    </w:pPr>
    <w:rPr>
      <w:rFonts w:ascii="Arial" w:hAnsi="Arial"/>
      <w:lang w:val="it-CH"/>
    </w:rPr>
  </w:style>
  <w:style w:type="paragraph" w:styleId="Titolo1">
    <w:name w:val="heading 1"/>
    <w:basedOn w:val="Normale"/>
    <w:next w:val="Normale"/>
    <w:link w:val="Titolo1Carattere"/>
    <w:uiPriority w:val="9"/>
    <w:qFormat/>
    <w:rsid w:val="00DC277C"/>
    <w:pPr>
      <w:keepNext/>
      <w:numPr>
        <w:numId w:val="2"/>
      </w:numPr>
      <w:spacing w:before="240" w:after="120"/>
      <w:jc w:val="left"/>
      <w:outlineLvl w:val="0"/>
    </w:pPr>
    <w:rPr>
      <w:rFonts w:asciiTheme="majorHAnsi" w:hAnsiTheme="majorHAnsi"/>
      <w:b/>
    </w:rPr>
  </w:style>
  <w:style w:type="paragraph" w:styleId="Titolo2">
    <w:name w:val="heading 2"/>
    <w:basedOn w:val="Titolo1"/>
    <w:next w:val="Normale"/>
    <w:link w:val="Titolo2Carattere"/>
    <w:uiPriority w:val="9"/>
    <w:unhideWhenUsed/>
    <w:qFormat/>
    <w:rsid w:val="00EC214A"/>
    <w:pPr>
      <w:numPr>
        <w:ilvl w:val="1"/>
      </w:numPr>
      <w:spacing w:before="120" w:after="60"/>
      <w:outlineLvl w:val="1"/>
    </w:pPr>
    <w:rPr>
      <w:sz w:val="20"/>
    </w:rPr>
  </w:style>
  <w:style w:type="paragraph" w:styleId="Titolo3">
    <w:name w:val="heading 3"/>
    <w:basedOn w:val="Titolo1"/>
    <w:next w:val="Normale"/>
    <w:link w:val="Titolo3Carattere"/>
    <w:uiPriority w:val="9"/>
    <w:unhideWhenUsed/>
    <w:qFormat/>
    <w:rsid w:val="00EC214A"/>
    <w:pPr>
      <w:numPr>
        <w:ilvl w:val="2"/>
      </w:numPr>
      <w:spacing w:before="120" w:after="60"/>
      <w:outlineLvl w:val="2"/>
    </w:pPr>
    <w:rPr>
      <w:sz w:val="20"/>
    </w:rPr>
  </w:style>
  <w:style w:type="paragraph" w:styleId="Titolo4">
    <w:name w:val="heading 4"/>
    <w:basedOn w:val="Titolo1"/>
    <w:next w:val="Normale"/>
    <w:link w:val="Titolo4Carattere"/>
    <w:uiPriority w:val="9"/>
    <w:unhideWhenUsed/>
    <w:qFormat/>
    <w:rsid w:val="00EC214A"/>
    <w:pPr>
      <w:numPr>
        <w:ilvl w:val="3"/>
      </w:numPr>
      <w:spacing w:before="120" w:after="60"/>
      <w:outlineLvl w:val="3"/>
    </w:pPr>
    <w:rPr>
      <w:sz w:val="20"/>
    </w:rPr>
  </w:style>
  <w:style w:type="paragraph" w:styleId="Titolo5">
    <w:name w:val="heading 5"/>
    <w:basedOn w:val="Normale"/>
    <w:next w:val="Normale"/>
    <w:link w:val="Titolo5Carattere"/>
    <w:uiPriority w:val="9"/>
    <w:semiHidden/>
    <w:unhideWhenUsed/>
    <w:rsid w:val="00AA242E"/>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DC277C"/>
    <w:rPr>
      <w:rFonts w:asciiTheme="majorHAnsi" w:hAnsiTheme="majorHAnsi"/>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1329CE"/>
    <w:rPr>
      <w:rFonts w:asciiTheme="majorHAnsi" w:hAnsiTheme="majorHAnsi"/>
      <w:b/>
      <w:sz w:val="20"/>
      <w:lang w:val="it-CH"/>
    </w:rPr>
  </w:style>
  <w:style w:type="character" w:customStyle="1" w:styleId="Titolo3Carattere">
    <w:name w:val="Titolo 3 Carattere"/>
    <w:basedOn w:val="Carpredefinitoparagrafo"/>
    <w:link w:val="Titolo3"/>
    <w:uiPriority w:val="9"/>
    <w:rsid w:val="001329CE"/>
    <w:rPr>
      <w:rFonts w:asciiTheme="majorHAnsi" w:hAnsiTheme="majorHAnsi"/>
      <w:b/>
      <w:sz w:val="20"/>
      <w:lang w:val="it-CH"/>
    </w:rPr>
  </w:style>
  <w:style w:type="character" w:customStyle="1" w:styleId="Titolo4Carattere">
    <w:name w:val="Titolo 4 Carattere"/>
    <w:basedOn w:val="Carpredefinitoparagrafo"/>
    <w:link w:val="Titolo4"/>
    <w:uiPriority w:val="9"/>
    <w:rsid w:val="004D121B"/>
    <w:rPr>
      <w:rFonts w:asciiTheme="majorHAnsi" w:hAnsiTheme="majorHAnsi"/>
      <w:b/>
      <w:sz w:val="20"/>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AA242E"/>
    <w:rPr>
      <w:rFonts w:asciiTheme="majorHAnsi" w:eastAsiaTheme="majorEastAsia" w:hAnsiTheme="majorHAnsi" w:cstheme="majorBidi"/>
      <w:color w:val="365F91" w:themeColor="accent1" w:themeShade="BF"/>
      <w:sz w:val="20"/>
    </w:rPr>
  </w:style>
  <w:style w:type="paragraph" w:customStyle="1" w:styleId="DraftText">
    <w:name w:val="DraftText"/>
    <w:rsid w:val="00B33B5E"/>
    <w:pPr>
      <w:widowControl w:val="0"/>
      <w:suppressAutoHyphens/>
      <w:spacing w:after="0"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spacing w:after="0"/>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styleId="Collegamentoipertestuale">
    <w:name w:val="Hyperlink"/>
    <w:basedOn w:val="Carpredefinitoparagrafo"/>
    <w:uiPriority w:val="99"/>
    <w:unhideWhenUsed/>
    <w:rsid w:val="007673A4"/>
    <w:rPr>
      <w:color w:val="0000FF" w:themeColor="hyperlink"/>
      <w:u w:val="single"/>
    </w:rPr>
  </w:style>
  <w:style w:type="paragraph" w:styleId="NormaleWeb">
    <w:name w:val="Normal (Web)"/>
    <w:basedOn w:val="Normale"/>
    <w:uiPriority w:val="99"/>
    <w:semiHidden/>
    <w:unhideWhenUsed/>
    <w:rsid w:val="00F36BCC"/>
    <w:pPr>
      <w:suppressAutoHyphens w:val="0"/>
      <w:spacing w:before="100" w:beforeAutospacing="1" w:after="100" w:afterAutospacing="1"/>
      <w:jc w:val="left"/>
    </w:pPr>
    <w:rPr>
      <w:rFonts w:ascii="Times New Roman" w:eastAsia="Times New Roman" w:hAnsi="Times New Roman" w:cs="Times New Roman"/>
      <w:sz w:val="24"/>
      <w:szCs w:val="24"/>
      <w:lang w:eastAsia="it-CH"/>
    </w:rPr>
  </w:style>
  <w:style w:type="paragraph" w:styleId="Testofumetto">
    <w:name w:val="Balloon Text"/>
    <w:basedOn w:val="Normale"/>
    <w:link w:val="TestofumettoCarattere"/>
    <w:uiPriority w:val="99"/>
    <w:semiHidden/>
    <w:unhideWhenUsed/>
    <w:rsid w:val="00D40B2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0B2E"/>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157234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05694\AppData\Local\Temp\OneOffixx\generated\ec2ac610-663e-4830-9e2c-762b62738331.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1F096E619A0E44A8FD32ED5748D2238" ma:contentTypeVersion="57" ma:contentTypeDescription="Creare un nuovo documento." ma:contentTypeScope="" ma:versionID="2201562e89b1dc7df0630f40fd2be56c">
  <xsd:schema xmlns:xsd="http://www.w3.org/2001/XMLSchema" xmlns:xs="http://www.w3.org/2001/XMLSchema" xmlns:p="http://schemas.microsoft.com/office/2006/metadata/properties" xmlns:ns2="85422fa3-0fe3-4516-83b6-252e42a280b7" xmlns:ns3="e701e5c3-bfcb-4b3b-a512-fe06ac26e39c" xmlns:ns4="3df8a634-6269-4cf4-8b4f-59d0ec3e5810" targetNamespace="http://schemas.microsoft.com/office/2006/metadata/properties" ma:root="true" ma:fieldsID="e2ba25d87cdf01ab8ccb88ffceacc9ed" ns2:_="" ns3:_="" ns4:_="">
    <xsd:import namespace="85422fa3-0fe3-4516-83b6-252e42a280b7"/>
    <xsd:import namespace="e701e5c3-bfcb-4b3b-a512-fe06ac26e39c"/>
    <xsd:import namespace="3df8a634-6269-4cf4-8b4f-59d0ec3e5810"/>
    <xsd:element name="properties">
      <xsd:complexType>
        <xsd:sequence>
          <xsd:element name="documentManagement">
            <xsd:complexType>
              <xsd:all>
                <xsd:element ref="ns2:Tipo_x0020_Atto" minOccurs="0"/>
                <xsd:element ref="ns3:ID_Atto" minOccurs="0"/>
                <xsd:element ref="ns4:Firma" minOccurs="0"/>
                <xsd:element ref="ns4:Tipo_x0020_Documento" minOccurs="0"/>
                <xsd:element ref="ns4:Altri_x0020_funzionari_x003a_Ema" minOccurs="0"/>
                <xsd:element ref="ns4:Funzionario_x0020_princip_x003a_" minOccurs="0"/>
                <xsd:element ref="ns4:Responsabile_x0020_di_x00_x003a_" minOccurs="0"/>
                <xsd:element ref="ns4:Procedura_x0020_di_x0020__x003a_" minOccurs="0"/>
                <xsd:element ref="ns4:Atto_x0020_parlamentare_x003a_Da" minOccurs="0"/>
                <xsd:element ref="ns4:Atto_x0020_parlamentare_x003a_Nu" minOccurs="0"/>
                <xsd:element ref="ns4:Atto_x0020_parlamentare_x003a_Ra" minOccurs="0"/>
                <xsd:element ref="ns4:Atto_x0020_parlamentare_x003a_Pr" minOccurs="0"/>
                <xsd:element ref="ns4:Atto_x0020_parlamentare_x003a_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fa3-0fe3-4516-83b6-252e42a280b7" elementFormDefault="qualified">
    <xsd:import namespace="http://schemas.microsoft.com/office/2006/documentManagement/types"/>
    <xsd:import namespace="http://schemas.microsoft.com/office/infopath/2007/PartnerControls"/>
    <xsd:element name="Tipo_x0020_Atto" ma:index="8" nillable="true" ma:displayName="Tipo Atto:" ma:format="Dropdown" ma:internalName="Tipo_x0020_Atto">
      <xsd:simpleType>
        <xsd:restriction base="dms:Choice">
          <xsd:enumeration value="Interpellanza"/>
          <xsd:enumeration value="Interrogazione"/>
          <xsd:enumeration value="Iniziativa Elaborata"/>
          <xsd:enumeration value="Iniziativa Generica"/>
          <xsd:enumeration value="Mozione"/>
          <xsd:enumeration value="Iniziativa Popolare"/>
          <xsd:enumeration value="Petizione"/>
          <xsd:enumeration value="Ricorso"/>
          <xsd:enumeration value="Procedura di consultazione"/>
        </xsd:restriction>
      </xsd:simpleType>
    </xsd:element>
  </xsd:schema>
  <xsd:schema xmlns:xsd="http://www.w3.org/2001/XMLSchema" xmlns:xs="http://www.w3.org/2001/XMLSchema" xmlns:dms="http://schemas.microsoft.com/office/2006/documentManagement/types" xmlns:pc="http://schemas.microsoft.com/office/infopath/2007/PartnerControls" targetNamespace="e701e5c3-bfcb-4b3b-a512-fe06ac26e39c" elementFormDefault="qualified">
    <xsd:import namespace="http://schemas.microsoft.com/office/2006/documentManagement/types"/>
    <xsd:import namespace="http://schemas.microsoft.com/office/infopath/2007/PartnerControls"/>
    <xsd:element name="ID_Atto" ma:index="9" nillable="true" ma:displayName="ID_Atto" ma:internalName="ID_At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f8a634-6269-4cf4-8b4f-59d0ec3e5810" elementFormDefault="qualified">
    <xsd:import namespace="http://schemas.microsoft.com/office/2006/documentManagement/types"/>
    <xsd:import namespace="http://schemas.microsoft.com/office/infopath/2007/PartnerControls"/>
    <xsd:element name="Firma" ma:index="15" nillable="true" ma:displayName="Firma" ma:default="DSS" ma:internalName="Firma">
      <xsd:simpleType>
        <xsd:restriction base="dms:Text">
          <xsd:maxLength value="255"/>
        </xsd:restriction>
      </xsd:simpleType>
    </xsd:element>
    <xsd:element name="Tipo_x0020_Documento" ma:index="19" nillable="true" ma:displayName="Tipo Documento" ma:default="Altro" ma:format="Dropdown" ma:internalName="Tipo_x0020_Documento">
      <xsd:simpleType>
        <xsd:restriction base="dms:Choice">
          <xsd:enumeration value="Altro"/>
          <xsd:enumeration value="Risposta"/>
          <xsd:enumeration value="Bozza atto"/>
          <xsd:enumeration value="Sollecito"/>
          <xsd:enumeration value="Atto"/>
        </xsd:restriction>
      </xsd:simpleType>
    </xsd:element>
    <xsd:element name="Altri_x0020_funzionari_x003a_Ema" ma:index="20" nillable="true" ma:displayName="Altri funzionari:Email" ma:list="{0555a277-9686-4a30-ad93-b00a8b98f0f2}" ma:internalName="Altri_x0020_funzionari_x003a_Ema" ma:readOnly="true" ma:showField="Email" ma:web="e701e5c3-bfcb-4b3b-a512-fe06ac26e39c">
      <xsd:complexType>
        <xsd:complexContent>
          <xsd:extension base="dms:MultiChoiceLookup">
            <xsd:sequence>
              <xsd:element name="Value" type="dms:Lookup" maxOccurs="unbounded" minOccurs="0" nillable="true"/>
            </xsd:sequence>
          </xsd:extension>
        </xsd:complexContent>
      </xsd:complexType>
    </xsd:element>
    <xsd:element name="Funzionario_x0020_princip_x003a_" ma:index="21" nillable="true" ma:displayName="Funzionario principale:Email" ma:list="{0555a277-9686-4a30-ad93-b00a8b98f0f2}" ma:internalName="Funzionario_x0020_princip_x003a_" ma:readOnly="true" ma:showField="Email" ma:web="e701e5c3-bfcb-4b3b-a512-fe06ac26e39c">
      <xsd:simpleType>
        <xsd:restriction base="dms:Lookup"/>
      </xsd:simpleType>
    </xsd:element>
    <xsd:element name="Responsabile_x0020_di_x00_x003a_" ma:index="22" nillable="true" ma:displayName="Responsabile di settore:Email" ma:list="{0555a277-9686-4a30-ad93-b00a8b98f0f2}" ma:internalName="Responsabile_x0020_di_x00_x003a_" ma:readOnly="true" ma:showField="Email" ma:web="e701e5c3-bfcb-4b3b-a512-fe06ac26e39c">
      <xsd:simpleType>
        <xsd:restriction base="dms:Lookup"/>
      </xsd:simpleType>
    </xsd:element>
    <xsd:element name="Procedura_x0020_di_x0020__x003a_" ma:index="23" nillable="true" ma:displayName="Procedura di consultazione:Prossimo termine" ma:list="{55f4ac60-c310-4469-99b0-4b1b0d5b7cc5}" ma:internalName="Procedura_x0020_di_x0020__x003a_" ma:readOnly="true" ma:showField="Prossimo_x0020_termine" ma:web="2495c0ba-787d-414f-8929-8b2a35dfd173">
      <xsd:simpleType>
        <xsd:restriction base="dms:Lookup"/>
      </xsd:simpleType>
    </xsd:element>
    <xsd:element name="Atto_x0020_parlamentare_x003a_Da" ma:index="26" nillable="true" ma:displayName="Data" ma:list="{b3414ed3-d4ad-4ae2-951f-92f09bc4885b}" ma:internalName="Atto_x0020_parlamentare_x003a_Da" ma:readOnly="true" ma:showField="Data1" ma:web="e701e5c3-bfcb-4b3b-a512-fe06ac26e39c">
      <xsd:simpleType>
        <xsd:restriction base="dms:Lookup"/>
      </xsd:simpleType>
    </xsd:element>
    <xsd:element name="Atto_x0020_parlamentare_x003a_Nu" ma:index="27" nillable="true" ma:displayName="Numero" ma:list="{b3414ed3-d4ad-4ae2-951f-92f09bc4885b}" ma:internalName="Atto_x0020_parlamentare_x003a_Nu" ma:readOnly="true" ma:showField="Numero" ma:web="e701e5c3-bfcb-4b3b-a512-fe06ac26e39c">
      <xsd:simpleType>
        <xsd:restriction base="dms:Lookup"/>
      </xsd:simpleType>
    </xsd:element>
    <xsd:element name="Atto_x0020_parlamentare_x003a_Ra" ma:index="28" nillable="true" ma:displayName="Osservazioni" ma:list="{b3414ed3-d4ad-4ae2-951f-92f09bc4885b}" ma:internalName="Atto_x0020_parlamentare_x003a_Ra" ma:readOnly="true" ma:showField="Rapporto_x0020_CdS_x0020__x002d__x0020_Commissione" ma:web="e701e5c3-bfcb-4b3b-a512-fe06ac26e39c">
      <xsd:simpleType>
        <xsd:restriction base="dms:Lookup"/>
      </xsd:simpleType>
    </xsd:element>
    <xsd:element name="Atto_x0020_parlamentare_x003a_Pr" ma:index="29" nillable="true" ma:displayName="Presentato da" ma:list="{b3414ed3-d4ad-4ae2-951f-92f09bc4885b}" ma:internalName="Atto_x0020_parlamentare_x003a_Pr" ma:readOnly="true" ma:showField="PresentatoDa" ma:web="e701e5c3-bfcb-4b3b-a512-fe06ac26e39c">
      <xsd:simpleType>
        <xsd:restriction base="dms:Lookup"/>
      </xsd:simpleType>
    </xsd:element>
    <xsd:element name="Atto_x0020_parlamentare_x003a_Al" ma:index="30" nillable="true" ma:displayName="Altri Dipartimenti" ma:list="{b3414ed3-d4ad-4ae2-951f-92f09bc4885b}" ma:internalName="Atto_x0020_parlamentare_x003a_Al" ma:readOnly="true" ma:showField="AltriDipartimenti" ma:web="e701e5c3-bfcb-4b3b-a512-fe06ac26e39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8"?>
<p:properties xmlns:p="http://schemas.microsoft.com/office/2006/metadata/properties" xmlns:xsi="http://www.w3.org/2001/XMLSchema-instance" xmlns:pc="http://schemas.microsoft.com/office/infopath/2007/PartnerControls">
  <documentManagement>
    <Tipo_x0020_Documento xmlns="3df8a634-6269-4cf4-8b4f-59d0ec3e5810">Altro</Tipo_x0020_Documento>
    <Tipo_x0020_Atto xmlns="85422fa3-0fe3-4516-83b6-252e42a280b7">Mozione</Tipo_x0020_Atto>
    <ID_Atto xmlns="e701e5c3-bfcb-4b3b-a512-fe06ac26e39c">4703</ID_Atto>
    <Firma xmlns="3df8a634-6269-4cf4-8b4f-59d0ec3e5810">DSS</Firma>
  </documentManagement>
</p:properties>
</file>

<file path=customXml/item5.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6.xml><?xml version="1.0" encoding="utf-8"?>
<OneOffixxExtendedBindingPart xmlns:xsd="http://www.w3.org/2001/XMLSchema" xmlns:xsi="http://www.w3.org/2001/XMLSchema-instance" xmlns="http://schema.oneoffixx.com/OneOffixxExtendedBindingPart/1">
  <ExtendedBindings/>
</OneOffixxExtendedBindingPart>
</file>

<file path=customXml/item7.xml>��< ? x m l   v e r s i o n = " 1 . 0 "   e n c o d i n g = " u t f - 1 6 " ? > < O n e O f f i x x D o c u m e n t P a r t   x m l n s : x s d = " h t t p : / / w w w . w 3 . o r g / 2 0 0 1 / X M L S c h e m a "   x m l n s : x s i = " h t t p : / / w w w . w 3 . o r g / 2 0 0 1 / X M L S c h e m a - i n s t a n c e "   i d = " 5 6 e 6 3 8 e 8 - 2 8 a c - 4 6 c c - 8 3 0 b - c 6 f 5 d 9 0 0 f e e d "   t I d = " a 3 6 2 a 5 d 4 - 9 5 8 9 - 4 1 b f - a 4 e 6 - 4 f 8 7 c 4 e 4 1 2 3 9 "   i n t e r n a l T I d = " 9 0 6 4 c c 7 f - 3 1 6 d - 4 6 b 1 - a 4 a c - 7 4 8 6 0 c 3 f 8 a 5 b "   m t I d = " 2 7 5 a f 3 2 e - b c 4 0 - 4 5 c 2 - 8 5 b 7 - a f b 1 c 0 3 8 2 6 5 3 "   r e v i s i o n = " 0 "   c r e a t e d m a j o r v e r s i o n = " 0 "   c r e a t e d m i n o r v e r s i o n = " 0 "   c r e a t e d = " 2 0 2 1 - 0 5 - 2 8 T 0 7 : 4 4 : 2 5 . 2 6 4 7 7 7 6 Z "   m o d i f i e d m a j o r v e r s i o n = " 0 "   m o d i f i e d m i n o r v e r s i o n = " 0 "   m o d i f i e d = " 0 0 0 1 - 0 1 - 0 1 T 0 0 : 0 0 : 0 0 "   p r o f i l e = " 7 9 d 0 7 7 0 6 - 0 b d d - 4 0 8 1 - 8 e c 7 - 0 8 4 b 6 9 8 d a 5 0 6 " 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l a   s a n i t �   e   d e l l a   s o c i a l i t � ] ] > < / T e x t >  
                 < T e x t   i d = " C u s t o m E l e m e n t s . S u b T e m p l a t e . L a n d s c a p e . H e a d e r . T i t o l o "   l a b e l = " C u s t o m E l e m e n t s . S u b T e m p l a t e . L a n d s c a p e . H e a d e r . T i t o l o " > < ! [ C D A T A [ M e s s a g g i o   n .   8 2 1 2   d e l   3 0   n o v e m b r e   2 0 2 2 ] ] > < / T e x t > 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M e s s a g g i o ] ] > < / T e x t >  
                 < T e x t   i d = " C u s t o m E l e m e n t s . F i e l d s . T i t o l o 2 "   l a b e l = " C u s t o m E l e m e n t s . F i e l d s . T i t o l o 2 " > < ! [ C D A T A [ M e s s a g g i o   n .   8 2 1 2   d e l   3 0   n o v e m b r e   2 0 2 2 ] ] > < / T e x t >  
             < / S c r i p t i n g >  
             < S c r i p t i n g >  
                 < T e x t   i d = " C u s t o m E l e m e n t s . T e x t s . D r a f t "   l a b e l = " C u s t o m E l e m e n t s . T e x t s . D r a f t " > < ! [ C D A T A [ B o z z a ] ] > < / T e x t >  
                 < T e x t   i d = " C u s t o m E l e m e n t s . F i e l d s . D i p a r t i m e n t i "   l a b e l = " C u s t o m E l e m e n t s . F i e l d s . D i p a r t i m e n t i " > < ! [ C D A T A [   ] ] > < / T e x t >  
                 < T e x t   i d = " C u s t o m E l e m e n t s . F i e l d s . T i t o l o 1 "   l a b e l = " C u s t o m E l e m e n t s . F i e l d s . T i t o l o 1 " > < ! [ C D A T A [   ] ] > < / T e x t >  
                 < T e x t   i d = " C u s t o m E l e m e n t s . F i e l d s . T i t o l o 2 "   l a b e l = " C u s t o m E l e m e n t s . F i e l d s . T i t o l o 2 " > < ! [ C D A T A [   ] ] > < / T e x t >  
             < / S c r i p t i n g >  
             < P r o f i l e >  
                 < T e x t   i d = " P r o f i l e . I d "   l a b e l = " P r o f i l e . I d " > < ! [ C D A T A [ 7 9 d 0 7 7 0 6 - 0 b d d - 4 0 8 1 - 8 e c 7 - 0 8 4 b 6 9 8 d a 5 0 6 ] ] > < / T e x t >  
                 < T e x t   i d = " P r o f i l e . O r g a n i z a t i o n U n i t I d "   l a b e l = " P r o f i l e . O r g a n i z a t i o n U n i t I d " > < ! [ C D A T A [ f 7 6 b 5 5 8 d - 2 d 0 c - 4 3 f 0 - b 0 1 0 - 6 6 c 0 7 a f 7 d 1 2 3 ] ] > < / T e x t >  
                 < T e x t   i d = " P r o f i l e . O r g . E m a i l "   l a b e l = " P r o f i l e . O r g . E m a i l " > < ! [ C D A T A [ c a n - s c @ t i . c h ] ] > < / T e x t >  
                 < T e x t   i d = " P r o f i l e . O r g . F a x "   l a b e l = " P r o f i l e . O r g . F a x " > < ! [ C D A T A [ + 4 1   9 1   8 1 4   4 4   3 5 ] ] > < / 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C o n s i g l i o   d i   S t a t o ] ] > < / T e x t >  
                 < T e x t   i d = " P r o f i l e . O r g . P h o n e "   l a b e l = " P r o f i l e . O r g . P h o n e " > < ! [ C D A T A [ + 4 1   9 1   8 1 4   4 1   1 1 ] ] > < / 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w w w . t i . c h / c a n ] ] > < / T e x t >  
                 < T e x t   i d = " P r o f i l e . U s e r . A l i a s "   l a b e l = " P r o f i l e . U s e r . A l i a s " > < ! [ C D A T A [   ] ] > < / T e x t >  
                 < T e x t   i d = " P r o f i l e . U s e r . E m a i l "   l a b e l = " P r o f i l e . U s e r . E m a i l " > < ! [ C D A T A [ p a o l a . f u s a r o l i @ t i . c h ] ] > < / T e x t >  
                 < T e x t   i d = " P r o f i l e . U s e r . F i r s t N a m e "   l a b e l = " P r o f i l e . U s e r . F i r s t N a m e " > < ! [ C D A T A [ P a o l a ] ] > < / T e x t >  
                 < T e x t   i d = " P r o f i l e . U s e r . F u n c t i o n "   l a b e l = " P r o f i l e . U s e r . F u n c t i o n " > < ! [ C D A T A [ C A N - S T C A N C ] ] > < / T e x t >  
                 < T e x t   i d = " P r o f i l e . U s e r . L a s t N a m e "   l a b e l = " P r o f i l e . U s e r . L a s t N a m e " > < ! [ C D A T A [ D e   M a r c h i - F u s a r o l i ] ] > < / T e x t >  
                 < T e x t   i d = " P r o f i l e . U s e r . M o b i l e "   l a b e l = " P r o f i l e . U s e r . M o b i l e " > < ! [ C D A T A [   ] ] > < / T e x t >  
                 < T e x t   i d = " P r o f i l e . U s e r . P h o n e "   l a b e l = " P r o f i l e . U s e r . P h o n e " > < ! [ C D A T A [ + 4 1 9 1 8 1 4 3 1 6 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p a o l a . f u s a r o l i @ t i . c h ] ] > < / T e x t >  
                 < T e x t   i d = " A u t h o r . U s e r . F i r s t N a m e "   l a b e l = " A u t h o r . U s e r . F i r s t N a m e " > < ! [ C D A T A [ P a o l a ] ] > < / T e x t >  
                 < T e x t   i d = " A u t h o r . U s e r . F u n c t i o n "   l a b e l = " A u t h o r . U s e r . F u n c t i o n " > < ! [ C D A T A [ C A N - S T C A N C ] ] > < / T e x t >  
                 < T e x t   i d = " A u t h o r . U s e r . L a s t N a m e "   l a b e l = " A u t h o r . U s e r . L a s t N a m e " > < ! [ C D A T A [ D e   M a r c h i - F u s a r o l i ] ] > < / T e x t >  
                 < T e x t   i d = " A u t h o r . U s e r . M o b i l e "   l a b e l = " A u t h o r . U s e r . M o b i l e " > < ! [ C D A T A [   ] ] > < / T e x t >  
                 < T e x t   i d = " A u t h o r . U s e r . P h o n e "   l a b e l = " A u t h o r . U s e r . P h o n e " > < ! [ C D A T A [ + 4 1 9 1 8 1 4 3 1 6 6 ] ] > < / T e x t >  
                 < T e x t   i d = " A u t h o r . U s e r . S a l u t a t i o n "   l a b e l = " A u t h o r . U s e r . S a l u t a t i o n " > < ! [ C D A T A [   ] ] > < / T e x t >  
                 < T e x t   i d = " A u t h o r . U s e r . T i t l e "   l a b e l = " A u t h o r . U s e r . T i t l e " > < ! [ C D A T A [   ] ] > < / T e x t >  
             < / A u t h o r >  
             < S i g n e r _ 0 >  
                 < T e x t   i d = " S i g n e r _ 0 . I d "   l a b e l = " S i g n e r _ 0 . I d " > < ! [ C D A T A [ 7 9 d 0 7 7 0 6 - 0 b d d - 4 0 8 1 - 8 e c 7 - 0 8 4 b 6 9 8 d a 5 0 6 ] ] > < / T e x t >  
                 < T e x t   i d = " S i g n e r _ 0 . O r g a n i z a t i o n U n i t I d "   l a b e l = " S i g n e r _ 0 . O r g a n i z a t i o n U n i t I d " > < ! [ C D A T A [ f 7 6 b 5 5 8 d - 2 d 0 c - 4 3 f 0 - b 0 1 0 - 6 6 c 0 7 a f 7 d 1 2 3 ] ] > < / T e x t >  
                 < T e x t   i d = " S i g n e r _ 0 . O r g . E m a i l "   l a b e l = " S i g n e r _ 0 . O r g . E m a i l " > < ! [ C D A T A [ c a n - s c @ t i . c h ] ] > < / T e x t >  
                 < T e x t   i d = " S i g n e r _ 0 . O r g . F a x "   l a b e l = " S i g n e r _ 0 . O r g . F a x " > < ! [ C D A T A [ + 4 1   9 1   8 1 4   4 4   3 5 ] ] > < / 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C o n s i g l i o   d i   S t a t o ] ] > < / T e x t >  
                 < T e x t   i d = " S i g n e r _ 0 . O r g . P h o n e "   l a b e l = " S i g n e r _ 0 . O r g . P h o n e " > < ! [ C D A T A [ + 4 1   9 1   8 1 4   4 1   1 1 ] ] > < / 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w w w . t i . c h / c a n ] ] > < / T e x t >  
                 < T e x t   i d = " S i g n e r _ 0 . U s e r . A l i a s "   l a b e l = " S i g n e r _ 0 . U s e r . A l i a s " > < ! [ C D A T A [   ] ] > < / T e x t >  
                 < T e x t   i d = " S i g n e r _ 0 . U s e r . E m a i l "   l a b e l = " S i g n e r _ 0 . U s e r . E m a i l " > < ! [ C D A T A [ p a o l a . f u s a r o l i @ t i . c h ] ] > < / T e x t >  
                 < T e x t   i d = " S i g n e r _ 0 . U s e r . F i r s t N a m e "   l a b e l = " S i g n e r _ 0 . U s e r . F i r s t N a m e " > < ! [ C D A T A [ P a o l a ] ] > < / T e x t >  
                 < T e x t   i d = " S i g n e r _ 0 . U s e r . F u n c t i o n "   l a b e l = " S i g n e r _ 0 . U s e r . F u n c t i o n " > < ! [ C D A T A [ C A N - S T C A N C ] ] > < / T e x t >  
                 < T e x t   i d = " S i g n e r _ 0 . U s e r . L a s t N a m e "   l a b e l = " S i g n e r _ 0 . U s e r . L a s t N a m e " > < ! [ C D A T A [ D e   M a r c h i - F u s a r o l i ] ] > < / T e x t >  
                 < T e x t   i d = " S i g n e r _ 0 . U s e r . M o b i l e "   l a b e l = " S i g n e r _ 0 . U s e r . M o b i l e " > < ! [ C D A T A [   ] ] > < / T e x t >  
                 < T e x t   i d = " S i g n e r _ 0 . U s e r . P h o n e "   l a b e l = " S i g n e r _ 0 . U s e r . P h o n e " > < ! [ C D A T A [ + 4 1 9 1 8 1 4 3 1 6 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 2 0 2 2 - 1 1 - 3 0 T 0 0 : 0 0 : 0 0 Z < / D a t e T i m e >  
                 < T e x t   i d = " D o c P a r a m . N u m b e r " > < ! [ C D A T A [ 8 2 1 2 ] ] > < / T e x t >  
                 < T e x t   i d = " D o c P a r a m . D o c u m e n t o " > < ! [ C D A T A [ M e s s a g g i o ] ] > < / T e x t >  
                 < T e x t   i d = " D o c P a r a m . A g g i u n t a D o c "   t o o l t i p = " ( e s .   b i s ,   a g g i u n t i v o ,   a g g i u n t i v o   b i s ,   1 ,   2   e c c . ) " > < ! [ C D A T A [   ] ] > < / T e x t >  
                 < T e x t   i d = " D o c P a r a m . D i p a r t i m e n t i " > < ! [ C D A T A [ D i p a r t i m e n t o   d e l l a   s a n i t �   e   d e l l a   s o c i a l i t � ] ] > < / 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F2E6C-84DE-4B4E-8463-261A5F46F3C2}">
  <ds:schemaRefs>
    <ds:schemaRef ds:uri="http://schemas.microsoft.com/sharepoint/v3/contenttype/forms"/>
  </ds:schemaRefs>
</ds:datastoreItem>
</file>

<file path=customXml/itemProps2.xml><?xml version="1.0" encoding="utf-8"?>
<ds:datastoreItem xmlns:ds="http://schemas.openxmlformats.org/officeDocument/2006/customXml" ds:itemID="{46C24C5E-738F-42B1-92A7-E76A9BE16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22fa3-0fe3-4516-83b6-252e42a280b7"/>
    <ds:schemaRef ds:uri="e701e5c3-bfcb-4b3b-a512-fe06ac26e39c"/>
    <ds:schemaRef ds:uri="3df8a634-6269-4cf4-8b4f-59d0ec3e5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09782F-2078-4199-84EC-EBBDBD4E7BDE}">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5EDC451C-8EB3-4557-B917-29CEE338EDEA}">
  <ds:schemaRefs>
    <ds:schemaRef ds:uri="http://purl.org/dc/elements/1.1/"/>
    <ds:schemaRef ds:uri="3df8a634-6269-4cf4-8b4f-59d0ec3e5810"/>
    <ds:schemaRef ds:uri="http://schemas.microsoft.com/office/2006/documentManagement/types"/>
    <ds:schemaRef ds:uri="http://purl.org/dc/terms/"/>
    <ds:schemaRef ds:uri="http://schemas.microsoft.com/office/infopath/2007/PartnerControls"/>
    <ds:schemaRef ds:uri="http://purl.org/dc/dcmitype/"/>
    <ds:schemaRef ds:uri="85422fa3-0fe3-4516-83b6-252e42a280b7"/>
    <ds:schemaRef ds:uri="http://schemas.openxmlformats.org/package/2006/metadata/core-properties"/>
    <ds:schemaRef ds:uri="e701e5c3-bfcb-4b3b-a512-fe06ac26e39c"/>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6.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7.xml><?xml version="1.0" encoding="utf-8"?>
<ds:datastoreItem xmlns:ds="http://schemas.openxmlformats.org/officeDocument/2006/customXml" ds:itemID="{A16CF06D-B466-446D-9097-9209EAEB10DC}">
  <ds:schemaRefs>
    <ds:schemaRef ds:uri="http://www.w3.org/2001/XMLSchema"/>
    <ds:schemaRef ds:uri="http://schema.oneoffixx.com/OneOffixxDocumentPart/1"/>
    <ds:schemaRef ds:uri=""/>
  </ds:schemaRefs>
</ds:datastoreItem>
</file>

<file path=customXml/itemProps8.xml><?xml version="1.0" encoding="utf-8"?>
<ds:datastoreItem xmlns:ds="http://schemas.openxmlformats.org/officeDocument/2006/customXml" ds:itemID="{6D4AE1A8-1968-4EDC-8869-4FDCADC7A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ec2ac610-663e-4830-9e2c-762b62738331.dotx</Template>
  <TotalTime>2</TotalTime>
  <Pages>4</Pages>
  <Words>1658</Words>
  <Characters>9423</Characters>
  <Application>Microsoft Office Word</Application>
  <DocSecurity>0</DocSecurity>
  <Lines>184</Lines>
  <Paragraphs>58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Messaggio governativo DSS</vt:lpstr>
      <vt:lpstr/>
    </vt:vector>
  </TitlesOfParts>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Messaggio governativo DSS</dc:title>
  <dc:creator>Fusaroli Paola / T105694</dc:creator>
  <cp:lastModifiedBy>Alioli Anna</cp:lastModifiedBy>
  <cp:revision>5</cp:revision>
  <cp:lastPrinted>2022-12-01T08:07:00Z</cp:lastPrinted>
  <dcterms:created xsi:type="dcterms:W3CDTF">2022-12-01T07:36:00Z</dcterms:created>
  <dcterms:modified xsi:type="dcterms:W3CDTF">2022-12-01T08:07:00Z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y fmtid="{D5CDD505-2E9C-101B-9397-08002B2CF9AE}" pid="3" name="ContentTypeId">
    <vt:lpwstr>0x010100F1F096E619A0E44A8FD32ED5748D2238</vt:lpwstr>
  </property>
  <property fmtid="{D5CDD505-2E9C-101B-9397-08002B2CF9AE}" pid="4" name="PosizionamentoTAG">
    <vt:lpwstr>393;#Modelli atti|357a3e39-d738-4c8b-bd62-3777cd798c3a</vt:lpwstr>
  </property>
  <property fmtid="{D5CDD505-2E9C-101B-9397-08002B2CF9AE}" pid="5" name="UA">
    <vt:lpwstr/>
  </property>
  <property fmtid="{D5CDD505-2E9C-101B-9397-08002B2CF9AE}" pid="6" name="Tipologia">
    <vt:lpwstr>206;#Modello|e4ed0d71-d8b7-4b95-acbb-0d70ef5ae075</vt:lpwstr>
  </property>
</Properties>
</file>